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bCs/>
          <w:color w:val="auto"/>
          <w:sz w:val="36"/>
          <w:szCs w:val="36"/>
        </w:rPr>
      </w:pPr>
      <w:r>
        <w:rPr>
          <w:rFonts w:hint="eastAsia" w:ascii="仿宋" w:hAnsi="仿宋" w:eastAsia="仿宋" w:cs="仿宋"/>
          <w:b/>
          <w:bCs/>
          <w:color w:val="auto"/>
          <w:sz w:val="36"/>
          <w:szCs w:val="36"/>
        </w:rPr>
        <w:t>第三章  采购需求</w:t>
      </w:r>
    </w:p>
    <w:p>
      <w:pPr>
        <w:widowControl/>
        <w:numPr>
          <w:ilvl w:val="0"/>
          <w:numId w:val="2"/>
        </w:numPr>
        <w:shd w:val="solid" w:color="FFFFFF" w:fill="auto"/>
        <w:autoSpaceDN w:val="0"/>
        <w:spacing w:line="360" w:lineRule="auto"/>
        <w:ind w:left="284" w:hanging="284" w:hangingChars="118"/>
        <w:rPr>
          <w:rFonts w:ascii="仿宋" w:hAnsi="仿宋" w:eastAsia="仿宋" w:cs="仿宋"/>
          <w:b/>
          <w:color w:val="auto"/>
          <w:sz w:val="24"/>
        </w:rPr>
      </w:pPr>
      <w:bookmarkStart w:id="0" w:name="_Toc365559596"/>
      <w:bookmarkStart w:id="1" w:name="_Toc390176023"/>
      <w:bookmarkStart w:id="2" w:name="_Toc371949173"/>
      <w:r>
        <w:rPr>
          <w:rFonts w:hint="eastAsia" w:ascii="仿宋" w:hAnsi="仿宋" w:eastAsia="仿宋" w:cs="仿宋"/>
          <w:b/>
          <w:color w:val="auto"/>
          <w:sz w:val="24"/>
        </w:rPr>
        <w:t>项目基本情况</w:t>
      </w:r>
      <w:bookmarkEnd w:id="0"/>
      <w:bookmarkEnd w:id="1"/>
      <w:bookmarkEnd w:id="2"/>
    </w:p>
    <w:p>
      <w:pPr>
        <w:widowControl/>
        <w:numPr>
          <w:ilvl w:val="0"/>
          <w:numId w:val="3"/>
        </w:numPr>
        <w:shd w:val="solid" w:color="FFFFFF" w:fill="auto"/>
        <w:autoSpaceDN w:val="0"/>
        <w:spacing w:line="360" w:lineRule="auto"/>
        <w:ind w:left="-248" w:leftChars="-118" w:firstLine="240" w:firstLineChars="100"/>
        <w:rPr>
          <w:rFonts w:ascii="仿宋" w:hAnsi="仿宋" w:eastAsia="仿宋" w:cs="仿宋"/>
          <w:color w:val="auto"/>
          <w:sz w:val="24"/>
        </w:rPr>
      </w:pPr>
      <w:r>
        <w:rPr>
          <w:rFonts w:hint="eastAsia" w:ascii="仿宋" w:hAnsi="仿宋" w:eastAsia="仿宋" w:cs="仿宋"/>
          <w:color w:val="auto"/>
          <w:sz w:val="24"/>
        </w:rPr>
        <w:t>项目名称：海南省医疗保障局医疗保障信息平台二期建设工程项目</w:t>
      </w:r>
    </w:p>
    <w:p>
      <w:pPr>
        <w:widowControl/>
        <w:shd w:val="solid" w:color="FFFFFF" w:fill="auto"/>
        <w:autoSpaceDN w:val="0"/>
        <w:spacing w:line="360" w:lineRule="auto"/>
        <w:ind w:left="-38" w:leftChars="-18"/>
        <w:rPr>
          <w:rFonts w:ascii="仿宋" w:hAnsi="仿宋" w:eastAsia="仿宋" w:cs="仿宋"/>
          <w:color w:val="auto"/>
          <w:sz w:val="24"/>
        </w:rPr>
      </w:pPr>
      <w:r>
        <w:rPr>
          <w:rFonts w:hint="eastAsia" w:ascii="仿宋" w:hAnsi="仿宋" w:eastAsia="仿宋" w:cs="仿宋"/>
          <w:color w:val="auto"/>
          <w:sz w:val="24"/>
        </w:rPr>
        <w:t>2、项目编号：HNZH-2020-185</w:t>
      </w:r>
    </w:p>
    <w:p>
      <w:pPr>
        <w:widowControl/>
        <w:shd w:val="solid" w:color="FFFFFF" w:fill="auto"/>
        <w:autoSpaceDN w:val="0"/>
        <w:spacing w:line="360" w:lineRule="auto"/>
        <w:jc w:val="left"/>
        <w:rPr>
          <w:rFonts w:ascii="仿宋" w:hAnsi="仿宋" w:eastAsia="仿宋" w:cs="仿宋"/>
          <w:color w:val="auto"/>
          <w:sz w:val="24"/>
        </w:rPr>
      </w:pPr>
      <w:r>
        <w:rPr>
          <w:rFonts w:hint="eastAsia" w:ascii="仿宋" w:hAnsi="仿宋" w:eastAsia="仿宋" w:cs="仿宋"/>
          <w:color w:val="auto"/>
          <w:sz w:val="24"/>
        </w:rPr>
        <w:t>3、服务期限：</w:t>
      </w:r>
    </w:p>
    <w:p>
      <w:pPr>
        <w:widowControl/>
        <w:shd w:val="solid" w:color="FFFFFF" w:fill="auto"/>
        <w:autoSpaceDN w:val="0"/>
        <w:spacing w:line="360" w:lineRule="auto"/>
        <w:jc w:val="left"/>
        <w:rPr>
          <w:rFonts w:ascii="仿宋" w:hAnsi="仿宋" w:eastAsia="仿宋" w:cs="仿宋"/>
          <w:color w:val="auto"/>
          <w:sz w:val="24"/>
        </w:rPr>
      </w:pPr>
      <w:r>
        <w:rPr>
          <w:rFonts w:hint="eastAsia" w:ascii="仿宋" w:hAnsi="仿宋" w:eastAsia="仿宋" w:cs="仿宋"/>
          <w:color w:val="auto"/>
          <w:sz w:val="24"/>
        </w:rPr>
        <w:t>1包：</w:t>
      </w:r>
      <w:r>
        <w:rPr>
          <w:rFonts w:hint="eastAsia" w:ascii="仿宋" w:hAnsi="仿宋" w:eastAsia="仿宋" w:cs="仿宋"/>
          <w:color w:val="auto"/>
          <w:kern w:val="0"/>
          <w:sz w:val="24"/>
          <w:lang w:val="zh-CN" w:bidi="zh-CN"/>
        </w:rPr>
        <w:t>合同签订之日至项目终验结束</w:t>
      </w:r>
      <w:r>
        <w:rPr>
          <w:rFonts w:hint="eastAsia" w:ascii="仿宋" w:hAnsi="仿宋" w:eastAsia="仿宋" w:cs="仿宋"/>
          <w:color w:val="auto"/>
          <w:kern w:val="0"/>
          <w:sz w:val="24"/>
        </w:rPr>
        <w:t>。</w:t>
      </w:r>
    </w:p>
    <w:p>
      <w:pPr>
        <w:widowControl/>
        <w:shd w:val="solid" w:color="FFFFFF" w:fill="auto"/>
        <w:autoSpaceDN w:val="0"/>
        <w:spacing w:line="360" w:lineRule="auto"/>
        <w:jc w:val="left"/>
        <w:rPr>
          <w:rFonts w:ascii="仿宋" w:hAnsi="仿宋" w:eastAsia="仿宋" w:cs="仿宋"/>
          <w:color w:val="auto"/>
          <w:sz w:val="24"/>
        </w:rPr>
      </w:pPr>
      <w:r>
        <w:rPr>
          <w:rFonts w:hint="eastAsia" w:ascii="仿宋" w:hAnsi="仿宋" w:eastAsia="仿宋" w:cs="仿宋"/>
          <w:color w:val="auto"/>
          <w:sz w:val="24"/>
        </w:rPr>
        <w:t>2包：</w:t>
      </w:r>
      <w:r>
        <w:rPr>
          <w:rFonts w:hint="eastAsia" w:ascii="仿宋" w:hAnsi="仿宋" w:eastAsia="仿宋" w:cs="仿宋"/>
          <w:color w:val="auto"/>
          <w:kern w:val="0"/>
          <w:sz w:val="24"/>
          <w:lang w:val="zh-CN" w:bidi="zh-CN"/>
        </w:rPr>
        <w:t>合同签订之日至项目终验结束</w:t>
      </w:r>
      <w:r>
        <w:rPr>
          <w:rFonts w:hint="eastAsia" w:ascii="仿宋" w:hAnsi="仿宋" w:eastAsia="仿宋" w:cs="仿宋"/>
          <w:color w:val="auto"/>
          <w:kern w:val="0"/>
          <w:sz w:val="24"/>
        </w:rPr>
        <w:t>。</w:t>
      </w:r>
    </w:p>
    <w:p>
      <w:pPr>
        <w:widowControl/>
        <w:shd w:val="solid" w:color="FFFFFF" w:fill="auto"/>
        <w:autoSpaceDN w:val="0"/>
        <w:spacing w:line="360" w:lineRule="auto"/>
        <w:ind w:left="600" w:hanging="600" w:hangingChars="250"/>
        <w:jc w:val="left"/>
        <w:rPr>
          <w:rFonts w:hint="eastAsia" w:ascii="仿宋" w:hAnsi="仿宋" w:eastAsia="仿宋" w:cs="仿宋"/>
          <w:color w:val="auto"/>
          <w:sz w:val="24"/>
          <w:lang w:eastAsia="zh-CN"/>
        </w:rPr>
      </w:pPr>
      <w:r>
        <w:rPr>
          <w:rFonts w:hint="eastAsia" w:ascii="仿宋" w:hAnsi="仿宋" w:eastAsia="仿宋" w:cs="仿宋"/>
          <w:color w:val="auto"/>
          <w:sz w:val="24"/>
        </w:rPr>
        <w:t>3包：签订合同之日起至2021年6底前完成系统初验，进入试运行，试运行期至少3个月，2021年底前完成系统终验</w:t>
      </w:r>
      <w:r>
        <w:rPr>
          <w:rFonts w:hint="eastAsia" w:ascii="仿宋" w:hAnsi="仿宋" w:eastAsia="仿宋" w:cs="仿宋"/>
          <w:color w:val="auto"/>
          <w:sz w:val="24"/>
          <w:lang w:eastAsia="zh-CN"/>
        </w:rPr>
        <w:t>。</w:t>
      </w:r>
      <w:bookmarkStart w:id="801" w:name="_GoBack"/>
      <w:bookmarkEnd w:id="801"/>
    </w:p>
    <w:p>
      <w:pPr>
        <w:widowControl/>
        <w:shd w:val="solid" w:color="FFFFFF" w:fill="auto"/>
        <w:autoSpaceDN w:val="0"/>
        <w:spacing w:line="360" w:lineRule="auto"/>
        <w:ind w:left="600" w:hanging="600" w:hangingChars="250"/>
        <w:jc w:val="left"/>
        <w:rPr>
          <w:rFonts w:ascii="仿宋" w:hAnsi="仿宋" w:eastAsia="仿宋" w:cs="仿宋"/>
          <w:color w:val="auto"/>
          <w:sz w:val="24"/>
        </w:rPr>
      </w:pPr>
      <w:r>
        <w:rPr>
          <w:rFonts w:hint="eastAsia" w:ascii="仿宋" w:hAnsi="仿宋" w:eastAsia="仿宋" w:cs="仿宋"/>
          <w:color w:val="auto"/>
          <w:sz w:val="24"/>
        </w:rPr>
        <w:t>4包：签订合同之日起至2021年6底前完成系统初验，进入试运行，试运行期至少3个月，2021年底前完成系统终验。</w:t>
      </w:r>
    </w:p>
    <w:p>
      <w:pPr>
        <w:widowControl/>
        <w:shd w:val="solid" w:color="FFFFFF" w:fill="auto"/>
        <w:autoSpaceDN w:val="0"/>
        <w:spacing w:line="360" w:lineRule="auto"/>
        <w:ind w:left="600" w:hanging="600" w:hangingChars="250"/>
        <w:jc w:val="left"/>
        <w:rPr>
          <w:rFonts w:ascii="仿宋" w:hAnsi="仿宋" w:eastAsia="仿宋" w:cs="仿宋"/>
          <w:color w:val="auto"/>
          <w:sz w:val="24"/>
        </w:rPr>
      </w:pPr>
      <w:r>
        <w:rPr>
          <w:rFonts w:hint="eastAsia" w:ascii="仿宋" w:hAnsi="仿宋" w:eastAsia="仿宋" w:cs="仿宋"/>
          <w:color w:val="auto"/>
          <w:sz w:val="24"/>
        </w:rPr>
        <w:t>5包：签订合同之日起至2021年6底前完成系统初验，进入试运行，试运行期至少3个月，2021年底前完成系统终验。</w:t>
      </w:r>
    </w:p>
    <w:p>
      <w:pPr>
        <w:widowControl/>
        <w:shd w:val="solid" w:color="FFFFFF" w:fill="auto"/>
        <w:autoSpaceDN w:val="0"/>
        <w:spacing w:line="360" w:lineRule="auto"/>
        <w:ind w:left="600" w:hanging="600" w:hangingChars="250"/>
        <w:jc w:val="left"/>
        <w:rPr>
          <w:rFonts w:hint="eastAsia" w:ascii="仿宋" w:hAnsi="仿宋" w:eastAsia="仿宋" w:cs="仿宋"/>
          <w:color w:val="auto"/>
          <w:sz w:val="24"/>
          <w:lang w:eastAsia="zh-CN"/>
        </w:rPr>
      </w:pPr>
      <w:r>
        <w:rPr>
          <w:rFonts w:hint="eastAsia" w:ascii="仿宋" w:hAnsi="仿宋" w:eastAsia="仿宋" w:cs="仿宋"/>
          <w:color w:val="auto"/>
          <w:sz w:val="24"/>
        </w:rPr>
        <w:t>6包：签订合同之日起至2021年6底前完成系统初验，进入试运行，试运行期至少3个月，2021年底前完成系统终验</w:t>
      </w:r>
      <w:r>
        <w:rPr>
          <w:rFonts w:hint="eastAsia" w:ascii="仿宋" w:hAnsi="仿宋" w:eastAsia="仿宋" w:cs="仿宋"/>
          <w:color w:val="auto"/>
          <w:sz w:val="24"/>
          <w:lang w:eastAsia="zh-CN"/>
        </w:rPr>
        <w:t>。</w:t>
      </w:r>
    </w:p>
    <w:p>
      <w:pPr>
        <w:widowControl/>
        <w:shd w:val="solid" w:color="FFFFFF" w:fill="auto"/>
        <w:autoSpaceDN w:val="0"/>
        <w:spacing w:line="360" w:lineRule="auto"/>
        <w:ind w:left="600" w:hanging="600" w:hangingChars="250"/>
        <w:jc w:val="left"/>
        <w:rPr>
          <w:rFonts w:hint="eastAsia" w:ascii="仿宋" w:hAnsi="仿宋" w:eastAsia="仿宋" w:cs="仿宋"/>
          <w:color w:val="auto"/>
          <w:sz w:val="24"/>
          <w:lang w:eastAsia="zh-CN"/>
        </w:rPr>
      </w:pPr>
      <w:r>
        <w:rPr>
          <w:rFonts w:hint="eastAsia" w:ascii="仿宋" w:hAnsi="仿宋" w:eastAsia="仿宋" w:cs="仿宋"/>
          <w:color w:val="auto"/>
          <w:sz w:val="24"/>
        </w:rPr>
        <w:t>7包：签订合同之日起至2021年6底前完成系统初验，进入试运行，试运行期至少3个月，2021年底前完成系统终验</w:t>
      </w:r>
      <w:r>
        <w:rPr>
          <w:rFonts w:hint="eastAsia" w:ascii="仿宋" w:hAnsi="仿宋" w:eastAsia="仿宋" w:cs="仿宋"/>
          <w:color w:val="auto"/>
          <w:sz w:val="24"/>
          <w:lang w:eastAsia="zh-CN"/>
        </w:rPr>
        <w:t>。</w:t>
      </w:r>
    </w:p>
    <w:p>
      <w:pPr>
        <w:widowControl/>
        <w:shd w:val="solid" w:color="FFFFFF" w:fill="auto"/>
        <w:autoSpaceDN w:val="0"/>
        <w:spacing w:line="360" w:lineRule="auto"/>
        <w:ind w:left="600" w:hanging="600" w:hangingChars="250"/>
        <w:jc w:val="left"/>
        <w:rPr>
          <w:rFonts w:ascii="仿宋" w:hAnsi="仿宋" w:eastAsia="仿宋" w:cs="仿宋"/>
          <w:color w:val="auto"/>
          <w:sz w:val="24"/>
        </w:rPr>
      </w:pPr>
      <w:r>
        <w:rPr>
          <w:rFonts w:hint="eastAsia" w:ascii="仿宋" w:hAnsi="仿宋" w:eastAsia="仿宋" w:cs="仿宋"/>
          <w:color w:val="auto"/>
          <w:sz w:val="24"/>
        </w:rPr>
        <w:t>8包：签订合同之日起至2021年6底前完成系统初验，进入试运行，试运行期至少3个月，2021年底前完成系统终验。</w:t>
      </w:r>
    </w:p>
    <w:p>
      <w:pPr>
        <w:widowControl/>
        <w:shd w:val="solid" w:color="FFFFFF" w:fill="auto"/>
        <w:autoSpaceDN w:val="0"/>
        <w:spacing w:line="360" w:lineRule="auto"/>
        <w:ind w:left="600" w:hanging="600" w:hangingChars="250"/>
        <w:jc w:val="left"/>
        <w:rPr>
          <w:rFonts w:ascii="仿宋" w:hAnsi="仿宋" w:eastAsia="仿宋" w:cs="仿宋"/>
          <w:color w:val="auto"/>
          <w:sz w:val="24"/>
        </w:rPr>
      </w:pPr>
      <w:r>
        <w:rPr>
          <w:rFonts w:hint="eastAsia" w:ascii="仿宋" w:hAnsi="仿宋" w:eastAsia="仿宋" w:cs="仿宋"/>
          <w:color w:val="auto"/>
          <w:sz w:val="24"/>
        </w:rPr>
        <w:t>9包：签订合同之日起至2021年6底前完成系统初验，进入试运行，试运行期至少3个月，2021年底前完成系统终验。</w:t>
      </w:r>
    </w:p>
    <w:p>
      <w:pPr>
        <w:widowControl/>
        <w:shd w:val="solid" w:color="FFFFFF" w:fill="auto"/>
        <w:autoSpaceDN w:val="0"/>
        <w:spacing w:line="360" w:lineRule="auto"/>
        <w:ind w:left="600" w:hanging="600" w:hangingChars="250"/>
        <w:jc w:val="left"/>
        <w:rPr>
          <w:rFonts w:ascii="仿宋" w:hAnsi="仿宋" w:eastAsia="仿宋" w:cs="仿宋"/>
          <w:color w:val="auto"/>
          <w:sz w:val="24"/>
        </w:rPr>
      </w:pPr>
      <w:r>
        <w:rPr>
          <w:rFonts w:hint="eastAsia" w:ascii="仿宋" w:hAnsi="仿宋" w:eastAsia="仿宋" w:cs="仿宋"/>
          <w:color w:val="auto"/>
          <w:sz w:val="24"/>
        </w:rPr>
        <w:t>10包：签订合同之日起至2021年6底前完成系统初验，进入试运行，试运行期至少3个月，2021年底前完成系统终验。</w:t>
      </w:r>
    </w:p>
    <w:p>
      <w:pPr>
        <w:widowControl/>
        <w:shd w:val="solid" w:color="FFFFFF" w:fill="auto"/>
        <w:autoSpaceDN w:val="0"/>
        <w:spacing w:line="360" w:lineRule="auto"/>
        <w:ind w:left="720" w:hanging="720" w:hangingChars="300"/>
        <w:jc w:val="left"/>
        <w:rPr>
          <w:rFonts w:hint="eastAsia" w:ascii="仿宋" w:hAnsi="仿宋" w:eastAsia="仿宋" w:cs="仿宋"/>
          <w:color w:val="auto"/>
          <w:sz w:val="24"/>
          <w:lang w:eastAsia="zh-CN"/>
        </w:rPr>
      </w:pPr>
      <w:r>
        <w:rPr>
          <w:rFonts w:hint="eastAsia" w:ascii="仿宋" w:hAnsi="仿宋" w:eastAsia="仿宋" w:cs="仿宋"/>
          <w:color w:val="auto"/>
          <w:sz w:val="24"/>
        </w:rPr>
        <w:t>11包：签订合同之日起至2021年6底前完成系统初验，进入试运行，试运行期至少3个月，2021年底前完成系统终验</w:t>
      </w:r>
      <w:r>
        <w:rPr>
          <w:rFonts w:hint="eastAsia" w:ascii="仿宋" w:hAnsi="仿宋" w:eastAsia="仿宋" w:cs="仿宋"/>
          <w:color w:val="auto"/>
          <w:sz w:val="24"/>
          <w:lang w:eastAsia="zh-CN"/>
        </w:rPr>
        <w:t>。</w:t>
      </w:r>
    </w:p>
    <w:p>
      <w:pPr>
        <w:pStyle w:val="18"/>
        <w:ind w:left="720" w:hanging="720" w:hangingChars="300"/>
        <w:rPr>
          <w:rFonts w:ascii="仿宋" w:hAnsi="仿宋" w:eastAsia="仿宋" w:cs="仿宋"/>
          <w:color w:val="auto"/>
          <w:sz w:val="24"/>
        </w:rPr>
      </w:pPr>
      <w:r>
        <w:rPr>
          <w:rFonts w:hint="eastAsia" w:ascii="仿宋" w:hAnsi="仿宋" w:eastAsia="仿宋" w:cs="仿宋"/>
          <w:color w:val="auto"/>
          <w:sz w:val="24"/>
          <w:lang w:val="en-US"/>
        </w:rPr>
        <w:t>12包：</w:t>
      </w:r>
      <w:r>
        <w:rPr>
          <w:rFonts w:hint="eastAsia" w:ascii="仿宋" w:hAnsi="仿宋" w:eastAsia="仿宋" w:cs="仿宋"/>
          <w:color w:val="auto"/>
          <w:sz w:val="24"/>
        </w:rPr>
        <w:t>签订合同之日起至2021年</w:t>
      </w:r>
      <w:r>
        <w:rPr>
          <w:rFonts w:hint="eastAsia" w:ascii="仿宋" w:hAnsi="仿宋" w:eastAsia="仿宋" w:cs="仿宋"/>
          <w:color w:val="auto"/>
          <w:sz w:val="24"/>
          <w:lang w:val="en-US"/>
        </w:rPr>
        <w:t>6</w:t>
      </w:r>
      <w:r>
        <w:rPr>
          <w:rFonts w:hint="eastAsia" w:ascii="仿宋" w:hAnsi="仿宋" w:eastAsia="仿宋" w:cs="仿宋"/>
          <w:color w:val="auto"/>
          <w:sz w:val="24"/>
        </w:rPr>
        <w:t>底前完成系统初验，进入试运行，试运行期至少3个月，2021年底前完成系统终验。</w:t>
      </w:r>
    </w:p>
    <w:p>
      <w:pPr>
        <w:widowControl/>
        <w:shd w:val="solid" w:color="FFFFFF" w:fill="auto"/>
        <w:autoSpaceDN w:val="0"/>
        <w:spacing w:line="360" w:lineRule="auto"/>
        <w:ind w:left="720" w:hanging="720" w:hangingChars="300"/>
        <w:jc w:val="left"/>
        <w:rPr>
          <w:rFonts w:ascii="仿宋" w:hAnsi="仿宋" w:eastAsia="仿宋" w:cs="仿宋"/>
          <w:color w:val="auto"/>
          <w:sz w:val="24"/>
        </w:rPr>
      </w:pPr>
      <w:r>
        <w:rPr>
          <w:rFonts w:hint="eastAsia" w:ascii="仿宋" w:hAnsi="仿宋" w:eastAsia="仿宋" w:cs="仿宋"/>
          <w:color w:val="auto"/>
          <w:sz w:val="24"/>
        </w:rPr>
        <w:t>13包：</w:t>
      </w:r>
      <w:r>
        <w:rPr>
          <w:rFonts w:hint="eastAsia" w:ascii="仿宋" w:hAnsi="仿宋" w:eastAsia="仿宋" w:cs="仿宋"/>
          <w:color w:val="auto"/>
          <w:sz w:val="24"/>
          <w:lang w:val="zh-CN"/>
        </w:rPr>
        <w:t>签订合同之日起至2021年</w:t>
      </w:r>
      <w:r>
        <w:rPr>
          <w:rFonts w:hint="eastAsia" w:ascii="仿宋" w:hAnsi="仿宋" w:eastAsia="仿宋" w:cs="仿宋"/>
          <w:color w:val="auto"/>
          <w:sz w:val="24"/>
        </w:rPr>
        <w:t>6</w:t>
      </w:r>
      <w:r>
        <w:rPr>
          <w:rFonts w:hint="eastAsia" w:ascii="仿宋" w:hAnsi="仿宋" w:eastAsia="仿宋" w:cs="仿宋"/>
          <w:color w:val="auto"/>
          <w:sz w:val="24"/>
          <w:lang w:val="zh-CN"/>
        </w:rPr>
        <w:t>底前完成系统初验，进入试运行，试运行期至少3个月，2021年底前完成系统终验。</w:t>
      </w:r>
    </w:p>
    <w:p>
      <w:pPr>
        <w:widowControl/>
        <w:shd w:val="solid" w:color="FFFFFF" w:fill="auto"/>
        <w:autoSpaceDN w:val="0"/>
        <w:spacing w:line="360" w:lineRule="auto"/>
        <w:jc w:val="left"/>
        <w:rPr>
          <w:rFonts w:hint="eastAsia" w:ascii="仿宋" w:hAnsi="仿宋" w:eastAsia="仿宋" w:cs="仿宋"/>
          <w:color w:val="auto"/>
          <w:sz w:val="24"/>
          <w:lang w:eastAsia="zh-CN"/>
        </w:rPr>
      </w:pPr>
      <w:r>
        <w:rPr>
          <w:rFonts w:hint="eastAsia" w:ascii="仿宋" w:hAnsi="仿宋" w:eastAsia="仿宋" w:cs="仿宋"/>
          <w:color w:val="auto"/>
          <w:sz w:val="24"/>
        </w:rPr>
        <w:t>14包：签订合同之日起至项目终验合格止</w:t>
      </w:r>
      <w:r>
        <w:rPr>
          <w:rFonts w:hint="eastAsia" w:ascii="仿宋" w:hAnsi="仿宋" w:eastAsia="仿宋" w:cs="仿宋"/>
          <w:color w:val="auto"/>
          <w:sz w:val="24"/>
          <w:lang w:eastAsia="zh-CN"/>
        </w:rPr>
        <w:t>。</w:t>
      </w:r>
    </w:p>
    <w:p>
      <w:pPr>
        <w:widowControl/>
        <w:shd w:val="solid" w:color="FFFFFF" w:fill="auto"/>
        <w:autoSpaceDN w:val="0"/>
        <w:spacing w:line="360" w:lineRule="auto"/>
        <w:jc w:val="left"/>
        <w:rPr>
          <w:rFonts w:hint="eastAsia" w:ascii="仿宋" w:hAnsi="仿宋" w:eastAsia="仿宋" w:cs="仿宋"/>
          <w:color w:val="auto"/>
          <w:sz w:val="24"/>
          <w:lang w:eastAsia="zh-CN"/>
        </w:rPr>
      </w:pPr>
      <w:r>
        <w:rPr>
          <w:rFonts w:hint="eastAsia" w:ascii="仿宋" w:hAnsi="仿宋" w:eastAsia="仿宋" w:cs="仿宋"/>
          <w:color w:val="auto"/>
          <w:sz w:val="24"/>
        </w:rPr>
        <w:t>15包：合</w:t>
      </w:r>
      <w:r>
        <w:rPr>
          <w:rFonts w:hint="eastAsia" w:ascii="仿宋" w:hAnsi="仿宋" w:eastAsia="仿宋" w:cs="仿宋"/>
          <w:bCs/>
          <w:color w:val="auto"/>
          <w:sz w:val="24"/>
        </w:rPr>
        <w:t>签订合同之日起至2021年12月31日</w:t>
      </w:r>
      <w:r>
        <w:rPr>
          <w:rFonts w:hint="eastAsia" w:ascii="仿宋" w:hAnsi="仿宋" w:eastAsia="仿宋" w:cs="仿宋"/>
          <w:bCs/>
          <w:color w:val="auto"/>
          <w:sz w:val="24"/>
          <w:lang w:eastAsia="zh-CN"/>
        </w:rPr>
        <w:t>。</w:t>
      </w:r>
    </w:p>
    <w:p>
      <w:pPr>
        <w:widowControl/>
        <w:spacing w:line="360" w:lineRule="auto"/>
        <w:jc w:val="left"/>
        <w:rPr>
          <w:rFonts w:hint="eastAsia" w:ascii="仿宋" w:hAnsi="仿宋" w:eastAsia="仿宋" w:cs="仿宋"/>
          <w:color w:val="auto"/>
          <w:sz w:val="24"/>
          <w:lang w:val="en-US" w:eastAsia="zh-CN"/>
        </w:rPr>
      </w:pPr>
      <w:r>
        <w:rPr>
          <w:rFonts w:hint="eastAsia" w:ascii="仿宋" w:hAnsi="仿宋" w:eastAsia="仿宋" w:cs="仿宋"/>
          <w:color w:val="auto"/>
          <w:sz w:val="24"/>
        </w:rPr>
        <w:t>16包：自签订合同之日起，至最终完成测评工作并提交测试报告</w:t>
      </w:r>
      <w:r>
        <w:rPr>
          <w:rFonts w:hint="eastAsia" w:ascii="仿宋" w:hAnsi="仿宋" w:eastAsia="仿宋" w:cs="仿宋"/>
          <w:color w:val="auto"/>
          <w:sz w:val="24"/>
          <w:lang w:eastAsia="zh-CN"/>
        </w:rPr>
        <w:t>。</w:t>
      </w:r>
    </w:p>
    <w:p>
      <w:pPr>
        <w:shd w:val="clear" w:color="auto" w:fill="FFFFFF"/>
        <w:snapToGrid w:val="0"/>
        <w:spacing w:line="360" w:lineRule="auto"/>
        <w:rPr>
          <w:rFonts w:ascii="仿宋" w:hAnsi="仿宋" w:eastAsia="仿宋" w:cs="仿宋"/>
          <w:color w:val="auto"/>
          <w:sz w:val="24"/>
        </w:rPr>
      </w:pPr>
      <w:r>
        <w:rPr>
          <w:rFonts w:hint="eastAsia" w:ascii="仿宋" w:hAnsi="仿宋" w:eastAsia="仿宋" w:cs="仿宋"/>
          <w:color w:val="auto"/>
          <w:sz w:val="24"/>
        </w:rPr>
        <w:t>4、验收方式：由采购人组织有关部门按照国家有关标准的规定进行验收。</w:t>
      </w:r>
    </w:p>
    <w:p>
      <w:pPr>
        <w:shd w:val="clear" w:color="auto" w:fill="FFFFFF"/>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5、付款方式：</w:t>
      </w:r>
    </w:p>
    <w:p>
      <w:pPr>
        <w:shd w:val="clear" w:color="auto" w:fill="FFFFFF"/>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-15</w:t>
      </w:r>
      <w:r>
        <w:rPr>
          <w:rFonts w:hint="eastAsia" w:ascii="仿宋" w:hAnsi="仿宋" w:eastAsia="仿宋" w:cs="仿宋"/>
          <w:color w:val="auto"/>
          <w:sz w:val="24"/>
        </w:rPr>
        <w:t>包：</w:t>
      </w:r>
      <w:r>
        <w:rPr>
          <w:rFonts w:hint="eastAsia" w:ascii="仿宋" w:hAnsi="仿宋" w:eastAsia="仿宋" w:cs="仿宋"/>
          <w:color w:val="auto"/>
          <w:sz w:val="24"/>
          <w:highlight w:val="yellow"/>
        </w:rPr>
        <w:t>签订合同后7个工作日内甲方凭借中标方正式有效发票，支付合同金额得50%作为预付款，项目初验合格后7个工作日内甲方凭借中标方正式有效发票，支付合同金额的20%进度款，项目终验合格后7个工作日内甲方凭借中标方正式有效发票，支付合同金额的20%进度款，剩余10%中标方提供银行保函，且银行保函期限不早于质保期，甲方在7个工作内支付剩余尾款。</w:t>
      </w:r>
    </w:p>
    <w:p>
      <w:pPr>
        <w:widowControl/>
        <w:tabs>
          <w:tab w:val="left" w:pos="630"/>
        </w:tabs>
        <w:spacing w:line="360" w:lineRule="auto"/>
        <w:ind w:firstLine="480" w:firstLineChars="200"/>
        <w:jc w:val="left"/>
        <w:textAlignment w:val="bottom"/>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16包：合同签订后7个工作日内</w:t>
      </w:r>
      <w:r>
        <w:rPr>
          <w:rFonts w:hint="eastAsia" w:ascii="仿宋" w:hAnsi="仿宋" w:eastAsia="仿宋" w:cs="仿宋"/>
          <w:color w:val="auto"/>
          <w:sz w:val="24"/>
          <w:highlight w:val="yellow"/>
        </w:rPr>
        <w:t>甲方凭借中标方正式有效发票，支付合同金额得50%作为预付款</w:t>
      </w:r>
      <w:r>
        <w:rPr>
          <w:rFonts w:hint="eastAsia" w:ascii="仿宋" w:hAnsi="仿宋" w:eastAsia="仿宋" w:cs="仿宋"/>
          <w:color w:val="auto"/>
          <w:sz w:val="24"/>
          <w:highlight w:val="yellow"/>
          <w:lang w:eastAsia="zh-CN"/>
        </w:rPr>
        <w:t>，中标方完成所有测试工作，向甲方出具《测试报告》并经公安部门备案后</w:t>
      </w:r>
      <w:r>
        <w:rPr>
          <w:rFonts w:hint="eastAsia" w:ascii="仿宋" w:hAnsi="仿宋" w:eastAsia="仿宋" w:cs="仿宋"/>
          <w:color w:val="auto"/>
          <w:sz w:val="24"/>
          <w:highlight w:val="yellow"/>
        </w:rPr>
        <w:t>凭借中标方正式有效发票</w:t>
      </w:r>
      <w:r>
        <w:rPr>
          <w:rFonts w:hint="eastAsia" w:ascii="仿宋" w:hAnsi="仿宋" w:eastAsia="仿宋" w:cs="仿宋"/>
          <w:color w:val="auto"/>
          <w:sz w:val="24"/>
          <w:highlight w:val="yellow"/>
          <w:lang w:eastAsia="zh-CN"/>
        </w:rPr>
        <w:t>在</w:t>
      </w:r>
      <w:r>
        <w:rPr>
          <w:rFonts w:hint="eastAsia" w:ascii="仿宋" w:hAnsi="仿宋" w:eastAsia="仿宋" w:cs="仿宋"/>
          <w:color w:val="auto"/>
          <w:sz w:val="24"/>
          <w:highlight w:val="yellow"/>
          <w:lang w:val="en-US" w:eastAsia="zh-CN"/>
        </w:rPr>
        <w:t>7个工作日内支付合同剩余尾款。</w:t>
      </w:r>
    </w:p>
    <w:p>
      <w:pPr>
        <w:widowControl/>
        <w:tabs>
          <w:tab w:val="left" w:pos="630"/>
        </w:tabs>
        <w:spacing w:line="360" w:lineRule="auto"/>
        <w:jc w:val="left"/>
        <w:textAlignment w:val="bottom"/>
        <w:rPr>
          <w:rFonts w:ascii="仿宋" w:hAnsi="仿宋" w:eastAsia="仿宋" w:cs="仿宋"/>
          <w:color w:val="auto"/>
          <w:kern w:val="28"/>
          <w:sz w:val="24"/>
        </w:rPr>
      </w:pPr>
      <w:r>
        <w:rPr>
          <w:rFonts w:hint="eastAsia" w:ascii="仿宋" w:hAnsi="仿宋" w:eastAsia="仿宋" w:cs="仿宋"/>
          <w:color w:val="auto"/>
          <w:sz w:val="24"/>
        </w:rPr>
        <w:t>6、</w:t>
      </w:r>
      <w:r>
        <w:rPr>
          <w:rFonts w:hint="eastAsia" w:ascii="仿宋" w:hAnsi="仿宋" w:eastAsia="仿宋" w:cs="仿宋"/>
          <w:color w:val="auto"/>
          <w:kern w:val="28"/>
          <w:sz w:val="24"/>
        </w:rPr>
        <w:t>根据国务院办公厅关于建立政府强制采购节能产品制度的通知，在同等条件下优先采购节能产品</w:t>
      </w:r>
    </w:p>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7、小微企业投标价格依据《关于印发中小企业划型标准规定的通知》（工信部联企业[2011]300号）文件及《政府采购促进中小企业发展暂行办法》（财库[2011]181号）文件规定，按6%的优惠折算后计算投标报价</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2758"/>
        <w:gridCol w:w="1536"/>
        <w:gridCol w:w="1703"/>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包号</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名称</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预算金额（元）</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最高限价（元）</w:t>
            </w:r>
          </w:p>
        </w:tc>
        <w:tc>
          <w:tcPr>
            <w:tcW w:w="1700"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项目集成服务</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6612800.00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6612800.00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中台部署与软件集成</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7500000.00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7500000.00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应用支撑和经办子系统</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shd w:val="clear" w:color="auto" w:fill="FFFFFF"/>
              </w:rPr>
              <w:t>22396600.00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shd w:val="clear" w:color="auto" w:fill="FFFFFF"/>
              </w:rPr>
              <w:t>22396600.00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医疗保障综合管控系统</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13745900.00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13745900.00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智慧决策子系统</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9364500.00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9364500.00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6包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公共服务子系统</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5632500.00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5632500.00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7包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药品和医用耗材招采模块</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2662500.00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2662500.00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8包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支付方式管理子系统及接口服务</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8271500.00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8271500.00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9包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系统软件</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13980000.00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13980000.00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10包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医保业务终端</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15272000.00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15272000.00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11包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数据备份一体机及安全硬件</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7880000.00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7880000.00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12包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安全软件</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10918500.00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10918500.00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13包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电子认证服务</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7748200.00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7748200.00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14包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项目监理服务</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1358100.00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1358100.00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15包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网络租赁</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9133800.00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9133800.00</w:t>
            </w:r>
          </w:p>
        </w:tc>
        <w:tc>
          <w:tcPr>
            <w:tcW w:w="1700"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16包</w:t>
            </w:r>
          </w:p>
        </w:tc>
        <w:tc>
          <w:tcPr>
            <w:tcW w:w="2758"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安全等级保护测评</w:t>
            </w:r>
          </w:p>
        </w:tc>
        <w:tc>
          <w:tcPr>
            <w:tcW w:w="1536"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640000.00</w:t>
            </w:r>
          </w:p>
        </w:tc>
        <w:tc>
          <w:tcPr>
            <w:tcW w:w="1703"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640000.00</w:t>
            </w:r>
          </w:p>
        </w:tc>
        <w:tc>
          <w:tcPr>
            <w:tcW w:w="1700" w:type="dxa"/>
            <w:vAlign w:val="center"/>
          </w:tcPr>
          <w:p>
            <w:pPr>
              <w:spacing w:line="360" w:lineRule="auto"/>
              <w:rPr>
                <w:rFonts w:ascii="仿宋" w:hAnsi="仿宋" w:eastAsia="仿宋" w:cs="仿宋"/>
                <w:color w:val="auto"/>
                <w:sz w:val="24"/>
              </w:rPr>
            </w:pPr>
          </w:p>
        </w:tc>
      </w:tr>
    </w:tbl>
    <w:p>
      <w:pPr>
        <w:spacing w:line="360" w:lineRule="auto"/>
        <w:rPr>
          <w:rFonts w:ascii="仿宋" w:hAnsi="仿宋" w:eastAsia="仿宋" w:cs="仿宋"/>
          <w:b/>
          <w:bCs/>
          <w:color w:val="auto"/>
          <w:sz w:val="24"/>
        </w:rPr>
      </w:pPr>
    </w:p>
    <w:p>
      <w:pPr>
        <w:spacing w:line="360" w:lineRule="auto"/>
        <w:rPr>
          <w:rFonts w:ascii="仿宋" w:hAnsi="仿宋" w:eastAsia="仿宋" w:cs="仿宋"/>
          <w:b/>
          <w:bCs/>
          <w:color w:val="auto"/>
          <w:sz w:val="24"/>
        </w:rPr>
      </w:pPr>
      <w:r>
        <w:rPr>
          <w:rFonts w:hint="eastAsia" w:ascii="仿宋" w:hAnsi="仿宋" w:eastAsia="仿宋" w:cs="仿宋"/>
          <w:b/>
          <w:bCs/>
          <w:color w:val="auto"/>
          <w:sz w:val="24"/>
        </w:rPr>
        <w:t>注：（1）1-9和14、16包为采购需求必需完全响应项，如有一项负偏离则按照无效投标处理；</w:t>
      </w:r>
    </w:p>
    <w:p>
      <w:pPr>
        <w:widowControl/>
        <w:shd w:val="clear" w:color="auto" w:fill="FFFFFF"/>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（2）10、11、12、13、15包采购需求中带</w:t>
      </w:r>
      <w:r>
        <w:rPr>
          <w:rFonts w:hint="eastAsia" w:ascii="仿宋" w:hAnsi="仿宋" w:eastAsia="仿宋" w:cs="仿宋"/>
          <w:color w:val="auto"/>
          <w:kern w:val="0"/>
          <w:sz w:val="20"/>
          <w:szCs w:val="20"/>
        </w:rPr>
        <w:t>▲</w:t>
      </w:r>
      <w:r>
        <w:rPr>
          <w:rFonts w:hint="eastAsia" w:ascii="仿宋" w:hAnsi="仿宋" w:eastAsia="仿宋" w:cs="仿宋"/>
          <w:b/>
          <w:bCs/>
          <w:color w:val="auto"/>
          <w:sz w:val="24"/>
        </w:rPr>
        <w:t>为必需完全响应项，如有一项负偏离则按照无效投标处理。</w:t>
      </w:r>
    </w:p>
    <w:p>
      <w:pPr>
        <w:rPr>
          <w:rFonts w:ascii="仿宋" w:hAnsi="仿宋" w:eastAsia="仿宋" w:cs="仿宋"/>
          <w:b/>
          <w:bCs/>
          <w:color w:val="auto"/>
          <w:sz w:val="24"/>
        </w:rPr>
      </w:pPr>
    </w:p>
    <w:p>
      <w:pPr>
        <w:tabs>
          <w:tab w:val="left" w:pos="1132"/>
        </w:tabs>
        <w:spacing w:line="360" w:lineRule="auto"/>
        <w:jc w:val="center"/>
        <w:rPr>
          <w:rFonts w:ascii="仿宋" w:hAnsi="仿宋" w:eastAsia="仿宋" w:cs="仿宋"/>
          <w:b/>
          <w:bCs/>
          <w:color w:val="auto"/>
          <w:sz w:val="24"/>
        </w:rPr>
        <w:sectPr>
          <w:pgSz w:w="11906" w:h="16838"/>
          <w:pgMar w:top="1440" w:right="1800" w:bottom="1440" w:left="1800" w:header="851" w:footer="992" w:gutter="0"/>
          <w:cols w:space="425" w:num="1"/>
          <w:docGrid w:type="lines" w:linePitch="312" w:charSpace="0"/>
        </w:sectPr>
      </w:pPr>
    </w:p>
    <w:p>
      <w:pPr>
        <w:tabs>
          <w:tab w:val="left" w:pos="1132"/>
        </w:tabs>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1包</w:t>
      </w:r>
      <w:r>
        <w:rPr>
          <w:rFonts w:hint="eastAsia" w:ascii="仿宋" w:hAnsi="仿宋" w:eastAsia="仿宋" w:cs="仿宋"/>
          <w:b/>
          <w:color w:val="auto"/>
          <w:sz w:val="24"/>
        </w:rPr>
        <w:t>项目集成服务</w:t>
      </w:r>
    </w:p>
    <w:p>
      <w:pPr>
        <w:spacing w:line="360" w:lineRule="auto"/>
        <w:rPr>
          <w:rFonts w:ascii="仿宋" w:hAnsi="仿宋" w:eastAsia="仿宋" w:cs="仿宋"/>
          <w:b/>
          <w:bCs/>
          <w:color w:val="auto"/>
          <w:sz w:val="24"/>
        </w:rPr>
      </w:pPr>
    </w:p>
    <w:p>
      <w:pPr>
        <w:widowControl/>
        <w:spacing w:line="360" w:lineRule="auto"/>
        <w:jc w:val="left"/>
        <w:rPr>
          <w:rFonts w:ascii="仿宋" w:hAnsi="仿宋" w:eastAsia="仿宋" w:cs="仿宋"/>
          <w:b/>
          <w:bCs/>
          <w:color w:val="auto"/>
          <w:kern w:val="0"/>
          <w:sz w:val="24"/>
          <w:lang w:val="zh-CN" w:bidi="zh-CN"/>
        </w:rPr>
      </w:pPr>
      <w:r>
        <w:rPr>
          <w:rFonts w:hint="eastAsia" w:ascii="仿宋" w:hAnsi="仿宋" w:eastAsia="仿宋" w:cs="仿宋"/>
          <w:b/>
          <w:bCs/>
          <w:color w:val="auto"/>
          <w:kern w:val="0"/>
          <w:sz w:val="24"/>
          <w:lang w:val="zh-CN" w:bidi="zh-CN"/>
        </w:rPr>
        <w:t>1.项目概述</w:t>
      </w:r>
    </w:p>
    <w:p>
      <w:pPr>
        <w:tabs>
          <w:tab w:val="left" w:pos="640"/>
        </w:tabs>
        <w:autoSpaceDE w:val="0"/>
        <w:autoSpaceDN w:val="0"/>
        <w:spacing w:line="360" w:lineRule="auto"/>
        <w:ind w:firstLine="482" w:firstLineChars="200"/>
        <w:jc w:val="left"/>
        <w:rPr>
          <w:rFonts w:ascii="仿宋" w:hAnsi="仿宋" w:eastAsia="仿宋" w:cs="仿宋"/>
          <w:bCs/>
          <w:color w:val="auto"/>
          <w:kern w:val="0"/>
          <w:sz w:val="24"/>
          <w:lang w:val="zh-CN" w:bidi="zh-CN"/>
        </w:rPr>
      </w:pPr>
      <w:r>
        <w:rPr>
          <w:rFonts w:hint="eastAsia" w:ascii="仿宋" w:hAnsi="仿宋" w:eastAsia="仿宋" w:cs="仿宋"/>
          <w:b/>
          <w:bCs/>
          <w:color w:val="auto"/>
          <w:kern w:val="0"/>
          <w:sz w:val="24"/>
          <w:lang w:val="zh-CN" w:bidi="zh-CN"/>
        </w:rPr>
        <w:t>1.1项目建设背景</w:t>
      </w:r>
    </w:p>
    <w:p>
      <w:pPr>
        <w:widowControl/>
        <w:adjustRightInd w:val="0"/>
        <w:spacing w:line="360" w:lineRule="auto"/>
        <w:ind w:firstLine="480" w:firstLineChars="200"/>
        <w:jc w:val="left"/>
        <w:textAlignment w:val="baseline"/>
        <w:rPr>
          <w:rFonts w:ascii="仿宋" w:hAnsi="仿宋" w:eastAsia="仿宋" w:cs="仿宋"/>
          <w:bCs/>
          <w:color w:val="auto"/>
          <w:kern w:val="0"/>
          <w:sz w:val="24"/>
          <w:lang w:bidi="zh-CN"/>
        </w:rPr>
      </w:pPr>
      <w:r>
        <w:rPr>
          <w:rFonts w:hint="eastAsia" w:ascii="仿宋" w:hAnsi="仿宋" w:eastAsia="仿宋" w:cs="仿宋"/>
          <w:bCs/>
          <w:color w:val="auto"/>
          <w:kern w:val="0"/>
          <w:sz w:val="24"/>
        </w:rPr>
        <w:t>以习近平新时代中国特色社会主义思想为指导，全面贯彻党的十九大、十九届二中三中全会精神和2019年全国“两会”精神，认真落实全国医疗保障工作会议座谈会精神，严格遵循《国家医疗保障局医疗保障信息化工作指导意见》及《医疗保障信息平台建设指南》，坚持“千方百计保基本、始终做到可持续、回应社会解民忧、敢于担当推改革”，以医保为龙头带动“三医联动”改革，以信息化建设为抓手推动医保覆盖与医保控费，积极融入医疗保障信息化全国“一盘棋”格局，为逐步构建起全国医保便捷可及“大服务”、规范高效“大经办”、智能精准“大治理”、融合共享“大协作”、在线可用“大数据”、安全可靠“大支撑”信息化支撑体系添枝加叶。</w:t>
      </w:r>
    </w:p>
    <w:p>
      <w:pPr>
        <w:widowControl/>
        <w:spacing w:line="360" w:lineRule="auto"/>
        <w:jc w:val="left"/>
        <w:rPr>
          <w:rFonts w:ascii="仿宋" w:hAnsi="仿宋" w:eastAsia="仿宋" w:cs="仿宋"/>
          <w:b/>
          <w:bCs/>
          <w:color w:val="auto"/>
          <w:kern w:val="0"/>
          <w:sz w:val="24"/>
          <w:lang w:val="zh-CN" w:bidi="zh-CN"/>
        </w:rPr>
      </w:pPr>
      <w:r>
        <w:rPr>
          <w:rFonts w:hint="eastAsia" w:ascii="仿宋" w:hAnsi="仿宋" w:eastAsia="仿宋" w:cs="仿宋"/>
          <w:b/>
          <w:bCs/>
          <w:color w:val="auto"/>
          <w:kern w:val="0"/>
          <w:sz w:val="24"/>
          <w:lang w:val="zh-CN" w:bidi="zh-CN"/>
        </w:rPr>
        <w:t>2.项目建设目标</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针对海南地区人口经济发展差异和老龄化严重的社会问题及农垦职工医疗保险基金缺口等历史遗留问题，本项目按照国家医保局标准全国统一、数据两级集中、平台分级部署、网络全面覆盖的医疗保障信息化建设要求，注重顶层设计、统一业务标准、打造基础平台、做好数据汇集、强化协同共享、增强网络安全。依托国家平台与海南省平台之间的协作联通，使用国家下达的中台服务，贯彻表层应用能用即用，国家系统中未设计的表层应用，采用国家统一的中台进行组装的整体思路，建设海南省统一的医疗保障信息平台，实现医保全省统筹统收统支“九统一”的重点工作任务，即： 统一行政管理和稽查执法，统一医保发展规划，统一医保基金收缴，统一医保待遇政策，统一医保支付范围，统一医保基金管理，统一医保经办规程，统一医保定点机构，统一医保信息系统。进一步完善医疗保障制度体系，提升医疗保障基金监管，强化医保支付、深化医药服务价格改革、优化医疗保障管理服务水平，探索常住外籍人员医疗保障办法。发挥信息化对医疗保障事业的支撑作用。解决群众反映强烈的突出问题，不断提高人民群众医疗保障获利感、幸福感和安全感，助力提高医改整体效能同时促进海南自由贸易试验区快速建设和实施健康中国战略。</w:t>
      </w:r>
    </w:p>
    <w:p>
      <w:pPr>
        <w:autoSpaceDE w:val="0"/>
        <w:autoSpaceDN w:val="0"/>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2.1实现高效业务经办</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围绕待遇清单管理、结算规则管理、支付方式管理、参保管理、定点协议机构管理、跨省异地就医管理、预算结算与清算管理、基金财务管理等医保核心经办业务，实现智慧高效的业务经办体系。</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在国家医保局全国统一的基础信息管理系统基础上建设基础信息管理模块。根据海南对基础信息管理的要求，供疾病诊断、药品、医疗服务项目、耗材、人员、单位、机构等基础信息的管理功能和服务功能，为跨地区、跨业务、跨部门的信息共享和业务协同提供支持与管理。</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建设统一的医保业务基础管理模块。以参保人群、个人待遇、险种、病种、定点协议机构为维度，建立五维管理体系，为参保人员提供精准的医疗保障服务，支撑海南健全完善统一的职工医保、城乡居民医保、生育保险、医疗求助，扎实做好医保扶贫，落实“三个一批”，健全医疗服务价格、医保目录动态调整机制，建立快捷经办体系“前台统一受理、后台审核审批”理念，建成综合柜台，统一线下服务入口，提供“一窗式”服务，实现业务的受办分离、全省通办，各级医保经办机构、基层服务窗口、不同层级的工作人员在同一个信息化平台上开展服务。</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实现业务与财务一体化。核心是数据信息共享，业务反馈即时联动，业务数据在两大系统中双向流动，与财务资金的流动相对应，在全过程中有迹可循、有据可依，真正实现“钱（资金）在账上走，数（数据）在线上流”。业务财务一体化有效克服了业务和财务数据难以一致、无法联动、财务和相关部门对账复杂及基金财务防风险能力弱的缺点，进一步提高了财务信息化管理的科学性、基金财务风险点监控能力、财务人员工作效率以及基金财务安全运行的探索能力。</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（4）建设统一的支付方式管理子系统。强化实施总额预算下的总额控费、按按病种付费，基层医疗机构按人头付费，探索按疾病诊断相关分组付费试点，推进落实医疗共同体总额付费管理。</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5）建设基金运行与审计监管模块。对基金运行状况分析、趋势预测、基金审计、绩效考核，医疗机构的进销存情况进行实时监测，对监管过程中发现的违规的行为进行查处，加强医保基金预算管理，合理编制预决算，强化预算执行，提高基金使用效益。</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6）建设全生命周期档案管理模块。针对参保人从出生到死亡全生命周期所涉及到的医保业务相关的档案信息收集，其中包括参保人的险种、诊疗，病种、病历、报销比例等建立健康档案，从宏观角度考虑对医保政策辅助决策和预测提供有效依据，在中观角度可以有助于相关医保业务标准化的运行和统筹等方面的提高，在微观上对所有的参保人可以提供精准服务，为以后智慧医保打下坚实基础。</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7）建设专家库模块。专家库模块主要是实现对各个领域各个专业专家的管理，专家库的专家可辅助医保局完成相应的专家服务，如项目评审、评标、技术支持等服务。可通过自荐、推荐、抽取、退出等机制完成专家的管理，定时更新专家库信息。</w:t>
      </w:r>
    </w:p>
    <w:p>
      <w:pPr>
        <w:autoSpaceDE w:val="0"/>
        <w:autoSpaceDN w:val="0"/>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2.2打造普惠公共服务</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围绕惠民利民的宗旨，以参保单位、参保人员、医疗机构、药品耗材生产与配送企业等为服务对象，充分利用现代技术手段，打造以互联网、移动互联网为主体的，包含办事窗口、办事大厅、电话热线、自助服务一体机、网上办事大厅、微信公众号、APP等多种服务渠道的便捷准确公众服务。</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建设面向参保人的个人服务中心。为参保人提供个人待遇申请、个人定点医疗机构办理、跨省异地就医备案、关系转移接续申请、个人医保信息查询统计、个人参保助手等服务；建设面向参保单位、医疗机构、药品耗材生产与配送企业的机构服务中心，为企业提供职工医保参保、机构资格申请、单位信息维护、单位信息查询统计等服务，从而实现基本医疗保险、大病保险、医疗求助等的“一站式服务、一窗口办理、一单制结算”，简化定点医药机构协议管理流程，深入推进“放管服”改革，简化证明和备案手续，改善服务质量。</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对接省政务服务中心。围绕医保领域重点改革、重大政策、重要工作开展宣传，为群众提供医保政策法规、政策解读、医保知识，加大对典型经验、先进人物、改革成效、违规案例的宣传力度。在人工智能等先进技术的辅助下，发挥新媒体平台宣传优势，提供丰富的信息查询、在线咨询、智能帮助服务，为群众答疑解惑。</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建设面向公众的投诉举报与信访管理模块。充分发挥公众监督作用，及时发现社会问题，化解群众因历史遗留、特殊情况以及业务办理中遇到的堵点、难点，为群众排忧解难，维护医保制度的公平性，增强医保制度的公信力。</w:t>
      </w:r>
    </w:p>
    <w:p>
      <w:pPr>
        <w:autoSpaceDE w:val="0"/>
        <w:autoSpaceDN w:val="0"/>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2.3构建智能监管体系</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围绕提高基金持续保障能力，保障基金总体平稳运行的目的，以大数据分析决策技术为基础，通过构造智能监控规则，构建涵盖事前、事中、事后闭环的智能监管体系。</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（1）建设智能监管模块。针对执业人员、定点协议医疗机构、参保人员、药品耗材生产配送企业的不同特点，建立智能监控规则库，实现事前提醒，事中监控，事后审核，提升监管能力，创新监管方式。</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建设信用评价模块和内控模块。拓宽线索获取渠道，规范工作经办管理，丰富证据收集方式，支持针对薄弱环节开展专项治理，持续深入打击欺诈骗保，配合诚信体系的建设，健全完善“黑名单”和个人惩戒制度，同时加强对医保经办机构内部风险的防控，形成有效的监管机制。</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建设智慧医保管家模块。对业务监测、人员（参保人、医疗机构执业人员等）和机构（定点医疗机构、参保单位、药品、耗材生产/流通企业等）行为进行监管，对基金安全、公共服务、人员和机构信用、综合信息（气象、新闻、交通等）、工作进展等情况按场景实时展示并进行统计分析、排名、违规警示、处罚、风险预警及风险处置等。</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4）建设医保宏观决策大数据应用模块。充分利用大数据技术在数据治理、模拟运行、趋势预测、风险预警、精确推算与辅助决策方面的优势，全面支撑对使用基金违规行为、基金运行风险、医疗服务价格监测与动态调整、药品与耗材使用情况、重大政策调整、舆情监测方面的监控与决策，形成数据分析产品，分场景展示。</w:t>
      </w:r>
    </w:p>
    <w:p>
      <w:pPr>
        <w:autoSpaceDE w:val="0"/>
        <w:autoSpaceDN w:val="0"/>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2.4融合共享数据资源</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建设数据省级集中、平台统一部署、网络全面覆盖的医疗保障信息平台，结合海南省新型智慧城市和智慧岛建设规范，建设融合共享数据资源。</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建设省级集中的数据资源库，实现医疗保障业务标准数据统一汇聚和更新管理，主要提供疾病诊断、药品、医疗服务项目、耗材、人员、单位、机构等基础信息的管理功能和服务功能，为跨地区、跨业务、跨部门的信息共享和业务协同提供支持。</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（2）建设全省统一的基础设施，为整个平台提供计算服务、存储服务、网络服务、网络安全及虚拟化服务，保障新旧系统正常切换及平稳运行，高标准建成全国统一、互联互通的医疗保障信息平台。</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部署全省统一的信息平台，提供公共服务区业务中台和核心业务区业务中台，抽取各子系统间可共享、可复用的业务能力，最大程度地提升子系统间协作效率，实现核心业务系统高弹性、高容错的技术特点。</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4）建设全面覆盖的医保核心业务网网络，纵向实现国家、海南省、市（县）互联互通，横向实现与人设、卫健、民政、财政、税务、公安等同级资源共享部门及医院、药店、商业银行、保险公司等外部关联单位的互联互通，最终建成数据共享、交互协同的全省一体化医疗保障网络体系。</w:t>
      </w:r>
    </w:p>
    <w:p>
      <w:pPr>
        <w:autoSpaceDE w:val="0"/>
        <w:autoSpaceDN w:val="0"/>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2.5支撑业务机制创新</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围绕医保的作用定位和改革发展思路，突破传统思维和行政方式，在全面实现更加公平更可持续目标的同时，主动适应并发挥信息系统的作用，围绕促进健康中国建设、促进医改、医疗进步，努力构建“大医保”格局，推动医保业务机制创新。</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打造服务形式的创新，推动互联网、大数据、人工智能与医保管理服务体系的融合，建立更加便捷、更有效率的医疗保障管理服务体系。提高业务工作全程数字化、标准化、一体化、智能化水平，依托统一的数字认证、电子签章、电子证照等技术手段，构建“无纸化办公”、“不见面审批”、“异地业务电子化”、“档案管理与应用数字化”等业务工作模式，各种医保电子档案、电子证照、电子单据、电子单证得以应用，跨区域、跨层级、跨部门、跨系统的电子材料得以全面共享与复用。</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打造监管模式的创新，将待遇政策、结算规则、医保规范推送到医院端诊疗平台，打造事前提醒与事中监督的基金监管新模式；打造医保基金非现场监督能力和医疗费用智能监管能力，严防并严厉打击各种骗保行为，同时既扼制过度医疗，又防止服务不足行为的发生；强化药品招采过程监管，将招采监管覆盖到生产企业与配送企业交易环节，让配送成本占比透明化，打造真正公平公正公开的阳光招采模式；实施多维度评价考核机制，既监督基金使用过程的规范性，亦考评基金使用的高效性、预算的准确性，打造具有激励作用的信用评价与绩效评价体系；推行大数据技术支撑下的医疗服务价格、药品与耗材价格监测机制、短缺药品预警机制，建立医保基金监管的长效机制。</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打造业务协同的创新，通过建立统一的数据标准，纵向符合国家的标准与规范，横向规范医保相关行业的数据建设与应用，既满足跨省信息资源的共享与业务协同，又达到与省内各相关职能部门的数据共建共享和业务协同，实现资源的集约化管理。</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4）打造支撑体系的创新，利用中台架构，将信息系统核心能力以共享服务中心进行沉淀，形成“大中台、小前台”的系统支撑体系；利用大数据技术，对海量数据进行采集、计算、存储、加工，统一标准形成大数据资产层，进而为前台提供高效服务，实现数据中台的建设。</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5）打造运营模式的创新，建立创新成果转化器，发挥高校与企业技术技术与资源优势，激励医保专项软课题研究成果的落地转化；打造商品管理与物流服务新模式；为公众提供消息推送、结算验证等实时信息服务；建立大数据脱敏，探索各种有助于大数据增值的协作、共享与运营服务。</w:t>
      </w:r>
    </w:p>
    <w:p>
      <w:pPr>
        <w:autoSpaceDE w:val="0"/>
        <w:autoSpaceDN w:val="0"/>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2.6建设网络安全体系</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严格按照国家相关法律法规要求，落实网络安全保护等级制度要求，加强医疗保障信息化基础设施和安全保障体系建设，确保海南省医疗保障信息平台安全稳定运行。</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海南省医疗保障信息平台数据中心网络系统设计采用分区域安全架构设计，总体划分为：核心业务区、内外网数据交换区、公共服务区、纵向接入区、横向接入区。在各网络区域边界部署边界防护设备，加强医疗保障核心业务网边界安全防护，实现安全可控的数据流访问和数据交换。</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依据信息化系统安全总体原则，医疗保障核心业务区的网络、系统和数据部署于医疗保障核心业务网内或政府专网环境内，按照网络安全等级保护三级标准建设，信息系统具备脱敏加密等能力。公共服务区对外应用时采取有效办法确保数据不泄露、不截留。保证接入和数据交换的安全，终端、网络、应用、数据具备相应的保护与防攻击措施，确保信息不被篡改和非法获取，保证数据传输时的保密性。基于CA技术实现签名功能、实现抗抵赖功能。对于不同的角色分配不同信息系统的访问权限。建立一套全面的、有效的回溯和追查机制，实时监测用户对信息系统的访问状态，及时发现非法访问事件，对出现的问题进行事后追溯和责任追究提供实证。</w:t>
      </w:r>
    </w:p>
    <w:p>
      <w:pPr>
        <w:autoSpaceDE w:val="0"/>
        <w:autoSpaceDN w:val="0"/>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2.7推进技术与业务深度融合</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围绕国家提出的网络强国、健全“互联网+医疗健康”服务体系、完善“互联网+医疗健康”支撑体系、加强行业监管和安全保障提出了明确的要求，其中就完善“互联网+”药品供应保障服务、推进“互联网+”医保结算服务、推动互联网与医疗健康服务融合，涵盖医疗、医药、医保“三医联动”实现技术与业务的深度融合。</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打造以互联网为载体的公共服务新模式，让业务上网，建设多渠道服务，特别是建设公众服务平台，发展移动服务，提供线上参保缴费服务、网上预约登记、权益信息查询服务、就医一卡通服务、待遇资格认证服务等，根据不同使用场景实现线上基于电子身份凭证的扫码码支付和线下基于社保卡的诊间结算的相结合。</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打造基于多种社会服务渠道的互联网+服务模式，探索医保在互联网企业服务入口上实现服务的延伸。建立医保与社会服务渠道的安全有效连接，利用社会服务渠道提升信息查询、参保缴费、医保移动支付等线上业务的便捷性，并实现线上业务的安全控制。</w:t>
      </w:r>
    </w:p>
    <w:p>
      <w:pPr>
        <w:autoSpaceDE w:val="0"/>
        <w:autoSpaceDN w:val="0"/>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（3）打造基于移动互联网的医保管理模式，让一切经办业务上网，将现场检查、现场审核、上门服务等线下管理与服务业务移植到移动互联网上，利用移动终端实现医保业务在基层、在一线的即时办结。</w:t>
      </w:r>
    </w:p>
    <w:p>
      <w:pPr>
        <w:widowControl/>
        <w:spacing w:line="360" w:lineRule="auto"/>
        <w:jc w:val="left"/>
        <w:rPr>
          <w:rFonts w:ascii="仿宋" w:hAnsi="仿宋" w:eastAsia="仿宋" w:cs="仿宋"/>
          <w:b/>
          <w:bCs/>
          <w:color w:val="auto"/>
          <w:kern w:val="0"/>
          <w:sz w:val="24"/>
          <w:lang w:val="zh-CN" w:bidi="zh-CN"/>
        </w:rPr>
      </w:pPr>
      <w:r>
        <w:rPr>
          <w:rFonts w:hint="eastAsia" w:ascii="仿宋" w:hAnsi="仿宋" w:eastAsia="仿宋" w:cs="仿宋"/>
          <w:b/>
          <w:bCs/>
          <w:color w:val="auto"/>
          <w:kern w:val="0"/>
          <w:sz w:val="24"/>
          <w:lang w:val="zh-CN" w:bidi="zh-CN"/>
        </w:rPr>
        <w:t>3.项目建设内容</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海南省医疗保障信息平台遵循统一设计、统一标准、统一技术架构、统一业务规范，支持横向纵向业务协同、信息共享。依据医疗保障信息平台建设指南，结合海南省医疗保障局实际情况，本期建设内容如下：</w:t>
      </w:r>
    </w:p>
    <w:p>
      <w:pPr>
        <w:widowControl/>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3.1基础设施建设</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云基础设施建设：本项目由政务云提供计算资源、存储资源、网络资源、安全资源等各项云基础设施，实现计算资源、存储资源、网络资源的动态管理和资源调配。通过云基础设施为上层应用提供基础设施支撑。依托政务云建设医疗保障局双数据中心，实现业务系统应用级容灾，同时在数据中心本地建设备份系统。</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网络系统建设：依托电子政务外网、互联网，建设双数据中心主备容灾模式的网络系统，两数据中心之间以光纤链路进行交互。本项目网络架构采用spine-leaf结构同时结合VxLAN+SDN技术对整个网络进行管理和配置。</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医保指挥中心建设：建设医保指挥中心，配置大屏、视频会议系统、音视频、网络接入及安全、数字时钟、视频会议室改造、供配电系统、操作台扩声系统、大屏显示系统、中控系统、计算机网络系统、综合布线系统等设备。</w:t>
      </w:r>
    </w:p>
    <w:p>
      <w:pPr>
        <w:widowControl/>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3.2 DaaS层建设</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Daas层主要承载着各个业务系统的基础业务数据库，各个业务系统的生产数据全部存储在业务系统的生产数据库中，并通过镜像的方式同步到交换库中，从而通过交换库实现纵向与国家医疗保障信息平台交换库的数据交换，横向基于海南省数据交换平台或直连方式实现与海南省自然人库、法人库、电子证照库、地理信息库以及公安、民政、人社、卫健、扶贫、市场监督管理局等相关省级局办委之间的数据共享和交换。</w:t>
      </w:r>
    </w:p>
    <w:p>
      <w:pPr>
        <w:widowControl/>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3.3 HSAF框架及云支撑服务</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海南省医疗保障信息平台建设依托“基于统一的技术框架”，包括HSAF（医疗保障应用框架）适配框架以及包括云服务总线、分布式数据库访问服务、分布式缓存在内的多种云支撑服务组件。云支撑服务具体包括分布式服务、消息队列服务、分布式缓存服务、分布式日志服务、分布式数据访问服务、关系型数据库、非结构化存储服务、分布式离线计算、分布式实时计算引擎、流计算引擎和云服务总线等。</w:t>
      </w:r>
    </w:p>
    <w:p>
      <w:pPr>
        <w:widowControl/>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3.4政务中台建设</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政务中台包括业务中台和数据中台。</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业务中台包括国家统一下发的分别部署在海南省医疗保障平台核心业务区和公共服务区的25个业务中心。其中省内核心业务区的业务中心包括基本信息中心、用户中心、统一认证中心、政策中心、参保中心、征缴中心、结算中心、电子凭证中心、电子档案中心、消息中心、风控中心、工作流引擎中心、报表中心和招采中心共14个业务中心。公共服务区业务中心包括统一认证中心、用户中心、服务事项中心、CMS中心、咨询中心、电子凭证中心、电子票据中心、消息推送中心、知识库中心、位置管理中心和个人服务中心共11个业务中心。</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数据中台基于数据资源池提供数据综合治理服务和数据计算服务。数据综合治理服务通过数据可视化、数据管理、数据开发等手段构建平台数据综合治理服务能力，实现数据的深度综合治理。数据计算服务通过构建各类数据计算服务能力，搭建机器学习、深度学习、分析预测、决策、计算框架等计算服务能力，为上层业务系统进行数据处理、数据计算、数据分析提供能力保障。</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中台建设内容将根据国家医保局的最新成果进行修订。</w:t>
      </w:r>
    </w:p>
    <w:p>
      <w:pPr>
        <w:widowControl/>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3.5应用系统建设</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应用系统包括核心业务区的5个子系统和公共服务区的1个子系统。</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（1）核心业务区建设应用支撑子系统、业务经办子系统、支付方式管理子系统、综合管控子系统、智慧决策子系统等5个子系统。</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应用支撑子系统包括：内部统一门户模块、基础信息管理模块、专家库模块。</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业务经办子系统包括：医保基础业务模块、医疗救助模块、医保扶贫、跨省异地就医管理模块、医疗服务价格管理模块、医保结算收费平台模块。</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支付方式管理子系统做到支付参数与支付执行一致，实现支付方式的统一管理，包括对参保人支付和对医药机构支付两个方面。</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综合管控子系统包括：基金运行及审计监管模块、医疗保障智能监管模块、医保管家模块、内控管理模块、全生命周期档案管理模块。</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智慧决策子系统包括：信用评价管理模块和宏观决策大数据应用模块。</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（2）公共服务区建设公共服务子系统，包括：公共服务模块和医保药品和医用耗材招采管理模块。</w:t>
      </w:r>
    </w:p>
    <w:p>
      <w:pPr>
        <w:widowControl/>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3.6访问入口建设</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核心业务区的访问入口主要包括网站和智能终端。对于实现有线连接的经办机构、定点医疗机构使用网站接入，对于电子政务外网暂时无法覆盖的经办机构，暂时未能实现有线接入的定点医疗机构使用VPDN+4G+智能终端的方式接入。</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公共服务区的访问入口支持多种渠道的访问，具体包括国家平台访问入口、海南省政务服务网访问入口、医保局网站、自助终端、小程序、互联网企业等第三方渠道等。</w:t>
      </w:r>
    </w:p>
    <w:p>
      <w:pPr>
        <w:widowControl/>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3.7标准规范体系</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本次海南省医疗保障信息平台建设基于国家统一制定的国家医疗保障信息平台标准体系，结合海南省电子政务外网的接入标准规范、海南省人民政府政务服务中心的接入标准规范、海南省政务服务网等各级各类平台的接入标准规范要求进行建设。实现国家医疗保障信息平台总体标准标准规范体系、总体标准标准业务术语、系统建设标准、系统集成技术标准、网络安全开发标准、信息资源标准、外部系统交互规范、中台管理规范和数据归集标准、业务流程规范、业务管理规范和业务编码标准等12类标准规范的落地。在本项目建设过程中不涉及具体标准规范建设。</w:t>
      </w:r>
    </w:p>
    <w:p>
      <w:pPr>
        <w:widowControl/>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3.8安全运维体系</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本项目参考网络安全法、网络安全等级保护标准等国内相关安全标准并借鉴部署于云平台上信息系统安全防护的最佳实践经验，通过网络安全管理体系、网络安全技术体系和网络安全运营体系的建设，实现风险可控的建设目标。同时，制定运维体系保证信息化业务系统及硬件设施后期的安全稳定运行。</w:t>
      </w:r>
    </w:p>
    <w:p>
      <w:pPr>
        <w:widowControl/>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3.9其他自助终端采购</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包括医保自助一体机，在省本级医保局及每个市县配置；医保高拍仪，在每个市县医保局、社保局配置。</w:t>
      </w:r>
    </w:p>
    <w:p>
      <w:pPr>
        <w:widowControl/>
        <w:spacing w:line="360" w:lineRule="auto"/>
        <w:ind w:firstLine="482" w:firstLineChars="200"/>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3.10数据迁移</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数据迁移是指对原医保相关系统中的医保数据，经过数据整理、环境准备、数据分析转换、数据同步、数据验证与测试等操作，实现原系统中的医保数据在医保新建系统中得到复用的过程。</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数据迁移包括多项工作：旧系统数据字典整理、旧系统数据质量分析、新系统数据字典整理、新旧系统数据差异分析、建立新旧系统数据之间的映射关系、开发部署数据转换与迁移工具/程序/脚本、制定数据转换与迁移的实施方案和应急方案、按方案实施旧系统数据到新系统的转换与迁移工作、检查转换与迁移后数据的完整性与正确性。</w:t>
      </w:r>
    </w:p>
    <w:p>
      <w:pPr>
        <w:widowControl/>
        <w:spacing w:line="360" w:lineRule="auto"/>
        <w:jc w:val="left"/>
        <w:rPr>
          <w:rFonts w:ascii="仿宋" w:hAnsi="仿宋" w:eastAsia="仿宋" w:cs="仿宋"/>
          <w:b/>
          <w:bCs/>
          <w:color w:val="auto"/>
          <w:kern w:val="0"/>
          <w:sz w:val="24"/>
          <w:lang w:val="zh-CN" w:bidi="zh-CN"/>
        </w:rPr>
      </w:pPr>
      <w:bookmarkStart w:id="3" w:name="_Toc25230886"/>
      <w:bookmarkStart w:id="4" w:name="_Toc40908198"/>
      <w:r>
        <w:rPr>
          <w:rFonts w:hint="eastAsia" w:ascii="仿宋" w:hAnsi="仿宋" w:eastAsia="仿宋" w:cs="仿宋"/>
          <w:b/>
          <w:bCs/>
          <w:color w:val="auto"/>
          <w:kern w:val="0"/>
          <w:sz w:val="24"/>
          <w:lang w:val="zh-CN" w:bidi="zh-CN"/>
        </w:rPr>
        <w:t>4．平台总体架构</w:t>
      </w:r>
      <w:bookmarkEnd w:id="3"/>
      <w:bookmarkEnd w:id="4"/>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海南省医疗保障信息平台严格遵照国家医疗保障信息平台建设指南的相关约束与要求，依照国家医疗保障信息平台的统一设计原则，贯彻使用全国统一的标准规范体系和中台服务，依托全国统一的技术体系和架构建设海南全新的医疗保障信息平台。</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平台总体架构划分为公共服务区和核心业务区，其中核心业务区分为生产区、交换区和大数据区。</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平台总体架构如下：</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drawing>
          <wp:inline distT="0" distB="0" distL="114300" distR="114300">
            <wp:extent cx="5514975" cy="3003550"/>
            <wp:effectExtent l="0" t="0" r="9525" b="635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4"/>
                    <a:stretch>
                      <a:fillRect/>
                    </a:stretch>
                  </pic:blipFill>
                  <pic:spPr>
                    <a:xfrm>
                      <a:off x="0" y="0"/>
                      <a:ext cx="5514975" cy="3003550"/>
                    </a:xfrm>
                    <a:prstGeom prst="rect">
                      <a:avLst/>
                    </a:prstGeom>
                    <a:noFill/>
                    <a:ln>
                      <a:noFill/>
                    </a:ln>
                  </pic:spPr>
                </pic:pic>
              </a:graphicData>
            </a:graphic>
          </wp:inline>
        </w:drawing>
      </w:r>
    </w:p>
    <w:p>
      <w:pPr>
        <w:spacing w:line="360" w:lineRule="auto"/>
        <w:ind w:firstLine="480"/>
        <w:jc w:val="center"/>
        <w:rPr>
          <w:rFonts w:ascii="仿宋" w:hAnsi="仿宋" w:eastAsia="仿宋" w:cs="仿宋"/>
          <w:b/>
          <w:color w:val="auto"/>
          <w:sz w:val="24"/>
        </w:rPr>
      </w:pPr>
      <w:r>
        <w:rPr>
          <w:rFonts w:hint="eastAsia" w:ascii="仿宋" w:hAnsi="仿宋" w:eastAsia="仿宋" w:cs="仿宋"/>
          <w:b/>
          <w:color w:val="auto"/>
          <w:sz w:val="24"/>
        </w:rPr>
        <w:t>图：平台总体架构</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（1）展现层</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核心业务区入口：通过内部统一门户面向全省工作人员提供统一的核心业务区系统访问入口，实现全省人员在医疗保障信息平台的单点登录和统一身份认证，同时通过内部统一门户接收医疗保障信息平台的消息提醒并处理自身日常工作的各类待办事务。</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公共服务区入口：通过个人网厅、企业网厅、APP及自助终端等面向执业人员、医疗机构、社会公众和企业提供医保业务的办理、查询、咨询、监督等渠道；药品和医用耗材招采管理模块为药品和医用耗材招采提供访问入口。</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（2）应用层</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核心业务区中的生产区应用系统：包括业务经办子系统、综合管控子系统、支付方式管理子系统、应用支撑子系统。</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核心业务区中的大数据区应用系统：智慧决策子系统，通过大数据服务及在线分析数据库、离线分析数据库作为数据应用场景的支撑。</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公共服务区中的应用系统：公共服务子系统，包括公共服务模块和药品和医用耗材招采两个模块。</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（3）政务中台层</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政务中台包括业务中台和数据中台，对应用系统提供服务逻辑支撑。核心业务中台抽取各系统间可共享、可复用的业务能力，形成共享业务中心。应用层的各应用系统通过调用核心业务中台所提供的各业务中心中台服务，并要应用层进行逻辑组装和业务实现。最大程度地提升系统间协作效率，实现核心业务系统高弹性、高容错的技术特点。同时，服务层提供了数据中台，实现数据计算和分析服务，并且完成数据的综合治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数据中台基于数据资源池提供数据综合治理服务和数据计算服务。数据综合治理服务通过数据可视化、数据管理、数据开发等手段构建平台数据综合治理服务能力，实现数据的深度综合治理。数据计算服务通过构建各类数据计算服务能力，搭建机器学习、深度学习、分析预测、决策、计算框架等计算服务能力，为上层业务系统进行数据处理、数据计算、数据分析提供能力保障</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核心业务区数据中台包括了两大能力：</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1）数据综合治理能力，完成数据的整合、转换、清洗及数据质量处理，并实现专题数据的生产能力；</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2）大数据价值挖掘能力，通过定义数据应用场景，构建模型，并进行训练和计算，挖掘大数据价值，为新业务及政策优化提供数据依据。</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（4）支撑层</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支撑层包括了核心业务区中的交换区所提供的共享交换支撑平台能力，并且提供适配器，以及可加载的第三方分布式中间件、工具、产品或应用。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核心业务区中交换区：</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交换区主要基于数据中台支撑数据交换库以及共享交换平台的建设，以实现海南医保平台横向与海南省数据交换平台和纵向与国家局平台的数据共享与交换。</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适配器：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适配器包括核心业务区适配器和公共服务区适配器，是为了实现分布式中间件与产品服务与业务中台之间的技术解藕而建立，负责服务第三方分布式中间件、工具、产品或应用的注册、对象引用的创建和解释、对象实现的激活和去活以及客户请求的分发等。</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（5）分布式中间件及产品服务</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为上层应用系统提供各类基础能力支持，包括：</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1）业务支撑类服务组件</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业务支撑服务组件是针对医疗保障信息平台所需的各项服务能力。业务支撑服务组件所包含用于进行数据交换的业务网关、用于进行消息接收的即时消息、用于进行对账操作的对账服务组件等。</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2）基础服务支撑组件</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基础服务支撑组件是通过整合系统运行时所需的各项服务能力提供统一的功能服务。基础服务支撑组件提供的基础服务功能包括数据采集、二维码管理、站内消息、邮件服务、生物识别和密码管理。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3）中间件</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中间件是一种独立的系统软件或服务程序，分布式应用软件借助中间件在不同的技术之间共享资源。中间件包括业务通用服务组件、大数据分析组件。</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（6）基础设施层</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构建计算、存储、网络资源池，提供计算服务、存储服务和网络服务。</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（7）安全运维体系</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sz w:val="24"/>
        </w:rPr>
        <w:t>针对医疗保障信息平台进行安全防护体系建设，并制定相关信息化标准体系指导信息化整体项目的推进工作，同时制定运维体系保证信息化业务系统及硬件设施后期的安全稳定运行。其中安全防护体系内容包括网络安全技术体系、网络安全管理体系和网络安全运营体系；运维管理体系主要包括运维管理平台、运维服务体系、运维组织体系、运维管理制度体系、运维管理考核指标。</w:t>
      </w:r>
    </w:p>
    <w:p>
      <w:pPr>
        <w:widowControl/>
        <w:spacing w:line="360" w:lineRule="auto"/>
        <w:jc w:val="left"/>
        <w:rPr>
          <w:rFonts w:ascii="仿宋" w:hAnsi="仿宋" w:eastAsia="仿宋" w:cs="仿宋"/>
          <w:b/>
          <w:bCs/>
          <w:color w:val="auto"/>
          <w:kern w:val="0"/>
          <w:sz w:val="24"/>
          <w:lang w:val="zh-CN" w:bidi="zh-CN"/>
        </w:rPr>
      </w:pPr>
      <w:bookmarkStart w:id="5" w:name="_Toc40908199"/>
      <w:bookmarkStart w:id="6" w:name="_Toc25230887"/>
      <w:r>
        <w:rPr>
          <w:rFonts w:hint="eastAsia" w:ascii="仿宋" w:hAnsi="仿宋" w:eastAsia="仿宋" w:cs="仿宋"/>
          <w:b/>
          <w:bCs/>
          <w:color w:val="auto"/>
          <w:kern w:val="0"/>
          <w:sz w:val="24"/>
          <w:lang w:val="zh-CN" w:bidi="zh-CN"/>
        </w:rPr>
        <w:t>5.集成要求与内容</w:t>
      </w:r>
      <w:bookmarkEnd w:id="5"/>
      <w:bookmarkEnd w:id="6"/>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7" w:name="_Toc25230888"/>
      <w:bookmarkStart w:id="8" w:name="_Toc27862597"/>
      <w:bookmarkStart w:id="9" w:name="_Toc40908200"/>
      <w:r>
        <w:rPr>
          <w:rFonts w:hint="eastAsia" w:ascii="仿宋" w:hAnsi="仿宋" w:eastAsia="仿宋" w:cs="仿宋"/>
          <w:b/>
          <w:bCs/>
          <w:color w:val="auto"/>
          <w:kern w:val="0"/>
          <w:sz w:val="24"/>
          <w:lang w:val="zh-CN" w:bidi="zh-CN"/>
        </w:rPr>
        <w:t>5.1总体集成要求</w:t>
      </w:r>
      <w:bookmarkEnd w:id="7"/>
      <w:bookmarkEnd w:id="8"/>
      <w:bookmarkEnd w:id="9"/>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（1）要求投标方承诺：根据招标方要求，统筹协调本项目内 6个应用系统的各中标单位，组织中标单位协同培训，共享知识和实施能力。投标人须列出详细的实施能力共享计划和培训方案。</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（2）要求投标方承诺：配置专业的项目集成团队，专职本项目集成工作，且在项目终验结束前提供驻场服务支撑，积极配合招标方及总集成商做好软件项目管理工作，确保最终项目集成质量。</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（3）要求投标方承诺： 投标方针对本项目相关计划及招标方要求，根据集成方案合理配置资源，对项目提出里程碑式的阶段目标任务，保证本工程按期保质完成。</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（4）要求投标方承诺：为保证项目集成质量，投标方所提供的集成团队必须为自有团队，不能外包或转包。</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10" w:name="_Toc40908201"/>
      <w:bookmarkStart w:id="11" w:name="_Toc27862598"/>
      <w:bookmarkStart w:id="12" w:name="_Toc25230889"/>
      <w:r>
        <w:rPr>
          <w:rFonts w:hint="eastAsia" w:ascii="仿宋" w:hAnsi="仿宋" w:eastAsia="仿宋" w:cs="仿宋"/>
          <w:b/>
          <w:bCs/>
          <w:color w:val="auto"/>
          <w:kern w:val="0"/>
          <w:sz w:val="24"/>
          <w:lang w:val="zh-CN" w:bidi="zh-CN"/>
        </w:rPr>
        <w:t>5.2集成服务内容</w:t>
      </w:r>
      <w:bookmarkEnd w:id="10"/>
      <w:bookmarkEnd w:id="11"/>
      <w:bookmarkEnd w:id="12"/>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集成服务内容主要包括整体集成服务、集成规范制定、技术咨询服务和项目管理服务，具体如下：</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13" w:name="_Toc25230890"/>
      <w:r>
        <w:rPr>
          <w:rFonts w:hint="eastAsia" w:ascii="仿宋" w:hAnsi="仿宋" w:eastAsia="仿宋" w:cs="仿宋"/>
          <w:b/>
          <w:bCs/>
          <w:color w:val="auto"/>
          <w:kern w:val="0"/>
          <w:sz w:val="24"/>
          <w:lang w:val="zh-CN" w:bidi="zh-CN"/>
        </w:rPr>
        <w:t>5.3整体集成服务</w:t>
      </w:r>
      <w:bookmarkEnd w:id="13"/>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根据国家医疗保障局和海南省医疗保障局的总体技术架构要求，在本项目业务系统实施期间指导本项目总体架构设计工作，负责建设过程中的总体调度协调和技术把控，负责组织软件项目整体集成联调测试，负责统筹项目培训工作，负责配合招标方做好项目的总体验收工作。</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中标单位应至少配备一个项目管理团队和一个技术支持团队来相互配合。项目管理团队应至少配备5名驻场人员，技术支持团队至少配备7人，其中，技术团队人员有 2 人须提供数据库管理员主流认证证书。</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w:t>
      </w:r>
      <w:r>
        <w:rPr>
          <w:rFonts w:hint="eastAsia" w:ascii="仿宋" w:hAnsi="仿宋" w:eastAsia="仿宋" w:cs="仿宋"/>
          <w:color w:val="auto"/>
          <w:kern w:val="0"/>
          <w:sz w:val="24"/>
          <w:lang w:val="zh-CN" w:bidi="zh-CN"/>
        </w:rPr>
        <w:tab/>
      </w:r>
      <w:r>
        <w:rPr>
          <w:rFonts w:hint="eastAsia" w:ascii="仿宋" w:hAnsi="仿宋" w:eastAsia="仿宋" w:cs="仿宋"/>
          <w:color w:val="auto"/>
          <w:kern w:val="0"/>
          <w:sz w:val="24"/>
          <w:lang w:val="zh-CN" w:bidi="zh-CN"/>
        </w:rPr>
        <w:t>启动阶段</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在招标方和各涉及项目中标单位的配合下，确定项目章程，规定项目的实施制度和工作机制，组织制定里程碑及项目计划、协调项目各方资源、以及项目建设的关键指标要求和质量要求以及整体集成服务实施进度计划，并组织相关宣贯培训。</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w:t>
      </w:r>
      <w:r>
        <w:rPr>
          <w:rFonts w:hint="eastAsia" w:ascii="仿宋" w:hAnsi="仿宋" w:eastAsia="仿宋" w:cs="仿宋"/>
          <w:color w:val="auto"/>
          <w:kern w:val="0"/>
          <w:sz w:val="24"/>
          <w:lang w:val="zh-CN" w:bidi="zh-CN"/>
        </w:rPr>
        <w:tab/>
      </w:r>
      <w:r>
        <w:rPr>
          <w:rFonts w:hint="eastAsia" w:ascii="仿宋" w:hAnsi="仿宋" w:eastAsia="仿宋" w:cs="仿宋"/>
          <w:color w:val="auto"/>
          <w:kern w:val="0"/>
          <w:sz w:val="24"/>
          <w:lang w:val="zh-CN" w:bidi="zh-CN"/>
        </w:rPr>
        <w:t>实施阶段</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根据国家医疗保障局和海南省医疗保障局的总体技术架构要求，在初步设计方案基础之上，组织各中标单位共同梳理、设计符合应用子系统共同调用的应用支撑接口，组织制定业务总体实施和集成方案、各子系统对接的接口方案等。</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实施准备阶段制定的总体实施和集成方案，指导、监督各涉及项目中标单位按照相应要求组织实施；根据实施准备阶段制定的项目建设的关键指标要求和质量要求，监督、把控各涉及项目中标单位的实施质量；根据实施准备阶段制定的整体集成服务实施进度计划，协调、监督各涉及项目中标单位按照进度完成实施工作；组织、管理、协调各涉及项目中标单位，及时发现技术风险问题并制定解决方案，组织相关方解决；落实各项目的团队成员信息和工作方式，并做好总体沟通管理及问题反馈机制；统筹协调各接口对接工作；组织各涉及项目之间的集成联调测试和工程整体集成联调测试，确保本项目达成总体建设目标和各项关键指标；结合各子系统培训内容，综合制订培训方案,在购买主体要求的时间内完成相关培训工作。</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w:t>
      </w:r>
      <w:r>
        <w:rPr>
          <w:rFonts w:hint="eastAsia" w:ascii="仿宋" w:hAnsi="仿宋" w:eastAsia="仿宋" w:cs="仿宋"/>
          <w:color w:val="auto"/>
          <w:kern w:val="0"/>
          <w:sz w:val="24"/>
          <w:lang w:val="zh-CN" w:bidi="zh-CN"/>
        </w:rPr>
        <w:tab/>
      </w:r>
      <w:r>
        <w:rPr>
          <w:rFonts w:hint="eastAsia" w:ascii="仿宋" w:hAnsi="仿宋" w:eastAsia="仿宋" w:cs="仿宋"/>
          <w:color w:val="auto"/>
          <w:kern w:val="0"/>
          <w:sz w:val="24"/>
          <w:lang w:val="zh-CN" w:bidi="zh-CN"/>
        </w:rPr>
        <w:t>项目验收阶段</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发现、协调并组织解决各涉及项目中标单位之间的遗留问题，以及工程验收过程中遇到的其它问题，负责配合招标方做好各系统独立验收及项目总体验收工作。</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14" w:name="_Toc25230891"/>
      <w:r>
        <w:rPr>
          <w:rFonts w:hint="eastAsia" w:ascii="仿宋" w:hAnsi="仿宋" w:eastAsia="仿宋" w:cs="仿宋"/>
          <w:b/>
          <w:bCs/>
          <w:color w:val="auto"/>
          <w:kern w:val="0"/>
          <w:sz w:val="24"/>
          <w:lang w:val="zh-CN" w:bidi="zh-CN"/>
        </w:rPr>
        <w:t>5.4集成规范制定</w:t>
      </w:r>
      <w:bookmarkEnd w:id="14"/>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根据国家医疗保障局和海南省医疗保障局的总体技术架构及标准规范要求，指导招标方及各中标单位制定平台整体技术规范、技术选型及各项技术规范、业务流程规范、相关规章制度等，牵头明确平台的运行及部署环境，建立本项目所建设内容的各项功能性模块的数据标准、性能指标、开发约定和子系统之间的接口要求等，防止各系统之间发生端口冲突、服务冲突等。</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(1)启动阶段</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在招标方和各涉及项目中标单位的配合下，牵头制定与医疗保障信息平台应用系统集成相关的标准规范，并组织相关宣贯培训。</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(2)实施阶段</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根据启动阶段制定的各项集成规范标准，制定系统开发周期及子系统同步开发计划，调度、督促各项目组按开发计划完成开发，建立各中标单位之间的定期协调和临时沟通机制，协调、监督各涉及项目中标单位按照总体规划进行建设，确保总体建设目标的达成。</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(3)项目验收阶段</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发现、协调并组织解决各涉及项目中标单位之间的遗留问题，以及工程验收过程中遇到的其它问题。</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15" w:name="_Toc25230892"/>
      <w:r>
        <w:rPr>
          <w:rFonts w:hint="eastAsia" w:ascii="仿宋" w:hAnsi="仿宋" w:eastAsia="仿宋" w:cs="仿宋"/>
          <w:b/>
          <w:bCs/>
          <w:color w:val="auto"/>
          <w:kern w:val="0"/>
          <w:sz w:val="24"/>
          <w:lang w:val="zh-CN" w:bidi="zh-CN"/>
        </w:rPr>
        <w:t>5.5技术咨询服务</w:t>
      </w:r>
      <w:bookmarkEnd w:id="15"/>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提供总体架构、业务中台、标准规范、需求调研、集成规范、项目变更联合测试等方面的技术咨询服务。组织中标单位开发系统原型，验证各系统技术的可用性和可集成性。</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(1)启动阶段</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为招标方和各涉及项目中标单位提供关于总体架构、业务中台和相关技术标准的技术咨询服务，确保总体建设目标的达成。</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(2)项目实施阶段</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分析评估实施过程中重大变更对于总体架构的影响，确保变更符合总体建设目标；对于项目建设过程中的关键技术问题提供咨询服务。</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(3)项目验收阶段</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为招标方和各涉及项目中标单位提供项目验收过程出现的具体问题的技术咨询服务，确保系统验收后的稳定运行。</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16" w:name="_Toc25230893"/>
      <w:r>
        <w:rPr>
          <w:rFonts w:hint="eastAsia" w:ascii="仿宋" w:hAnsi="仿宋" w:eastAsia="仿宋" w:cs="仿宋"/>
          <w:b/>
          <w:bCs/>
          <w:color w:val="auto"/>
          <w:kern w:val="0"/>
          <w:sz w:val="24"/>
          <w:lang w:val="zh-CN" w:bidi="zh-CN"/>
        </w:rPr>
        <w:t>5.6项目管理服务</w:t>
      </w:r>
      <w:bookmarkEnd w:id="16"/>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中标单位需提供详细的项目管理方案，应配备1个独立的项目管理小组，提供项目团队人员安排、项目进度安排、项目关键点控制计划与方案、项目安全控制计划与方案、项目分工界面安排、协调施工、监理、软硬件厂商等，确保项目顺利实施。中标单位负责在日常工作中整理各类维护手册以及在集成过程中生成的各类资料。</w:t>
      </w:r>
    </w:p>
    <w:p>
      <w:pPr>
        <w:widowControl/>
        <w:spacing w:line="360" w:lineRule="auto"/>
        <w:jc w:val="left"/>
        <w:rPr>
          <w:rFonts w:ascii="仿宋" w:hAnsi="仿宋" w:eastAsia="仿宋" w:cs="仿宋"/>
          <w:b/>
          <w:color w:val="auto"/>
          <w:sz w:val="24"/>
        </w:rPr>
      </w:pPr>
      <w:r>
        <w:rPr>
          <w:rFonts w:hint="eastAsia" w:ascii="仿宋" w:hAnsi="仿宋" w:eastAsia="仿宋" w:cs="仿宋"/>
          <w:b/>
          <w:color w:val="auto"/>
          <w:sz w:val="24"/>
        </w:rPr>
        <w:t>(1）计划管理</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1)负责编制应用系统建设总体实施方案、总体实施计划，明确工程任务分解和各项任务的实施目标、质量目标、实施计划和评审检查计划等。</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2)在实施过程中，对制定的计划按照项目规范、制度进行统一控制、管理和调整。</w:t>
      </w:r>
    </w:p>
    <w:p>
      <w:pPr>
        <w:widowControl/>
        <w:spacing w:line="360" w:lineRule="auto"/>
        <w:jc w:val="left"/>
        <w:rPr>
          <w:rFonts w:ascii="仿宋" w:hAnsi="仿宋" w:eastAsia="仿宋" w:cs="仿宋"/>
          <w:b/>
          <w:color w:val="auto"/>
          <w:sz w:val="24"/>
        </w:rPr>
      </w:pPr>
      <w:r>
        <w:rPr>
          <w:rFonts w:hint="eastAsia" w:ascii="仿宋" w:hAnsi="仿宋" w:eastAsia="仿宋" w:cs="仿宋"/>
          <w:b/>
          <w:color w:val="auto"/>
          <w:sz w:val="24"/>
        </w:rPr>
        <w:t>(2）进度管理</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1)配合招标方和监理进行进度管理，参与制定工程进度管理机制。</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2)指导、监督并检查各应用系统中标单位实施进展情况，并协调各方落实各项进度要求，解决进度问题。</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收集各应用系统中标单位的工作进展报告和工作计划，按照总体实施方案和总体实施计划要求，指导并检查各项工作进展情况，及时发现技术风险问题，提出整改意见和制定解决方案，并指导相关各应用系统中标单位落实已批准的整改意见。</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4)协助组织各应用系统中标单位之间的沟通协调会。</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5)编写进展报告，定期就工程进展情况向招标方通报，同时参加日常工作会议和专题工作会议并向招标方进行专题汇报。</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6)协助招标方编制各类工程进展报告，通报进展情况。</w:t>
      </w:r>
    </w:p>
    <w:p>
      <w:pPr>
        <w:widowControl/>
        <w:spacing w:line="360" w:lineRule="auto"/>
        <w:jc w:val="left"/>
        <w:rPr>
          <w:rFonts w:ascii="仿宋" w:hAnsi="仿宋" w:eastAsia="仿宋" w:cs="仿宋"/>
          <w:b/>
          <w:color w:val="auto"/>
          <w:sz w:val="24"/>
        </w:rPr>
      </w:pPr>
      <w:r>
        <w:rPr>
          <w:rFonts w:hint="eastAsia" w:ascii="仿宋" w:hAnsi="仿宋" w:eastAsia="仿宋" w:cs="仿宋"/>
          <w:b/>
          <w:color w:val="auto"/>
          <w:sz w:val="24"/>
        </w:rPr>
        <w:t>(3）质量管理</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1)配合招标方和监理进行质量管理，参与制定工程质量管理机制。</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配合招标方和监理明确工程质量目标、质量标准，制定项目质量管理制度，明确项目质量管理工作流程及质量问题的发现、解决方法，明确质量管理工作方法和工具、管理内容，明确影响质量的控制节点以及如何检查、控制。质量管理内容包括但不限于：系统的响应能力管理、可用性管理、可靠性管理、可扩展性管理、健壮性管理、安全性管理、可修改性管理、可变性管理、易用性管理、可测试管理、功能性管理、互操作性管理等。</w:t>
      </w:r>
    </w:p>
    <w:p>
      <w:pPr>
        <w:widowControl/>
        <w:spacing w:line="360" w:lineRule="auto"/>
        <w:jc w:val="left"/>
        <w:rPr>
          <w:rFonts w:ascii="仿宋" w:hAnsi="仿宋" w:eastAsia="仿宋" w:cs="仿宋"/>
          <w:b/>
          <w:color w:val="auto"/>
          <w:sz w:val="24"/>
        </w:rPr>
      </w:pPr>
      <w:r>
        <w:rPr>
          <w:rFonts w:hint="eastAsia" w:ascii="仿宋" w:hAnsi="仿宋" w:eastAsia="仿宋" w:cs="仿宋"/>
          <w:b/>
          <w:color w:val="auto"/>
          <w:sz w:val="24"/>
        </w:rPr>
        <w:t>(4）配置管理</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1)协同招标方和监理进行配置管理，制定工程配置管理机制。</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2)对集成工作过程涉及的各项资源、工程过程文件、工程建设成果进行配置管理。</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过程文档性文件及其他非代码类文件：所采用的工具、管理制度、版本控制、过程及发布文件的管理等。</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包括但不限于数据、脚本、代码类资源：所采用的工具、管理制度、版本控制、过程代码（测试的、发布的）</w:t>
      </w:r>
    </w:p>
    <w:p>
      <w:pPr>
        <w:widowControl/>
        <w:spacing w:line="360" w:lineRule="auto"/>
        <w:jc w:val="left"/>
        <w:rPr>
          <w:rFonts w:ascii="仿宋" w:hAnsi="仿宋" w:eastAsia="仿宋" w:cs="仿宋"/>
          <w:b/>
          <w:color w:val="auto"/>
          <w:sz w:val="24"/>
        </w:rPr>
      </w:pPr>
      <w:r>
        <w:rPr>
          <w:rFonts w:hint="eastAsia" w:ascii="仿宋" w:hAnsi="仿宋" w:eastAsia="仿宋" w:cs="仿宋"/>
          <w:b/>
          <w:color w:val="auto"/>
          <w:sz w:val="24"/>
        </w:rPr>
        <w:t>(5）变更管理</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1)协同招标方和监理进行变更管理，制定工程变更管理机制。</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2)协助对变更进行评估，提出评估意见。</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3)检查相关方变更调整情况，组织解决相关问题。</w:t>
      </w:r>
    </w:p>
    <w:p>
      <w:pPr>
        <w:widowControl/>
        <w:spacing w:line="360" w:lineRule="auto"/>
        <w:jc w:val="left"/>
        <w:rPr>
          <w:rFonts w:ascii="仿宋" w:hAnsi="仿宋" w:eastAsia="仿宋" w:cs="仿宋"/>
          <w:b/>
          <w:color w:val="auto"/>
          <w:sz w:val="24"/>
        </w:rPr>
      </w:pPr>
      <w:r>
        <w:rPr>
          <w:rFonts w:hint="eastAsia" w:ascii="仿宋" w:hAnsi="仿宋" w:eastAsia="仿宋" w:cs="仿宋"/>
          <w:b/>
          <w:color w:val="auto"/>
          <w:sz w:val="24"/>
        </w:rPr>
        <w:t>(6）风险问题管理</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1)协同招标方和监理进行风险问题管理，制定风险问题管理机制。</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2)及时发现、协调并组织各中标单位解决风险和问题。</w:t>
      </w:r>
    </w:p>
    <w:p>
      <w:pPr>
        <w:widowControl/>
        <w:spacing w:line="360" w:lineRule="auto"/>
        <w:jc w:val="left"/>
        <w:rPr>
          <w:rFonts w:ascii="仿宋" w:hAnsi="仿宋" w:eastAsia="仿宋" w:cs="仿宋"/>
          <w:b/>
          <w:color w:val="auto"/>
          <w:sz w:val="24"/>
        </w:rPr>
      </w:pPr>
      <w:r>
        <w:rPr>
          <w:rFonts w:hint="eastAsia" w:ascii="仿宋" w:hAnsi="仿宋" w:eastAsia="仿宋" w:cs="仿宋"/>
          <w:b/>
          <w:color w:val="auto"/>
          <w:sz w:val="24"/>
        </w:rPr>
        <w:t>(7）验收管理</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（1）验收组织</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项目验收分为初验和终验，都由购买主体组织进行。</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（2）初验流程</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1)招标方依据相关批复文件、招标采购文件、合同对项目的工程、技术、财务和档案等组织专家进行验收，形成验收报告；中标单位提供初验所需的详细设计、测试报告等材料。</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2)项目初验后进入试运行，试运行期3个月。</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（3）终验流程</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招标方组织成立验收组，负责开展竣工验收的先期基础性工作，重点检查项 目建设、设计、监理、施工、招标采购、档案资料、预（概）算执行和财务决算 等情况，提出验收评价意见和建议。</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（4）验收内容</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1)审查项目的建设目标、规模、内容、质量及资金使用等情况。</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2)审核项目形成的资产情况。</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3)评价项目交付使用情况。</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4)检查项目建设单位执行国家法律、法规情况。</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（5）验收相关材料</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中标单位需负责整理并提供以下验收材料：项目实施方案、项目合同、项目建设总结、项目批复相关文档、项目招标相关文档、项目建设相关文档、初步验收报告、财务报告、软件测试报告、安全测评报告、竣工验收报告等，以及应用系统和应用中台系统的相关验收材料。</w:t>
      </w:r>
    </w:p>
    <w:p>
      <w:pPr>
        <w:widowControl/>
        <w:spacing w:line="360" w:lineRule="auto"/>
        <w:jc w:val="left"/>
        <w:rPr>
          <w:rFonts w:ascii="仿宋" w:hAnsi="仿宋" w:eastAsia="仿宋" w:cs="仿宋"/>
          <w:b/>
          <w:color w:val="auto"/>
          <w:sz w:val="24"/>
        </w:rPr>
      </w:pPr>
      <w:r>
        <w:rPr>
          <w:rFonts w:hint="eastAsia" w:ascii="仿宋" w:hAnsi="仿宋" w:eastAsia="仿宋" w:cs="仿宋"/>
          <w:b/>
          <w:color w:val="auto"/>
          <w:sz w:val="24"/>
        </w:rPr>
        <w:t>(8）文档管理</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根据总集要求完成文档管理、档案归档。根据招标方要求，组织工程总体推动相关的培训和会议；编写相关会议的通知、纪要、培训和汇报材料。完成招标方交办的有关工程总体推动的相关事项。</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应用系统集成服务工作完成后，集成商应提交集成服务实施总结报告，并根据验收要求对数据与信息互联互通情况进行说明，实现医疗保障信息平台各应用系统互联互通、信息共享共用，完成平台使用、维护、接口文档的统筹集成。</w:t>
      </w:r>
    </w:p>
    <w:p>
      <w:pPr>
        <w:widowControl/>
        <w:spacing w:line="360" w:lineRule="auto"/>
        <w:jc w:val="left"/>
        <w:rPr>
          <w:rFonts w:ascii="仿宋" w:hAnsi="仿宋" w:eastAsia="仿宋" w:cs="仿宋"/>
          <w:b/>
          <w:color w:val="auto"/>
          <w:sz w:val="24"/>
        </w:rPr>
      </w:pPr>
      <w:r>
        <w:rPr>
          <w:rFonts w:hint="eastAsia" w:ascii="仿宋" w:hAnsi="仿宋" w:eastAsia="仿宋" w:cs="仿宋"/>
          <w:b/>
          <w:color w:val="auto"/>
          <w:sz w:val="24"/>
        </w:rPr>
        <w:t>(9）协助合同管理</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1)对各分包合同中的技术部分内容提出审核意见。</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2)对各分包的合同进度款支付提出审核意见。</w:t>
      </w:r>
    </w:p>
    <w:p>
      <w:pPr>
        <w:widowControl/>
        <w:spacing w:line="360" w:lineRule="auto"/>
        <w:jc w:val="left"/>
        <w:rPr>
          <w:rFonts w:ascii="仿宋" w:hAnsi="仿宋" w:eastAsia="仿宋" w:cs="仿宋"/>
          <w:b/>
          <w:bCs/>
          <w:color w:val="auto"/>
          <w:kern w:val="0"/>
          <w:sz w:val="24"/>
          <w:lang w:val="zh-CN" w:bidi="zh-CN"/>
        </w:rPr>
      </w:pPr>
      <w:r>
        <w:rPr>
          <w:rFonts w:hint="eastAsia" w:ascii="仿宋" w:hAnsi="仿宋" w:eastAsia="仿宋" w:cs="仿宋"/>
          <w:b/>
          <w:bCs/>
          <w:color w:val="auto"/>
          <w:kern w:val="0"/>
          <w:sz w:val="24"/>
          <w:lang w:val="zh-CN" w:bidi="zh-CN"/>
        </w:rPr>
        <w:t>6.服务期限与地点要求</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（1）服务期：合同签订之日至项目终验结束。</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（2）服务地点为招标人指定地点。</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（3）提供最少5名专业项目管理人员的驻场服务，以及最少7名专业技术支持人员的驻场人员，并承诺根据项目的实际情况无条件随时增减驻场服务人员。</w:t>
      </w:r>
    </w:p>
    <w:p>
      <w:pPr>
        <w:widowControl/>
        <w:spacing w:line="360" w:lineRule="auto"/>
        <w:jc w:val="left"/>
        <w:rPr>
          <w:rFonts w:ascii="仿宋" w:hAnsi="仿宋" w:eastAsia="仿宋" w:cs="仿宋"/>
          <w:b/>
          <w:bCs/>
          <w:color w:val="auto"/>
          <w:kern w:val="0"/>
          <w:sz w:val="24"/>
          <w:lang w:val="zh-CN" w:bidi="zh-CN"/>
        </w:rPr>
      </w:pPr>
      <w:r>
        <w:rPr>
          <w:rFonts w:hint="eastAsia" w:ascii="仿宋" w:hAnsi="仿宋" w:eastAsia="仿宋" w:cs="仿宋"/>
          <w:b/>
          <w:bCs/>
          <w:color w:val="auto"/>
          <w:kern w:val="0"/>
          <w:sz w:val="24"/>
          <w:lang w:val="zh-CN" w:bidi="zh-CN"/>
        </w:rPr>
        <w:t>7.质保要求</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质量保证期内投标方应提供 7×24 小时的技术支持。投标方应说明提供技术服务的方式以及出现故障后的处理流程、响应时间、解决时间。</w:t>
      </w:r>
    </w:p>
    <w:p>
      <w:pPr>
        <w:widowControl/>
        <w:spacing w:line="360" w:lineRule="auto"/>
        <w:jc w:val="left"/>
        <w:rPr>
          <w:rFonts w:ascii="仿宋" w:hAnsi="仿宋" w:eastAsia="仿宋" w:cs="仿宋"/>
          <w:b/>
          <w:bCs/>
          <w:color w:val="auto"/>
          <w:kern w:val="0"/>
          <w:sz w:val="24"/>
          <w:lang w:val="zh-CN" w:bidi="zh-CN"/>
        </w:rPr>
      </w:pPr>
      <w:r>
        <w:rPr>
          <w:rFonts w:hint="eastAsia" w:ascii="仿宋" w:hAnsi="仿宋" w:eastAsia="仿宋" w:cs="仿宋"/>
          <w:b/>
          <w:bCs/>
          <w:color w:val="auto"/>
          <w:kern w:val="0"/>
          <w:sz w:val="24"/>
          <w:lang w:val="zh-CN" w:bidi="zh-CN"/>
        </w:rPr>
        <w:t>8.验收要求</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根据项目进展分初验和终验；验收标准以招标文件、投标文件、设计方案为依据，由招标方组织专家进行验收评审。</w:t>
      </w:r>
    </w:p>
    <w:p>
      <w:pPr>
        <w:widowControl/>
        <w:spacing w:line="360" w:lineRule="auto"/>
        <w:jc w:val="left"/>
        <w:rPr>
          <w:rFonts w:ascii="仿宋" w:hAnsi="仿宋" w:eastAsia="仿宋" w:cs="仿宋"/>
          <w:b/>
          <w:bCs/>
          <w:color w:val="auto"/>
          <w:kern w:val="0"/>
          <w:sz w:val="24"/>
          <w:lang w:val="zh-CN" w:bidi="zh-CN"/>
        </w:rPr>
      </w:pPr>
      <w:bookmarkStart w:id="17" w:name="_Toc3984996"/>
      <w:bookmarkStart w:id="18" w:name="_Toc3998101"/>
      <w:bookmarkStart w:id="19" w:name="_Toc40908202"/>
      <w:r>
        <w:rPr>
          <w:rFonts w:hint="eastAsia" w:ascii="仿宋" w:hAnsi="仿宋" w:eastAsia="仿宋" w:cs="仿宋"/>
          <w:b/>
          <w:bCs/>
          <w:color w:val="auto"/>
          <w:kern w:val="0"/>
          <w:sz w:val="24"/>
          <w:lang w:val="zh-CN" w:bidi="zh-CN"/>
        </w:rPr>
        <w:t>9．项目培训要求</w:t>
      </w:r>
      <w:bookmarkEnd w:id="17"/>
      <w:bookmarkEnd w:id="18"/>
      <w:bookmarkEnd w:id="19"/>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20" w:name="_Toc2331715"/>
      <w:bookmarkStart w:id="21" w:name="_Toc526760385"/>
      <w:bookmarkStart w:id="22" w:name="_Toc526763139"/>
      <w:bookmarkStart w:id="23" w:name="_Toc528537895"/>
      <w:bookmarkStart w:id="24" w:name="_Toc527748199"/>
      <w:bookmarkStart w:id="25" w:name="_Toc40908203"/>
      <w:bookmarkStart w:id="26" w:name="_Toc3984997"/>
      <w:bookmarkStart w:id="27" w:name="_Toc27862599"/>
      <w:bookmarkStart w:id="28" w:name="_Toc3998102"/>
      <w:r>
        <w:rPr>
          <w:rFonts w:hint="eastAsia" w:ascii="仿宋" w:hAnsi="仿宋" w:eastAsia="仿宋" w:cs="仿宋"/>
          <w:b/>
          <w:bCs/>
          <w:color w:val="auto"/>
          <w:kern w:val="0"/>
          <w:sz w:val="24"/>
          <w:lang w:val="zh-CN" w:bidi="zh-CN"/>
        </w:rPr>
        <w:t>9.1培训对象和</w:t>
      </w:r>
      <w:bookmarkEnd w:id="20"/>
      <w:bookmarkEnd w:id="21"/>
      <w:bookmarkEnd w:id="22"/>
      <w:bookmarkEnd w:id="23"/>
      <w:bookmarkEnd w:id="24"/>
      <w:r>
        <w:rPr>
          <w:rFonts w:hint="eastAsia" w:ascii="仿宋" w:hAnsi="仿宋" w:eastAsia="仿宋" w:cs="仿宋"/>
          <w:b/>
          <w:bCs/>
          <w:color w:val="auto"/>
          <w:kern w:val="0"/>
          <w:sz w:val="24"/>
          <w:lang w:val="zh-CN" w:bidi="zh-CN"/>
        </w:rPr>
        <w:t>地点</w:t>
      </w:r>
      <w:bookmarkEnd w:id="25"/>
      <w:bookmarkEnd w:id="26"/>
      <w:bookmarkEnd w:id="27"/>
      <w:bookmarkEnd w:id="28"/>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中标单位提供满足招标方要求的场地、食宿、师资、资料等条件。</w:t>
      </w:r>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培训时间和地点：由招标方指定。</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29" w:name="_Toc40908204"/>
      <w:bookmarkStart w:id="30" w:name="_Toc2331716"/>
      <w:bookmarkStart w:id="31" w:name="_Toc528537896"/>
      <w:bookmarkStart w:id="32" w:name="_Toc3998103"/>
      <w:bookmarkStart w:id="33" w:name="_Toc3984998"/>
      <w:bookmarkStart w:id="34" w:name="_Toc27862600"/>
      <w:bookmarkStart w:id="35" w:name="_Toc527748200"/>
      <w:r>
        <w:rPr>
          <w:rFonts w:hint="eastAsia" w:ascii="仿宋" w:hAnsi="仿宋" w:eastAsia="仿宋" w:cs="仿宋"/>
          <w:b/>
          <w:bCs/>
          <w:color w:val="auto"/>
          <w:kern w:val="0"/>
          <w:sz w:val="24"/>
          <w:lang w:val="zh-CN" w:bidi="zh-CN"/>
        </w:rPr>
        <w:t>6.2培训内容</w:t>
      </w:r>
      <w:bookmarkEnd w:id="29"/>
      <w:bookmarkEnd w:id="30"/>
      <w:bookmarkEnd w:id="31"/>
      <w:bookmarkEnd w:id="32"/>
      <w:bookmarkEnd w:id="33"/>
      <w:bookmarkEnd w:id="34"/>
      <w:bookmarkEnd w:id="35"/>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6.2.1项目推进培训</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中标单位负责并对招标方项目人员进行项目内容、实施、管理的宣贯，加深项目人员对省医保局建设项目的理解。</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（1）项目启动阶段</w:t>
      </w:r>
    </w:p>
    <w:p>
      <w:pPr>
        <w:spacing w:line="360" w:lineRule="auto"/>
        <w:ind w:firstLine="420"/>
        <w:rPr>
          <w:rFonts w:ascii="仿宋" w:hAnsi="仿宋" w:eastAsia="仿宋" w:cs="仿宋"/>
          <w:color w:val="auto"/>
          <w:kern w:val="0"/>
          <w:sz w:val="24"/>
        </w:rPr>
      </w:pPr>
      <w:r>
        <w:rPr>
          <w:rFonts w:hint="eastAsia" w:ascii="仿宋" w:hAnsi="仿宋" w:eastAsia="仿宋" w:cs="仿宋"/>
          <w:color w:val="auto"/>
          <w:sz w:val="24"/>
        </w:rPr>
        <w:t>宣贯项目基本建设程序、相关政策法规、项目管理方法与实践、招投标理论等内容；宣贯医疗保障信息平台</w:t>
      </w:r>
      <w:r>
        <w:rPr>
          <w:rFonts w:hint="eastAsia" w:ascii="仿宋" w:hAnsi="仿宋" w:eastAsia="仿宋" w:cs="仿宋"/>
          <w:color w:val="auto"/>
          <w:kern w:val="0"/>
          <w:sz w:val="24"/>
        </w:rPr>
        <w:t>建设内容、集成实施方案、项目计划与分工、项目管理相关制度等。</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（2）项目实施阶段</w:t>
      </w:r>
    </w:p>
    <w:p>
      <w:pPr>
        <w:spacing w:line="360" w:lineRule="auto"/>
        <w:ind w:firstLine="420"/>
        <w:rPr>
          <w:rFonts w:ascii="仿宋" w:hAnsi="仿宋" w:eastAsia="仿宋" w:cs="仿宋"/>
          <w:color w:val="auto"/>
          <w:kern w:val="0"/>
          <w:sz w:val="24"/>
        </w:rPr>
      </w:pPr>
      <w:r>
        <w:rPr>
          <w:rFonts w:hint="eastAsia" w:ascii="仿宋" w:hAnsi="仿宋" w:eastAsia="仿宋" w:cs="仿宋"/>
          <w:color w:val="auto"/>
          <w:kern w:val="0"/>
          <w:sz w:val="24"/>
        </w:rPr>
        <w:t>定期开展项目实施工作阶段性总结和宣贯，加深项目人员对项目内容和下一步工作的理解。</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（3）项目验收阶段</w:t>
      </w:r>
    </w:p>
    <w:p>
      <w:pPr>
        <w:spacing w:line="360" w:lineRule="auto"/>
        <w:ind w:firstLine="420"/>
        <w:rPr>
          <w:rFonts w:ascii="仿宋" w:hAnsi="仿宋" w:eastAsia="仿宋" w:cs="仿宋"/>
          <w:color w:val="auto"/>
          <w:kern w:val="0"/>
          <w:sz w:val="24"/>
        </w:rPr>
      </w:pPr>
      <w:r>
        <w:rPr>
          <w:rFonts w:hint="eastAsia" w:ascii="仿宋" w:hAnsi="仿宋" w:eastAsia="仿宋" w:cs="仿宋"/>
          <w:color w:val="auto"/>
          <w:kern w:val="0"/>
          <w:sz w:val="24"/>
        </w:rPr>
        <w:t>进行项目总结，宣贯项目验收方案与流程。</w:t>
      </w:r>
    </w:p>
    <w:p>
      <w:pPr>
        <w:spacing w:line="360" w:lineRule="auto"/>
        <w:rPr>
          <w:rFonts w:ascii="仿宋" w:hAnsi="仿宋" w:eastAsia="仿宋" w:cs="仿宋"/>
          <w:color w:val="auto"/>
          <w:sz w:val="24"/>
        </w:rPr>
      </w:pPr>
      <w:r>
        <w:rPr>
          <w:rFonts w:hint="eastAsia" w:ascii="仿宋" w:hAnsi="仿宋" w:eastAsia="仿宋" w:cs="仿宋"/>
          <w:color w:val="auto"/>
          <w:sz w:val="24"/>
        </w:rPr>
        <w:t>2、标准规范培训</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对招标方项目人员宣贯相关基础设施标准、技术标准以及业务规范等。</w:t>
      </w:r>
    </w:p>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3、技术、操作等其他培训</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按招标方需求组织项目内容范围内的相关培训。</w:t>
      </w:r>
    </w:p>
    <w:p>
      <w:pPr>
        <w:widowControl/>
        <w:spacing w:line="360" w:lineRule="auto"/>
        <w:jc w:val="left"/>
        <w:rPr>
          <w:rFonts w:ascii="仿宋" w:hAnsi="仿宋" w:eastAsia="仿宋" w:cs="仿宋"/>
          <w:b/>
          <w:bCs/>
          <w:color w:val="auto"/>
          <w:kern w:val="0"/>
          <w:sz w:val="24"/>
          <w:lang w:val="zh-CN" w:bidi="zh-CN"/>
        </w:rPr>
      </w:pPr>
      <w:bookmarkStart w:id="36" w:name="_Toc3984999"/>
      <w:bookmarkStart w:id="37" w:name="_Toc40908205"/>
      <w:bookmarkStart w:id="38" w:name="_Toc3998104"/>
      <w:r>
        <w:rPr>
          <w:rFonts w:hint="eastAsia" w:ascii="仿宋" w:hAnsi="仿宋" w:eastAsia="仿宋" w:cs="仿宋"/>
          <w:b/>
          <w:bCs/>
          <w:color w:val="auto"/>
          <w:kern w:val="0"/>
          <w:sz w:val="24"/>
          <w:lang w:val="zh-CN" w:bidi="zh-CN"/>
        </w:rPr>
        <w:t>10．项目管理要求</w:t>
      </w:r>
      <w:bookmarkEnd w:id="36"/>
      <w:bookmarkEnd w:id="37"/>
      <w:bookmarkEnd w:id="38"/>
    </w:p>
    <w:p>
      <w:pPr>
        <w:widowControl/>
        <w:spacing w:line="360" w:lineRule="auto"/>
        <w:ind w:firstLine="480" w:firstLineChars="200"/>
        <w:jc w:val="left"/>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中标单位需提供详细的项目管理方案，应配备1个独立的项目管理小组，提供项目团队人员安排、项目进度安排、项目关键点控制计划与方案、项目安全控制计划与方案、项目分工界面安排、协调施工、软硬件厂商，确保项目顺利实施。中标单位负责在日常工作中整理各类维护手册以及在集成过程中生成的各类资料。</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39" w:name="_Toc40908206"/>
      <w:bookmarkStart w:id="40" w:name="_Toc3998105"/>
      <w:bookmarkStart w:id="41" w:name="_Toc3985000"/>
      <w:bookmarkStart w:id="42" w:name="_Toc27862601"/>
      <w:r>
        <w:rPr>
          <w:rFonts w:hint="eastAsia" w:ascii="仿宋" w:hAnsi="仿宋" w:eastAsia="仿宋" w:cs="仿宋"/>
          <w:b/>
          <w:bCs/>
          <w:color w:val="auto"/>
          <w:kern w:val="0"/>
          <w:sz w:val="24"/>
          <w:lang w:val="zh-CN" w:bidi="zh-CN"/>
        </w:rPr>
        <w:t>10.1项目组织管理</w:t>
      </w:r>
      <w:bookmarkEnd w:id="39"/>
      <w:bookmarkEnd w:id="40"/>
      <w:bookmarkEnd w:id="41"/>
      <w:bookmarkEnd w:id="42"/>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lang w:val="zh-CN" w:bidi="zh-CN"/>
        </w:rPr>
        <w:t>中标单位的管理方案至少包括项目组织机构、人员安排、进度安排、计划控制、</w:t>
      </w:r>
      <w:r>
        <w:rPr>
          <w:rFonts w:hint="eastAsia" w:ascii="仿宋" w:hAnsi="仿宋" w:eastAsia="仿宋" w:cs="仿宋"/>
          <w:color w:val="auto"/>
          <w:sz w:val="24"/>
        </w:rPr>
        <w:t>项目相关人员管理、</w:t>
      </w:r>
      <w:r>
        <w:rPr>
          <w:rFonts w:hint="eastAsia" w:ascii="仿宋" w:hAnsi="仿宋" w:eastAsia="仿宋" w:cs="仿宋"/>
          <w:color w:val="auto"/>
          <w:kern w:val="0"/>
          <w:sz w:val="24"/>
          <w:lang w:val="zh-CN" w:bidi="zh-CN"/>
        </w:rPr>
        <w:t>质量管理及风险管理等内容</w:t>
      </w:r>
      <w:r>
        <w:rPr>
          <w:rFonts w:hint="eastAsia" w:ascii="仿宋" w:hAnsi="仿宋" w:eastAsia="仿宋" w:cs="仿宋"/>
          <w:color w:val="auto"/>
          <w:sz w:val="24"/>
        </w:rPr>
        <w:t>，方案必须符合本技术要求，并具有可操作性。</w:t>
      </w:r>
    </w:p>
    <w:p>
      <w:pPr>
        <w:spacing w:line="360" w:lineRule="auto"/>
        <w:rPr>
          <w:rFonts w:ascii="仿宋" w:hAnsi="仿宋" w:eastAsia="仿宋" w:cs="仿宋"/>
          <w:color w:val="auto"/>
          <w:sz w:val="24"/>
        </w:rPr>
      </w:pPr>
      <w:r>
        <w:rPr>
          <w:rFonts w:hint="eastAsia" w:ascii="仿宋" w:hAnsi="仿宋" w:eastAsia="仿宋" w:cs="仿宋"/>
          <w:color w:val="auto"/>
          <w:sz w:val="24"/>
        </w:rPr>
        <w:t>（1）项目团队要求</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lang w:val="zh-CN" w:bidi="zh-CN"/>
        </w:rPr>
        <w:t>投标人应成立满足本项目工作需要的项目组</w:t>
      </w:r>
      <w:r>
        <w:rPr>
          <w:rFonts w:hint="eastAsia" w:ascii="仿宋" w:hAnsi="仿宋" w:eastAsia="仿宋" w:cs="仿宋"/>
          <w:color w:val="auto"/>
          <w:sz w:val="24"/>
        </w:rPr>
        <w:t>。项目组由项目经理、技术负责人、灾备小组组长、专项服务工程师、驻场工程师（不少于5人）组成的不少于5人的项目服务团队。</w:t>
      </w:r>
    </w:p>
    <w:p>
      <w:pPr>
        <w:spacing w:line="360" w:lineRule="auto"/>
        <w:rPr>
          <w:rFonts w:ascii="仿宋" w:hAnsi="仿宋" w:eastAsia="仿宋" w:cs="仿宋"/>
          <w:color w:val="auto"/>
          <w:sz w:val="24"/>
        </w:rPr>
      </w:pPr>
      <w:r>
        <w:rPr>
          <w:rFonts w:hint="eastAsia" w:ascii="仿宋" w:hAnsi="仿宋" w:eastAsia="仿宋" w:cs="仿宋"/>
          <w:color w:val="auto"/>
          <w:sz w:val="24"/>
        </w:rPr>
        <w:t>（2）人员稳定性保证</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lang w:val="zh-CN" w:bidi="zh-CN"/>
        </w:rPr>
        <w:t>中标单位在项目实施中应保障项目组人员稳定</w:t>
      </w:r>
      <w:r>
        <w:rPr>
          <w:rFonts w:hint="eastAsia" w:ascii="仿宋" w:hAnsi="仿宋" w:eastAsia="仿宋" w:cs="仿宋"/>
          <w:color w:val="auto"/>
          <w:sz w:val="24"/>
        </w:rPr>
        <w:t>，若有替换，必须与招标方协商，未经甲方同意，人员变动扣除项目1%/人，人员超过总人数10%，甲方有权终止项目。项目组人员可根据工程建设不同阶段的工作需要进行调配，项目组人员必须是投标人本单位正式员工。</w:t>
      </w:r>
    </w:p>
    <w:p>
      <w:pPr>
        <w:spacing w:line="360" w:lineRule="auto"/>
        <w:rPr>
          <w:rFonts w:ascii="仿宋" w:hAnsi="仿宋" w:eastAsia="仿宋" w:cs="仿宋"/>
          <w:color w:val="auto"/>
          <w:sz w:val="24"/>
        </w:rPr>
      </w:pPr>
      <w:r>
        <w:rPr>
          <w:rFonts w:hint="eastAsia" w:ascii="仿宋" w:hAnsi="仿宋" w:eastAsia="仿宋" w:cs="仿宋"/>
          <w:color w:val="auto"/>
          <w:sz w:val="24"/>
        </w:rPr>
        <w:t>（3）人员工作经验保证</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lang w:val="zh-CN" w:bidi="zh-CN"/>
        </w:rPr>
        <w:t>中标单位要建立实施该项目的组织架构</w:t>
      </w:r>
      <w:r>
        <w:rPr>
          <w:rFonts w:hint="eastAsia" w:ascii="仿宋" w:hAnsi="仿宋" w:eastAsia="仿宋" w:cs="仿宋"/>
          <w:color w:val="auto"/>
          <w:sz w:val="24"/>
        </w:rPr>
        <w:t>，中标单位确定的项目经理需具有相应的资格证书，项目经理不得在项目建设期间同时担任其他项目团队工作。</w:t>
      </w:r>
    </w:p>
    <w:p>
      <w:pPr>
        <w:spacing w:line="360" w:lineRule="auto"/>
        <w:rPr>
          <w:rFonts w:ascii="仿宋" w:hAnsi="仿宋" w:eastAsia="仿宋" w:cs="仿宋"/>
          <w:color w:val="auto"/>
          <w:sz w:val="24"/>
        </w:rPr>
      </w:pPr>
      <w:r>
        <w:rPr>
          <w:rFonts w:hint="eastAsia" w:ascii="仿宋" w:hAnsi="仿宋" w:eastAsia="仿宋" w:cs="仿宋"/>
          <w:color w:val="auto"/>
          <w:sz w:val="24"/>
        </w:rPr>
        <w:t>中标单位应能够提供经验丰富的项目实施队伍参与此项目的实施。</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43" w:name="_Toc40908207"/>
      <w:bookmarkStart w:id="44" w:name="_Toc3985001"/>
      <w:bookmarkStart w:id="45" w:name="_Toc27862602"/>
      <w:bookmarkStart w:id="46" w:name="_Toc3998106"/>
      <w:r>
        <w:rPr>
          <w:rFonts w:hint="eastAsia" w:ascii="仿宋" w:hAnsi="仿宋" w:eastAsia="仿宋" w:cs="仿宋"/>
          <w:b/>
          <w:bCs/>
          <w:color w:val="auto"/>
          <w:kern w:val="0"/>
          <w:sz w:val="24"/>
          <w:lang w:val="zh-CN" w:bidi="zh-CN"/>
        </w:rPr>
        <w:t>10.2需求变更管理</w:t>
      </w:r>
      <w:bookmarkEnd w:id="43"/>
      <w:bookmarkEnd w:id="44"/>
      <w:bookmarkEnd w:id="45"/>
      <w:bookmarkEnd w:id="46"/>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lang w:val="zh-CN" w:bidi="zh-CN"/>
        </w:rPr>
        <w:t>中标单位应与招标人一起通过现场需求调研</w:t>
      </w:r>
      <w:r>
        <w:rPr>
          <w:rFonts w:hint="eastAsia" w:ascii="仿宋" w:hAnsi="仿宋" w:eastAsia="仿宋" w:cs="仿宋"/>
          <w:color w:val="auto"/>
          <w:sz w:val="24"/>
        </w:rPr>
        <w:t>、联络会等方式明确项目需求变更内容，与设计成果不相符的须经过招标人的审批。</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47" w:name="_Toc27862603"/>
      <w:bookmarkStart w:id="48" w:name="_Toc3998107"/>
      <w:bookmarkStart w:id="49" w:name="_Toc3985002"/>
      <w:bookmarkStart w:id="50" w:name="_Toc40908208"/>
      <w:r>
        <w:rPr>
          <w:rFonts w:hint="eastAsia" w:ascii="仿宋" w:hAnsi="仿宋" w:eastAsia="仿宋" w:cs="仿宋"/>
          <w:b/>
          <w:bCs/>
          <w:color w:val="auto"/>
          <w:kern w:val="0"/>
          <w:sz w:val="24"/>
          <w:lang w:val="zh-CN" w:bidi="zh-CN"/>
        </w:rPr>
        <w:t>10.3项目进度管理</w:t>
      </w:r>
      <w:bookmarkEnd w:id="47"/>
      <w:bookmarkEnd w:id="48"/>
      <w:bookmarkEnd w:id="49"/>
      <w:bookmarkEnd w:id="50"/>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lang w:val="zh-CN" w:bidi="zh-CN"/>
        </w:rPr>
        <w:t>服务期限：合同签订之日至项目终验结束</w:t>
      </w:r>
      <w:r>
        <w:rPr>
          <w:rFonts w:hint="eastAsia" w:ascii="仿宋" w:hAnsi="仿宋" w:eastAsia="仿宋" w:cs="仿宋"/>
          <w:color w:val="auto"/>
          <w:kern w:val="0"/>
          <w:sz w:val="24"/>
        </w:rPr>
        <w:t>。</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项目实施地点为招标人指定地点。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lang w:val="zh-CN" w:bidi="zh-CN"/>
        </w:rPr>
        <w:t>中标单位应与招标人一起以招标人的采购文件和技术需求为基础</w:t>
      </w:r>
      <w:r>
        <w:rPr>
          <w:rFonts w:hint="eastAsia" w:ascii="仿宋" w:hAnsi="仿宋" w:eastAsia="仿宋" w:cs="仿宋"/>
          <w:color w:val="auto"/>
          <w:sz w:val="24"/>
        </w:rPr>
        <w:t>，结合中标单位的应答文件，共同确定详细的项目进度安排，明确每个阶段的目标、阶段应交付的成果、验收依据、双方的责任和义务，须经招标人认可。</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kern w:val="0"/>
          <w:sz w:val="24"/>
          <w:lang w:val="zh-CN" w:bidi="zh-CN"/>
        </w:rPr>
        <w:t>中标单位的项目进度管理应该遵循以下原则</w:t>
      </w:r>
      <w:r>
        <w:rPr>
          <w:rFonts w:hint="eastAsia" w:ascii="仿宋" w:hAnsi="仿宋" w:eastAsia="仿宋" w:cs="仿宋"/>
          <w:color w:val="auto"/>
          <w:sz w:val="24"/>
        </w:rPr>
        <w:t>：</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lang w:val="zh-CN" w:bidi="zh-CN"/>
        </w:rPr>
        <w:t>项目进度管理的依据是项目合同所约定的工期目标</w:t>
      </w:r>
      <w:r>
        <w:rPr>
          <w:rFonts w:hint="eastAsia" w:ascii="仿宋" w:hAnsi="仿宋" w:eastAsia="仿宋" w:cs="仿宋"/>
          <w:color w:val="auto"/>
          <w:sz w:val="24"/>
        </w:rPr>
        <w:t>，在确保项目质量和安全的原则下，控制项目进度。</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kern w:val="0"/>
          <w:sz w:val="24"/>
          <w:lang w:val="zh-CN" w:bidi="zh-CN"/>
        </w:rPr>
        <w:t>中标单位的项目进度管理应该至少包含以下内容</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1）中标单位在了解项目特点的前提下，根据工期目标，提交总体进度计划，以及定期提交阶段性工作计划。</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2）制定详细的项目建设进度，按照合同进度制定具体的实施计划，定期跟踪检查，对可能发生的工程延误提出相应对策。</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3）定期或不定期地召开或参加项目例会、协调会议等，向招标人通报项目进展情况，提交进度报告，及时解决相关问题。</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4）建立项目变更流程，记录项目变更情况。</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51" w:name="_Toc27862604"/>
      <w:bookmarkStart w:id="52" w:name="_Toc40908209"/>
      <w:bookmarkStart w:id="53" w:name="_Toc3998108"/>
      <w:bookmarkStart w:id="54" w:name="_Toc3985003"/>
      <w:r>
        <w:rPr>
          <w:rFonts w:hint="eastAsia" w:ascii="仿宋" w:hAnsi="仿宋" w:eastAsia="仿宋" w:cs="仿宋"/>
          <w:b/>
          <w:bCs/>
          <w:color w:val="auto"/>
          <w:kern w:val="0"/>
          <w:sz w:val="24"/>
          <w:lang w:val="zh-CN" w:bidi="zh-CN"/>
        </w:rPr>
        <w:t>10.4项目质量管理</w:t>
      </w:r>
      <w:bookmarkEnd w:id="51"/>
      <w:bookmarkEnd w:id="52"/>
      <w:bookmarkEnd w:id="53"/>
      <w:bookmarkEnd w:id="54"/>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kern w:val="0"/>
          <w:sz w:val="24"/>
          <w:lang w:val="zh-CN" w:bidi="zh-CN"/>
        </w:rPr>
        <w:t>中标单位应建立严格的质量保证体系</w:t>
      </w:r>
      <w:r>
        <w:rPr>
          <w:rFonts w:hint="eastAsia" w:ascii="仿宋" w:hAnsi="仿宋" w:eastAsia="仿宋" w:cs="仿宋"/>
          <w:color w:val="auto"/>
          <w:sz w:val="24"/>
        </w:rPr>
        <w:t>，制定项目建设质量控制方案和实施措施，并督促落实各环节质量控制内容和目标；保证总体规划设计、实施、系统运行与验收等各个阶段工作满足招标人对质量的要求。</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（2）中标单位应根据整个系统集成工作计划，对阶段性工作成果进行审查和测试，</w:t>
      </w:r>
      <w:r>
        <w:rPr>
          <w:rFonts w:hint="eastAsia" w:ascii="仿宋" w:hAnsi="仿宋" w:eastAsia="仿宋" w:cs="仿宋"/>
          <w:color w:val="auto"/>
          <w:kern w:val="0"/>
          <w:sz w:val="24"/>
          <w:lang w:val="zh-CN" w:bidi="zh-CN"/>
        </w:rPr>
        <w:t>并向招标人提交里程碑工作成果</w:t>
      </w:r>
      <w:r>
        <w:rPr>
          <w:rFonts w:hint="eastAsia" w:ascii="仿宋" w:hAnsi="仿宋" w:eastAsia="仿宋" w:cs="仿宋"/>
          <w:color w:val="auto"/>
          <w:sz w:val="24"/>
        </w:rPr>
        <w:t>。通过保证各阶段性成果的质量，最终保证整个项目实施的质量。</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kern w:val="0"/>
          <w:sz w:val="24"/>
          <w:lang w:val="zh-CN" w:bidi="zh-CN"/>
        </w:rPr>
        <w:t>中标单位应提交针对海南省医保局建设项目的详细质量管理方案</w:t>
      </w:r>
      <w:r>
        <w:rPr>
          <w:rFonts w:hint="eastAsia" w:ascii="仿宋" w:hAnsi="仿宋" w:eastAsia="仿宋" w:cs="仿宋"/>
          <w:color w:val="auto"/>
          <w:sz w:val="24"/>
        </w:rPr>
        <w:t>。</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55" w:name="_Toc3985004"/>
      <w:bookmarkStart w:id="56" w:name="_Toc3998109"/>
      <w:bookmarkStart w:id="57" w:name="_Toc27862605"/>
      <w:bookmarkStart w:id="58" w:name="_Toc40908210"/>
      <w:r>
        <w:rPr>
          <w:rFonts w:hint="eastAsia" w:ascii="仿宋" w:hAnsi="仿宋" w:eastAsia="仿宋" w:cs="仿宋"/>
          <w:b/>
          <w:bCs/>
          <w:color w:val="auto"/>
          <w:kern w:val="0"/>
          <w:sz w:val="24"/>
          <w:lang w:val="zh-CN" w:bidi="zh-CN"/>
        </w:rPr>
        <w:t>10.5项目接口与沟通管理</w:t>
      </w:r>
      <w:bookmarkEnd w:id="55"/>
      <w:bookmarkEnd w:id="56"/>
      <w:bookmarkEnd w:id="57"/>
      <w:bookmarkEnd w:id="58"/>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kern w:val="0"/>
          <w:sz w:val="24"/>
          <w:lang w:val="zh-CN" w:bidi="zh-CN"/>
        </w:rPr>
        <w:t>中标单位应制定有效的项目接口管理方案</w:t>
      </w:r>
      <w:r>
        <w:rPr>
          <w:rFonts w:hint="eastAsia" w:ascii="仿宋" w:hAnsi="仿宋" w:eastAsia="仿宋" w:cs="仿宋"/>
          <w:color w:val="auto"/>
          <w:sz w:val="24"/>
        </w:rPr>
        <w:t>，确保项目接口的透明管理，使问题能够及时有效地通过合适的渠道和方法得以解决。</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kern w:val="0"/>
          <w:sz w:val="24"/>
          <w:lang w:val="zh-CN" w:bidi="zh-CN"/>
        </w:rPr>
        <w:t>中标单位应制定完备的沟通管理方案</w:t>
      </w:r>
      <w:r>
        <w:rPr>
          <w:rFonts w:hint="eastAsia" w:ascii="仿宋" w:hAnsi="仿宋" w:eastAsia="仿宋" w:cs="仿宋"/>
          <w:color w:val="auto"/>
          <w:sz w:val="24"/>
        </w:rPr>
        <w:t>，以建立合理、高效的沟通协调机制，规范双方工作交流、任务传递、消息共享、问题商讨的方式方法，包括但不限于：邮件沟通机制、周例会机制、专项会议机制、周报机制、月报机制、工作联系单机制及联络机制等。确保各种通知、工作计划、会议纪要、重要提示、调整方案、需协调解决的问题、上级最新指示和要求能够顺畅地上传下达。</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59" w:name="_Toc40908211"/>
      <w:bookmarkStart w:id="60" w:name="_Toc27862606"/>
      <w:bookmarkStart w:id="61" w:name="_Toc3998110"/>
      <w:bookmarkStart w:id="62" w:name="_Toc3985005"/>
      <w:r>
        <w:rPr>
          <w:rFonts w:hint="eastAsia" w:ascii="仿宋" w:hAnsi="仿宋" w:eastAsia="仿宋" w:cs="仿宋"/>
          <w:b/>
          <w:bCs/>
          <w:color w:val="auto"/>
          <w:kern w:val="0"/>
          <w:sz w:val="24"/>
          <w:lang w:val="zh-CN" w:bidi="zh-CN"/>
        </w:rPr>
        <w:t>10.6项目风险管理</w:t>
      </w:r>
      <w:bookmarkEnd w:id="59"/>
      <w:bookmarkEnd w:id="60"/>
      <w:bookmarkEnd w:id="61"/>
      <w:bookmarkEnd w:id="62"/>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lang w:val="zh-CN" w:bidi="zh-CN"/>
        </w:rPr>
        <w:t>针对项目进行过程中可能存在的风险</w:t>
      </w:r>
      <w:r>
        <w:rPr>
          <w:rFonts w:hint="eastAsia" w:ascii="仿宋" w:hAnsi="仿宋" w:eastAsia="仿宋" w:cs="仿宋"/>
          <w:color w:val="auto"/>
          <w:sz w:val="24"/>
        </w:rPr>
        <w:t>，中标单位应制定相应的风险管理计划，建立风险识别和风险评估机制，明确风险的所有者，合理分配监控分析所需的资源，制定应对措施和跟踪监控方法。</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63" w:name="_Toc3725230"/>
      <w:bookmarkEnd w:id="63"/>
      <w:bookmarkStart w:id="64" w:name="_Toc3466049"/>
      <w:bookmarkEnd w:id="64"/>
      <w:bookmarkStart w:id="65" w:name="_Toc3725236"/>
      <w:bookmarkEnd w:id="65"/>
      <w:bookmarkStart w:id="66" w:name="_Toc3725243"/>
      <w:bookmarkEnd w:id="66"/>
      <w:bookmarkStart w:id="67" w:name="_Toc3725234"/>
      <w:bookmarkEnd w:id="67"/>
      <w:bookmarkStart w:id="68" w:name="_Toc3725239"/>
      <w:bookmarkEnd w:id="68"/>
      <w:bookmarkStart w:id="69" w:name="_Toc3466039"/>
      <w:bookmarkEnd w:id="69"/>
      <w:bookmarkStart w:id="70" w:name="_Toc3725229"/>
      <w:bookmarkEnd w:id="70"/>
      <w:bookmarkStart w:id="71" w:name="_Toc3466050"/>
      <w:bookmarkEnd w:id="71"/>
      <w:bookmarkStart w:id="72" w:name="_Toc3725237"/>
      <w:bookmarkEnd w:id="72"/>
      <w:bookmarkStart w:id="73" w:name="_Toc3466040"/>
      <w:bookmarkEnd w:id="73"/>
      <w:bookmarkStart w:id="74" w:name="_Toc3466046"/>
      <w:bookmarkEnd w:id="74"/>
      <w:bookmarkStart w:id="75" w:name="_Toc3725235"/>
      <w:bookmarkEnd w:id="75"/>
      <w:bookmarkStart w:id="76" w:name="_Toc3466052"/>
      <w:bookmarkEnd w:id="76"/>
      <w:bookmarkStart w:id="77" w:name="_Toc3466044"/>
      <w:bookmarkEnd w:id="77"/>
      <w:bookmarkStart w:id="78" w:name="_Toc3466041"/>
      <w:bookmarkEnd w:id="78"/>
      <w:bookmarkStart w:id="79" w:name="_Toc3725233"/>
      <w:bookmarkEnd w:id="79"/>
      <w:bookmarkStart w:id="80" w:name="_Toc3466043"/>
      <w:bookmarkEnd w:id="80"/>
      <w:bookmarkStart w:id="81" w:name="_Toc3725231"/>
      <w:bookmarkEnd w:id="81"/>
      <w:bookmarkStart w:id="82" w:name="_Toc3466047"/>
      <w:bookmarkEnd w:id="82"/>
      <w:bookmarkStart w:id="83" w:name="_Toc3466048"/>
      <w:bookmarkEnd w:id="83"/>
      <w:bookmarkStart w:id="84" w:name="_Toc3466051"/>
      <w:bookmarkEnd w:id="84"/>
      <w:bookmarkStart w:id="85" w:name="_Toc3466045"/>
      <w:bookmarkEnd w:id="85"/>
      <w:bookmarkStart w:id="86" w:name="_Toc3725240"/>
      <w:bookmarkEnd w:id="86"/>
      <w:bookmarkStart w:id="87" w:name="_Toc3466042"/>
      <w:bookmarkEnd w:id="87"/>
      <w:bookmarkStart w:id="88" w:name="_Toc3725242"/>
      <w:bookmarkEnd w:id="88"/>
      <w:bookmarkStart w:id="89" w:name="_Toc3725232"/>
      <w:bookmarkEnd w:id="89"/>
      <w:bookmarkStart w:id="90" w:name="_Toc3725241"/>
      <w:bookmarkEnd w:id="90"/>
      <w:bookmarkStart w:id="91" w:name="_Toc3466038"/>
      <w:bookmarkEnd w:id="91"/>
      <w:bookmarkStart w:id="92" w:name="_Toc3725238"/>
      <w:bookmarkEnd w:id="92"/>
      <w:bookmarkStart w:id="93" w:name="_Toc3985006"/>
      <w:bookmarkStart w:id="94" w:name="_Toc40908212"/>
      <w:bookmarkStart w:id="95" w:name="_Toc27862607"/>
      <w:bookmarkStart w:id="96" w:name="_Toc3998111"/>
      <w:r>
        <w:rPr>
          <w:rFonts w:hint="eastAsia" w:ascii="仿宋" w:hAnsi="仿宋" w:eastAsia="仿宋" w:cs="仿宋"/>
          <w:b/>
          <w:bCs/>
          <w:color w:val="auto"/>
          <w:kern w:val="0"/>
          <w:sz w:val="24"/>
          <w:lang w:val="zh-CN" w:bidi="zh-CN"/>
        </w:rPr>
        <w:t>10.7项目文档管理</w:t>
      </w:r>
      <w:bookmarkEnd w:id="93"/>
      <w:bookmarkEnd w:id="94"/>
      <w:bookmarkEnd w:id="95"/>
      <w:bookmarkEnd w:id="96"/>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lang w:val="zh-CN" w:bidi="zh-CN"/>
        </w:rPr>
        <w:t>完成总集成文档管理</w:t>
      </w:r>
      <w:r>
        <w:rPr>
          <w:rFonts w:hint="eastAsia" w:ascii="仿宋" w:hAnsi="仿宋" w:eastAsia="仿宋" w:cs="仿宋"/>
          <w:color w:val="auto"/>
          <w:sz w:val="24"/>
        </w:rPr>
        <w:t>、档案归档。根据招标方要求，组织工程总体推动相关的培训和会议；编写项目相关材料。完成招标方交办的有关工程总体推动的相关事项。</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97" w:name="_Toc27862608"/>
      <w:bookmarkStart w:id="98" w:name="_Toc3998112"/>
      <w:bookmarkStart w:id="99" w:name="_Toc40908213"/>
      <w:bookmarkStart w:id="100" w:name="_Toc3985007"/>
      <w:r>
        <w:rPr>
          <w:rFonts w:hint="eastAsia" w:ascii="仿宋" w:hAnsi="仿宋" w:eastAsia="仿宋" w:cs="仿宋"/>
          <w:b/>
          <w:bCs/>
          <w:color w:val="auto"/>
          <w:kern w:val="0"/>
          <w:sz w:val="24"/>
          <w:lang w:val="zh-CN" w:bidi="zh-CN"/>
        </w:rPr>
        <w:t>10.8项目合同管理</w:t>
      </w:r>
      <w:bookmarkEnd w:id="97"/>
      <w:bookmarkEnd w:id="98"/>
      <w:bookmarkEnd w:id="99"/>
      <w:bookmarkEnd w:id="100"/>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kern w:val="0"/>
          <w:sz w:val="24"/>
          <w:lang w:val="zh-CN" w:bidi="zh-CN"/>
        </w:rPr>
        <w:t>协助招标方审核各分包合同中的技术部分内容</w:t>
      </w:r>
      <w:r>
        <w:rPr>
          <w:rFonts w:hint="eastAsia" w:ascii="仿宋" w:hAnsi="仿宋" w:eastAsia="仿宋" w:cs="仿宋"/>
          <w:color w:val="auto"/>
          <w:sz w:val="24"/>
        </w:rPr>
        <w:t>。</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kern w:val="0"/>
          <w:sz w:val="24"/>
          <w:lang w:val="zh-CN" w:bidi="zh-CN"/>
        </w:rPr>
        <w:t>协助招标方审核各分包的合同进度款支付</w:t>
      </w:r>
      <w:r>
        <w:rPr>
          <w:rFonts w:hint="eastAsia" w:ascii="仿宋" w:hAnsi="仿宋" w:eastAsia="仿宋" w:cs="仿宋"/>
          <w:color w:val="auto"/>
          <w:sz w:val="24"/>
        </w:rPr>
        <w:t>。</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101" w:name="_Toc40908214"/>
      <w:bookmarkStart w:id="102" w:name="_Toc27862609"/>
      <w:bookmarkStart w:id="103" w:name="_Toc3985008"/>
      <w:bookmarkStart w:id="104" w:name="_Toc3998113"/>
      <w:r>
        <w:rPr>
          <w:rFonts w:hint="eastAsia" w:ascii="仿宋" w:hAnsi="仿宋" w:eastAsia="仿宋" w:cs="仿宋"/>
          <w:b/>
          <w:bCs/>
          <w:color w:val="auto"/>
          <w:kern w:val="0"/>
          <w:sz w:val="24"/>
          <w:lang w:val="zh-CN" w:bidi="zh-CN"/>
        </w:rPr>
        <w:t>10.9项目验收管理</w:t>
      </w:r>
      <w:bookmarkEnd w:id="101"/>
      <w:bookmarkEnd w:id="102"/>
      <w:bookmarkEnd w:id="103"/>
      <w:bookmarkEnd w:id="104"/>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lang w:val="zh-CN" w:bidi="zh-CN"/>
        </w:rPr>
        <w:t>根据项目进展项目验收分为单项验收</w:t>
      </w:r>
      <w:r>
        <w:rPr>
          <w:rFonts w:hint="eastAsia" w:ascii="仿宋" w:hAnsi="仿宋" w:eastAsia="仿宋" w:cs="仿宋"/>
          <w:color w:val="auto"/>
          <w:sz w:val="24"/>
        </w:rPr>
        <w:t>、项目整体初验、项目试运行、项目终验四个阶段。</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105" w:name="_Toc3998114"/>
      <w:bookmarkStart w:id="106" w:name="_Toc3985009"/>
      <w:r>
        <w:rPr>
          <w:rFonts w:hint="eastAsia" w:ascii="仿宋" w:hAnsi="仿宋" w:eastAsia="仿宋" w:cs="仿宋"/>
          <w:b/>
          <w:bCs/>
          <w:color w:val="auto"/>
          <w:kern w:val="0"/>
          <w:sz w:val="24"/>
          <w:lang w:val="zh-CN" w:bidi="zh-CN"/>
        </w:rPr>
        <w:t>10.10验收依据及标准</w:t>
      </w:r>
      <w:bookmarkEnd w:id="105"/>
      <w:bookmarkEnd w:id="106"/>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双方签署的合同及附件；双方签署确认的《项目深化设计方案》、《总体实施方案》、《测试验收大纲》等项目建设纲领性文件、工程变更及工程备忘；工程初步设计及批复文件；国家政策法规及技术标准。验收所产生的费用均已包含在采购预算内。</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107" w:name="_Toc3985010"/>
      <w:bookmarkStart w:id="108" w:name="_Toc3998115"/>
      <w:r>
        <w:rPr>
          <w:rFonts w:hint="eastAsia" w:ascii="仿宋" w:hAnsi="仿宋" w:eastAsia="仿宋" w:cs="仿宋"/>
          <w:b/>
          <w:bCs/>
          <w:color w:val="auto"/>
          <w:kern w:val="0"/>
          <w:sz w:val="24"/>
          <w:lang w:val="zh-CN" w:bidi="zh-CN"/>
        </w:rPr>
        <w:t>10.11单项验收（分包初验）</w:t>
      </w:r>
      <w:bookmarkEnd w:id="107"/>
      <w:bookmarkEnd w:id="108"/>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单项验收包括在项目总集成服务范围的内的各个分包的项目验收工作，总集成商将协助招标人完成其他分包的设备到货验收、系统的功能及性能符合性验收及分包规定各项工作内容等的验收工作。</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109" w:name="_Toc3985011"/>
      <w:bookmarkStart w:id="110" w:name="_Toc3998116"/>
      <w:r>
        <w:rPr>
          <w:rFonts w:hint="eastAsia" w:ascii="仿宋" w:hAnsi="仿宋" w:eastAsia="仿宋" w:cs="仿宋"/>
          <w:b/>
          <w:bCs/>
          <w:color w:val="auto"/>
          <w:kern w:val="0"/>
          <w:sz w:val="24"/>
          <w:lang w:val="zh-CN" w:bidi="zh-CN"/>
        </w:rPr>
        <w:t>10.12终验</w:t>
      </w:r>
      <w:bookmarkEnd w:id="109"/>
      <w:bookmarkEnd w:id="110"/>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系统所有项目完成单项终验，中标单位向招标人申请进行工程终验。由招标人组织项目终验，办理终验验收手续。中标单位应承诺接受并积极配合招标人根据有关规定组织进行的终验验收。中标单位未能在规定期限内通过终验验收的，招标人允许中标单位在 14 个自然日内对系统进行整改，并组织二次验收，由此造成的所有相关费用，均由中标单位承担，二次验收仍未通过的，视为中标单位违约。</w:t>
      </w:r>
    </w:p>
    <w:p>
      <w:pPr>
        <w:tabs>
          <w:tab w:val="left" w:pos="640"/>
        </w:tabs>
        <w:autoSpaceDE w:val="0"/>
        <w:autoSpaceDN w:val="0"/>
        <w:spacing w:line="360" w:lineRule="auto"/>
        <w:ind w:firstLine="482" w:firstLineChars="200"/>
        <w:jc w:val="left"/>
        <w:rPr>
          <w:rFonts w:ascii="仿宋" w:hAnsi="仿宋" w:eastAsia="仿宋" w:cs="仿宋"/>
          <w:b/>
          <w:bCs/>
          <w:color w:val="auto"/>
          <w:kern w:val="0"/>
          <w:sz w:val="24"/>
          <w:lang w:val="zh-CN" w:bidi="zh-CN"/>
        </w:rPr>
      </w:pPr>
      <w:bookmarkStart w:id="111" w:name="_Toc3725254"/>
      <w:bookmarkEnd w:id="111"/>
      <w:bookmarkStart w:id="112" w:name="_Toc3725251"/>
      <w:bookmarkEnd w:id="112"/>
      <w:bookmarkStart w:id="113" w:name="_Toc3466061"/>
      <w:bookmarkEnd w:id="113"/>
      <w:bookmarkStart w:id="114" w:name="_Toc3725259"/>
      <w:bookmarkEnd w:id="114"/>
      <w:bookmarkStart w:id="115" w:name="_Toc3725247"/>
      <w:bookmarkEnd w:id="115"/>
      <w:bookmarkStart w:id="116" w:name="_Toc3725249"/>
      <w:bookmarkEnd w:id="116"/>
      <w:bookmarkStart w:id="117" w:name="_Toc3725253"/>
      <w:bookmarkEnd w:id="117"/>
      <w:bookmarkStart w:id="118" w:name="_Toc3725261"/>
      <w:bookmarkEnd w:id="118"/>
      <w:bookmarkStart w:id="119" w:name="_Toc3725258"/>
      <w:bookmarkEnd w:id="119"/>
      <w:bookmarkStart w:id="120" w:name="_Toc3725256"/>
      <w:bookmarkEnd w:id="120"/>
      <w:bookmarkStart w:id="121" w:name="_Toc3725252"/>
      <w:bookmarkEnd w:id="121"/>
      <w:bookmarkStart w:id="122" w:name="_Toc3725250"/>
      <w:bookmarkEnd w:id="122"/>
      <w:bookmarkStart w:id="123" w:name="_Toc3466060"/>
      <w:bookmarkEnd w:id="123"/>
      <w:bookmarkStart w:id="124" w:name="_Toc3466059"/>
      <w:bookmarkEnd w:id="124"/>
      <w:bookmarkStart w:id="125" w:name="_Toc3725248"/>
      <w:bookmarkEnd w:id="125"/>
      <w:bookmarkStart w:id="126" w:name="_Toc3725260"/>
      <w:bookmarkEnd w:id="126"/>
      <w:bookmarkStart w:id="127" w:name="_Toc3725255"/>
      <w:bookmarkEnd w:id="127"/>
      <w:bookmarkStart w:id="128" w:name="_Toc3725262"/>
      <w:bookmarkEnd w:id="128"/>
      <w:bookmarkStart w:id="129" w:name="_Toc3725257"/>
      <w:bookmarkEnd w:id="129"/>
      <w:bookmarkStart w:id="130" w:name="_Toc3998117"/>
      <w:bookmarkStart w:id="131" w:name="_Toc3985012"/>
      <w:bookmarkStart w:id="132" w:name="_Toc40908215"/>
      <w:bookmarkStart w:id="133" w:name="_Toc27862610"/>
      <w:r>
        <w:rPr>
          <w:rFonts w:hint="eastAsia" w:ascii="仿宋" w:hAnsi="仿宋" w:eastAsia="仿宋" w:cs="仿宋"/>
          <w:b/>
          <w:bCs/>
          <w:color w:val="auto"/>
          <w:kern w:val="0"/>
          <w:sz w:val="24"/>
          <w:lang w:val="zh-CN" w:bidi="zh-CN"/>
        </w:rPr>
        <w:t>10.13日常工作管理</w:t>
      </w:r>
      <w:bookmarkEnd w:id="130"/>
      <w:bookmarkEnd w:id="131"/>
      <w:bookmarkEnd w:id="132"/>
      <w:bookmarkEnd w:id="133"/>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1、中标单位须负责提供项目相关方日常办公及管理所需工具用具、技术图书资料（含软件）、固定资产等，并须承担工具用具、技术图书资料（含软件）、固定资产等的使用费。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2、中标单位须承担项目专家评审费用及其他管理性质开支。</w:t>
      </w:r>
    </w:p>
    <w:p>
      <w:pPr>
        <w:widowControl/>
        <w:spacing w:line="360" w:lineRule="auto"/>
        <w:jc w:val="left"/>
        <w:rPr>
          <w:rFonts w:ascii="仿宋" w:hAnsi="仿宋" w:eastAsia="仿宋" w:cs="仿宋"/>
          <w:b/>
          <w:bCs/>
          <w:color w:val="auto"/>
          <w:kern w:val="0"/>
          <w:sz w:val="24"/>
          <w:lang w:val="zh-CN" w:bidi="zh-CN"/>
        </w:rPr>
      </w:pPr>
      <w:bookmarkStart w:id="134" w:name="_Toc3998127"/>
      <w:bookmarkStart w:id="135" w:name="_Toc40908216"/>
      <w:bookmarkStart w:id="136" w:name="_Toc3985022"/>
      <w:r>
        <w:rPr>
          <w:rFonts w:hint="eastAsia" w:ascii="仿宋" w:hAnsi="仿宋" w:eastAsia="仿宋" w:cs="仿宋"/>
          <w:b/>
          <w:bCs/>
          <w:color w:val="auto"/>
          <w:kern w:val="0"/>
          <w:sz w:val="24"/>
          <w:lang w:val="zh-CN" w:bidi="zh-CN"/>
        </w:rPr>
        <w:t>11.知识产权要求</w:t>
      </w:r>
      <w:bookmarkEnd w:id="134"/>
      <w:bookmarkEnd w:id="135"/>
      <w:bookmarkEnd w:id="136"/>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项目招标人拥有项目过程中除第三方产品外所有工作件、交付品文档、定制软件及其他附属产品的知识产权，未经招标人许可，不得用于第三方。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中标单位应保证项目中提供给招标人使用的货物及服务或其中的任何一部分时，免受第三方提出的侵犯其知识产权的索赔或诉讼。如有任何上述指控，投标人应独自承担可能发生的一切法律责任和费用。</w:t>
      </w:r>
    </w:p>
    <w:p>
      <w:pPr>
        <w:widowControl/>
        <w:spacing w:line="360" w:lineRule="auto"/>
        <w:jc w:val="left"/>
        <w:rPr>
          <w:rFonts w:ascii="仿宋" w:hAnsi="仿宋" w:eastAsia="仿宋" w:cs="仿宋"/>
          <w:b/>
          <w:bCs/>
          <w:color w:val="auto"/>
          <w:kern w:val="0"/>
          <w:sz w:val="24"/>
          <w:lang w:val="zh-CN" w:bidi="zh-CN"/>
        </w:rPr>
      </w:pPr>
      <w:bookmarkStart w:id="137" w:name="_Toc40908217"/>
      <w:r>
        <w:rPr>
          <w:rFonts w:hint="eastAsia" w:ascii="仿宋" w:hAnsi="仿宋" w:eastAsia="仿宋" w:cs="仿宋"/>
          <w:b/>
          <w:bCs/>
          <w:color w:val="auto"/>
          <w:kern w:val="0"/>
          <w:sz w:val="24"/>
          <w:lang w:val="zh-CN" w:bidi="zh-CN"/>
        </w:rPr>
        <w:t>12．保密要求</w:t>
      </w:r>
      <w:bookmarkEnd w:id="137"/>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标单位(含项目组所有成员)必须对项目技术文件以及由招标人提供的所有内部资料、技术文档、数据和信息予以保密。中标单位必须与招标人签订保密协议并严格遵守，未经招标人书面许可，中标单位不得以任何形式向第三方透露本项目标书以及本项目的任何内容。</w:t>
      </w:r>
    </w:p>
    <w:p>
      <w:pPr>
        <w:widowControl/>
        <w:spacing w:line="360" w:lineRule="auto"/>
        <w:jc w:val="left"/>
        <w:rPr>
          <w:rFonts w:ascii="仿宋" w:hAnsi="仿宋" w:eastAsia="仿宋" w:cs="仿宋"/>
          <w:b/>
          <w:bCs/>
          <w:color w:val="auto"/>
          <w:kern w:val="0"/>
          <w:sz w:val="24"/>
          <w:lang w:val="zh-CN" w:bidi="zh-CN"/>
        </w:rPr>
      </w:pPr>
      <w:bookmarkStart w:id="138" w:name="_Toc40908218"/>
      <w:r>
        <w:rPr>
          <w:rFonts w:hint="eastAsia" w:ascii="仿宋" w:hAnsi="仿宋" w:eastAsia="仿宋" w:cs="仿宋"/>
          <w:b/>
          <w:bCs/>
          <w:color w:val="auto"/>
          <w:kern w:val="0"/>
          <w:sz w:val="24"/>
          <w:lang w:val="zh-CN" w:bidi="zh-CN"/>
        </w:rPr>
        <w:t>13．项目验收标准与要求</w:t>
      </w:r>
      <w:bookmarkEnd w:id="138"/>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（1）验收总体要求</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项目上线完成后启动项目验收工作。项目验收标准：按照国家医疗保障局和海南省医疗保障局要求，协同其他业务系统，满足采购人提出的业务需求。如果项目未完成验收前，由于相关政策导致业务发生变化进行升级或调整，中标单位应按照最新政策和最新技术标准方案完成本项建设。</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项目验收由海南省医疗保障局统一组织，招标人与相关人员组成验收小组完成验收。双方根据最终验收情况，编写最终验收报告。中标单位应完成项目验收资料的准备。</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在服务过程中出现性能指标或功能上不符合标书和合同要求时，由中标单位负责解决，招标人有拒绝验收的权利并保留索赔权利。</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项目的实施过程中将产生大量的技术及管理文档，中标单位应协助招标人，负责建立、维护、交接项目实施过程中产生的各类文档，确保项目文档的内容体现本项目的实施过程，并确保项目文档的完整性和准确性。</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中标单位按照要求提交全部文档，通过验收，视为本项工作完成。</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（2）验收组织</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项目验收分为单项验收、项目整体初验、项目试运行和终验，都由招标方组织进行。</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（3）初验流程</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1）招标方依据相关批复文件、招标采购文件、合同，对项目的工程、技术、财务和档案等进行验收，形成验收报告。</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2）项目初验后进入试运行，试运行期至少3个月。</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（4）终验流程</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招标方组织成立验收组，负责开展终验的先期基础性工作，重点检查项目建设、设计、监理、施工、招标采购、档案资料、预（概）算执行和财务决算等情况，提出验收评价意见和建议。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（5）验收内容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审查项目的建设目标、规模、内容、质量及资金使用等情况。</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审核项目形成的资产情况。</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评价项目交付使用情况。</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检查项目建设单位执行国家法律、法规情况。</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（6）验收相关材料</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中标单位须负责整理并提供以下验收材料，包括但不限于：项目实施方案、项目合同、项目建设总结、项目招标相关文档、项目建设相关文档、初步验收报告、软件测试报告、安全测评报告等。</w:t>
      </w:r>
    </w:p>
    <w:p>
      <w:pPr>
        <w:widowControl/>
        <w:numPr>
          <w:ilvl w:val="0"/>
          <w:numId w:val="4"/>
        </w:numPr>
        <w:spacing w:line="360" w:lineRule="auto"/>
        <w:jc w:val="left"/>
        <w:rPr>
          <w:rFonts w:ascii="仿宋" w:hAnsi="仿宋" w:eastAsia="仿宋" w:cs="仿宋"/>
          <w:b/>
          <w:bCs/>
          <w:color w:val="auto"/>
          <w:kern w:val="0"/>
          <w:sz w:val="24"/>
          <w:lang w:val="zh-CN" w:bidi="zh-CN"/>
        </w:rPr>
      </w:pPr>
      <w:bookmarkStart w:id="139" w:name="_Toc40908219"/>
      <w:r>
        <w:rPr>
          <w:rFonts w:hint="eastAsia" w:ascii="仿宋" w:hAnsi="仿宋" w:eastAsia="仿宋" w:cs="仿宋"/>
          <w:b/>
          <w:bCs/>
          <w:color w:val="auto"/>
          <w:kern w:val="0"/>
          <w:sz w:val="24"/>
          <w:lang w:val="zh-CN" w:bidi="zh-CN"/>
        </w:rPr>
        <w:t>其它要求</w:t>
      </w:r>
      <w:bookmarkEnd w:id="139"/>
    </w:p>
    <w:p>
      <w:pPr>
        <w:tabs>
          <w:tab w:val="left" w:pos="1301"/>
        </w:tabs>
        <w:autoSpaceDE w:val="0"/>
        <w:autoSpaceDN w:val="0"/>
        <w:spacing w:line="360" w:lineRule="auto"/>
        <w:ind w:right="317"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（1）投标方承诺：如投标单位在海南省无分公司或办事处，须承诺中标后在海南省注册分公司或办事处，办公地址须在海南省医疗保障局周边半径2公里范围内。</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（2）当招标方有新需求，而本文又未包括或与本文不符时，则应符合招标方新需求；对于招标方尚未有标准的，而本文又未提及的部分，中标单位提出其标准，留待双方认可后执行。</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（3）中标单位应确保其技术建议的可行性以及所提供服务和产品的完整性，若出现由于中标单位所提供的服务和产品不全面而导致系统功能无法实现或不能完全实现，由中标单位及时无偿补足，并负全部责任。</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（5）投标方承诺承担驻场工程师就餐和相关差旅费用，并提供驻场工程师办公电脑、打印机等设备。</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（6）投标方承诺本项目合作终止后1年内，无条件配合招标方进行数据迁移、数据字典提供、数据结构提供、对相关实现方式讲解。</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（7）本项目建设内容、需求若有变化，与本文不符的，则按照招标方与投标方友好协商修订为准。</w:t>
      </w:r>
    </w:p>
    <w:p>
      <w:pPr>
        <w:keepNext/>
        <w:keepLines/>
        <w:spacing w:line="360" w:lineRule="auto"/>
        <w:jc w:val="center"/>
        <w:rPr>
          <w:rFonts w:ascii="仿宋" w:hAnsi="仿宋" w:eastAsia="仿宋" w:cs="仿宋"/>
          <w:b/>
          <w:bCs/>
          <w:color w:val="auto"/>
          <w:sz w:val="24"/>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keepNext/>
        <w:keepLines/>
        <w:tabs>
          <w:tab w:val="left" w:pos="3532"/>
          <w:tab w:val="center" w:pos="4153"/>
        </w:tabs>
        <w:spacing w:line="360" w:lineRule="auto"/>
        <w:jc w:val="center"/>
        <w:rPr>
          <w:rFonts w:ascii="仿宋" w:hAnsi="仿宋" w:eastAsia="仿宋" w:cs="仿宋"/>
          <w:b/>
          <w:bCs/>
          <w:color w:val="auto"/>
          <w:sz w:val="24"/>
        </w:rPr>
      </w:pPr>
    </w:p>
    <w:p>
      <w:pPr>
        <w:rPr>
          <w:rFonts w:ascii="仿宋" w:hAnsi="仿宋" w:eastAsia="仿宋"/>
          <w:color w:val="auto"/>
        </w:rPr>
      </w:pPr>
      <w:r>
        <w:rPr>
          <w:rFonts w:ascii="仿宋" w:hAnsi="仿宋" w:eastAsia="仿宋"/>
          <w:color w:val="auto"/>
        </w:rPr>
        <w:br w:type="page"/>
      </w:r>
    </w:p>
    <w:p>
      <w:pPr>
        <w:keepNext/>
        <w:keepLines/>
        <w:tabs>
          <w:tab w:val="left" w:pos="3532"/>
          <w:tab w:val="center" w:pos="4153"/>
        </w:tabs>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2包</w:t>
      </w:r>
      <w:r>
        <w:rPr>
          <w:rFonts w:hint="eastAsia" w:ascii="仿宋" w:hAnsi="仿宋" w:eastAsia="仿宋" w:cs="仿宋"/>
          <w:b/>
          <w:color w:val="auto"/>
          <w:sz w:val="24"/>
        </w:rPr>
        <w:t>中台部署与软件集成</w:t>
      </w:r>
    </w:p>
    <w:p>
      <w:pPr>
        <w:widowControl/>
        <w:spacing w:line="360" w:lineRule="auto"/>
        <w:jc w:val="left"/>
        <w:rPr>
          <w:rFonts w:ascii="仿宋" w:hAnsi="仿宋" w:eastAsia="仿宋" w:cs="仿宋"/>
          <w:b/>
          <w:color w:val="auto"/>
          <w:sz w:val="24"/>
        </w:rPr>
      </w:pPr>
      <w:bookmarkStart w:id="140" w:name="_Toc40904918"/>
      <w:r>
        <w:rPr>
          <w:rFonts w:hint="eastAsia" w:ascii="仿宋" w:hAnsi="仿宋" w:eastAsia="仿宋" w:cs="仿宋"/>
          <w:b/>
          <w:color w:val="auto"/>
          <w:sz w:val="24"/>
        </w:rPr>
        <w:t>1.项目概述</w:t>
      </w:r>
      <w:bookmarkEnd w:id="140"/>
      <w:bookmarkStart w:id="141" w:name="_Toc40904919"/>
    </w:p>
    <w:p>
      <w:pPr>
        <w:widowControl/>
        <w:spacing w:line="360" w:lineRule="auto"/>
        <w:ind w:left="360"/>
        <w:jc w:val="left"/>
        <w:rPr>
          <w:rFonts w:ascii="仿宋" w:hAnsi="仿宋" w:eastAsia="仿宋" w:cs="仿宋"/>
          <w:color w:val="auto"/>
          <w:sz w:val="24"/>
        </w:rPr>
      </w:pPr>
      <w:r>
        <w:rPr>
          <w:rFonts w:hint="eastAsia" w:ascii="仿宋" w:hAnsi="仿宋" w:eastAsia="仿宋" w:cs="仿宋"/>
          <w:color w:val="auto"/>
          <w:sz w:val="24"/>
        </w:rPr>
        <w:t>1.1项目背景</w:t>
      </w:r>
      <w:bookmarkEnd w:id="141"/>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习近平新时代中国特色社会主义思想为指导，全面贯彻党的十九大、十九届二中三中全会精神和2019年全国“两会”精神，认真落实全国医疗保障工作会议座谈会精神，严格遵循《国家医疗保障局医疗保障信息化工作指导意见》及《医疗保障信息平台建设指南》，坚持“千方百计保基本、始终做到可持续、回应社会解民忧、敢于担当推改革”，以医保为龙头带动“三医联动”改革，以信息化建设为抓手推动医保覆盖与医保控费，积极融入医疗保障信息化全国“一盘棋”格局，为逐步构建起全国医保便捷可及“大服务”、规范高效“大经办”、智能精准“大治理”、融合共享“大协作”、在线可用“大数据”、安全可靠“大支撑”信息化支撑体系添枝加叶。</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针对海南地区人口经济发展差异和老龄化严重的社会问题及农垦职工医疗保险基金缺口等历史遗留问题，本项目按照国家医保局标准全国统一、数据两级集中、平台分级部署、网络全面覆盖的医疗保障信息化建设要求，注重顶层设计、统一业务标准、打造基础平台、做好数据汇集、强化协同共享、增强网络安全。依托国家平台与海南省平台之间的协作联通，使用国家下达的中台服务，贯彻表层应用能用即用，国家系统中未设计的表层应用，采用国家统一的中台进行组装的整体思路，建设海南省统一的医疗保障信息平台，实现医保全省统筹统收统支“九统一”的重点工作任务，即： 统一行政管理和稽查执法，统一医保发展规划，统一医保基金收缴，统一医保待遇政策，统一医保支付范围，统一医保基金管理，统一医保经办规程，统一医保定点机构，统一医保信息系统。进一步完善医疗保障制度体系，提升医疗保障基金监管，强化医保支付、深化医药服务价格改革、优化医疗保障管理服务水平，探索常住外籍人员医疗保障办法。发挥信息化对医疗保障事业的支撑作用。解决群众反映强烈的突出问题，不断提高人民群众医疗保障获利感、幸福感和安全感，助力提高医改整体效能同时促进海南自由贸易试验区快速建设和实施健康中国战略。</w:t>
      </w:r>
    </w:p>
    <w:p>
      <w:pPr>
        <w:widowControl/>
        <w:spacing w:line="360" w:lineRule="auto"/>
        <w:rPr>
          <w:rFonts w:ascii="仿宋" w:hAnsi="仿宋" w:eastAsia="仿宋" w:cs="仿宋"/>
          <w:color w:val="auto"/>
          <w:kern w:val="44"/>
          <w:sz w:val="24"/>
        </w:rPr>
      </w:pPr>
      <w:bookmarkStart w:id="142" w:name="_Toc40904920"/>
      <w:r>
        <w:rPr>
          <w:rFonts w:hint="eastAsia" w:ascii="仿宋" w:hAnsi="仿宋" w:eastAsia="仿宋" w:cs="仿宋"/>
          <w:color w:val="auto"/>
          <w:kern w:val="44"/>
          <w:sz w:val="24"/>
        </w:rPr>
        <w:t>2.项目建设原则</w:t>
      </w:r>
      <w:bookmarkEnd w:id="142"/>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海南省医疗保障局医疗保障信息平台二期工程项目应明确目标，找准方向，把握重点，规范有序开展工作。在项目建设过程中，贯彻使用全国统一的标准规范体系和中台服务，依托全国统一的技术体系和架构建设海南省全新的医疗保障信息平台，要着重把握好以下建设原则：</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（1）统筹规划，分步推进</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为避免信息孤岛、重复建设等现象，海南省医疗保障局医疗保障信息平台二期建设工程需进行“自上而下”的顶层规划设计，进行合理有序布局；通过“统一领导、统一规划、统一部署、统一标准”的统筹指导建设，集约管理，节约投资。同时，遵循“自下而上”的项目操作原则，立足现行管理体制与制度建设，打好基础，确立方向，稳步推进，均衡发展，实现项目落地，并为下一步制度完善、管理提升留有空间。</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（2）需求导向、务求实效</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医保各部门间信息共享与业务协同作为原始需求驱动，进行医保基础平台的规划建设。再以此为基础，逐步拓展数据资源与数据资源服务能力，进一步进行医保大数据分析挖掘等高级应用，完善与丰富贴近实战的大数据应用服务，从而形成良性循环，并尽快体现出阶段性效果。</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（3）统一协同，资源共享</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统一管理、统一规划，就必须有一套统一的标准规范作为基础支撑。标准与规范应向上符合国家的标准与规范，向下规范医保行业业务范围内大数据建设与应用。遵循统一的标准，各相关职能部门根据权限的不同，共享信息资源。同时，各级医保管理部门共同参与，既能保障数据同步，也有利于实现信息共享和协同工作，实现资源的集约化管理。</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（4）整合共享，协作高效</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突破区域、部门之间的界限和体制性障碍，充分整合基础设施资源和智能终端获取的信息资源，通过医疗保障信息平台建设推进跨部门、跨领域的信息化协同共享，增强医疗保障的效率和决策能力，同时有效满足公众信息需求，提升医保资源的利用效率。</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（5）统一标准，开放接口</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通过明确和开放医疗信息平台的接口与标准，为后期其他相关行业的数据接入提供标准接口，最大限度地实现医保与政府、职能部门、医院、企业、百姓的信息对接。</w:t>
      </w:r>
    </w:p>
    <w:p>
      <w:pPr>
        <w:widowControl/>
        <w:spacing w:line="360" w:lineRule="auto"/>
        <w:rPr>
          <w:rFonts w:ascii="仿宋" w:hAnsi="仿宋" w:eastAsia="仿宋" w:cs="仿宋"/>
          <w:b/>
          <w:bCs/>
          <w:color w:val="auto"/>
          <w:kern w:val="44"/>
          <w:sz w:val="24"/>
        </w:rPr>
      </w:pPr>
      <w:bookmarkStart w:id="143" w:name="_Toc40904921"/>
      <w:r>
        <w:rPr>
          <w:rFonts w:hint="eastAsia" w:ascii="仿宋" w:hAnsi="仿宋" w:eastAsia="仿宋" w:cs="仿宋"/>
          <w:b/>
          <w:bCs/>
          <w:color w:val="auto"/>
          <w:kern w:val="44"/>
          <w:sz w:val="24"/>
        </w:rPr>
        <w:t>3.建设目标</w:t>
      </w:r>
      <w:bookmarkEnd w:id="143"/>
    </w:p>
    <w:p>
      <w:pPr>
        <w:pStyle w:val="23"/>
        <w:ind w:firstLine="480"/>
        <w:rPr>
          <w:rFonts w:ascii="仿宋" w:hAnsi="仿宋" w:eastAsia="仿宋" w:cs="仿宋"/>
          <w:color w:val="auto"/>
        </w:rPr>
      </w:pPr>
      <w:r>
        <w:rPr>
          <w:rFonts w:hint="eastAsia" w:ascii="仿宋" w:hAnsi="仿宋" w:eastAsia="仿宋" w:cs="仿宋"/>
          <w:color w:val="auto"/>
        </w:rPr>
        <w:t>医疗保障信息平台采用中台设计模式，提高前台应用对于服务能力的复用程度，帮助前台更快地响应业务方面的需求，并实现以用户为中心的持续规模化创新，按照高内聚、低耦合原则，把业务服务和依赖的数据资源进行聚合，构建业务中心。核心业务中台、公共服务中台以及软件集成拥有独立数据资源，对外提供业务服务，有独立运营能力，能独立部署，可通过不断的迭代进行自我完善。</w:t>
      </w:r>
    </w:p>
    <w:p>
      <w:pPr>
        <w:pStyle w:val="23"/>
        <w:ind w:firstLine="480"/>
        <w:rPr>
          <w:rFonts w:ascii="仿宋" w:hAnsi="仿宋" w:eastAsia="仿宋" w:cs="仿宋"/>
          <w:color w:val="auto"/>
        </w:rPr>
      </w:pPr>
      <w:r>
        <w:rPr>
          <w:rFonts w:hint="eastAsia" w:ascii="仿宋" w:hAnsi="仿宋" w:eastAsia="仿宋" w:cs="仿宋"/>
          <w:color w:val="auto"/>
        </w:rPr>
        <w:t>将医疗保障信息平台上各个子系统之间可统一、共享、稳定的业务能力抽取出来，形成不同的业务中心提高系统的统一性，通过统一、共享的服务能力由中台提供，避免各自子系统重复开发，通过系统服务能力的统一修改，快速落实业务标准、政策的执行。</w:t>
      </w:r>
    </w:p>
    <w:p>
      <w:pPr>
        <w:widowControl/>
        <w:spacing w:line="360" w:lineRule="auto"/>
        <w:rPr>
          <w:rFonts w:ascii="仿宋" w:hAnsi="仿宋" w:eastAsia="仿宋" w:cs="仿宋"/>
          <w:b/>
          <w:bCs/>
          <w:color w:val="auto"/>
          <w:kern w:val="44"/>
          <w:sz w:val="24"/>
        </w:rPr>
      </w:pPr>
      <w:bookmarkStart w:id="144" w:name="_Toc40904922"/>
      <w:r>
        <w:rPr>
          <w:rFonts w:hint="eastAsia" w:ascii="仿宋" w:hAnsi="仿宋" w:eastAsia="仿宋" w:cs="仿宋"/>
          <w:b/>
          <w:bCs/>
          <w:color w:val="auto"/>
          <w:kern w:val="44"/>
          <w:sz w:val="24"/>
        </w:rPr>
        <w:t>4.系统定位</w:t>
      </w:r>
      <w:bookmarkEnd w:id="144"/>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海南省医疗保障信息平台严格遵照国家医疗保障信息平台建设指南的相关约束与要求，依照国家医疗保障信息平台的统一设计原则，贯彻使用全国统一的标准规范体系和中台服务，依托全国统一的技术体系和架构建设海南全新的医疗保障信息平台。</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平台总体架构划分为公共服务区和核心业务区，其中核心业务区分为生产区、交换区和大数据区。</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5438775" cy="2962275"/>
            <wp:effectExtent l="0" t="0" r="9525" b="952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4"/>
                    <a:stretch>
                      <a:fillRect/>
                    </a:stretch>
                  </pic:blipFill>
                  <pic:spPr>
                    <a:xfrm>
                      <a:off x="0" y="0"/>
                      <a:ext cx="5438775" cy="2962275"/>
                    </a:xfrm>
                    <a:prstGeom prst="rect">
                      <a:avLst/>
                    </a:prstGeom>
                    <a:noFill/>
                    <a:ln>
                      <a:noFill/>
                    </a:ln>
                  </pic:spPr>
                </pic:pic>
              </a:graphicData>
            </a:graphic>
          </wp:inline>
        </w:drawing>
      </w:r>
    </w:p>
    <w:p>
      <w:pPr>
        <w:pStyle w:val="19"/>
        <w:ind w:firstLine="482"/>
        <w:jc w:val="center"/>
        <w:rPr>
          <w:rFonts w:ascii="仿宋" w:hAnsi="仿宋" w:eastAsia="仿宋" w:cs="仿宋"/>
          <w:b/>
          <w:color w:val="auto"/>
          <w:sz w:val="24"/>
          <w:szCs w:val="24"/>
        </w:rPr>
      </w:pPr>
      <w:r>
        <w:rPr>
          <w:rFonts w:hint="eastAsia" w:ascii="仿宋" w:hAnsi="仿宋" w:eastAsia="仿宋" w:cs="仿宋"/>
          <w:b/>
          <w:color w:val="auto"/>
          <w:sz w:val="24"/>
          <w:szCs w:val="24"/>
        </w:rPr>
        <w:t>海南省医疗保障信息平台总体架构图</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本文涉及的核心业务中台和公共服务中台作为医疗保障信息平台的组成部分。</w:t>
      </w:r>
    </w:p>
    <w:p>
      <w:pPr>
        <w:widowControl/>
        <w:spacing w:line="360" w:lineRule="auto"/>
        <w:rPr>
          <w:rFonts w:ascii="仿宋" w:hAnsi="仿宋" w:eastAsia="仿宋" w:cs="仿宋"/>
          <w:b/>
          <w:bCs/>
          <w:color w:val="auto"/>
          <w:kern w:val="44"/>
          <w:sz w:val="24"/>
        </w:rPr>
      </w:pPr>
      <w:bookmarkStart w:id="145" w:name="_Toc40904923"/>
      <w:r>
        <w:rPr>
          <w:rFonts w:hint="eastAsia" w:ascii="仿宋" w:hAnsi="仿宋" w:eastAsia="仿宋" w:cs="仿宋"/>
          <w:b/>
          <w:bCs/>
          <w:color w:val="auto"/>
          <w:kern w:val="44"/>
          <w:sz w:val="24"/>
        </w:rPr>
        <w:t>5.技术架构要求</w:t>
      </w:r>
      <w:bookmarkEnd w:id="145"/>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海南省医疗保障信息平台需要支撑1500余万用户的高并发访问和实时交易需求，并且需要考虑将来的医保改革的进一步深化的各项新需求，系统需要具备支撑高并发和实时交易的能力，同时能够灵活扩展，所以整个系统按照云化、分层架构设计。</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（1）基础层：建设在云化基础设施上，以云虚拟机、多租户数据库、云存储、负载均衡及专有网络为底层，最大程度的利用了云计算横向扩展的能力；</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中间件层：作为应用的支撑平台，提供应用所需要的基础能力，其中包括分布式应用及管理能力，集成接入点能力，异步服务的能力，缓存的能力，分布式数据库的能力等，这些中间件提供的能力可以很好的支撑应用应对高并发和实时交易的场景；</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（3）后端服务：在基础设施和中间件之上进行构建，使用了众多开源高效的组件如依赖注入和反向控制框架Spring，持久层框架MyBatis，以及加密、定时任务，日志等框架；</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前端服务：采用先进的前端技术H5、VUE等，并采用前后端分离的开发方式，将前端展示与后端服务进行解耦，为用户提供更好的体验；而前端和后端的协议，本项目兼容HTTP、RPC、WEBSERVICE等各种主流的通讯协议，为后续扩展做了很好的准备。</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项目周边的技术也采用了业界比较成熟的架构，代码版本管控工具可与代码构建框架构建和持续集成平台无缝衔接，达到快速开发、快速构建、快速集成的效果。整个服务平台也采用云计算的最佳实践与规范，充分利用到云计算的分布式能力，建设更稳定和高效的服务与应用。</w:t>
      </w:r>
    </w:p>
    <w:p>
      <w:pPr>
        <w:widowControl/>
        <w:spacing w:line="360" w:lineRule="auto"/>
        <w:rPr>
          <w:rFonts w:ascii="仿宋" w:hAnsi="仿宋" w:eastAsia="仿宋" w:cs="仿宋"/>
          <w:b/>
          <w:bCs/>
          <w:color w:val="auto"/>
          <w:kern w:val="44"/>
          <w:sz w:val="24"/>
        </w:rPr>
      </w:pPr>
      <w:bookmarkStart w:id="146" w:name="_Toc40904924"/>
      <w:r>
        <w:rPr>
          <w:rFonts w:hint="eastAsia" w:ascii="仿宋" w:hAnsi="仿宋" w:eastAsia="仿宋" w:cs="仿宋"/>
          <w:b/>
          <w:bCs/>
          <w:color w:val="auto"/>
          <w:kern w:val="44"/>
          <w:sz w:val="24"/>
        </w:rPr>
        <w:t>6.中台部署要求</w:t>
      </w:r>
      <w:bookmarkEnd w:id="146"/>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以下章节将对业务中台部署内容的具体功能需求进行描述，但并不仅限于此，投标方可以提出适合本系统的其他功能。</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投标方应根据本章节的要求提供系统软件建设方案，包括系统总体架构、各功能模块以及各类流程的详细文字、图示说明。</w:t>
      </w:r>
    </w:p>
    <w:p>
      <w:pPr>
        <w:widowControl/>
        <w:spacing w:line="360" w:lineRule="auto"/>
        <w:rPr>
          <w:rFonts w:ascii="仿宋" w:hAnsi="仿宋" w:eastAsia="仿宋" w:cs="仿宋"/>
          <w:b/>
          <w:bCs/>
          <w:color w:val="auto"/>
          <w:sz w:val="24"/>
        </w:rPr>
      </w:pPr>
      <w:bookmarkStart w:id="147" w:name="_Toc40904925"/>
      <w:r>
        <w:rPr>
          <w:rFonts w:hint="eastAsia" w:ascii="仿宋" w:hAnsi="仿宋" w:eastAsia="仿宋" w:cs="仿宋"/>
          <w:b/>
          <w:bCs/>
          <w:color w:val="auto"/>
          <w:sz w:val="24"/>
        </w:rPr>
        <w:t>6.1.核心业务区中台要求</w:t>
      </w:r>
      <w:bookmarkEnd w:id="147"/>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核心业务区业务中台，对海南省医保信息平台规划的核心业务区各业务子系统提供全面的服务支撑，主要由14个业务中心组成，分别为基本信息中心、用户中心、统一认证中心、政策中心、参保中心、征缴中心、结算中心、电子凭证中心、电子档案中心、消息中心、风控中心、工作流引擎中心、报表中心和招采中心，各中心根据实际业务的不同，分别提供API、SDK、H5等方式对各个子系统提供接口。</w:t>
      </w:r>
    </w:p>
    <w:p>
      <w:pPr>
        <w:widowControl/>
        <w:spacing w:line="360" w:lineRule="auto"/>
        <w:ind w:left="420" w:hanging="420"/>
        <w:rPr>
          <w:rFonts w:ascii="仿宋" w:hAnsi="仿宋" w:eastAsia="仿宋" w:cs="仿宋"/>
          <w:b/>
          <w:bCs/>
          <w:color w:val="auto"/>
          <w:sz w:val="24"/>
        </w:rPr>
      </w:pPr>
      <w:bookmarkStart w:id="148" w:name="_Toc40904926"/>
      <w:r>
        <w:rPr>
          <w:rFonts w:hint="eastAsia" w:ascii="仿宋" w:hAnsi="仿宋" w:eastAsia="仿宋" w:cs="仿宋"/>
          <w:b/>
          <w:bCs/>
          <w:color w:val="auto"/>
          <w:sz w:val="24"/>
        </w:rPr>
        <w:t>6.1.1基本信息中心</w:t>
      </w:r>
      <w:bookmarkEnd w:id="148"/>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基本信息中心提供人员和机构的基础信息管理，实现对经办用户、医保人员、执业人员、参保人员的基础信息，以及经办机构、两定机构、参保单位的法人基础信息的统一管理服务，提供对用户基本信息、机构法人信息的新增、修改和检索服务。</w:t>
      </w:r>
    </w:p>
    <w:p>
      <w:pPr>
        <w:widowControl/>
        <w:spacing w:line="360" w:lineRule="auto"/>
        <w:ind w:left="420" w:hanging="420"/>
        <w:rPr>
          <w:rFonts w:ascii="仿宋" w:hAnsi="仿宋" w:eastAsia="仿宋" w:cs="仿宋"/>
          <w:b/>
          <w:bCs/>
          <w:color w:val="auto"/>
          <w:sz w:val="24"/>
        </w:rPr>
      </w:pPr>
      <w:bookmarkStart w:id="149" w:name="_Toc40904927"/>
      <w:r>
        <w:rPr>
          <w:rFonts w:hint="eastAsia" w:ascii="仿宋" w:hAnsi="仿宋" w:eastAsia="仿宋" w:cs="仿宋"/>
          <w:b/>
          <w:bCs/>
          <w:color w:val="auto"/>
          <w:sz w:val="24"/>
        </w:rPr>
        <w:t>6.1.2统一认证中心</w:t>
      </w:r>
      <w:bookmarkEnd w:id="149"/>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统一认证中心，面向核心业务用户提供包含多种身份认证方式在内的统一身份认证、用户统一鉴权、登录服务等。</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统一认证中心要实现的目标:</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（1）统一用户管理</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实现对全省范围内经办用户统一管理，通过账号唯一识别。</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（2）统一机构管理</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构建全省范围内省医保局、地方医保部门、经办机构等组织机构统一集中管理服务，机构信息全国共享，通过机构编号唯一识别。</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（3）统一授权管理</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支持全省范围内分级授权管理：</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省级管理员通过省级统一门户系统对自己管辖范围内用户进行授权。</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（4）统一登录管理</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支持全省范围内统一登录：</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省医保局用户通过省级统一门户系统进行登录认证；</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用户统一登录后，可以访问已授权的各级业务系统。</w:t>
      </w:r>
    </w:p>
    <w:p>
      <w:pPr>
        <w:widowControl/>
        <w:spacing w:line="360" w:lineRule="auto"/>
        <w:ind w:left="420" w:hanging="420"/>
        <w:rPr>
          <w:rFonts w:ascii="仿宋" w:hAnsi="仿宋" w:eastAsia="仿宋" w:cs="仿宋"/>
          <w:b/>
          <w:bCs/>
          <w:color w:val="auto"/>
          <w:sz w:val="24"/>
        </w:rPr>
      </w:pPr>
      <w:bookmarkStart w:id="150" w:name="_Toc40904928"/>
      <w:r>
        <w:rPr>
          <w:rFonts w:hint="eastAsia" w:ascii="仿宋" w:hAnsi="仿宋" w:eastAsia="仿宋" w:cs="仿宋"/>
          <w:b/>
          <w:bCs/>
          <w:color w:val="auto"/>
          <w:sz w:val="24"/>
        </w:rPr>
        <w:t>6.1.3用户中心</w:t>
      </w:r>
      <w:bookmarkEnd w:id="150"/>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提供用户管理，实现对经办用户、医保人员、执业人员、参保人员的用户、角色、权限的统一管理服务，提供对用户身份信息、权限信息、考核信息、征信信息检索服务，提供对于医疗保障定点组织机构的统一管理服务，包括机构信息维护、机构查询、机构新增、机构信用评价等。</w:t>
      </w:r>
    </w:p>
    <w:p>
      <w:pPr>
        <w:widowControl/>
        <w:spacing w:line="360" w:lineRule="auto"/>
        <w:ind w:left="420" w:hanging="420"/>
        <w:rPr>
          <w:rFonts w:ascii="仿宋" w:hAnsi="仿宋" w:eastAsia="仿宋" w:cs="仿宋"/>
          <w:b/>
          <w:bCs/>
          <w:color w:val="auto"/>
          <w:sz w:val="24"/>
        </w:rPr>
      </w:pPr>
      <w:bookmarkStart w:id="151" w:name="_Toc40904929"/>
      <w:r>
        <w:rPr>
          <w:rFonts w:hint="eastAsia" w:ascii="仿宋" w:hAnsi="仿宋" w:eastAsia="仿宋" w:cs="仿宋"/>
          <w:b/>
          <w:bCs/>
          <w:color w:val="auto"/>
          <w:sz w:val="24"/>
        </w:rPr>
        <w:t>6.1.4风控中心</w:t>
      </w:r>
      <w:bookmarkEnd w:id="151"/>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风控中心覆盖内控管理的全业务流程服务，为规范业务经办和内控检查提供支撑。包括业务规范设置服务、内控规则管理服务、受控业务模块设置服务、内控结果管理服务、风险上报服务。各业务子系统按统一按编码标准，对服务事项和业务环节进行编码，并在业务经办日志中进行记录，业务日志要做到可回溯业务经办。 </w:t>
      </w:r>
    </w:p>
    <w:p>
      <w:pPr>
        <w:widowControl/>
        <w:spacing w:line="360" w:lineRule="auto"/>
        <w:ind w:left="420" w:hanging="420"/>
        <w:rPr>
          <w:rFonts w:ascii="仿宋" w:hAnsi="仿宋" w:eastAsia="仿宋" w:cs="仿宋"/>
          <w:b/>
          <w:bCs/>
          <w:color w:val="auto"/>
          <w:sz w:val="24"/>
        </w:rPr>
      </w:pPr>
      <w:bookmarkStart w:id="152" w:name="_Toc40904930"/>
      <w:r>
        <w:rPr>
          <w:rFonts w:hint="eastAsia" w:ascii="仿宋" w:hAnsi="仿宋" w:eastAsia="仿宋" w:cs="仿宋"/>
          <w:b/>
          <w:bCs/>
          <w:color w:val="auto"/>
          <w:sz w:val="24"/>
        </w:rPr>
        <w:t>6.1.5参保中心</w:t>
      </w:r>
      <w:bookmarkEnd w:id="152"/>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参保中心对所有参保对象的参保关系进行管理，包括参保对象的险种增加、险种暂停缴费、险种终止缴费、险种信息变更、险种附加信息的新增（变更）、职工参保的缴费基数进行新增（变更）等服务，并对外提供参保对象参保信息查询服务。</w:t>
      </w:r>
    </w:p>
    <w:p>
      <w:pPr>
        <w:widowControl/>
        <w:spacing w:line="360" w:lineRule="auto"/>
        <w:ind w:left="420" w:hanging="420"/>
        <w:rPr>
          <w:rFonts w:ascii="仿宋" w:hAnsi="仿宋" w:eastAsia="仿宋" w:cs="仿宋"/>
          <w:b/>
          <w:bCs/>
          <w:color w:val="auto"/>
          <w:sz w:val="24"/>
        </w:rPr>
      </w:pPr>
      <w:bookmarkStart w:id="153" w:name="_Toc40904931"/>
      <w:r>
        <w:rPr>
          <w:rFonts w:hint="eastAsia" w:ascii="仿宋" w:hAnsi="仿宋" w:eastAsia="仿宋" w:cs="仿宋"/>
          <w:b/>
          <w:bCs/>
          <w:color w:val="auto"/>
          <w:sz w:val="24"/>
        </w:rPr>
        <w:t>6.1.6结算中心</w:t>
      </w:r>
      <w:bookmarkEnd w:id="153"/>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结算中心提供对个人待遇支付算法和医药机构支付算法服务，以及药店购药、职工住院、职工门诊、居民住院、居民门诊的结算服务、撤销、查询服务。 </w:t>
      </w:r>
    </w:p>
    <w:p>
      <w:pPr>
        <w:widowControl/>
        <w:spacing w:line="360" w:lineRule="auto"/>
        <w:ind w:left="420" w:hanging="420"/>
        <w:rPr>
          <w:rFonts w:ascii="仿宋" w:hAnsi="仿宋" w:eastAsia="仿宋" w:cs="仿宋"/>
          <w:b/>
          <w:bCs/>
          <w:color w:val="auto"/>
          <w:sz w:val="24"/>
        </w:rPr>
      </w:pPr>
      <w:bookmarkStart w:id="154" w:name="_Toc40904932"/>
      <w:r>
        <w:rPr>
          <w:rFonts w:hint="eastAsia" w:ascii="仿宋" w:hAnsi="仿宋" w:eastAsia="仿宋" w:cs="仿宋"/>
          <w:b/>
          <w:bCs/>
          <w:color w:val="auto"/>
          <w:sz w:val="24"/>
        </w:rPr>
        <w:t>6.1.7征缴中心</w:t>
      </w:r>
      <w:bookmarkEnd w:id="154"/>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征缴中心主要服务包括：职工缴费信息查询、单位缴费信息查询、居民缴费信息查询、单位缴费信息、职工缴费信息、居民缴费信息写入、单位缴费明细信息交换、职工个人缴费明细交换、灵活就业缴费明细交换、城乡居民缴费明细交换、缴费信息反馈、医疗保险费对账信息交换、对账信息反馈、账户收入、账户收入查询、账户信息查询等。</w:t>
      </w:r>
    </w:p>
    <w:p>
      <w:pPr>
        <w:widowControl/>
        <w:spacing w:line="360" w:lineRule="auto"/>
        <w:ind w:left="420" w:hanging="420"/>
        <w:rPr>
          <w:rFonts w:ascii="仿宋" w:hAnsi="仿宋" w:eastAsia="仿宋" w:cs="仿宋"/>
          <w:b/>
          <w:bCs/>
          <w:color w:val="auto"/>
          <w:sz w:val="24"/>
        </w:rPr>
      </w:pPr>
      <w:bookmarkStart w:id="155" w:name="_Toc40904933"/>
      <w:r>
        <w:rPr>
          <w:rFonts w:hint="eastAsia" w:ascii="仿宋" w:hAnsi="仿宋" w:eastAsia="仿宋" w:cs="仿宋"/>
          <w:b/>
          <w:bCs/>
          <w:color w:val="auto"/>
          <w:sz w:val="24"/>
        </w:rPr>
        <w:t>6.1.8工作流引擎中心</w:t>
      </w:r>
      <w:bookmarkEnd w:id="155"/>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工作流引擎中心通过建立一整套统一的业务流程服务体系，为应用系统提供了规范的业务流程设计、运行、管理、监控等服务。</w:t>
      </w:r>
    </w:p>
    <w:p>
      <w:pPr>
        <w:widowControl/>
        <w:spacing w:line="360" w:lineRule="auto"/>
        <w:ind w:left="420" w:hanging="420"/>
        <w:rPr>
          <w:rFonts w:ascii="仿宋" w:hAnsi="仿宋" w:eastAsia="仿宋" w:cs="仿宋"/>
          <w:b/>
          <w:bCs/>
          <w:color w:val="auto"/>
          <w:sz w:val="24"/>
        </w:rPr>
      </w:pPr>
      <w:bookmarkStart w:id="156" w:name="_Toc40904934"/>
      <w:r>
        <w:rPr>
          <w:rFonts w:hint="eastAsia" w:ascii="仿宋" w:hAnsi="仿宋" w:eastAsia="仿宋" w:cs="仿宋"/>
          <w:b/>
          <w:bCs/>
          <w:color w:val="auto"/>
          <w:sz w:val="24"/>
        </w:rPr>
        <w:t>6.1.9报表中心</w:t>
      </w:r>
      <w:bookmarkEnd w:id="156"/>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提供统一的报表管理服务，包括报表定制服务、报表管理服务、数据采集、数据治理、数据交换及共享、数据联动和比对、数据抽取和报送、数据风险防范服务、数据审核、汇总生成、数据校验等功能。</w:t>
      </w:r>
    </w:p>
    <w:p>
      <w:pPr>
        <w:widowControl/>
        <w:spacing w:line="360" w:lineRule="auto"/>
        <w:ind w:left="420" w:hanging="420"/>
        <w:rPr>
          <w:rFonts w:ascii="仿宋" w:hAnsi="仿宋" w:eastAsia="仿宋" w:cs="仿宋"/>
          <w:b/>
          <w:bCs/>
          <w:color w:val="auto"/>
          <w:sz w:val="24"/>
        </w:rPr>
      </w:pPr>
      <w:bookmarkStart w:id="157" w:name="_Toc40904935"/>
      <w:r>
        <w:rPr>
          <w:rFonts w:hint="eastAsia" w:ascii="仿宋" w:hAnsi="仿宋" w:eastAsia="仿宋" w:cs="仿宋"/>
          <w:b/>
          <w:bCs/>
          <w:color w:val="auto"/>
          <w:sz w:val="24"/>
        </w:rPr>
        <w:t>6.1.10电子档案中心</w:t>
      </w:r>
      <w:bookmarkEnd w:id="157"/>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电子档案中心提供电子档案的管理服务，实现电子档案内容的统一化管理，包括电子档案的上传、调阅、归档、修改和删除及对应的审核功能。</w:t>
      </w:r>
    </w:p>
    <w:p>
      <w:pPr>
        <w:widowControl/>
        <w:spacing w:line="360" w:lineRule="auto"/>
        <w:ind w:left="420" w:hanging="420"/>
        <w:rPr>
          <w:rFonts w:ascii="仿宋" w:hAnsi="仿宋" w:eastAsia="仿宋" w:cs="仿宋"/>
          <w:b/>
          <w:bCs/>
          <w:color w:val="auto"/>
          <w:sz w:val="24"/>
        </w:rPr>
      </w:pPr>
      <w:bookmarkStart w:id="158" w:name="_Toc40904936"/>
      <w:r>
        <w:rPr>
          <w:rFonts w:hint="eastAsia" w:ascii="仿宋" w:hAnsi="仿宋" w:eastAsia="仿宋" w:cs="仿宋"/>
          <w:b/>
          <w:bCs/>
          <w:color w:val="auto"/>
          <w:sz w:val="24"/>
        </w:rPr>
        <w:t>6.1.11消息中心</w:t>
      </w:r>
      <w:bookmarkEnd w:id="158"/>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消息中心主要完成消息的接收、发送和保存，再基于一定的规则以邮件、短信、站内消息等方式推送消息到pc端或手机，以及对消息进行管理。接收来自业务系统应用用户的消息，然后基于一定的规则把消息进行推送。</w:t>
      </w:r>
    </w:p>
    <w:p>
      <w:pPr>
        <w:widowControl/>
        <w:spacing w:line="360" w:lineRule="auto"/>
        <w:ind w:left="420" w:hanging="420"/>
        <w:rPr>
          <w:rFonts w:ascii="仿宋" w:hAnsi="仿宋" w:eastAsia="仿宋" w:cs="仿宋"/>
          <w:b/>
          <w:bCs/>
          <w:color w:val="auto"/>
          <w:sz w:val="24"/>
        </w:rPr>
      </w:pPr>
      <w:bookmarkStart w:id="159" w:name="_Toc40904937"/>
      <w:r>
        <w:rPr>
          <w:rFonts w:hint="eastAsia" w:ascii="仿宋" w:hAnsi="仿宋" w:eastAsia="仿宋" w:cs="仿宋"/>
          <w:b/>
          <w:bCs/>
          <w:color w:val="auto"/>
          <w:sz w:val="24"/>
        </w:rPr>
        <w:t>6.1.12电子凭证中心</w:t>
      </w:r>
      <w:bookmarkEnd w:id="159"/>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电子凭证中心提供电子凭证生成、核验，二维码管理等功能。</w:t>
      </w:r>
    </w:p>
    <w:p>
      <w:pPr>
        <w:widowControl/>
        <w:spacing w:line="360" w:lineRule="auto"/>
        <w:rPr>
          <w:rFonts w:ascii="仿宋" w:hAnsi="仿宋" w:eastAsia="仿宋" w:cs="仿宋"/>
          <w:b/>
          <w:bCs/>
          <w:color w:val="auto"/>
          <w:sz w:val="24"/>
        </w:rPr>
      </w:pPr>
      <w:bookmarkStart w:id="160" w:name="_Toc40904938"/>
      <w:r>
        <w:rPr>
          <w:rFonts w:hint="eastAsia" w:ascii="仿宋" w:hAnsi="仿宋" w:eastAsia="仿宋" w:cs="仿宋"/>
          <w:b/>
          <w:bCs/>
          <w:color w:val="auto"/>
          <w:sz w:val="24"/>
        </w:rPr>
        <w:t>6.1.13招采中心</w:t>
      </w:r>
      <w:bookmarkEnd w:id="160"/>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提供药品挂网的发布、更新、查询功能；政府采购计划的增删改查功能；国家药品限价的增删改查功能；批量新增采购、查询药品耗材统计信息；医疗机构药品耗材采购量上报和查询；药品耗材采购量统计信息等功能。</w:t>
      </w:r>
    </w:p>
    <w:p>
      <w:pPr>
        <w:widowControl/>
        <w:spacing w:line="360" w:lineRule="auto"/>
        <w:ind w:left="420" w:hanging="420"/>
        <w:rPr>
          <w:rFonts w:ascii="仿宋" w:hAnsi="仿宋" w:eastAsia="仿宋" w:cs="仿宋"/>
          <w:b/>
          <w:bCs/>
          <w:color w:val="auto"/>
          <w:sz w:val="24"/>
        </w:rPr>
      </w:pPr>
      <w:bookmarkStart w:id="161" w:name="_Toc40904939"/>
      <w:r>
        <w:rPr>
          <w:rFonts w:hint="eastAsia" w:ascii="仿宋" w:hAnsi="仿宋" w:eastAsia="仿宋" w:cs="仿宋"/>
          <w:b/>
          <w:bCs/>
          <w:color w:val="auto"/>
          <w:sz w:val="24"/>
        </w:rPr>
        <w:t>6.1.14政策中心</w:t>
      </w:r>
      <w:bookmarkEnd w:id="161"/>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政策中心提供疾病诊断、药品、医疗服务项目、耗材、病种、政策参数等基础信息的管理服务，对所有险种的定义和管理服务，包括险种定义、参保关系管理，对药品和医用耗材、医疗服务价格的管理服务，包括药品和医用耗材管理、医疗服务价格管理、库存管理等；</w:t>
      </w:r>
    </w:p>
    <w:p>
      <w:pPr>
        <w:widowControl/>
        <w:spacing w:line="360" w:lineRule="auto"/>
        <w:rPr>
          <w:rFonts w:ascii="仿宋" w:hAnsi="仿宋" w:eastAsia="仿宋" w:cs="仿宋"/>
          <w:b/>
          <w:bCs/>
          <w:color w:val="auto"/>
          <w:sz w:val="24"/>
        </w:rPr>
      </w:pPr>
      <w:bookmarkStart w:id="162" w:name="_Toc40904940"/>
      <w:r>
        <w:rPr>
          <w:rFonts w:hint="eastAsia" w:ascii="仿宋" w:hAnsi="仿宋" w:eastAsia="仿宋" w:cs="仿宋"/>
          <w:b/>
          <w:bCs/>
          <w:color w:val="auto"/>
          <w:sz w:val="24"/>
        </w:rPr>
        <w:t>6.2公共服务区中台要求</w:t>
      </w:r>
      <w:bookmarkEnd w:id="162"/>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公共服务区业务中台主要包括统一认证中心、用户中心、CMS中心、咨询中心、电子凭证中心、电子票据中心、消息推送中心、知识库中心、位置管理中心、个人服务中心和单位服务中心共11个业务中心。</w:t>
      </w:r>
    </w:p>
    <w:p>
      <w:pPr>
        <w:widowControl/>
        <w:spacing w:line="360" w:lineRule="auto"/>
        <w:ind w:left="420" w:hanging="420"/>
        <w:rPr>
          <w:rFonts w:ascii="仿宋" w:hAnsi="仿宋" w:eastAsia="仿宋" w:cs="仿宋"/>
          <w:b/>
          <w:bCs/>
          <w:color w:val="auto"/>
          <w:sz w:val="24"/>
        </w:rPr>
      </w:pPr>
      <w:bookmarkStart w:id="163" w:name="_Toc40904941"/>
      <w:r>
        <w:rPr>
          <w:rFonts w:hint="eastAsia" w:ascii="仿宋" w:hAnsi="仿宋" w:eastAsia="仿宋" w:cs="仿宋"/>
          <w:b/>
          <w:bCs/>
          <w:color w:val="auto"/>
          <w:sz w:val="24"/>
        </w:rPr>
        <w:t>6.2.1用户中心</w:t>
      </w:r>
      <w:bookmarkEnd w:id="163"/>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主要为企业用户、医疗机构用户、参保企业、药企耗材企业、配送企业、医疗机构或者其他用户提供登录注册操作等，公共服务平台建立统一的用户体系，用于支撑公共服务业务查询和办理需要。提供SDK、H5、API等方式对接。</w:t>
      </w:r>
    </w:p>
    <w:p>
      <w:pPr>
        <w:widowControl/>
        <w:spacing w:line="360" w:lineRule="auto"/>
        <w:ind w:left="420" w:hanging="420"/>
        <w:rPr>
          <w:rFonts w:ascii="仿宋" w:hAnsi="仿宋" w:eastAsia="仿宋" w:cs="仿宋"/>
          <w:color w:val="auto"/>
          <w:sz w:val="24"/>
        </w:rPr>
      </w:pPr>
      <w:bookmarkStart w:id="164" w:name="_Toc40904942"/>
      <w:r>
        <w:rPr>
          <w:rFonts w:hint="eastAsia" w:ascii="仿宋" w:hAnsi="仿宋" w:eastAsia="仿宋" w:cs="仿宋"/>
          <w:color w:val="auto"/>
          <w:sz w:val="24"/>
        </w:rPr>
        <w:t>6.2.2统一认证中心</w:t>
      </w:r>
      <w:bookmarkEnd w:id="164"/>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为提供包含多种身份认证方式在内的统一身份认证、用户统一鉴权、登录服务等。提供SDK、H5、API等方式对接。</w:t>
      </w:r>
    </w:p>
    <w:p>
      <w:pPr>
        <w:widowControl/>
        <w:spacing w:line="360" w:lineRule="auto"/>
        <w:ind w:left="420" w:hanging="420"/>
        <w:rPr>
          <w:rFonts w:ascii="仿宋" w:hAnsi="仿宋" w:eastAsia="仿宋" w:cs="仿宋"/>
          <w:b/>
          <w:bCs/>
          <w:color w:val="auto"/>
          <w:sz w:val="24"/>
        </w:rPr>
      </w:pPr>
      <w:bookmarkStart w:id="165" w:name="_Toc40904943"/>
      <w:r>
        <w:rPr>
          <w:rFonts w:hint="eastAsia" w:ascii="仿宋" w:hAnsi="仿宋" w:eastAsia="仿宋" w:cs="仿宋"/>
          <w:b/>
          <w:bCs/>
          <w:color w:val="auto"/>
          <w:sz w:val="24"/>
        </w:rPr>
        <w:t>6.2.3电子凭证中心</w:t>
      </w:r>
      <w:bookmarkEnd w:id="165"/>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主要对外提供医保电子凭证的激活、授权、医保电子凭证二维码生成、医保电子凭证二维码验证、医保移动支付服务管理等功能。服务通过SDK/H5等方式下发到各个渠道应用，各个渠道应用根据相应的流程调用SDK/H5提供的方法或页面，使用SDK/H5功能表单提交数据到电子凭证中心，电子凭证中心根据相应的业务进行办理。提供SDK、H5、API等方式对接。</w:t>
      </w:r>
    </w:p>
    <w:p>
      <w:pPr>
        <w:widowControl/>
        <w:spacing w:line="360" w:lineRule="auto"/>
        <w:ind w:left="420" w:hanging="420"/>
        <w:rPr>
          <w:rFonts w:ascii="仿宋" w:hAnsi="仿宋" w:eastAsia="仿宋" w:cs="仿宋"/>
          <w:b/>
          <w:bCs/>
          <w:color w:val="auto"/>
          <w:sz w:val="24"/>
        </w:rPr>
      </w:pPr>
      <w:bookmarkStart w:id="166" w:name="_Toc40904944"/>
      <w:r>
        <w:rPr>
          <w:rFonts w:hint="eastAsia" w:ascii="仿宋" w:hAnsi="仿宋" w:eastAsia="仿宋" w:cs="仿宋"/>
          <w:b/>
          <w:bCs/>
          <w:color w:val="auto"/>
          <w:sz w:val="24"/>
        </w:rPr>
        <w:t>6.2.4电子票据中心</w:t>
      </w:r>
      <w:bookmarkEnd w:id="166"/>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主要提供医保电子票据的查询、生成、下载、核验服务。开放到外网，各个接入渠道调用相关服务进行相应流程的业务办理，中台服务提供的接口、页面等服务方式，中台服务根据渠道输入的人员数据，提交到省公共服务系统，省公共服务系统调用国家局公共服务系统中台服务，国家局根据相应的业务进行办理。提供SDK、H5方式对接。</w:t>
      </w:r>
    </w:p>
    <w:p>
      <w:pPr>
        <w:widowControl/>
        <w:spacing w:line="360" w:lineRule="auto"/>
        <w:ind w:left="420" w:hanging="420"/>
        <w:rPr>
          <w:rFonts w:ascii="仿宋" w:hAnsi="仿宋" w:eastAsia="仿宋" w:cs="仿宋"/>
          <w:b/>
          <w:bCs/>
          <w:color w:val="auto"/>
          <w:sz w:val="24"/>
        </w:rPr>
      </w:pPr>
      <w:bookmarkStart w:id="167" w:name="_Toc40904945"/>
      <w:r>
        <w:rPr>
          <w:rFonts w:hint="eastAsia" w:ascii="仿宋" w:hAnsi="仿宋" w:eastAsia="仿宋" w:cs="仿宋"/>
          <w:b/>
          <w:bCs/>
          <w:color w:val="auto"/>
          <w:sz w:val="24"/>
        </w:rPr>
        <w:t>6.2.5 CMS中心</w:t>
      </w:r>
      <w:bookmarkEnd w:id="167"/>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主要完成了内容管理、栏目和展现通道的配置以及服务事项的查询，包含了内容审核，新增内容模板，内容发布，内容下架，新增栏目，内容检索，新增渠道，服务事项检索，关联服务查询等业务。提供SDK、H5、API等方式对接。</w:t>
      </w:r>
    </w:p>
    <w:p>
      <w:pPr>
        <w:widowControl/>
        <w:spacing w:line="360" w:lineRule="auto"/>
        <w:ind w:left="420" w:hanging="420"/>
        <w:rPr>
          <w:rFonts w:ascii="仿宋" w:hAnsi="仿宋" w:eastAsia="仿宋" w:cs="仿宋"/>
          <w:b/>
          <w:bCs/>
          <w:color w:val="auto"/>
          <w:sz w:val="24"/>
        </w:rPr>
      </w:pPr>
      <w:bookmarkStart w:id="168" w:name="_Toc40904946"/>
      <w:r>
        <w:rPr>
          <w:rFonts w:hint="eastAsia" w:ascii="仿宋" w:hAnsi="仿宋" w:eastAsia="仿宋" w:cs="仿宋"/>
          <w:b/>
          <w:bCs/>
          <w:color w:val="auto"/>
          <w:sz w:val="24"/>
        </w:rPr>
        <w:t>6.2.6咨询中心</w:t>
      </w:r>
      <w:bookmarkEnd w:id="168"/>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主要对已登录个人网办大厅旗舰店的个人用户根据业务类别实名制咨询问题，对接咨询服务系统，咨询服务系统中业务专家等对咨询问题进行回复，个人用户可以对专家的回复进行再次咨询，以此类推，实现仿留言板的功能。系统管理用户可对关键词敏感信息进行管理，公众发布的敏感信息会被系统屏蔽。</w:t>
      </w:r>
    </w:p>
    <w:p>
      <w:pPr>
        <w:widowControl/>
        <w:spacing w:line="360" w:lineRule="auto"/>
        <w:ind w:left="420" w:hanging="420"/>
        <w:rPr>
          <w:rFonts w:ascii="仿宋" w:hAnsi="仿宋" w:eastAsia="仿宋" w:cs="仿宋"/>
          <w:b/>
          <w:bCs/>
          <w:color w:val="auto"/>
          <w:sz w:val="24"/>
        </w:rPr>
      </w:pPr>
      <w:bookmarkStart w:id="169" w:name="_Toc40904947"/>
      <w:r>
        <w:rPr>
          <w:rFonts w:hint="eastAsia" w:ascii="仿宋" w:hAnsi="仿宋" w:eastAsia="仿宋" w:cs="仿宋"/>
          <w:b/>
          <w:bCs/>
          <w:color w:val="auto"/>
          <w:sz w:val="24"/>
        </w:rPr>
        <w:t>6.2.7知识库中心</w:t>
      </w:r>
      <w:bookmarkEnd w:id="169"/>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主要是提供医保领域相关的指南，服务事项，政策解读等相关知识，知识库中心主要实现对知识库内容的管理，检索服务。提供SDK、H5、API等方式对接。</w:t>
      </w:r>
    </w:p>
    <w:p>
      <w:pPr>
        <w:widowControl/>
        <w:spacing w:line="360" w:lineRule="auto"/>
        <w:ind w:left="420" w:hanging="420"/>
        <w:rPr>
          <w:rFonts w:ascii="仿宋" w:hAnsi="仿宋" w:eastAsia="仿宋" w:cs="仿宋"/>
          <w:b/>
          <w:bCs/>
          <w:color w:val="auto"/>
          <w:sz w:val="24"/>
        </w:rPr>
      </w:pPr>
      <w:bookmarkStart w:id="170" w:name="_Toc40904948"/>
      <w:r>
        <w:rPr>
          <w:rFonts w:hint="eastAsia" w:ascii="仿宋" w:hAnsi="仿宋" w:eastAsia="仿宋" w:cs="仿宋"/>
          <w:b/>
          <w:bCs/>
          <w:color w:val="auto"/>
          <w:sz w:val="24"/>
        </w:rPr>
        <w:t>6.2.8消息中心</w:t>
      </w:r>
      <w:bookmarkEnd w:id="170"/>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主要完成消息的接收、发送和保存，再基于一定的规则以邮件、短信、公众号消息、网站公告、站内消息等方式推送消息到pc端或手机，以及对用户、规则、消息进行管理。消息推送中心接收来自业务系统应用用户的消息，然后基于一定的规则把消息进行推送。提供SDK、H5、API等方式对接。</w:t>
      </w:r>
    </w:p>
    <w:p>
      <w:pPr>
        <w:widowControl/>
        <w:spacing w:line="360" w:lineRule="auto"/>
        <w:ind w:left="420" w:hanging="420"/>
        <w:rPr>
          <w:rFonts w:ascii="仿宋" w:hAnsi="仿宋" w:eastAsia="仿宋" w:cs="仿宋"/>
          <w:b/>
          <w:bCs/>
          <w:color w:val="auto"/>
          <w:sz w:val="24"/>
        </w:rPr>
      </w:pPr>
      <w:bookmarkStart w:id="171" w:name="_Toc40904949"/>
      <w:r>
        <w:rPr>
          <w:rFonts w:hint="eastAsia" w:ascii="仿宋" w:hAnsi="仿宋" w:eastAsia="仿宋" w:cs="仿宋"/>
          <w:b/>
          <w:bCs/>
          <w:color w:val="auto"/>
          <w:sz w:val="24"/>
        </w:rPr>
        <w:t>6.2.9位置管理中心</w:t>
      </w:r>
      <w:bookmarkEnd w:id="171"/>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主要实现对两定机构、药品生产企业等单位的地址的管理，以及完成对移动设备(自助机、刷卡设备、移动POS机)的管理和设备使用地点及范围监测服务。</w:t>
      </w:r>
    </w:p>
    <w:p>
      <w:pPr>
        <w:widowControl/>
        <w:spacing w:line="360" w:lineRule="auto"/>
        <w:ind w:left="420" w:hanging="420"/>
        <w:rPr>
          <w:rFonts w:ascii="仿宋" w:hAnsi="仿宋" w:eastAsia="仿宋" w:cs="仿宋"/>
          <w:b/>
          <w:bCs/>
          <w:color w:val="auto"/>
          <w:sz w:val="24"/>
        </w:rPr>
      </w:pPr>
      <w:bookmarkStart w:id="172" w:name="_Toc40904950"/>
      <w:r>
        <w:rPr>
          <w:rFonts w:hint="eastAsia" w:ascii="仿宋" w:hAnsi="仿宋" w:eastAsia="仿宋" w:cs="仿宋"/>
          <w:b/>
          <w:bCs/>
          <w:color w:val="auto"/>
          <w:sz w:val="24"/>
        </w:rPr>
        <w:t>6.2.10个人服务中心</w:t>
      </w:r>
      <w:bookmarkEnd w:id="172"/>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主要用于给个人提供医保服务，服务的主要事项有：灵活就业人员参保申请，居民保参保申请，灵活就业人员中断缴费申请，医疗个人信息查询。</w:t>
      </w:r>
    </w:p>
    <w:p>
      <w:pPr>
        <w:widowControl/>
        <w:spacing w:line="360" w:lineRule="auto"/>
        <w:ind w:left="420" w:hanging="420"/>
        <w:rPr>
          <w:rFonts w:ascii="仿宋" w:hAnsi="仿宋" w:eastAsia="仿宋" w:cs="仿宋"/>
          <w:b/>
          <w:bCs/>
          <w:color w:val="auto"/>
          <w:sz w:val="24"/>
        </w:rPr>
      </w:pPr>
      <w:bookmarkStart w:id="173" w:name="_Toc40904951"/>
      <w:r>
        <w:rPr>
          <w:rFonts w:hint="eastAsia" w:ascii="仿宋" w:hAnsi="仿宋" w:eastAsia="仿宋" w:cs="仿宋"/>
          <w:b/>
          <w:bCs/>
          <w:color w:val="auto"/>
          <w:sz w:val="24"/>
        </w:rPr>
        <w:t>6.2.11单位服务中心</w:t>
      </w:r>
      <w:bookmarkEnd w:id="173"/>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主要提供参保单位信息管理，参保人员信息管理，参保单位缴费单据查询，参保单位信息查询的对外服务。</w:t>
      </w:r>
    </w:p>
    <w:p>
      <w:pPr>
        <w:widowControl/>
        <w:spacing w:line="360" w:lineRule="auto"/>
        <w:rPr>
          <w:rFonts w:ascii="仿宋" w:hAnsi="仿宋" w:eastAsia="仿宋" w:cs="仿宋"/>
          <w:b/>
          <w:bCs/>
          <w:color w:val="auto"/>
          <w:kern w:val="44"/>
          <w:sz w:val="24"/>
        </w:rPr>
      </w:pPr>
      <w:bookmarkStart w:id="174" w:name="_Toc40904952"/>
      <w:r>
        <w:rPr>
          <w:rFonts w:hint="eastAsia" w:ascii="仿宋" w:hAnsi="仿宋" w:eastAsia="仿宋" w:cs="仿宋"/>
          <w:b/>
          <w:bCs/>
          <w:color w:val="auto"/>
          <w:kern w:val="44"/>
          <w:sz w:val="24"/>
        </w:rPr>
        <w:t>7软件安全要求</w:t>
      </w:r>
      <w:bookmarkEnd w:id="174"/>
    </w:p>
    <w:p>
      <w:pPr>
        <w:pStyle w:val="18"/>
        <w:ind w:firstLineChars="0"/>
        <w:rPr>
          <w:rFonts w:ascii="仿宋" w:hAnsi="仿宋" w:eastAsia="仿宋" w:cs="仿宋"/>
          <w:color w:val="auto"/>
          <w:sz w:val="24"/>
        </w:rPr>
      </w:pPr>
      <w:r>
        <w:rPr>
          <w:rFonts w:hint="eastAsia" w:ascii="仿宋" w:hAnsi="仿宋" w:eastAsia="仿宋" w:cs="仿宋"/>
          <w:color w:val="auto"/>
          <w:sz w:val="24"/>
        </w:rPr>
        <w:t>投标方须严格按照国家医疗保障局《医保信息系统安全开发规范》要求组织系统开发和实施，并符合《信息安全技术网络安全等级保护基本要求》（GB/T 22239一2019）三级安全要求。</w:t>
      </w:r>
    </w:p>
    <w:p>
      <w:pPr>
        <w:pStyle w:val="19"/>
        <w:ind w:left="193" w:leftChars="92" w:firstLine="240" w:firstLineChars="100"/>
        <w:rPr>
          <w:rFonts w:ascii="仿宋" w:hAnsi="仿宋" w:eastAsia="仿宋" w:cs="仿宋"/>
          <w:color w:val="auto"/>
          <w:sz w:val="24"/>
          <w:szCs w:val="24"/>
        </w:rPr>
      </w:pPr>
      <w:r>
        <w:rPr>
          <w:rFonts w:hint="eastAsia" w:ascii="仿宋" w:hAnsi="仿宋" w:eastAsia="仿宋" w:cs="仿宋"/>
          <w:color w:val="auto"/>
          <w:sz w:val="24"/>
          <w:szCs w:val="24"/>
        </w:rPr>
        <w:t>投标方所开发的系统须符合《信息系统密码应用基本要求》。</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系统上线前，应按照招标方要求进行源代码安全扫描，并对发现的漏洞进行修复。</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投标方应提供详细的安全设计方案并详细说明在应用安全和数据安全方面采取的安全的措施。</w:t>
      </w:r>
    </w:p>
    <w:p>
      <w:pPr>
        <w:widowControl/>
        <w:spacing w:line="360" w:lineRule="auto"/>
        <w:rPr>
          <w:rFonts w:ascii="仿宋" w:hAnsi="仿宋" w:eastAsia="仿宋" w:cs="仿宋"/>
          <w:b/>
          <w:bCs/>
          <w:color w:val="auto"/>
          <w:kern w:val="44"/>
          <w:sz w:val="24"/>
        </w:rPr>
      </w:pPr>
      <w:bookmarkStart w:id="175" w:name="_Toc40904953"/>
      <w:r>
        <w:rPr>
          <w:rFonts w:hint="eastAsia" w:ascii="仿宋" w:hAnsi="仿宋" w:eastAsia="仿宋" w:cs="仿宋"/>
          <w:b/>
          <w:bCs/>
          <w:color w:val="auto"/>
          <w:kern w:val="44"/>
          <w:sz w:val="24"/>
        </w:rPr>
        <w:t>8.软件技术要求</w:t>
      </w:r>
      <w:bookmarkEnd w:id="175"/>
    </w:p>
    <w:p>
      <w:pPr>
        <w:widowControl/>
        <w:spacing w:line="360" w:lineRule="auto"/>
        <w:ind w:left="420" w:hanging="420"/>
        <w:rPr>
          <w:rFonts w:ascii="仿宋" w:hAnsi="仿宋" w:eastAsia="仿宋" w:cs="仿宋"/>
          <w:b/>
          <w:bCs/>
          <w:color w:val="auto"/>
          <w:sz w:val="24"/>
        </w:rPr>
      </w:pPr>
      <w:bookmarkStart w:id="176" w:name="_Toc40904954"/>
      <w:r>
        <w:rPr>
          <w:rFonts w:hint="eastAsia" w:ascii="仿宋" w:hAnsi="仿宋" w:eastAsia="仿宋" w:cs="仿宋"/>
          <w:b/>
          <w:bCs/>
          <w:color w:val="auto"/>
          <w:sz w:val="24"/>
        </w:rPr>
        <w:t>8.1总体技术要求</w:t>
      </w:r>
      <w:bookmarkEnd w:id="176"/>
    </w:p>
    <w:p>
      <w:pPr>
        <w:pStyle w:val="13"/>
        <w:autoSpaceDE w:val="0"/>
        <w:autoSpaceDN w:val="0"/>
        <w:spacing w:beforeAutospacing="0" w:afterAutospacing="0" w:line="360" w:lineRule="auto"/>
        <w:ind w:left="220" w:right="315" w:firstLine="480"/>
        <w:jc w:val="both"/>
        <w:rPr>
          <w:rFonts w:ascii="仿宋" w:hAnsi="仿宋" w:eastAsia="仿宋" w:cs="仿宋"/>
          <w:color w:val="auto"/>
        </w:rPr>
      </w:pPr>
      <w:r>
        <w:rPr>
          <w:rFonts w:hint="eastAsia" w:ascii="仿宋" w:hAnsi="仿宋" w:eastAsia="仿宋" w:cs="仿宋"/>
          <w:color w:val="auto"/>
        </w:rPr>
        <w:t>产品应该是企业级的解决方案，支持可分布的、可伸缩的体系结构。支持部署在主流的操作系统（Linux）和硬件平台上，支持B/S 结构，支持云计算技术架构。</w:t>
      </w:r>
    </w:p>
    <w:p>
      <w:pPr>
        <w:pStyle w:val="13"/>
        <w:autoSpaceDE w:val="0"/>
        <w:autoSpaceDN w:val="0"/>
        <w:spacing w:beforeAutospacing="0" w:afterAutospacing="0" w:line="360" w:lineRule="auto"/>
        <w:ind w:left="220" w:right="315" w:firstLine="480"/>
        <w:jc w:val="both"/>
        <w:rPr>
          <w:rFonts w:ascii="仿宋" w:hAnsi="仿宋" w:eastAsia="仿宋" w:cs="仿宋"/>
          <w:color w:val="auto"/>
        </w:rPr>
      </w:pPr>
      <w:r>
        <w:rPr>
          <w:rFonts w:hint="eastAsia" w:ascii="仿宋" w:hAnsi="仿宋" w:eastAsia="仿宋" w:cs="仿宋"/>
          <w:color w:val="auto"/>
        </w:rPr>
        <w:t>投标方提供的软件应该基于国家局下发的业务中台进行开发，支持对业务中台服务调用。</w:t>
      </w:r>
    </w:p>
    <w:p>
      <w:pPr>
        <w:pStyle w:val="13"/>
        <w:autoSpaceDE w:val="0"/>
        <w:autoSpaceDN w:val="0"/>
        <w:spacing w:beforeAutospacing="0" w:afterAutospacing="0" w:line="360" w:lineRule="auto"/>
        <w:ind w:left="220" w:right="315" w:firstLine="480"/>
        <w:jc w:val="both"/>
        <w:rPr>
          <w:rFonts w:ascii="仿宋" w:hAnsi="仿宋" w:eastAsia="仿宋" w:cs="仿宋"/>
          <w:color w:val="auto"/>
        </w:rPr>
      </w:pPr>
      <w:r>
        <w:rPr>
          <w:rFonts w:hint="eastAsia" w:ascii="仿宋" w:hAnsi="仿宋" w:eastAsia="仿宋" w:cs="仿宋"/>
          <w:color w:val="auto"/>
        </w:rPr>
        <w:t>投标方提供的软件必须是模块化设计，并且保证任何软件模块的维护和更新都不影响其它软件模块，软件具有容错能力。</w:t>
      </w:r>
    </w:p>
    <w:p>
      <w:pPr>
        <w:pStyle w:val="13"/>
        <w:autoSpaceDE w:val="0"/>
        <w:autoSpaceDN w:val="0"/>
        <w:spacing w:beforeAutospacing="0" w:afterAutospacing="0" w:line="360" w:lineRule="auto"/>
        <w:ind w:left="220" w:right="315" w:firstLine="480"/>
        <w:jc w:val="both"/>
        <w:rPr>
          <w:rFonts w:ascii="仿宋" w:hAnsi="仿宋" w:eastAsia="仿宋" w:cs="仿宋"/>
          <w:color w:val="auto"/>
        </w:rPr>
      </w:pPr>
      <w:r>
        <w:rPr>
          <w:rFonts w:hint="eastAsia" w:ascii="仿宋" w:hAnsi="仿宋" w:eastAsia="仿宋" w:cs="仿宋"/>
          <w:color w:val="auto"/>
        </w:rPr>
        <w:t>投标方提供的软件应具有自身故障监视和诊断能力，即软件能及时发现故障并发出告警。</w:t>
      </w:r>
    </w:p>
    <w:p>
      <w:pPr>
        <w:pStyle w:val="13"/>
        <w:autoSpaceDE w:val="0"/>
        <w:autoSpaceDN w:val="0"/>
        <w:spacing w:beforeAutospacing="0" w:afterAutospacing="0" w:line="360" w:lineRule="auto"/>
        <w:ind w:left="220" w:right="315" w:firstLine="480"/>
        <w:jc w:val="both"/>
        <w:rPr>
          <w:rFonts w:ascii="仿宋" w:hAnsi="仿宋" w:eastAsia="仿宋" w:cs="仿宋"/>
          <w:color w:val="auto"/>
        </w:rPr>
      </w:pPr>
      <w:r>
        <w:rPr>
          <w:rFonts w:hint="eastAsia" w:ascii="仿宋" w:hAnsi="仿宋" w:eastAsia="仿宋" w:cs="仿宋"/>
          <w:color w:val="auto"/>
        </w:rPr>
        <w:t>投标方提供的软件在不同时期软件版本应能向下兼容，软件版本易于升级，且在升级的过程中不影响业务的性能与运行。</w:t>
      </w:r>
    </w:p>
    <w:p>
      <w:pPr>
        <w:pStyle w:val="13"/>
        <w:autoSpaceDE w:val="0"/>
        <w:autoSpaceDN w:val="0"/>
        <w:spacing w:beforeAutospacing="0" w:afterAutospacing="0" w:line="360" w:lineRule="auto"/>
        <w:ind w:left="220" w:right="315" w:firstLine="480"/>
        <w:jc w:val="both"/>
        <w:rPr>
          <w:rFonts w:ascii="仿宋" w:hAnsi="仿宋" w:eastAsia="仿宋" w:cs="仿宋"/>
          <w:color w:val="auto"/>
        </w:rPr>
      </w:pPr>
      <w:r>
        <w:rPr>
          <w:rFonts w:hint="eastAsia" w:ascii="仿宋" w:hAnsi="仿宋" w:eastAsia="仿宋" w:cs="仿宋"/>
          <w:color w:val="auto"/>
        </w:rPr>
        <w:t>投标方应承诺在供货时提供最新版本的软件，但该软件必须是经过测试正式推出，其可靠性、稳定性经过严格验证。</w:t>
      </w:r>
    </w:p>
    <w:p>
      <w:pPr>
        <w:pStyle w:val="13"/>
        <w:autoSpaceDE w:val="0"/>
        <w:autoSpaceDN w:val="0"/>
        <w:spacing w:beforeAutospacing="0" w:afterAutospacing="0" w:line="360" w:lineRule="auto"/>
        <w:ind w:left="220" w:right="315" w:firstLine="480"/>
        <w:jc w:val="both"/>
        <w:rPr>
          <w:rFonts w:ascii="仿宋" w:hAnsi="仿宋" w:eastAsia="仿宋" w:cs="仿宋"/>
          <w:color w:val="auto"/>
        </w:rPr>
      </w:pPr>
      <w:r>
        <w:rPr>
          <w:rFonts w:hint="eastAsia" w:ascii="仿宋" w:hAnsi="仿宋" w:eastAsia="仿宋" w:cs="仿宋"/>
          <w:color w:val="auto"/>
        </w:rPr>
        <w:t>本项目运维期内，软件版本升级时，中标单位应承诺免费更新软件版本，并提供相应的新版本软件功能说明书及修改说明书。</w:t>
      </w:r>
    </w:p>
    <w:p>
      <w:pPr>
        <w:pStyle w:val="13"/>
        <w:autoSpaceDE w:val="0"/>
        <w:autoSpaceDN w:val="0"/>
        <w:spacing w:beforeAutospacing="0" w:afterAutospacing="0" w:line="360" w:lineRule="auto"/>
        <w:ind w:left="220" w:right="315" w:firstLine="480"/>
        <w:jc w:val="both"/>
        <w:rPr>
          <w:rFonts w:ascii="仿宋" w:hAnsi="仿宋" w:eastAsia="仿宋" w:cs="仿宋"/>
          <w:color w:val="auto"/>
        </w:rPr>
      </w:pPr>
      <w:r>
        <w:rPr>
          <w:rFonts w:hint="eastAsia" w:ascii="仿宋" w:hAnsi="仿宋" w:eastAsia="仿宋" w:cs="仿宋"/>
          <w:color w:val="auto"/>
        </w:rPr>
        <w:t>投标方提供的应用软件要求具有较强的容错功能。</w:t>
      </w:r>
    </w:p>
    <w:p>
      <w:pPr>
        <w:widowControl/>
        <w:spacing w:line="360" w:lineRule="auto"/>
        <w:ind w:left="420" w:hanging="420"/>
        <w:rPr>
          <w:rFonts w:ascii="仿宋" w:hAnsi="仿宋" w:eastAsia="仿宋" w:cs="仿宋"/>
          <w:b/>
          <w:bCs/>
          <w:color w:val="auto"/>
          <w:sz w:val="24"/>
        </w:rPr>
      </w:pPr>
      <w:bookmarkStart w:id="177" w:name="_Toc40904955"/>
      <w:r>
        <w:rPr>
          <w:rFonts w:hint="eastAsia" w:ascii="仿宋" w:hAnsi="仿宋" w:eastAsia="仿宋" w:cs="仿宋"/>
          <w:b/>
          <w:bCs/>
          <w:color w:val="auto"/>
          <w:sz w:val="24"/>
        </w:rPr>
        <w:t>8.2应用软件性能要求</w:t>
      </w:r>
      <w:bookmarkEnd w:id="177"/>
    </w:p>
    <w:p>
      <w:pPr>
        <w:pStyle w:val="13"/>
        <w:numPr>
          <w:ilvl w:val="0"/>
          <w:numId w:val="5"/>
        </w:numPr>
        <w:autoSpaceDE w:val="0"/>
        <w:autoSpaceDN w:val="0"/>
        <w:spacing w:beforeAutospacing="0" w:afterAutospacing="0" w:line="360" w:lineRule="auto"/>
        <w:ind w:left="426" w:right="315" w:firstLine="283"/>
        <w:jc w:val="both"/>
        <w:rPr>
          <w:rFonts w:ascii="仿宋" w:hAnsi="仿宋" w:eastAsia="仿宋" w:cs="仿宋"/>
          <w:color w:val="auto"/>
        </w:rPr>
      </w:pPr>
      <w:r>
        <w:rPr>
          <w:rFonts w:hint="eastAsia" w:ascii="仿宋" w:hAnsi="仿宋" w:eastAsia="仿宋" w:cs="仿宋"/>
          <w:color w:val="auto"/>
        </w:rPr>
        <w:t>应用软件系统的各个软件功能模块应满足本文相关功能要求。应用软件必须能够切实满足系统监控管理的需求，并且适应今后的业务增长和变化，随时可以按功能需要进行修改和维护。</w:t>
      </w:r>
    </w:p>
    <w:p>
      <w:pPr>
        <w:pStyle w:val="13"/>
        <w:numPr>
          <w:ilvl w:val="0"/>
          <w:numId w:val="5"/>
        </w:numPr>
        <w:autoSpaceDE w:val="0"/>
        <w:autoSpaceDN w:val="0"/>
        <w:spacing w:beforeAutospacing="0" w:afterAutospacing="0" w:line="360" w:lineRule="auto"/>
        <w:ind w:left="426" w:right="315" w:firstLine="283"/>
        <w:jc w:val="both"/>
        <w:rPr>
          <w:rFonts w:ascii="仿宋" w:hAnsi="仿宋" w:eastAsia="仿宋" w:cs="仿宋"/>
          <w:color w:val="auto"/>
        </w:rPr>
      </w:pPr>
      <w:r>
        <w:rPr>
          <w:rFonts w:hint="eastAsia" w:ascii="仿宋" w:hAnsi="仿宋" w:eastAsia="仿宋" w:cs="仿宋"/>
          <w:color w:val="auto"/>
        </w:rPr>
        <w:t>应用软件应采用通用软件开发平台进行开发，有很强的灵活性和扩展性，在今后开展新业务时可通过对参数等的简单更改迅速方便地实现，具有良好的适应能力。</w:t>
      </w:r>
    </w:p>
    <w:p>
      <w:pPr>
        <w:pStyle w:val="13"/>
        <w:numPr>
          <w:ilvl w:val="0"/>
          <w:numId w:val="5"/>
        </w:numPr>
        <w:autoSpaceDE w:val="0"/>
        <w:autoSpaceDN w:val="0"/>
        <w:spacing w:beforeAutospacing="0" w:afterAutospacing="0" w:line="360" w:lineRule="auto"/>
        <w:ind w:left="426" w:right="315" w:firstLine="283"/>
        <w:jc w:val="both"/>
        <w:rPr>
          <w:rFonts w:ascii="仿宋" w:hAnsi="仿宋" w:eastAsia="仿宋" w:cs="仿宋"/>
          <w:color w:val="auto"/>
        </w:rPr>
      </w:pPr>
      <w:r>
        <w:rPr>
          <w:rFonts w:hint="eastAsia" w:ascii="仿宋" w:hAnsi="仿宋" w:eastAsia="仿宋" w:cs="仿宋"/>
          <w:color w:val="auto"/>
        </w:rPr>
        <w:t>应用软件应采用友好的图形化窗口的用户操作界面，可操作性强，而且操作界面应力求简洁、直观，具有全中文界面，有向导性功能，支持工作台化管理，有利于简化操作，并提高操作效率。在考虑简化用户的操作的同时，应允许操作人员必要时做一些人工干预。</w:t>
      </w:r>
    </w:p>
    <w:p>
      <w:pPr>
        <w:pStyle w:val="13"/>
        <w:numPr>
          <w:ilvl w:val="0"/>
          <w:numId w:val="5"/>
        </w:numPr>
        <w:autoSpaceDE w:val="0"/>
        <w:autoSpaceDN w:val="0"/>
        <w:spacing w:beforeAutospacing="0" w:afterAutospacing="0" w:line="360" w:lineRule="auto"/>
        <w:ind w:left="426" w:right="315" w:firstLine="283"/>
        <w:jc w:val="both"/>
        <w:rPr>
          <w:rFonts w:ascii="仿宋" w:hAnsi="仿宋" w:eastAsia="仿宋" w:cs="仿宋"/>
          <w:color w:val="auto"/>
        </w:rPr>
      </w:pPr>
      <w:r>
        <w:rPr>
          <w:rFonts w:hint="eastAsia" w:ascii="仿宋" w:hAnsi="仿宋" w:eastAsia="仿宋" w:cs="仿宋"/>
          <w:color w:val="auto"/>
        </w:rPr>
        <w:t>应用软件应具备一套完备的数据管理系统和进程调度系统，以保证系统的安全可靠和整个系统的正常运转</w:t>
      </w:r>
    </w:p>
    <w:p>
      <w:pPr>
        <w:pStyle w:val="13"/>
        <w:numPr>
          <w:ilvl w:val="0"/>
          <w:numId w:val="5"/>
        </w:numPr>
        <w:autoSpaceDE w:val="0"/>
        <w:autoSpaceDN w:val="0"/>
        <w:spacing w:beforeAutospacing="0" w:afterAutospacing="0" w:line="360" w:lineRule="auto"/>
        <w:ind w:left="426" w:right="315" w:firstLine="283"/>
        <w:jc w:val="both"/>
        <w:rPr>
          <w:rFonts w:ascii="仿宋" w:hAnsi="仿宋" w:eastAsia="仿宋" w:cs="仿宋"/>
          <w:color w:val="auto"/>
        </w:rPr>
      </w:pPr>
      <w:r>
        <w:rPr>
          <w:rFonts w:hint="eastAsia" w:ascii="仿宋" w:hAnsi="仿宋" w:eastAsia="仿宋" w:cs="仿宋"/>
          <w:color w:val="auto"/>
        </w:rPr>
        <w:t>应用软件还应采用参数驱动的设计思想，在应用软件中，凡是不能确定的因素，应做到参数化，以达到通过对参数的设置就可适应不同的情况及不同时期的应用要求，并具备多用户和多任务操作能力。</w:t>
      </w:r>
    </w:p>
    <w:p>
      <w:pPr>
        <w:pStyle w:val="13"/>
        <w:numPr>
          <w:ilvl w:val="0"/>
          <w:numId w:val="5"/>
        </w:numPr>
        <w:autoSpaceDE w:val="0"/>
        <w:autoSpaceDN w:val="0"/>
        <w:spacing w:beforeAutospacing="0" w:afterAutospacing="0" w:line="360" w:lineRule="auto"/>
        <w:ind w:left="426" w:right="315" w:firstLine="283"/>
        <w:jc w:val="both"/>
        <w:rPr>
          <w:rFonts w:ascii="仿宋" w:hAnsi="仿宋" w:eastAsia="仿宋" w:cs="仿宋"/>
          <w:color w:val="auto"/>
        </w:rPr>
      </w:pPr>
      <w:r>
        <w:rPr>
          <w:rFonts w:hint="eastAsia" w:ascii="仿宋" w:hAnsi="仿宋" w:eastAsia="仿宋" w:cs="仿宋"/>
          <w:color w:val="auto"/>
        </w:rPr>
        <w:t>每个应用的功能由一个应用模块完成，应用模块之间应减少耦合度；应用模块与系统之间采用开放的应用接口（API）进行通信；开发人员可灵活开发新的应用模块，并可在不需对原有系统进行重新编译的前提下，动态加载到系统使用。</w:t>
      </w:r>
    </w:p>
    <w:p>
      <w:pPr>
        <w:pStyle w:val="13"/>
        <w:numPr>
          <w:ilvl w:val="0"/>
          <w:numId w:val="5"/>
        </w:numPr>
        <w:autoSpaceDE w:val="0"/>
        <w:autoSpaceDN w:val="0"/>
        <w:spacing w:beforeAutospacing="0" w:afterAutospacing="0" w:line="360" w:lineRule="auto"/>
        <w:ind w:left="426" w:right="315" w:firstLine="283"/>
        <w:jc w:val="both"/>
        <w:rPr>
          <w:rFonts w:ascii="仿宋" w:hAnsi="仿宋" w:eastAsia="仿宋" w:cs="仿宋"/>
          <w:color w:val="auto"/>
        </w:rPr>
      </w:pPr>
      <w:r>
        <w:rPr>
          <w:rFonts w:hint="eastAsia" w:ascii="仿宋" w:hAnsi="仿宋" w:eastAsia="仿宋" w:cs="仿宋"/>
          <w:color w:val="auto"/>
        </w:rPr>
        <w:t>应用软件必须可制作打包安装盘（包），具有自动安装功能以及网络 远程安装功能。</w:t>
      </w:r>
    </w:p>
    <w:p>
      <w:pPr>
        <w:pStyle w:val="13"/>
        <w:numPr>
          <w:ilvl w:val="0"/>
          <w:numId w:val="5"/>
        </w:numPr>
        <w:autoSpaceDE w:val="0"/>
        <w:autoSpaceDN w:val="0"/>
        <w:spacing w:beforeAutospacing="0" w:afterAutospacing="0" w:line="360" w:lineRule="auto"/>
        <w:ind w:left="426" w:right="315" w:firstLine="283"/>
        <w:jc w:val="both"/>
        <w:rPr>
          <w:rFonts w:ascii="仿宋" w:hAnsi="仿宋" w:eastAsia="仿宋" w:cs="仿宋"/>
          <w:color w:val="auto"/>
        </w:rPr>
      </w:pPr>
      <w:r>
        <w:rPr>
          <w:rFonts w:hint="eastAsia" w:ascii="仿宋" w:hAnsi="仿宋" w:eastAsia="仿宋" w:cs="仿宋"/>
          <w:color w:val="auto"/>
        </w:rPr>
        <w:t>应用软件要遵循易操作性、健壮性、实用性、高效性和安全性的原则。</w:t>
      </w:r>
    </w:p>
    <w:p>
      <w:pPr>
        <w:pStyle w:val="13"/>
        <w:numPr>
          <w:ilvl w:val="0"/>
          <w:numId w:val="5"/>
        </w:numPr>
        <w:autoSpaceDE w:val="0"/>
        <w:autoSpaceDN w:val="0"/>
        <w:spacing w:beforeAutospacing="0" w:afterAutospacing="0" w:line="360" w:lineRule="auto"/>
        <w:ind w:left="426" w:right="315" w:firstLine="283"/>
        <w:jc w:val="both"/>
        <w:rPr>
          <w:rFonts w:ascii="仿宋" w:hAnsi="仿宋" w:eastAsia="仿宋" w:cs="仿宋"/>
          <w:color w:val="auto"/>
        </w:rPr>
      </w:pPr>
      <w:r>
        <w:rPr>
          <w:rFonts w:hint="eastAsia" w:ascii="仿宋" w:hAnsi="仿宋" w:eastAsia="仿宋" w:cs="仿宋"/>
          <w:color w:val="auto"/>
        </w:rPr>
        <w:t>灵活设计和详细规划系统操作权限，支持功能级、数据级权限控制，可按原子级业务、业务组件、业务流程分配系统操作权限；支持角色管理，个性化角色工作台展示业务组件、业务图表。</w:t>
      </w:r>
    </w:p>
    <w:p>
      <w:pPr>
        <w:pStyle w:val="13"/>
        <w:numPr>
          <w:ilvl w:val="0"/>
          <w:numId w:val="5"/>
        </w:numPr>
        <w:autoSpaceDE w:val="0"/>
        <w:autoSpaceDN w:val="0"/>
        <w:spacing w:beforeAutospacing="0" w:afterAutospacing="0" w:line="360" w:lineRule="auto"/>
        <w:ind w:left="426" w:right="315" w:firstLine="283"/>
        <w:jc w:val="both"/>
        <w:rPr>
          <w:rFonts w:ascii="仿宋" w:hAnsi="仿宋" w:eastAsia="仿宋" w:cs="仿宋"/>
          <w:color w:val="auto"/>
        </w:rPr>
      </w:pPr>
      <w:r>
        <w:rPr>
          <w:rFonts w:hint="eastAsia" w:ascii="仿宋" w:hAnsi="仿宋" w:eastAsia="仿宋" w:cs="仿宋"/>
          <w:color w:val="auto"/>
        </w:rPr>
        <w:t>应用软件应具有完整、严谨的操作权限管理机制和日志记录，确保系统的安全性和业务的可稽核性；系统采用业务回退机制，加强业务的可逆性。</w:t>
      </w:r>
    </w:p>
    <w:p>
      <w:pPr>
        <w:widowControl/>
        <w:spacing w:line="360" w:lineRule="auto"/>
        <w:rPr>
          <w:rFonts w:ascii="仿宋" w:hAnsi="仿宋" w:eastAsia="仿宋" w:cs="仿宋"/>
          <w:b/>
          <w:bCs/>
          <w:color w:val="auto"/>
          <w:kern w:val="44"/>
          <w:sz w:val="24"/>
        </w:rPr>
      </w:pPr>
      <w:bookmarkStart w:id="178" w:name="_Toc40904956"/>
      <w:r>
        <w:rPr>
          <w:rFonts w:hint="eastAsia" w:ascii="仿宋" w:hAnsi="仿宋" w:eastAsia="仿宋" w:cs="仿宋"/>
          <w:b/>
          <w:bCs/>
          <w:color w:val="auto"/>
          <w:kern w:val="44"/>
          <w:sz w:val="24"/>
        </w:rPr>
        <w:t>9.应用软件说明要求</w:t>
      </w:r>
      <w:bookmarkEnd w:id="178"/>
    </w:p>
    <w:p>
      <w:pPr>
        <w:pStyle w:val="13"/>
        <w:numPr>
          <w:ilvl w:val="0"/>
          <w:numId w:val="6"/>
        </w:numPr>
        <w:autoSpaceDE w:val="0"/>
        <w:autoSpaceDN w:val="0"/>
        <w:spacing w:beforeAutospacing="0" w:afterAutospacing="0" w:line="360" w:lineRule="auto"/>
        <w:ind w:left="426" w:right="315" w:firstLine="283"/>
        <w:jc w:val="both"/>
        <w:rPr>
          <w:rFonts w:ascii="仿宋" w:hAnsi="仿宋" w:eastAsia="仿宋" w:cs="仿宋"/>
          <w:color w:val="auto"/>
        </w:rPr>
      </w:pPr>
      <w:r>
        <w:rPr>
          <w:rFonts w:hint="eastAsia" w:ascii="仿宋" w:hAnsi="仿宋" w:eastAsia="仿宋" w:cs="仿宋"/>
          <w:color w:val="auto"/>
        </w:rPr>
        <w:t>投标方产品应支持当前主流X86服务器和主流操作系统（Linux），支持虚拟化，支持容器（docker），支持主流云服务等。</w:t>
      </w:r>
    </w:p>
    <w:p>
      <w:pPr>
        <w:pStyle w:val="13"/>
        <w:numPr>
          <w:ilvl w:val="0"/>
          <w:numId w:val="6"/>
        </w:numPr>
        <w:autoSpaceDE w:val="0"/>
        <w:autoSpaceDN w:val="0"/>
        <w:spacing w:beforeAutospacing="0" w:afterAutospacing="0" w:line="360" w:lineRule="auto"/>
        <w:ind w:left="426" w:right="315" w:firstLine="283"/>
        <w:jc w:val="both"/>
        <w:rPr>
          <w:rFonts w:ascii="仿宋" w:hAnsi="仿宋" w:eastAsia="仿宋" w:cs="仿宋"/>
          <w:color w:val="auto"/>
        </w:rPr>
      </w:pPr>
      <w:r>
        <w:rPr>
          <w:rFonts w:hint="eastAsia" w:ascii="仿宋" w:hAnsi="仿宋" w:eastAsia="仿宋" w:cs="仿宋"/>
          <w:color w:val="auto"/>
        </w:rPr>
        <w:t>投标方产品应支持当前主流数据库、中间件及云数据库。并且支持国产数据库及中间件。</w:t>
      </w:r>
    </w:p>
    <w:p>
      <w:pPr>
        <w:widowControl/>
        <w:spacing w:line="360" w:lineRule="auto"/>
        <w:rPr>
          <w:rFonts w:ascii="仿宋" w:hAnsi="仿宋" w:eastAsia="仿宋" w:cs="仿宋"/>
          <w:b/>
          <w:bCs/>
          <w:color w:val="auto"/>
          <w:kern w:val="44"/>
          <w:sz w:val="24"/>
        </w:rPr>
      </w:pPr>
      <w:bookmarkStart w:id="179" w:name="_Toc40904957"/>
      <w:r>
        <w:rPr>
          <w:rFonts w:hint="eastAsia" w:ascii="仿宋" w:hAnsi="仿宋" w:eastAsia="仿宋" w:cs="仿宋"/>
          <w:b/>
          <w:bCs/>
          <w:color w:val="auto"/>
          <w:kern w:val="44"/>
          <w:sz w:val="24"/>
        </w:rPr>
        <w:t>10.中标单位第三方软件技术要求</w:t>
      </w:r>
      <w:bookmarkEnd w:id="179"/>
    </w:p>
    <w:p>
      <w:pPr>
        <w:spacing w:line="360" w:lineRule="auto"/>
        <w:ind w:firstLine="420"/>
        <w:rPr>
          <w:rFonts w:ascii="仿宋" w:hAnsi="仿宋" w:eastAsia="仿宋" w:cs="仿宋"/>
          <w:color w:val="auto"/>
          <w:kern w:val="0"/>
          <w:sz w:val="24"/>
        </w:rPr>
      </w:pPr>
      <w:r>
        <w:rPr>
          <w:rFonts w:hint="eastAsia" w:ascii="仿宋" w:hAnsi="仿宋" w:eastAsia="仿宋" w:cs="仿宋"/>
          <w:color w:val="auto"/>
          <w:kern w:val="0"/>
          <w:sz w:val="24"/>
        </w:rPr>
        <w:t>中标单位原则上须使用招标方所提供的第三方软件，如遇特殊情况，需使用其他第三方软件，在征得招标方同意后，由投标方自行解决。</w:t>
      </w:r>
    </w:p>
    <w:p>
      <w:pPr>
        <w:widowControl/>
        <w:spacing w:line="360" w:lineRule="auto"/>
        <w:rPr>
          <w:rFonts w:ascii="仿宋" w:hAnsi="仿宋" w:eastAsia="仿宋" w:cs="仿宋"/>
          <w:b/>
          <w:bCs/>
          <w:color w:val="auto"/>
          <w:kern w:val="44"/>
          <w:sz w:val="24"/>
        </w:rPr>
      </w:pPr>
      <w:bookmarkStart w:id="180" w:name="_Toc40904958"/>
      <w:r>
        <w:rPr>
          <w:rFonts w:hint="eastAsia" w:ascii="仿宋" w:hAnsi="仿宋" w:eastAsia="仿宋" w:cs="仿宋"/>
          <w:b/>
          <w:bCs/>
          <w:color w:val="auto"/>
          <w:kern w:val="44"/>
          <w:sz w:val="24"/>
        </w:rPr>
        <w:t>11.中台部署服务要求</w:t>
      </w:r>
      <w:bookmarkEnd w:id="180"/>
    </w:p>
    <w:p>
      <w:pPr>
        <w:widowControl/>
        <w:spacing w:line="360" w:lineRule="auto"/>
        <w:ind w:left="420" w:hanging="420"/>
        <w:rPr>
          <w:rFonts w:ascii="仿宋" w:hAnsi="仿宋" w:eastAsia="仿宋" w:cs="仿宋"/>
          <w:b/>
          <w:bCs/>
          <w:color w:val="auto"/>
          <w:sz w:val="24"/>
        </w:rPr>
      </w:pPr>
      <w:bookmarkStart w:id="181" w:name="_Toc40904959"/>
      <w:r>
        <w:rPr>
          <w:rFonts w:hint="eastAsia" w:ascii="仿宋" w:hAnsi="仿宋" w:eastAsia="仿宋" w:cs="仿宋"/>
          <w:b/>
          <w:bCs/>
          <w:color w:val="auto"/>
          <w:sz w:val="24"/>
        </w:rPr>
        <w:t>11.1中标单位项目管理要求</w:t>
      </w:r>
      <w:bookmarkEnd w:id="181"/>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中标单位须提供本次工程建设的项目管理方案，本包投入技术人员不少于15人，包括项目人员名单（中标单位安排的项目人员必须固定，若有替换，必须与招标方协商，未经甲方同意，人员变动扣除项目1%/人，人员超过总人数10%，甲方有权终止项目。此外，中标单位所安排的开发和运维人员必须专职于本项目的开发）及角色分工、项目实施计划、项目变更管理方案以及项目风险管理方案等。投标方应承诺提供现场实施服务。基本要求如下：</w:t>
      </w:r>
    </w:p>
    <w:p>
      <w:pPr>
        <w:pStyle w:val="13"/>
        <w:autoSpaceDE w:val="0"/>
        <w:autoSpaceDN w:val="0"/>
        <w:spacing w:beforeAutospacing="0" w:afterAutospacing="0" w:line="360" w:lineRule="auto"/>
        <w:ind w:left="851" w:right="163"/>
        <w:rPr>
          <w:rFonts w:ascii="仿宋" w:hAnsi="仿宋" w:eastAsia="仿宋" w:cs="仿宋"/>
          <w:color w:val="auto"/>
          <w:spacing w:val="-4"/>
        </w:rPr>
      </w:pPr>
      <w:r>
        <w:rPr>
          <w:rFonts w:hint="eastAsia" w:ascii="仿宋" w:hAnsi="仿宋" w:eastAsia="仿宋" w:cs="仿宋"/>
          <w:color w:val="auto"/>
          <w:spacing w:val="-4"/>
        </w:rPr>
        <w:t>(1)项目经理</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具有5 年以上的信息化规划和建设管理经验，具有信息化总体规划能力，具备省级及以上医疗、医保或医药相关行业规划建设经验，对医疗、医保或医药领域信息化有深入理解，有良好的沟通能力、耐性和综合素质。</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中标单位参与的项目经理负责对业务中台部署的项目管理工作。</w:t>
      </w:r>
    </w:p>
    <w:p>
      <w:pPr>
        <w:pStyle w:val="13"/>
        <w:autoSpaceDE w:val="0"/>
        <w:autoSpaceDN w:val="0"/>
        <w:spacing w:beforeAutospacing="0" w:afterAutospacing="0" w:line="360" w:lineRule="auto"/>
        <w:ind w:left="851" w:right="305"/>
        <w:rPr>
          <w:rFonts w:ascii="仿宋" w:hAnsi="仿宋" w:eastAsia="仿宋" w:cs="仿宋"/>
          <w:color w:val="auto"/>
          <w:spacing w:val="-4"/>
        </w:rPr>
      </w:pPr>
      <w:r>
        <w:rPr>
          <w:rFonts w:hint="eastAsia" w:ascii="仿宋" w:hAnsi="仿宋" w:eastAsia="仿宋" w:cs="仿宋"/>
          <w:color w:val="auto"/>
          <w:spacing w:val="-4"/>
        </w:rPr>
        <w:t>(2)需求分析阶段</w:t>
      </w:r>
    </w:p>
    <w:p>
      <w:pPr>
        <w:pStyle w:val="13"/>
        <w:autoSpaceDE w:val="0"/>
        <w:autoSpaceDN w:val="0"/>
        <w:spacing w:beforeAutospacing="0" w:afterAutospacing="0" w:line="360" w:lineRule="auto"/>
        <w:ind w:left="220" w:right="315" w:firstLine="480"/>
        <w:jc w:val="both"/>
        <w:rPr>
          <w:rFonts w:ascii="仿宋" w:hAnsi="仿宋" w:eastAsia="仿宋" w:cs="仿宋"/>
          <w:color w:val="auto"/>
        </w:rPr>
      </w:pPr>
      <w:r>
        <w:rPr>
          <w:rFonts w:hint="eastAsia" w:ascii="仿宋" w:hAnsi="仿宋" w:eastAsia="仿宋" w:cs="仿宋"/>
          <w:color w:val="auto"/>
        </w:rPr>
        <w:t>中标单位须与</w:t>
      </w:r>
      <w:r>
        <w:rPr>
          <w:rFonts w:hint="eastAsia" w:ascii="仿宋" w:hAnsi="仿宋" w:eastAsia="仿宋" w:cs="仿宋"/>
          <w:color w:val="auto"/>
          <w:lang w:val="zh-CN" w:bidi="zh-CN"/>
        </w:rPr>
        <w:t>海南省医疗保障局等相关部门</w:t>
      </w:r>
      <w:r>
        <w:rPr>
          <w:rFonts w:hint="eastAsia" w:ascii="仿宋" w:hAnsi="仿宋" w:eastAsia="仿宋" w:cs="仿宋"/>
          <w:color w:val="auto"/>
        </w:rPr>
        <w:t>相关人员充分沟通，掌握本项目的需求。</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要求：</w:t>
      </w:r>
    </w:p>
    <w:p>
      <w:pPr>
        <w:pStyle w:val="13"/>
        <w:widowControl/>
        <w:adjustRightInd w:val="0"/>
        <w:spacing w:beforeAutospacing="0" w:afterAutospacing="0" w:line="360" w:lineRule="auto"/>
        <w:ind w:left="420"/>
        <w:textAlignment w:val="baseline"/>
        <w:rPr>
          <w:rFonts w:ascii="仿宋" w:hAnsi="仿宋" w:eastAsia="仿宋" w:cs="仿宋"/>
          <w:color w:val="auto"/>
        </w:rPr>
      </w:pPr>
      <w:r>
        <w:rPr>
          <w:rFonts w:hint="eastAsia" w:ascii="仿宋" w:hAnsi="仿宋" w:eastAsia="仿宋" w:cs="仿宋"/>
          <w:color w:val="auto"/>
        </w:rPr>
        <w:t>中标单位参与人员数量，针对业务中台部署：总数不少于 10人。</w:t>
      </w:r>
    </w:p>
    <w:p>
      <w:pPr>
        <w:pStyle w:val="13"/>
        <w:widowControl/>
        <w:adjustRightInd w:val="0"/>
        <w:spacing w:beforeAutospacing="0" w:afterAutospacing="0" w:line="360" w:lineRule="auto"/>
        <w:ind w:left="420"/>
        <w:textAlignment w:val="baseline"/>
        <w:rPr>
          <w:rFonts w:ascii="仿宋" w:hAnsi="仿宋" w:eastAsia="仿宋" w:cs="仿宋"/>
          <w:color w:val="auto"/>
        </w:rPr>
      </w:pPr>
      <w:r>
        <w:rPr>
          <w:rFonts w:hint="eastAsia" w:ascii="仿宋" w:hAnsi="仿宋" w:eastAsia="仿宋" w:cs="仿宋"/>
          <w:color w:val="auto"/>
        </w:rPr>
        <w:t>中标单位至少需提交的文档：业务需求调研报告、应用系统需求分析规格说明书。</w:t>
      </w:r>
    </w:p>
    <w:p>
      <w:pPr>
        <w:pStyle w:val="13"/>
        <w:autoSpaceDE w:val="0"/>
        <w:autoSpaceDN w:val="0"/>
        <w:spacing w:beforeAutospacing="0" w:afterAutospacing="0" w:line="360" w:lineRule="auto"/>
        <w:ind w:left="851" w:right="305"/>
        <w:rPr>
          <w:rFonts w:ascii="仿宋" w:hAnsi="仿宋" w:eastAsia="仿宋" w:cs="仿宋"/>
          <w:color w:val="auto"/>
          <w:spacing w:val="-4"/>
        </w:rPr>
      </w:pPr>
      <w:r>
        <w:rPr>
          <w:rFonts w:hint="eastAsia" w:ascii="仿宋" w:hAnsi="仿宋" w:eastAsia="仿宋" w:cs="仿宋"/>
          <w:color w:val="auto"/>
          <w:spacing w:val="-4"/>
        </w:rPr>
        <w:t>(3)系统设计研发阶段</w:t>
      </w:r>
    </w:p>
    <w:p>
      <w:pPr>
        <w:spacing w:line="360" w:lineRule="auto"/>
        <w:ind w:left="275" w:leftChars="131" w:firstLine="120" w:firstLineChars="50"/>
        <w:rPr>
          <w:rFonts w:ascii="仿宋" w:hAnsi="仿宋" w:eastAsia="仿宋" w:cs="仿宋"/>
          <w:color w:val="auto"/>
          <w:sz w:val="24"/>
        </w:rPr>
      </w:pPr>
      <w:r>
        <w:rPr>
          <w:rFonts w:hint="eastAsia" w:ascii="仿宋" w:hAnsi="仿宋" w:eastAsia="仿宋" w:cs="仿宋"/>
          <w:color w:val="auto"/>
          <w:sz w:val="24"/>
        </w:rPr>
        <w:t>要求：</w:t>
      </w:r>
    </w:p>
    <w:p>
      <w:pPr>
        <w:pStyle w:val="13"/>
        <w:spacing w:beforeAutospacing="0" w:afterAutospacing="0" w:line="360" w:lineRule="auto"/>
        <w:ind w:firstLine="480" w:firstLineChars="200"/>
        <w:jc w:val="both"/>
        <w:rPr>
          <w:rFonts w:ascii="仿宋" w:hAnsi="仿宋" w:eastAsia="仿宋" w:cs="仿宋"/>
          <w:color w:val="auto"/>
          <w:kern w:val="2"/>
        </w:rPr>
      </w:pPr>
      <w:r>
        <w:rPr>
          <w:rFonts w:hint="eastAsia" w:ascii="仿宋" w:hAnsi="仿宋" w:eastAsia="仿宋" w:cs="仿宋"/>
          <w:color w:val="auto"/>
        </w:rPr>
        <w:t>中标单位</w:t>
      </w:r>
      <w:r>
        <w:rPr>
          <w:rFonts w:hint="eastAsia" w:ascii="仿宋" w:hAnsi="仿宋" w:eastAsia="仿宋" w:cs="仿宋"/>
          <w:color w:val="auto"/>
          <w:kern w:val="2"/>
        </w:rPr>
        <w:t>参与人员数量，针对</w:t>
      </w:r>
      <w:r>
        <w:rPr>
          <w:rFonts w:hint="eastAsia" w:ascii="仿宋" w:hAnsi="仿宋" w:eastAsia="仿宋" w:cs="仿宋"/>
          <w:color w:val="auto"/>
        </w:rPr>
        <w:t>业务中台部署</w:t>
      </w:r>
      <w:r>
        <w:rPr>
          <w:rFonts w:hint="eastAsia" w:ascii="仿宋" w:hAnsi="仿宋" w:eastAsia="仿宋" w:cs="仿宋"/>
          <w:color w:val="auto"/>
          <w:kern w:val="2"/>
        </w:rPr>
        <w:t>：总数不少于 10人。</w:t>
      </w:r>
    </w:p>
    <w:p>
      <w:pPr>
        <w:pStyle w:val="13"/>
        <w:spacing w:beforeAutospacing="0" w:afterAutospacing="0" w:line="360" w:lineRule="auto"/>
        <w:ind w:firstLine="480" w:firstLineChars="200"/>
        <w:jc w:val="both"/>
        <w:rPr>
          <w:rFonts w:ascii="仿宋" w:hAnsi="仿宋" w:eastAsia="仿宋" w:cs="仿宋"/>
          <w:color w:val="auto"/>
          <w:kern w:val="2"/>
        </w:rPr>
      </w:pPr>
      <w:r>
        <w:rPr>
          <w:rFonts w:hint="eastAsia" w:ascii="仿宋" w:hAnsi="仿宋" w:eastAsia="仿宋" w:cs="仿宋"/>
          <w:color w:val="auto"/>
        </w:rPr>
        <w:t>中标单位</w:t>
      </w:r>
      <w:r>
        <w:rPr>
          <w:rFonts w:hint="eastAsia" w:ascii="仿宋" w:hAnsi="仿宋" w:eastAsia="仿宋" w:cs="仿宋"/>
          <w:color w:val="auto"/>
          <w:kern w:val="2"/>
        </w:rPr>
        <w:t>至少需提交的文档：系统架构设计说明书，系统详细设计说明书，数据库设计说明书，各软件功能模块、流程、数据、接口模块的详细说明及内部测试报告。</w:t>
      </w:r>
    </w:p>
    <w:p>
      <w:pPr>
        <w:pStyle w:val="13"/>
        <w:autoSpaceDE w:val="0"/>
        <w:autoSpaceDN w:val="0"/>
        <w:spacing w:beforeAutospacing="0" w:afterAutospacing="0" w:line="360" w:lineRule="auto"/>
        <w:ind w:left="851" w:right="305"/>
        <w:rPr>
          <w:rFonts w:ascii="仿宋" w:hAnsi="仿宋" w:eastAsia="仿宋" w:cs="仿宋"/>
          <w:color w:val="auto"/>
          <w:spacing w:val="-4"/>
        </w:rPr>
      </w:pPr>
      <w:r>
        <w:rPr>
          <w:rFonts w:hint="eastAsia" w:ascii="仿宋" w:hAnsi="仿宋" w:eastAsia="仿宋" w:cs="仿宋"/>
          <w:color w:val="auto"/>
          <w:spacing w:val="-4"/>
        </w:rPr>
        <w:t>(4)系统测试阶段</w:t>
      </w:r>
    </w:p>
    <w:p>
      <w:pPr>
        <w:spacing w:line="360" w:lineRule="auto"/>
        <w:ind w:left="275" w:leftChars="131"/>
        <w:rPr>
          <w:rFonts w:ascii="仿宋" w:hAnsi="仿宋" w:eastAsia="仿宋" w:cs="仿宋"/>
          <w:color w:val="auto"/>
          <w:sz w:val="24"/>
        </w:rPr>
      </w:pPr>
      <w:r>
        <w:rPr>
          <w:rFonts w:hint="eastAsia" w:ascii="仿宋" w:hAnsi="仿宋" w:eastAsia="仿宋" w:cs="仿宋"/>
          <w:color w:val="auto"/>
          <w:sz w:val="24"/>
        </w:rPr>
        <w:t>要求：</w:t>
      </w:r>
    </w:p>
    <w:p>
      <w:pPr>
        <w:pStyle w:val="13"/>
        <w:spacing w:beforeAutospacing="0" w:afterAutospacing="0" w:line="360" w:lineRule="auto"/>
        <w:ind w:left="695"/>
        <w:jc w:val="both"/>
        <w:rPr>
          <w:rFonts w:ascii="仿宋" w:hAnsi="仿宋" w:eastAsia="仿宋" w:cs="仿宋"/>
          <w:color w:val="auto"/>
          <w:kern w:val="2"/>
        </w:rPr>
      </w:pPr>
      <w:r>
        <w:rPr>
          <w:rFonts w:hint="eastAsia" w:ascii="仿宋" w:hAnsi="仿宋" w:eastAsia="仿宋" w:cs="仿宋"/>
          <w:color w:val="auto"/>
        </w:rPr>
        <w:t>中标单位</w:t>
      </w:r>
      <w:r>
        <w:rPr>
          <w:rFonts w:hint="eastAsia" w:ascii="仿宋" w:hAnsi="仿宋" w:eastAsia="仿宋" w:cs="仿宋"/>
          <w:color w:val="auto"/>
          <w:kern w:val="2"/>
        </w:rPr>
        <w:t>参与人员数量，针对</w:t>
      </w:r>
      <w:r>
        <w:rPr>
          <w:rFonts w:hint="eastAsia" w:ascii="仿宋" w:hAnsi="仿宋" w:eastAsia="仿宋" w:cs="仿宋"/>
          <w:color w:val="auto"/>
        </w:rPr>
        <w:t>业务中台部署</w:t>
      </w:r>
      <w:r>
        <w:rPr>
          <w:rFonts w:hint="eastAsia" w:ascii="仿宋" w:hAnsi="仿宋" w:eastAsia="仿宋" w:cs="仿宋"/>
          <w:color w:val="auto"/>
          <w:kern w:val="2"/>
        </w:rPr>
        <w:t>：总数不少于10人。</w:t>
      </w:r>
    </w:p>
    <w:p>
      <w:pPr>
        <w:pStyle w:val="13"/>
        <w:spacing w:beforeAutospacing="0" w:afterAutospacing="0" w:line="360" w:lineRule="auto"/>
        <w:ind w:left="695"/>
        <w:jc w:val="both"/>
        <w:rPr>
          <w:rFonts w:ascii="仿宋" w:hAnsi="仿宋" w:eastAsia="仿宋" w:cs="仿宋"/>
          <w:color w:val="auto"/>
          <w:kern w:val="2"/>
        </w:rPr>
      </w:pPr>
      <w:r>
        <w:rPr>
          <w:rFonts w:hint="eastAsia" w:ascii="仿宋" w:hAnsi="仿宋" w:eastAsia="仿宋" w:cs="仿宋"/>
          <w:color w:val="auto"/>
        </w:rPr>
        <w:t>中标单位</w:t>
      </w:r>
      <w:r>
        <w:rPr>
          <w:rFonts w:hint="eastAsia" w:ascii="仿宋" w:hAnsi="仿宋" w:eastAsia="仿宋" w:cs="仿宋"/>
          <w:color w:val="auto"/>
          <w:kern w:val="2"/>
        </w:rPr>
        <w:t>至少需提交的文档：测试方案、测试过程文档、系统整体测试报告。</w:t>
      </w:r>
    </w:p>
    <w:p>
      <w:pPr>
        <w:pStyle w:val="13"/>
        <w:autoSpaceDE w:val="0"/>
        <w:autoSpaceDN w:val="0"/>
        <w:spacing w:beforeAutospacing="0" w:afterAutospacing="0" w:line="360" w:lineRule="auto"/>
        <w:ind w:left="851" w:right="305"/>
        <w:rPr>
          <w:rFonts w:ascii="仿宋" w:hAnsi="仿宋" w:eastAsia="仿宋" w:cs="仿宋"/>
          <w:color w:val="auto"/>
          <w:spacing w:val="-4"/>
        </w:rPr>
      </w:pPr>
      <w:r>
        <w:rPr>
          <w:rFonts w:hint="eastAsia" w:ascii="仿宋" w:hAnsi="仿宋" w:eastAsia="仿宋" w:cs="仿宋"/>
          <w:color w:val="auto"/>
          <w:spacing w:val="-4"/>
        </w:rPr>
        <w:t>(5)系统实施阶段</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要求：</w:t>
      </w:r>
    </w:p>
    <w:p>
      <w:pPr>
        <w:pStyle w:val="13"/>
        <w:spacing w:beforeAutospacing="0" w:afterAutospacing="0" w:line="360" w:lineRule="auto"/>
        <w:ind w:left="840"/>
        <w:jc w:val="both"/>
        <w:rPr>
          <w:rFonts w:ascii="仿宋" w:hAnsi="仿宋" w:eastAsia="仿宋" w:cs="仿宋"/>
          <w:color w:val="auto"/>
          <w:kern w:val="2"/>
        </w:rPr>
      </w:pPr>
      <w:r>
        <w:rPr>
          <w:rFonts w:hint="eastAsia" w:ascii="仿宋" w:hAnsi="仿宋" w:eastAsia="仿宋" w:cs="仿宋"/>
          <w:color w:val="auto"/>
        </w:rPr>
        <w:t>中标单位</w:t>
      </w:r>
      <w:r>
        <w:rPr>
          <w:rFonts w:hint="eastAsia" w:ascii="仿宋" w:hAnsi="仿宋" w:eastAsia="仿宋" w:cs="仿宋"/>
          <w:color w:val="auto"/>
          <w:kern w:val="2"/>
        </w:rPr>
        <w:t>驻场参与人员数量，针对</w:t>
      </w:r>
      <w:r>
        <w:rPr>
          <w:rFonts w:hint="eastAsia" w:ascii="仿宋" w:hAnsi="仿宋" w:eastAsia="仿宋" w:cs="仿宋"/>
          <w:color w:val="auto"/>
        </w:rPr>
        <w:t>业务中台部署</w:t>
      </w:r>
      <w:r>
        <w:rPr>
          <w:rFonts w:hint="eastAsia" w:ascii="仿宋" w:hAnsi="仿宋" w:eastAsia="仿宋" w:cs="仿宋"/>
          <w:color w:val="auto"/>
          <w:kern w:val="2"/>
        </w:rPr>
        <w:t>：总数不少于10人。</w:t>
      </w:r>
    </w:p>
    <w:p>
      <w:pPr>
        <w:pStyle w:val="13"/>
        <w:spacing w:beforeAutospacing="0" w:afterAutospacing="0" w:line="360" w:lineRule="auto"/>
        <w:ind w:left="840"/>
        <w:jc w:val="both"/>
        <w:rPr>
          <w:rFonts w:ascii="仿宋" w:hAnsi="仿宋" w:eastAsia="仿宋" w:cs="仿宋"/>
          <w:color w:val="auto"/>
          <w:kern w:val="2"/>
        </w:rPr>
      </w:pPr>
      <w:r>
        <w:rPr>
          <w:rFonts w:hint="eastAsia" w:ascii="仿宋" w:hAnsi="仿宋" w:eastAsia="仿宋" w:cs="仿宋"/>
          <w:color w:val="auto"/>
        </w:rPr>
        <w:t>中标单位</w:t>
      </w:r>
      <w:r>
        <w:rPr>
          <w:rFonts w:hint="eastAsia" w:ascii="仿宋" w:hAnsi="仿宋" w:eastAsia="仿宋" w:cs="仿宋"/>
          <w:color w:val="auto"/>
          <w:kern w:val="2"/>
        </w:rPr>
        <w:t>至少需提交的文档：系统实施计划、过程文档、试运行报告。</w:t>
      </w:r>
    </w:p>
    <w:p>
      <w:pPr>
        <w:pStyle w:val="13"/>
        <w:autoSpaceDE w:val="0"/>
        <w:autoSpaceDN w:val="0"/>
        <w:spacing w:beforeAutospacing="0" w:afterAutospacing="0" w:line="360" w:lineRule="auto"/>
        <w:ind w:left="851" w:right="305"/>
        <w:rPr>
          <w:rFonts w:ascii="仿宋" w:hAnsi="仿宋" w:eastAsia="仿宋" w:cs="仿宋"/>
          <w:color w:val="auto"/>
          <w:spacing w:val="-4"/>
        </w:rPr>
      </w:pPr>
      <w:r>
        <w:rPr>
          <w:rFonts w:hint="eastAsia" w:ascii="仿宋" w:hAnsi="仿宋" w:eastAsia="仿宋" w:cs="仿宋"/>
          <w:color w:val="auto"/>
          <w:spacing w:val="-4"/>
        </w:rPr>
        <w:t>(6)驻场服务</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本项目实施期内须提供至少8名本项目专职长期驻场工程师，驻场工程师工作量不额外计费，驻场工程师具备本系统进行修改、调整能力，并按客户要求调整本系统（包括驻场工程师工作量内的新需求）。</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人员要求：驻场负责人</w:t>
      </w:r>
      <w:r>
        <w:rPr>
          <w:rFonts w:hint="eastAsia" w:ascii="仿宋" w:hAnsi="仿宋" w:eastAsia="仿宋" w:cs="仿宋"/>
          <w:color w:val="auto"/>
          <w:kern w:val="0"/>
          <w:sz w:val="24"/>
          <w:szCs w:val="24"/>
        </w:rPr>
        <w:t>具有</w:t>
      </w:r>
      <w:r>
        <w:rPr>
          <w:rFonts w:ascii="仿宋" w:hAnsi="仿宋" w:eastAsia="仿宋" w:cs="仿宋"/>
          <w:bCs w:val="0"/>
          <w:color w:val="auto"/>
          <w:kern w:val="0"/>
          <w:sz w:val="24"/>
          <w:szCs w:val="24"/>
        </w:rPr>
        <w:t>一定医保信息平台开发建设实践经验</w:t>
      </w:r>
      <w:r>
        <w:rPr>
          <w:rFonts w:hint="eastAsia" w:ascii="仿宋" w:hAnsi="仿宋" w:eastAsia="仿宋" w:cs="仿宋"/>
          <w:bCs w:val="0"/>
          <w:color w:val="auto"/>
          <w:kern w:val="0"/>
          <w:sz w:val="24"/>
        </w:rPr>
        <w:t>且具备</w:t>
      </w:r>
      <w:r>
        <w:rPr>
          <w:rFonts w:hint="eastAsia" w:ascii="仿宋" w:hAnsi="仿宋" w:eastAsia="仿宋" w:cs="仿宋"/>
          <w:color w:val="auto"/>
          <w:kern w:val="0"/>
          <w:sz w:val="24"/>
          <w:szCs w:val="24"/>
        </w:rPr>
        <w:t>5</w:t>
      </w:r>
      <w:r>
        <w:rPr>
          <w:rFonts w:hint="eastAsia" w:ascii="仿宋" w:hAnsi="仿宋" w:eastAsia="仿宋" w:cs="仿宋"/>
          <w:color w:val="auto"/>
          <w:sz w:val="24"/>
          <w:szCs w:val="24"/>
        </w:rPr>
        <w:t>以上的政府相关领域信息化研发经验，具备省级及以上政府相关行业建设经验，对政府相关领域信息化有深入理解，有良好的沟通能力、 耐性和综合素质。</w:t>
      </w:r>
    </w:p>
    <w:p>
      <w:pPr>
        <w:pStyle w:val="13"/>
        <w:autoSpaceDE w:val="0"/>
        <w:autoSpaceDN w:val="0"/>
        <w:spacing w:beforeAutospacing="0" w:afterAutospacing="0" w:line="360" w:lineRule="auto"/>
        <w:ind w:left="851" w:right="305"/>
        <w:rPr>
          <w:rFonts w:ascii="仿宋" w:hAnsi="仿宋" w:eastAsia="仿宋" w:cs="仿宋"/>
          <w:color w:val="auto"/>
          <w:spacing w:val="-4"/>
        </w:rPr>
      </w:pPr>
      <w:r>
        <w:rPr>
          <w:rFonts w:hint="eastAsia" w:ascii="仿宋" w:hAnsi="仿宋" w:eastAsia="仿宋" w:cs="仿宋"/>
          <w:color w:val="auto"/>
          <w:spacing w:val="-4"/>
        </w:rPr>
        <w:t xml:space="preserve"> (7)系统优化服务</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本项目运维期内至少每半年进行一次系统性数据梳理和整体优化，确保数据管理效率。</w:t>
      </w:r>
    </w:p>
    <w:p>
      <w:pPr>
        <w:pStyle w:val="13"/>
        <w:autoSpaceDE w:val="0"/>
        <w:autoSpaceDN w:val="0"/>
        <w:spacing w:beforeAutospacing="0" w:afterAutospacing="0" w:line="360" w:lineRule="auto"/>
        <w:ind w:left="851" w:right="305"/>
        <w:rPr>
          <w:rFonts w:ascii="仿宋" w:hAnsi="仿宋" w:eastAsia="仿宋" w:cs="仿宋"/>
          <w:color w:val="auto"/>
          <w:spacing w:val="-4"/>
        </w:rPr>
      </w:pPr>
      <w:r>
        <w:rPr>
          <w:rFonts w:hint="eastAsia" w:ascii="仿宋" w:hAnsi="仿宋" w:eastAsia="仿宋" w:cs="仿宋"/>
          <w:color w:val="auto"/>
          <w:spacing w:val="-4"/>
        </w:rPr>
        <w:t>(8)保密内容</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投标方需在投标文件中明确，本项目中数据（包含原始数据和衍生数据）全部为招标方所有，全部列入保密范围，投标方不得未经用户许可的情况下导出、分析以及移作他用。</w:t>
      </w:r>
    </w:p>
    <w:p>
      <w:pPr>
        <w:pStyle w:val="13"/>
        <w:autoSpaceDE w:val="0"/>
        <w:autoSpaceDN w:val="0"/>
        <w:spacing w:beforeAutospacing="0" w:afterAutospacing="0" w:line="360" w:lineRule="auto"/>
        <w:ind w:left="851" w:right="305"/>
        <w:rPr>
          <w:rFonts w:ascii="仿宋" w:hAnsi="仿宋" w:eastAsia="仿宋" w:cs="仿宋"/>
          <w:color w:val="auto"/>
          <w:spacing w:val="-4"/>
        </w:rPr>
      </w:pPr>
      <w:r>
        <w:rPr>
          <w:rFonts w:hint="eastAsia" w:ascii="仿宋" w:hAnsi="仿宋" w:eastAsia="仿宋" w:cs="仿宋"/>
          <w:color w:val="auto"/>
          <w:spacing w:val="-4"/>
        </w:rPr>
        <w:t>(9)源代码和产权要求</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投标方需在投标文件中明确，本项目中的全部源代码（不包含既有知识产权类和工具）和知识产权全部为招标方所有，中标单位需在合作期间及合作终止后 5 年内，在招标方提出要求的 3 天内无条件提供本项目源代码。</w:t>
      </w:r>
    </w:p>
    <w:p>
      <w:pPr>
        <w:widowControl/>
        <w:spacing w:line="360" w:lineRule="auto"/>
        <w:rPr>
          <w:rFonts w:ascii="仿宋" w:hAnsi="仿宋" w:eastAsia="仿宋" w:cs="仿宋"/>
          <w:b/>
          <w:bCs/>
          <w:color w:val="auto"/>
          <w:kern w:val="44"/>
          <w:sz w:val="24"/>
        </w:rPr>
      </w:pPr>
      <w:bookmarkStart w:id="182" w:name="_Toc40904960"/>
      <w:r>
        <w:rPr>
          <w:rFonts w:hint="eastAsia" w:ascii="仿宋" w:hAnsi="仿宋" w:eastAsia="仿宋" w:cs="仿宋"/>
          <w:b/>
          <w:bCs/>
          <w:color w:val="auto"/>
          <w:kern w:val="44"/>
          <w:sz w:val="24"/>
        </w:rPr>
        <w:t>12.培训要求</w:t>
      </w:r>
      <w:bookmarkEnd w:id="182"/>
    </w:p>
    <w:p>
      <w:pPr>
        <w:pStyle w:val="13"/>
        <w:autoSpaceDE w:val="0"/>
        <w:autoSpaceDN w:val="0"/>
        <w:spacing w:beforeAutospacing="0" w:afterAutospacing="0" w:line="360" w:lineRule="auto"/>
        <w:ind w:left="420" w:right="305"/>
        <w:rPr>
          <w:rFonts w:ascii="仿宋" w:hAnsi="仿宋" w:eastAsia="仿宋" w:cs="仿宋"/>
          <w:color w:val="auto"/>
          <w:spacing w:val="-4"/>
        </w:rPr>
      </w:pPr>
      <w:r>
        <w:rPr>
          <w:rFonts w:hint="eastAsia" w:ascii="仿宋" w:hAnsi="仿宋" w:eastAsia="仿宋" w:cs="仿宋"/>
          <w:color w:val="auto"/>
          <w:spacing w:val="-4"/>
        </w:rPr>
        <w:t>(1)对项目相关其它中标单位人员的培训</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与本项目有关联的其它系统中标单位，对其相关人员进行系统培训。</w:t>
      </w:r>
    </w:p>
    <w:p>
      <w:pPr>
        <w:pStyle w:val="13"/>
        <w:autoSpaceDE w:val="0"/>
        <w:autoSpaceDN w:val="0"/>
        <w:spacing w:beforeAutospacing="0" w:afterAutospacing="0" w:line="360" w:lineRule="auto"/>
        <w:ind w:left="420" w:right="305"/>
        <w:rPr>
          <w:rFonts w:ascii="仿宋" w:hAnsi="仿宋" w:eastAsia="仿宋" w:cs="仿宋"/>
          <w:color w:val="auto"/>
          <w:spacing w:val="-4"/>
        </w:rPr>
      </w:pPr>
      <w:r>
        <w:rPr>
          <w:rFonts w:hint="eastAsia" w:ascii="仿宋" w:hAnsi="仿宋" w:eastAsia="仿宋" w:cs="仿宋"/>
          <w:color w:val="auto"/>
          <w:spacing w:val="-4"/>
        </w:rPr>
        <w:t>(2)对应用部门各级系统应用人员的培训</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使之能够了解信息系统的建设思想、主要功能和操作规程，能够熟练应用这一系统辅助开展工作，并能结合实际工作需要提出各种改进意见。根据人员对系统的使用特点不同，对应用人员的培训分为两个层次：</w:t>
      </w:r>
    </w:p>
    <w:p>
      <w:pPr>
        <w:pStyle w:val="13"/>
        <w:spacing w:beforeAutospacing="0" w:afterAutospacing="0" w:line="360" w:lineRule="auto"/>
        <w:ind w:firstLine="360" w:firstLineChars="150"/>
        <w:jc w:val="both"/>
        <w:rPr>
          <w:rFonts w:ascii="仿宋" w:hAnsi="仿宋" w:eastAsia="仿宋" w:cs="仿宋"/>
          <w:color w:val="auto"/>
          <w:kern w:val="2"/>
        </w:rPr>
      </w:pPr>
      <w:r>
        <w:rPr>
          <w:rFonts w:hint="eastAsia" w:ascii="仿宋" w:hAnsi="仿宋" w:eastAsia="仿宋" w:cs="仿宋"/>
          <w:color w:val="auto"/>
          <w:kern w:val="2"/>
        </w:rPr>
        <w:t>(3)对领导培训的主要目的是使有关主管领导对系统有一定的了解，同时能够应用系统进行决策、指挥工作；</w:t>
      </w:r>
    </w:p>
    <w:p>
      <w:pPr>
        <w:pStyle w:val="13"/>
        <w:spacing w:beforeAutospacing="0" w:afterAutospacing="0" w:line="360" w:lineRule="auto"/>
        <w:ind w:firstLine="360" w:firstLineChars="150"/>
        <w:jc w:val="both"/>
        <w:rPr>
          <w:rFonts w:ascii="仿宋" w:hAnsi="仿宋" w:eastAsia="仿宋" w:cs="仿宋"/>
          <w:color w:val="auto"/>
          <w:kern w:val="2"/>
        </w:rPr>
      </w:pPr>
      <w:r>
        <w:rPr>
          <w:rFonts w:hint="eastAsia" w:ascii="仿宋" w:hAnsi="仿宋" w:eastAsia="仿宋" w:cs="仿宋"/>
          <w:color w:val="auto"/>
          <w:kern w:val="2"/>
        </w:rPr>
        <w:t>(4)对其他应用人员的培训，主要使他们在各业务环境下能够很好地利用系统完成相应的专业工作，提高工作效率，提高信息的准确性和全面性。</w:t>
      </w:r>
    </w:p>
    <w:p>
      <w:pPr>
        <w:pStyle w:val="13"/>
        <w:autoSpaceDE w:val="0"/>
        <w:autoSpaceDN w:val="0"/>
        <w:spacing w:beforeAutospacing="0" w:afterAutospacing="0" w:line="360" w:lineRule="auto"/>
        <w:ind w:left="420" w:right="305"/>
        <w:rPr>
          <w:rFonts w:ascii="仿宋" w:hAnsi="仿宋" w:eastAsia="仿宋" w:cs="仿宋"/>
          <w:color w:val="auto"/>
          <w:spacing w:val="-4"/>
        </w:rPr>
      </w:pPr>
      <w:r>
        <w:rPr>
          <w:rFonts w:hint="eastAsia" w:ascii="仿宋" w:hAnsi="仿宋" w:eastAsia="仿宋" w:cs="仿宋"/>
          <w:color w:val="auto"/>
          <w:spacing w:val="-4"/>
        </w:rPr>
        <w:t>(5)系统运行维护人员的培训</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运维人员培训主要包括以下几个方面：系统整体知识培训、业务系统培训等。通过培训使项目运维队伍能够充分了解本项目。</w:t>
      </w:r>
    </w:p>
    <w:p>
      <w:pPr>
        <w:widowControl/>
        <w:spacing w:line="360" w:lineRule="auto"/>
        <w:rPr>
          <w:rFonts w:ascii="仿宋" w:hAnsi="仿宋" w:eastAsia="仿宋" w:cs="仿宋"/>
          <w:b/>
          <w:bCs/>
          <w:color w:val="auto"/>
          <w:kern w:val="44"/>
          <w:sz w:val="24"/>
        </w:rPr>
      </w:pPr>
      <w:bookmarkStart w:id="183" w:name="_Toc40904961"/>
      <w:r>
        <w:rPr>
          <w:rFonts w:hint="eastAsia" w:ascii="仿宋" w:hAnsi="仿宋" w:eastAsia="仿宋" w:cs="仿宋"/>
          <w:b/>
          <w:bCs/>
          <w:color w:val="auto"/>
          <w:kern w:val="44"/>
          <w:sz w:val="24"/>
        </w:rPr>
        <w:t>13.维护及技术支持要求</w:t>
      </w:r>
      <w:bookmarkEnd w:id="183"/>
    </w:p>
    <w:p>
      <w:pPr>
        <w:pStyle w:val="13"/>
        <w:spacing w:beforeAutospacing="0" w:afterAutospacing="0"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在质量保证期内，中标单位应提供灵活、多样的通信手段（包括但不限于场地、设备及人员、专用服务电话），提供7*24 小时的响应服务，保证在任何时候招标方人员都能及时找到中标单位的服务人员。如遇驻场人员无法解决的问题或招标方认为需要，中标单位的技术人员应在12 小时内赶到现场支持。</w:t>
      </w:r>
    </w:p>
    <w:p>
      <w:pPr>
        <w:pStyle w:val="13"/>
        <w:spacing w:beforeAutospacing="0" w:afterAutospacing="0"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所供软件出现问题时，其响应时间不超过15 分钟，一般故障处理时间不大于2 小时；特殊情况下，故障修复时间不大于12小时。</w:t>
      </w:r>
    </w:p>
    <w:p>
      <w:pPr>
        <w:pStyle w:val="13"/>
        <w:spacing w:beforeAutospacing="0" w:afterAutospacing="0"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中标单位应提供排除故障响应的具体流程。</w:t>
      </w:r>
    </w:p>
    <w:p>
      <w:pPr>
        <w:pStyle w:val="13"/>
        <w:spacing w:beforeAutospacing="0" w:afterAutospacing="0"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中标单位应在项目方案中说明技术指导和技术支持的范围和程度，中标单位应提供技术服务流程，技术服务内容和价格清单，若质保期内与期外不同，则应分别列出。</w:t>
      </w:r>
    </w:p>
    <w:p>
      <w:pPr>
        <w:widowControl/>
        <w:spacing w:line="360" w:lineRule="auto"/>
        <w:rPr>
          <w:rFonts w:ascii="仿宋" w:hAnsi="仿宋" w:eastAsia="仿宋" w:cs="仿宋"/>
          <w:b/>
          <w:bCs/>
          <w:color w:val="auto"/>
          <w:sz w:val="24"/>
        </w:rPr>
      </w:pPr>
      <w:bookmarkStart w:id="184" w:name="_Toc40904962"/>
      <w:r>
        <w:rPr>
          <w:rFonts w:hint="eastAsia" w:ascii="仿宋" w:hAnsi="仿宋" w:eastAsia="仿宋" w:cs="仿宋"/>
          <w:b/>
          <w:bCs/>
          <w:color w:val="auto"/>
          <w:kern w:val="44"/>
          <w:sz w:val="24"/>
        </w:rPr>
        <w:t>14.技术文件要求</w:t>
      </w:r>
      <w:bookmarkEnd w:id="184"/>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中标单位提供的书面技术资料必须能够满足确保系统正常运行所需的管理、运营、验收及维护的全套文件。中标单位提供的技术文件必须包括但不限于：</w:t>
      </w:r>
    </w:p>
    <w:p>
      <w:pPr>
        <w:pStyle w:val="13"/>
        <w:spacing w:beforeAutospacing="0" w:afterAutospacing="0"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（1）系统说明文件</w:t>
      </w:r>
    </w:p>
    <w:p>
      <w:pPr>
        <w:pStyle w:val="13"/>
        <w:spacing w:beforeAutospacing="0" w:afterAutospacing="0"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（2）技术手册（安装、操作、维护、故障排除、培训文档等）</w:t>
      </w:r>
    </w:p>
    <w:p>
      <w:pPr>
        <w:pStyle w:val="13"/>
        <w:spacing w:beforeAutospacing="0" w:afterAutospacing="0"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（3）详细的工程日志</w:t>
      </w:r>
    </w:p>
    <w:p>
      <w:pPr>
        <w:pStyle w:val="13"/>
        <w:spacing w:beforeAutospacing="0" w:afterAutospacing="0"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（4）系统完整文档</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其中，（1）、（2）项必须在安装调测前提供，（3）必须在工程实施过程中随时提供，并在工程实施后1 个月内汇总移交。所有的文档必须包括书面和电子两种形式。（4）在工程完成初验后，厂家提供完整的技术文档。</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请投标方在项目方案中列出提供的书面技术资料详细清单。</w:t>
      </w:r>
    </w:p>
    <w:p>
      <w:pPr>
        <w:widowControl/>
        <w:spacing w:line="360" w:lineRule="auto"/>
        <w:rPr>
          <w:rFonts w:ascii="仿宋" w:hAnsi="仿宋" w:eastAsia="仿宋" w:cs="仿宋"/>
          <w:b/>
          <w:bCs/>
          <w:color w:val="auto"/>
          <w:kern w:val="44"/>
          <w:sz w:val="24"/>
        </w:rPr>
      </w:pPr>
      <w:bookmarkStart w:id="185" w:name="_Toc40904963"/>
      <w:r>
        <w:rPr>
          <w:rFonts w:hint="eastAsia" w:ascii="仿宋" w:hAnsi="仿宋" w:eastAsia="仿宋" w:cs="仿宋"/>
          <w:b/>
          <w:bCs/>
          <w:color w:val="auto"/>
          <w:kern w:val="44"/>
          <w:sz w:val="24"/>
        </w:rPr>
        <w:t>15.项目协作要求</w:t>
      </w:r>
      <w:bookmarkEnd w:id="185"/>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中标单位须配合其它相关子系统中标单位。</w:t>
      </w:r>
    </w:p>
    <w:p>
      <w:pPr>
        <w:widowControl/>
        <w:spacing w:line="360" w:lineRule="auto"/>
        <w:rPr>
          <w:rFonts w:ascii="仿宋" w:hAnsi="仿宋" w:eastAsia="仿宋" w:cs="仿宋"/>
          <w:b/>
          <w:bCs/>
          <w:color w:val="auto"/>
          <w:kern w:val="44"/>
          <w:sz w:val="24"/>
        </w:rPr>
      </w:pPr>
      <w:bookmarkStart w:id="186" w:name="_Toc40904964"/>
      <w:r>
        <w:rPr>
          <w:rFonts w:hint="eastAsia" w:ascii="仿宋" w:hAnsi="仿宋" w:eastAsia="仿宋" w:cs="仿宋"/>
          <w:b/>
          <w:bCs/>
          <w:color w:val="auto"/>
          <w:kern w:val="44"/>
          <w:sz w:val="24"/>
        </w:rPr>
        <w:t>16.项目验收标准与要求</w:t>
      </w:r>
      <w:bookmarkEnd w:id="186"/>
    </w:p>
    <w:p>
      <w:pPr>
        <w:spacing w:line="360" w:lineRule="auto"/>
        <w:ind w:firstLine="480"/>
        <w:rPr>
          <w:rFonts w:ascii="仿宋" w:hAnsi="仿宋" w:eastAsia="仿宋" w:cs="仿宋"/>
          <w:b/>
          <w:color w:val="auto"/>
          <w:sz w:val="24"/>
        </w:rPr>
      </w:pPr>
      <w:r>
        <w:rPr>
          <w:rFonts w:hint="eastAsia" w:ascii="仿宋" w:hAnsi="仿宋" w:eastAsia="仿宋" w:cs="仿宋"/>
          <w:b/>
          <w:color w:val="auto"/>
          <w:sz w:val="24"/>
        </w:rPr>
        <w:t>16.1验收总体要求</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本项目上线完成后，启动项目验收工作。项目验收标准：按照国家医疗保障局和海南省医疗保障局要求，协同其他业务系统，满足采购人提出的业务需求。如果项目未完成验收前，由于相关政策导致业务发生变化进行升级或调整，中标单位应按照最新政策和最新技术标准方案完成本项建设。</w:t>
      </w:r>
    </w:p>
    <w:p>
      <w:pPr>
        <w:snapToGrid w:val="0"/>
        <w:spacing w:line="360" w:lineRule="auto"/>
        <w:ind w:firstLine="480"/>
        <w:contextualSpacing/>
        <w:rPr>
          <w:rFonts w:ascii="仿宋" w:hAnsi="仿宋" w:eastAsia="仿宋" w:cs="仿宋"/>
          <w:color w:val="auto"/>
          <w:sz w:val="24"/>
        </w:rPr>
      </w:pPr>
      <w:r>
        <w:rPr>
          <w:rFonts w:hint="eastAsia" w:ascii="仿宋" w:hAnsi="仿宋" w:eastAsia="仿宋" w:cs="仿宋"/>
          <w:color w:val="auto"/>
          <w:sz w:val="24"/>
        </w:rPr>
        <w:t>由海南省医疗保障局统一组织，招标人与相关人员组成验收小组完成验收。双方根据最终验收情况，编写最终验收报告。中标单位应完成项目验收资料的准备。</w:t>
      </w:r>
    </w:p>
    <w:p>
      <w:pPr>
        <w:snapToGrid w:val="0"/>
        <w:spacing w:line="360" w:lineRule="auto"/>
        <w:ind w:firstLine="480"/>
        <w:contextualSpacing/>
        <w:rPr>
          <w:rFonts w:ascii="仿宋" w:hAnsi="仿宋" w:eastAsia="仿宋" w:cs="仿宋"/>
          <w:color w:val="auto"/>
          <w:sz w:val="24"/>
        </w:rPr>
      </w:pPr>
      <w:r>
        <w:rPr>
          <w:rFonts w:hint="eastAsia" w:ascii="仿宋" w:hAnsi="仿宋" w:eastAsia="仿宋" w:cs="仿宋"/>
          <w:color w:val="auto"/>
          <w:sz w:val="24"/>
        </w:rPr>
        <w:t>在服务过程中出现性能指标或功能上不符合标书和合同要求时，由中标单位负责解决，招标人有拒绝验收的权利并保留索赔权利。</w:t>
      </w:r>
    </w:p>
    <w:p>
      <w:pPr>
        <w:snapToGrid w:val="0"/>
        <w:spacing w:line="360" w:lineRule="auto"/>
        <w:ind w:firstLine="480"/>
        <w:contextualSpacing/>
        <w:rPr>
          <w:rFonts w:ascii="仿宋" w:hAnsi="仿宋" w:eastAsia="仿宋" w:cs="仿宋"/>
          <w:color w:val="auto"/>
          <w:sz w:val="24"/>
        </w:rPr>
      </w:pPr>
      <w:r>
        <w:rPr>
          <w:rFonts w:hint="eastAsia" w:ascii="仿宋" w:hAnsi="仿宋" w:eastAsia="仿宋" w:cs="仿宋"/>
          <w:color w:val="auto"/>
          <w:sz w:val="24"/>
        </w:rPr>
        <w:t>本项目的实施过程中将产生大量的技术及管理文档，中标单位应协助招标人，负责建立、维护、交接项目实施过程中产生的各类文档，确保项目文档的内容体现本项目的实施过程，并确保项目文档的完整性和准确性。</w:t>
      </w:r>
    </w:p>
    <w:p>
      <w:pPr>
        <w:spacing w:line="360" w:lineRule="auto"/>
        <w:rPr>
          <w:rFonts w:ascii="仿宋" w:hAnsi="仿宋" w:eastAsia="仿宋" w:cs="仿宋"/>
          <w:color w:val="auto"/>
          <w:sz w:val="24"/>
        </w:rPr>
      </w:pPr>
      <w:r>
        <w:rPr>
          <w:rFonts w:hint="eastAsia" w:ascii="仿宋" w:hAnsi="仿宋" w:eastAsia="仿宋" w:cs="仿宋"/>
          <w:color w:val="auto"/>
          <w:sz w:val="24"/>
        </w:rPr>
        <w:t>投标人按照要求提交全部文档，通过验收，视为本项工作完成。</w:t>
      </w:r>
    </w:p>
    <w:p>
      <w:pPr>
        <w:spacing w:line="360" w:lineRule="auto"/>
        <w:rPr>
          <w:rFonts w:ascii="仿宋" w:hAnsi="仿宋" w:eastAsia="仿宋" w:cs="仿宋"/>
          <w:color w:val="auto"/>
          <w:sz w:val="24"/>
        </w:rPr>
      </w:pPr>
      <w:r>
        <w:rPr>
          <w:rFonts w:hint="eastAsia" w:ascii="仿宋" w:hAnsi="仿宋" w:eastAsia="仿宋" w:cs="仿宋"/>
          <w:color w:val="auto"/>
          <w:sz w:val="24"/>
        </w:rPr>
        <w:t>（一）验收组织</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项目验收分为初验和终验，都由招标方组织进行。</w:t>
      </w:r>
    </w:p>
    <w:p>
      <w:pPr>
        <w:spacing w:line="360" w:lineRule="auto"/>
        <w:rPr>
          <w:rFonts w:ascii="仿宋" w:hAnsi="仿宋" w:eastAsia="仿宋" w:cs="仿宋"/>
          <w:color w:val="auto"/>
          <w:sz w:val="24"/>
        </w:rPr>
      </w:pPr>
      <w:r>
        <w:rPr>
          <w:rFonts w:hint="eastAsia" w:ascii="仿宋" w:hAnsi="仿宋" w:eastAsia="仿宋" w:cs="仿宋"/>
          <w:color w:val="auto"/>
          <w:sz w:val="24"/>
        </w:rPr>
        <w:t>（二）初验流程</w:t>
      </w:r>
    </w:p>
    <w:p>
      <w:pPr>
        <w:pStyle w:val="13"/>
        <w:numPr>
          <w:ilvl w:val="1"/>
          <w:numId w:val="7"/>
        </w:numPr>
        <w:spacing w:beforeAutospacing="0" w:afterAutospacing="0" w:line="360" w:lineRule="auto"/>
        <w:jc w:val="both"/>
        <w:rPr>
          <w:rFonts w:ascii="仿宋" w:hAnsi="仿宋" w:eastAsia="仿宋" w:cs="仿宋"/>
          <w:color w:val="auto"/>
          <w:kern w:val="2"/>
        </w:rPr>
      </w:pPr>
      <w:r>
        <w:rPr>
          <w:rFonts w:hint="eastAsia" w:ascii="仿宋" w:hAnsi="仿宋" w:eastAsia="仿宋" w:cs="仿宋"/>
          <w:color w:val="auto"/>
          <w:kern w:val="2"/>
        </w:rPr>
        <w:t>招标方依据相关批复文件、招标采购文件、合同，对项目的工程、技术、财务和档案等进行验收，形成验收报告。</w:t>
      </w:r>
    </w:p>
    <w:p>
      <w:pPr>
        <w:pStyle w:val="13"/>
        <w:numPr>
          <w:ilvl w:val="1"/>
          <w:numId w:val="7"/>
        </w:numPr>
        <w:spacing w:beforeAutospacing="0" w:afterAutospacing="0" w:line="360" w:lineRule="auto"/>
        <w:jc w:val="both"/>
        <w:rPr>
          <w:rFonts w:ascii="仿宋" w:hAnsi="仿宋" w:eastAsia="仿宋" w:cs="仿宋"/>
          <w:color w:val="auto"/>
          <w:kern w:val="2"/>
        </w:rPr>
      </w:pPr>
      <w:r>
        <w:rPr>
          <w:rFonts w:hint="eastAsia" w:ascii="仿宋" w:hAnsi="仿宋" w:eastAsia="仿宋" w:cs="仿宋"/>
          <w:color w:val="auto"/>
          <w:kern w:val="2"/>
        </w:rPr>
        <w:t>项目初验后进入试运行，试运行期至少3 个月。</w:t>
      </w:r>
    </w:p>
    <w:p>
      <w:pPr>
        <w:spacing w:line="360" w:lineRule="auto"/>
        <w:rPr>
          <w:rFonts w:ascii="仿宋" w:hAnsi="仿宋" w:eastAsia="仿宋" w:cs="仿宋"/>
          <w:color w:val="auto"/>
          <w:sz w:val="24"/>
        </w:rPr>
      </w:pPr>
      <w:r>
        <w:rPr>
          <w:rFonts w:hint="eastAsia" w:ascii="仿宋" w:hAnsi="仿宋" w:eastAsia="仿宋" w:cs="仿宋"/>
          <w:color w:val="auto"/>
          <w:sz w:val="24"/>
        </w:rPr>
        <w:t>（三）终验流程</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招标方组织成立验收组，负责开展终验的先期基础性工作，重点检查项目建设、设计、监理、施工、招标采购、档案资料、预（概）算执行和财务决算等情况，提出验收评价意见和建议。</w:t>
      </w:r>
    </w:p>
    <w:p>
      <w:pPr>
        <w:spacing w:line="360" w:lineRule="auto"/>
        <w:rPr>
          <w:rFonts w:ascii="仿宋" w:hAnsi="仿宋" w:eastAsia="仿宋" w:cs="仿宋"/>
          <w:color w:val="auto"/>
          <w:sz w:val="24"/>
        </w:rPr>
      </w:pPr>
      <w:r>
        <w:rPr>
          <w:rFonts w:hint="eastAsia" w:ascii="仿宋" w:hAnsi="仿宋" w:eastAsia="仿宋" w:cs="仿宋"/>
          <w:color w:val="auto"/>
          <w:sz w:val="24"/>
        </w:rPr>
        <w:t>（四）验收内容</w:t>
      </w:r>
    </w:p>
    <w:p>
      <w:pPr>
        <w:pStyle w:val="13"/>
        <w:numPr>
          <w:ilvl w:val="0"/>
          <w:numId w:val="8"/>
        </w:numPr>
        <w:spacing w:beforeAutospacing="0" w:afterAutospacing="0" w:line="360" w:lineRule="auto"/>
        <w:ind w:left="857"/>
        <w:jc w:val="both"/>
        <w:rPr>
          <w:rFonts w:ascii="仿宋" w:hAnsi="仿宋" w:eastAsia="仿宋" w:cs="仿宋"/>
          <w:color w:val="auto"/>
          <w:kern w:val="2"/>
        </w:rPr>
      </w:pPr>
      <w:r>
        <w:rPr>
          <w:rFonts w:hint="eastAsia" w:ascii="仿宋" w:hAnsi="仿宋" w:eastAsia="仿宋" w:cs="仿宋"/>
          <w:color w:val="auto"/>
          <w:kern w:val="2"/>
        </w:rPr>
        <w:t>审查项目的建设目标、规模、内容、质量及资金使用等情况。</w:t>
      </w:r>
    </w:p>
    <w:p>
      <w:pPr>
        <w:pStyle w:val="13"/>
        <w:numPr>
          <w:ilvl w:val="0"/>
          <w:numId w:val="8"/>
        </w:numPr>
        <w:spacing w:beforeAutospacing="0" w:afterAutospacing="0" w:line="360" w:lineRule="auto"/>
        <w:ind w:left="857"/>
        <w:jc w:val="both"/>
        <w:rPr>
          <w:rFonts w:ascii="仿宋" w:hAnsi="仿宋" w:eastAsia="仿宋" w:cs="仿宋"/>
          <w:color w:val="auto"/>
          <w:kern w:val="2"/>
        </w:rPr>
      </w:pPr>
      <w:r>
        <w:rPr>
          <w:rFonts w:hint="eastAsia" w:ascii="仿宋" w:hAnsi="仿宋" w:eastAsia="仿宋" w:cs="仿宋"/>
          <w:color w:val="auto"/>
          <w:kern w:val="2"/>
        </w:rPr>
        <w:t>审核项目形成的资产情况。</w:t>
      </w:r>
    </w:p>
    <w:p>
      <w:pPr>
        <w:pStyle w:val="13"/>
        <w:numPr>
          <w:ilvl w:val="0"/>
          <w:numId w:val="8"/>
        </w:numPr>
        <w:spacing w:beforeAutospacing="0" w:afterAutospacing="0" w:line="360" w:lineRule="auto"/>
        <w:ind w:left="857"/>
        <w:jc w:val="both"/>
        <w:rPr>
          <w:rFonts w:ascii="仿宋" w:hAnsi="仿宋" w:eastAsia="仿宋" w:cs="仿宋"/>
          <w:color w:val="auto"/>
          <w:kern w:val="2"/>
        </w:rPr>
      </w:pPr>
      <w:r>
        <w:rPr>
          <w:rFonts w:hint="eastAsia" w:ascii="仿宋" w:hAnsi="仿宋" w:eastAsia="仿宋" w:cs="仿宋"/>
          <w:color w:val="auto"/>
          <w:kern w:val="2"/>
        </w:rPr>
        <w:t>评价项目交付使用情况。</w:t>
      </w:r>
    </w:p>
    <w:p>
      <w:pPr>
        <w:pStyle w:val="13"/>
        <w:numPr>
          <w:ilvl w:val="0"/>
          <w:numId w:val="8"/>
        </w:numPr>
        <w:spacing w:beforeAutospacing="0" w:afterAutospacing="0" w:line="360" w:lineRule="auto"/>
        <w:ind w:left="857"/>
        <w:jc w:val="both"/>
        <w:rPr>
          <w:rFonts w:ascii="仿宋" w:hAnsi="仿宋" w:eastAsia="仿宋" w:cs="仿宋"/>
          <w:color w:val="auto"/>
          <w:kern w:val="2"/>
        </w:rPr>
      </w:pPr>
      <w:r>
        <w:rPr>
          <w:rFonts w:hint="eastAsia" w:ascii="仿宋" w:hAnsi="仿宋" w:eastAsia="仿宋" w:cs="仿宋"/>
          <w:color w:val="auto"/>
          <w:kern w:val="2"/>
        </w:rPr>
        <w:t>检查项目建设单位执行国家法律、法规情况。</w:t>
      </w:r>
    </w:p>
    <w:p>
      <w:pPr>
        <w:spacing w:line="360" w:lineRule="auto"/>
        <w:rPr>
          <w:rFonts w:ascii="仿宋" w:hAnsi="仿宋" w:eastAsia="仿宋" w:cs="仿宋"/>
          <w:color w:val="auto"/>
          <w:sz w:val="24"/>
        </w:rPr>
      </w:pPr>
      <w:r>
        <w:rPr>
          <w:rFonts w:hint="eastAsia" w:ascii="仿宋" w:hAnsi="仿宋" w:eastAsia="仿宋" w:cs="仿宋"/>
          <w:color w:val="auto"/>
          <w:sz w:val="24"/>
        </w:rPr>
        <w:t>（五）验收相关材料</w:t>
      </w:r>
    </w:p>
    <w:p>
      <w:pPr>
        <w:pStyle w:val="13"/>
        <w:widowControl/>
        <w:adjustRightInd w:val="0"/>
        <w:spacing w:beforeAutospacing="0" w:afterAutospacing="0" w:line="360" w:lineRule="auto"/>
        <w:ind w:firstLine="480" w:firstLineChars="200"/>
        <w:textAlignment w:val="baseline"/>
        <w:rPr>
          <w:rFonts w:ascii="仿宋" w:hAnsi="仿宋" w:eastAsia="仿宋" w:cs="仿宋"/>
          <w:color w:val="auto"/>
        </w:rPr>
      </w:pPr>
      <w:r>
        <w:rPr>
          <w:rFonts w:hint="eastAsia" w:ascii="仿宋" w:hAnsi="仿宋" w:eastAsia="仿宋" w:cs="仿宋"/>
          <w:color w:val="auto"/>
        </w:rPr>
        <w:t>中标单位须负责整理并提供以下验收材料，包括但不限于：项目实施方案、项目合同、项目建设总结、项目招标相关文档、项目建设相关文档、初步验收报告、软件测试报告、安全测评报告等。</w:t>
      </w:r>
    </w:p>
    <w:p>
      <w:pPr>
        <w:widowControl/>
        <w:spacing w:line="360" w:lineRule="auto"/>
        <w:rPr>
          <w:rFonts w:ascii="仿宋" w:hAnsi="仿宋" w:eastAsia="仿宋" w:cs="仿宋"/>
          <w:b/>
          <w:bCs/>
          <w:color w:val="auto"/>
          <w:kern w:val="44"/>
          <w:sz w:val="24"/>
        </w:rPr>
      </w:pPr>
      <w:bookmarkStart w:id="187" w:name="_Toc40904965"/>
      <w:r>
        <w:rPr>
          <w:rFonts w:hint="eastAsia" w:ascii="仿宋" w:hAnsi="仿宋" w:eastAsia="仿宋" w:cs="仿宋"/>
          <w:b/>
          <w:bCs/>
          <w:color w:val="auto"/>
          <w:kern w:val="44"/>
          <w:sz w:val="24"/>
        </w:rPr>
        <w:t>17.软件集成要求</w:t>
      </w:r>
      <w:bookmarkEnd w:id="187"/>
      <w:bookmarkStart w:id="188" w:name="_Toc40904966"/>
    </w:p>
    <w:p>
      <w:pPr>
        <w:widowControl/>
        <w:spacing w:line="360" w:lineRule="auto"/>
        <w:rPr>
          <w:rFonts w:ascii="仿宋" w:hAnsi="仿宋" w:eastAsia="仿宋" w:cs="仿宋"/>
          <w:b/>
          <w:bCs/>
          <w:color w:val="auto"/>
          <w:kern w:val="44"/>
          <w:sz w:val="24"/>
        </w:rPr>
      </w:pPr>
      <w:r>
        <w:rPr>
          <w:rFonts w:hint="eastAsia" w:ascii="仿宋" w:hAnsi="仿宋" w:eastAsia="仿宋" w:cs="仿宋"/>
          <w:b/>
          <w:bCs/>
          <w:color w:val="auto"/>
          <w:sz w:val="24"/>
        </w:rPr>
        <w:t>17.1系统功能描述</w:t>
      </w:r>
      <w:bookmarkEnd w:id="188"/>
    </w:p>
    <w:p>
      <w:pPr>
        <w:autoSpaceDE w:val="0"/>
        <w:autoSpaceDN w:val="0"/>
        <w:adjustRightInd w:val="0"/>
        <w:spacing w:line="360" w:lineRule="auto"/>
        <w:ind w:firstLine="420"/>
        <w:jc w:val="left"/>
        <w:rPr>
          <w:rFonts w:ascii="仿宋" w:hAnsi="仿宋" w:eastAsia="仿宋" w:cs="仿宋"/>
          <w:color w:val="auto"/>
          <w:kern w:val="0"/>
          <w:sz w:val="24"/>
        </w:rPr>
      </w:pPr>
      <w:r>
        <w:rPr>
          <w:rFonts w:hint="eastAsia" w:ascii="仿宋" w:hAnsi="仿宋" w:eastAsia="仿宋" w:cs="仿宋"/>
          <w:color w:val="auto"/>
          <w:kern w:val="0"/>
          <w:sz w:val="24"/>
        </w:rPr>
        <w:t>海南省医疗保障局医疗保障信息平台将建设5个核心业务区子系统和1个公共服务子系统。</w:t>
      </w:r>
    </w:p>
    <w:p>
      <w:pPr>
        <w:widowControl/>
        <w:spacing w:line="360" w:lineRule="auto"/>
        <w:ind w:left="420" w:hanging="420"/>
        <w:rPr>
          <w:rFonts w:ascii="仿宋" w:hAnsi="仿宋" w:eastAsia="仿宋" w:cs="仿宋"/>
          <w:b/>
          <w:bCs/>
          <w:color w:val="auto"/>
          <w:sz w:val="24"/>
        </w:rPr>
      </w:pPr>
      <w:bookmarkStart w:id="189" w:name="_Toc40904967"/>
      <w:r>
        <w:rPr>
          <w:rFonts w:hint="eastAsia" w:ascii="仿宋" w:hAnsi="仿宋" w:eastAsia="仿宋" w:cs="仿宋"/>
          <w:b/>
          <w:bCs/>
          <w:color w:val="auto"/>
          <w:sz w:val="24"/>
        </w:rPr>
        <w:t>17.2业务经办子系统</w:t>
      </w:r>
      <w:bookmarkEnd w:id="189"/>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医保经办子系统是由医保基础业务、医疗救助、医保扶贫、异地就医管理、医疗服务价格管理、医保结算收费平台、医联体、报表管理、核心经办精准服务和基金财务与报表十个模块组成，对参保缴费、待遇结算、基金财务、异地就医、医联体等业务进行办理以及医疗救助、医保扶贫等方面进行管理。通过调用不同中心和其他子系统进行数据交换同步。相关数据通过海南省医保共享交换库将业务经办子系统数据上传至国家医保交换库，最终传给对应的国家医保子系统，实现数据汇聚和调用。</w:t>
      </w:r>
    </w:p>
    <w:p>
      <w:pPr>
        <w:widowControl/>
        <w:spacing w:line="360" w:lineRule="auto"/>
        <w:ind w:left="420" w:hanging="420"/>
        <w:rPr>
          <w:rFonts w:ascii="仿宋" w:hAnsi="仿宋" w:eastAsia="仿宋" w:cs="仿宋"/>
          <w:b/>
          <w:bCs/>
          <w:color w:val="auto"/>
          <w:sz w:val="24"/>
        </w:rPr>
      </w:pPr>
      <w:bookmarkStart w:id="190" w:name="_Toc40904968"/>
      <w:r>
        <w:rPr>
          <w:rFonts w:hint="eastAsia" w:ascii="仿宋" w:hAnsi="仿宋" w:eastAsia="仿宋" w:cs="仿宋"/>
          <w:b/>
          <w:bCs/>
          <w:color w:val="auto"/>
          <w:sz w:val="24"/>
        </w:rPr>
        <w:t>17.3应用支撑子系统</w:t>
      </w:r>
      <w:bookmarkEnd w:id="190"/>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应用支撑子系统包括专家库模块、基础信息管理模块、医保行政管理和内部统一门户模块。专家库模块实现对各个领域各个专业专家的管理，专家可辅助医保局完成相应的专家服务，如项目评审、评标、技术支持等；基础信息管理模块对医疗保障的所有业务标准数据进行统一汇聚和更新管理；医保行政管理实现对医保行政进行管理，基础信息管理、组织机构管理、培训管理、问卷管理和绩效管理；内部统一门户为全省医保局相关管理人员、经办人员提供信息系统的统一登录入口、内部工作台和邮件服务，便于相关人员开展日常工作。</w:t>
      </w:r>
    </w:p>
    <w:p>
      <w:pPr>
        <w:widowControl/>
        <w:spacing w:line="360" w:lineRule="auto"/>
        <w:ind w:left="420" w:hanging="420"/>
        <w:rPr>
          <w:rFonts w:ascii="仿宋" w:hAnsi="仿宋" w:eastAsia="仿宋" w:cs="仿宋"/>
          <w:b/>
          <w:bCs/>
          <w:color w:val="auto"/>
          <w:sz w:val="24"/>
        </w:rPr>
      </w:pPr>
      <w:bookmarkStart w:id="191" w:name="_Toc40904969"/>
      <w:r>
        <w:rPr>
          <w:rFonts w:hint="eastAsia" w:ascii="仿宋" w:hAnsi="仿宋" w:eastAsia="仿宋" w:cs="仿宋"/>
          <w:b/>
          <w:bCs/>
          <w:color w:val="auto"/>
          <w:sz w:val="24"/>
        </w:rPr>
        <w:t>17.4支付方式子系统</w:t>
      </w:r>
      <w:bookmarkEnd w:id="191"/>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支付方式管理子系统通过系统维护的方式，根据国家和海南省的标准将海南省医保支付方式维护到系统中，并支持国家对海南省支付方式数据的收集，支持建立各类支付方式的模型，从而实现支付方式的统一管理；同时为大数据应用、公共服务、运行监测提供数据支撑。</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支付方式管理子系统是按照国家和海南省标准将海南省的医保支付方式维护到系统中，包括支付方式类型管理、支付方式参数管理、支付政策管理、支付结算标准管理、支付模型管理和DRGs管理6个模块。</w:t>
      </w:r>
    </w:p>
    <w:p>
      <w:pPr>
        <w:widowControl/>
        <w:spacing w:line="360" w:lineRule="auto"/>
        <w:ind w:left="420" w:hanging="420"/>
        <w:rPr>
          <w:rFonts w:ascii="仿宋" w:hAnsi="仿宋" w:eastAsia="仿宋" w:cs="仿宋"/>
          <w:b/>
          <w:bCs/>
          <w:color w:val="auto"/>
          <w:sz w:val="24"/>
        </w:rPr>
      </w:pPr>
      <w:bookmarkStart w:id="192" w:name="_Toc40904970"/>
      <w:r>
        <w:rPr>
          <w:rFonts w:hint="eastAsia" w:ascii="仿宋" w:hAnsi="仿宋" w:eastAsia="仿宋" w:cs="仿宋"/>
          <w:b/>
          <w:bCs/>
          <w:color w:val="auto"/>
          <w:sz w:val="24"/>
        </w:rPr>
        <w:t>17.5综合管控子系统</w:t>
      </w:r>
      <w:bookmarkEnd w:id="192"/>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综合管控子系统通过对医务人员诊疗行为、参保人员就医情况、医疗费用结算数据以及药品进销存数据的监控分析，发现异常信息；通过临床规则库与系统的深度整合，从病种诊断分组、临床路径、合理用药等规则库的角度深度定义临床监控规则及智能化数据分析，检出疑点数据，利用信息手段控制过度医疗行为；通过药品入库出库数据，分析出药品在销售过程中可能存在的串换等疑点问题，切实减少医保基金的不合理支出，保障海南省医保基金的安全。对基金运行状况分析、趋势预测、基金审计、绩效考核，医疗机构的进销存情况进行实时监测，对监管过程中发现的违规的行为进行查处，加强医保基金预算管理，合理编制预决算，强化预算执行，提高基金使用效益。依据风险控制的方法，对药品与医用耗材招采等业务进行风险提醒，并对事前、事中、事后的经办过程建立风险控制指标和监督体系，防止经办人员在办理过程中出现流程、规则等方面的风险。同时，对经办的全过程进行分析，优化经办流程和规则。以医保数据资源为基础，聚集整合卫健委、医院等相关数据资源，以参保群体为服务主体，以大数据相关技术为手段，构建科学有效的健康管理服务体系，完善医疗保障制度体系、优化医疗保障管理服务水平。对业务监测、人员（参保人、医疗机构执业人员等）和机构（定点医疗机构、参保单位、药品、耗材生产/流通企业等）行为进行监管，对基金安全、公共服务、人员和机构信用、综合信息（气象、新闻、交通等）、工作进展等情况按场景实时展示并进行统计分析、排名、违规警示、处罚、风险预警及风险处置等。</w:t>
      </w:r>
    </w:p>
    <w:p>
      <w:pPr>
        <w:widowControl/>
        <w:spacing w:line="360" w:lineRule="auto"/>
        <w:ind w:left="420" w:hanging="420"/>
        <w:rPr>
          <w:rFonts w:ascii="仿宋" w:hAnsi="仿宋" w:eastAsia="仿宋" w:cs="仿宋"/>
          <w:b/>
          <w:bCs/>
          <w:color w:val="auto"/>
          <w:sz w:val="24"/>
        </w:rPr>
      </w:pPr>
      <w:bookmarkStart w:id="193" w:name="_Toc40904971"/>
      <w:r>
        <w:rPr>
          <w:rFonts w:hint="eastAsia" w:ascii="仿宋" w:hAnsi="仿宋" w:eastAsia="仿宋" w:cs="仿宋"/>
          <w:b/>
          <w:bCs/>
          <w:color w:val="auto"/>
          <w:sz w:val="24"/>
        </w:rPr>
        <w:t>17.6智慧决策子系统</w:t>
      </w:r>
      <w:bookmarkEnd w:id="193"/>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智慧决策子系统分为宏观决策大数据应用和信用评价管理。宏观决策大数据应用通过汇聚内外部系统的数据和信息，提供宏观决策分析大数据能力，支持各级领导动态化掌握全省医保制度运行情况，提供政策实施效果评估、政策效果仿真模拟与中长期趋势预测功能，涵盖宏观经济决策分析、宏观环境因素分析、宏观政策决策分析、大数据精算分析等方面，形成数据分析产品，分场景展示，支持各级领导开展管理和决策工作。信用评价管理是针对参保单位、医保定点医疗机构及其行政管理人员、各类参保人员、药品生产和流通企业等建立全国统一的信用评价机制，对于违规、欺诈骗保及药品生产和流通企业租借证照、虚假交易、伪造记录、非法渠道购销药品、商业贿赂、价格欺诈、价格垄断以及伪造、虚开发票等违法违规行为发布到公共服务系统上，规范医疗保障资金的生态环境。</w:t>
      </w:r>
    </w:p>
    <w:p>
      <w:pPr>
        <w:widowControl/>
        <w:spacing w:line="360" w:lineRule="auto"/>
        <w:ind w:left="420" w:hanging="420"/>
        <w:rPr>
          <w:rFonts w:ascii="仿宋" w:hAnsi="仿宋" w:eastAsia="仿宋" w:cs="仿宋"/>
          <w:b/>
          <w:bCs/>
          <w:color w:val="auto"/>
          <w:sz w:val="24"/>
        </w:rPr>
      </w:pPr>
      <w:bookmarkStart w:id="194" w:name="_Toc40904972"/>
      <w:r>
        <w:rPr>
          <w:rFonts w:hint="eastAsia" w:ascii="仿宋" w:hAnsi="仿宋" w:eastAsia="仿宋" w:cs="仿宋"/>
          <w:b/>
          <w:bCs/>
          <w:color w:val="auto"/>
          <w:sz w:val="24"/>
        </w:rPr>
        <w:t>17.7公共服务子系统</w:t>
      </w:r>
      <w:bookmarkEnd w:id="194"/>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公共服务子系统分为公共服务和药品和耗材招采两个模块，公共服务模块面向海南省参保人、参保单位和医药企业等，通过窗口、大厅、网上办事大厅、APP、自助服务一体机等服务渠道，提供参保、信息变更、信息查询、社会监督、信访服务等业务。海南省公共服务业务要求按照“公平、公正、公开”的原则，使全体公民既能公平，又可及地获得大致均等的基本公共服务，同时要求以标准化手段优化资源配置、规范服务流程、提升服务质量、明确权责关系、创新治理方式，确保基本公共服务覆盖全民、均等享有，使人民获得感、幸福感、安全感更加充实、更有保障、更可持续。药品和医用耗材招采模块为海南省医疗保障局提供药品和医用耗材招标采购信息的监测监管，特别是仿制药和短缺药，同时支撑各市县的药品和耗材的招标采购工作。通过药品和医用耗材招标采购系统，和国家系统进行对接，将数据进行上传，便于国家统一监管和监测，为国家决策提供相关依据，便于国家对市场作出调节。</w:t>
      </w:r>
    </w:p>
    <w:p>
      <w:pPr>
        <w:widowControl/>
        <w:spacing w:line="360" w:lineRule="auto"/>
        <w:rPr>
          <w:rFonts w:ascii="仿宋" w:hAnsi="仿宋" w:eastAsia="仿宋" w:cs="仿宋"/>
          <w:b/>
          <w:bCs/>
          <w:color w:val="auto"/>
          <w:kern w:val="44"/>
          <w:sz w:val="24"/>
        </w:rPr>
      </w:pPr>
      <w:bookmarkStart w:id="195" w:name="_Toc40904973"/>
      <w:r>
        <w:rPr>
          <w:rFonts w:hint="eastAsia" w:ascii="仿宋" w:hAnsi="仿宋" w:eastAsia="仿宋" w:cs="仿宋"/>
          <w:b/>
          <w:bCs/>
          <w:color w:val="auto"/>
          <w:kern w:val="44"/>
          <w:sz w:val="24"/>
        </w:rPr>
        <w:t>18.集成要求与内容</w:t>
      </w:r>
      <w:bookmarkEnd w:id="195"/>
    </w:p>
    <w:p>
      <w:pPr>
        <w:spacing w:line="360" w:lineRule="auto"/>
        <w:ind w:left="420" w:hanging="420"/>
        <w:rPr>
          <w:rFonts w:ascii="仿宋" w:hAnsi="仿宋" w:eastAsia="仿宋" w:cs="仿宋"/>
          <w:b/>
          <w:bCs/>
          <w:color w:val="auto"/>
          <w:sz w:val="24"/>
        </w:rPr>
      </w:pPr>
      <w:bookmarkStart w:id="196" w:name="_Toc40904974"/>
      <w:r>
        <w:rPr>
          <w:rFonts w:hint="eastAsia" w:ascii="仿宋" w:hAnsi="仿宋" w:eastAsia="仿宋" w:cs="仿宋"/>
          <w:b/>
          <w:bCs/>
          <w:color w:val="auto"/>
          <w:sz w:val="24"/>
        </w:rPr>
        <w:t>18.1总体集成要求</w:t>
      </w:r>
      <w:bookmarkEnd w:id="196"/>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（1）要求投标方承诺：根据招标方要求，统筹协调本项目内6个应用系统的各中标单位，组织中标单位协同培训，共享知识和实施能力。投标人须列出详细的实施能力共享计划和培训方案。</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（2）要求投标方承诺：配置专业的项目集成团队，专职本项目集成工作，且在项目终验结束前提供驻场服务支撑，积极配合招标方及总集成商做好软件项目管理工作，确保最终项目集成质量。</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（3）要求投标方承诺：投标方针对本项目相关计划及招标方要求，根据集成方案合理配置资源，保证本工程按期保质完成。</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（4）要求投标方承诺：在项目终验结束之前配合完成本项目与省级部委和国家医保局之间的数据迁移及接口联调、数据交换等。</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（5）要求投标方承诺：为保证项目集成质量，投标方所提供的集成团队必须为自有团队，不能外包或转包。</w:t>
      </w:r>
    </w:p>
    <w:p>
      <w:pPr>
        <w:spacing w:line="360" w:lineRule="auto"/>
        <w:ind w:left="420" w:hanging="420"/>
        <w:rPr>
          <w:rFonts w:ascii="仿宋" w:hAnsi="仿宋" w:eastAsia="仿宋" w:cs="仿宋"/>
          <w:b/>
          <w:bCs/>
          <w:color w:val="auto"/>
          <w:sz w:val="24"/>
        </w:rPr>
      </w:pPr>
      <w:bookmarkStart w:id="197" w:name="_Toc40904975"/>
      <w:r>
        <w:rPr>
          <w:rFonts w:hint="eastAsia" w:ascii="仿宋" w:hAnsi="仿宋" w:eastAsia="仿宋" w:cs="仿宋"/>
          <w:b/>
          <w:bCs/>
          <w:color w:val="auto"/>
          <w:sz w:val="24"/>
        </w:rPr>
        <w:t>18.2集成服务内容</w:t>
      </w:r>
      <w:bookmarkEnd w:id="197"/>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集成服务内容主要包括整体集成服务、集成规范制定、技术咨询服务和项目管理服务，具体如下：</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整体集成服务，牵头制定总体架构，指导本项目6个业务系统及业务中台从启动阶段到终验结束的设计和建设实施工作，负责建设过程中的总体调度协调和技术把控，负责组织软件项目整体集成联调测试，负责统筹项目培训工作，负责配合招标方做好项目的总体验收工作。</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中标单位应至少配备一个项目管理团队和一个技术支持团队来相互配合。项目管理团队应至少配备5名驻场人员，技术支持团队至少配备7人，其中，技术团队人员有2 人须提供数据库管理员主流认证证书。</w:t>
      </w:r>
    </w:p>
    <w:p>
      <w:pPr>
        <w:autoSpaceDE w:val="0"/>
        <w:autoSpaceDN w:val="0"/>
        <w:adjustRightInd w:val="0"/>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（1）启动阶段</w:t>
      </w:r>
    </w:p>
    <w:p>
      <w:pPr>
        <w:autoSpaceDE w:val="0"/>
        <w:autoSpaceDN w:val="0"/>
        <w:adjustRightInd w:val="0"/>
        <w:spacing w:line="360" w:lineRule="auto"/>
        <w:ind w:firstLine="420"/>
        <w:jc w:val="left"/>
        <w:rPr>
          <w:rFonts w:ascii="仿宋" w:hAnsi="仿宋" w:eastAsia="仿宋" w:cs="仿宋"/>
          <w:color w:val="auto"/>
          <w:kern w:val="0"/>
          <w:sz w:val="24"/>
        </w:rPr>
      </w:pPr>
      <w:r>
        <w:rPr>
          <w:rFonts w:hint="eastAsia" w:ascii="仿宋" w:hAnsi="仿宋" w:eastAsia="仿宋" w:cs="仿宋"/>
          <w:color w:val="auto"/>
          <w:kern w:val="0"/>
          <w:sz w:val="24"/>
        </w:rPr>
        <w:t>在招标方和各涉及项目中标单位的配合下，确定项目章程，规定项目的实施制度和工作机制，组织制定里程碑及项目计划、协调项目各方资源、以及项目建设的关键指标要求和质量要求以及整体集成服务实施进度计划，并组织相关宣贯培训。</w:t>
      </w:r>
    </w:p>
    <w:p>
      <w:pPr>
        <w:autoSpaceDE w:val="0"/>
        <w:autoSpaceDN w:val="0"/>
        <w:adjustRightInd w:val="0"/>
        <w:spacing w:line="360" w:lineRule="auto"/>
        <w:jc w:val="left"/>
        <w:rPr>
          <w:rFonts w:ascii="仿宋" w:hAnsi="仿宋" w:eastAsia="仿宋" w:cs="仿宋"/>
          <w:color w:val="auto"/>
          <w:sz w:val="24"/>
        </w:rPr>
      </w:pPr>
      <w:r>
        <w:rPr>
          <w:rFonts w:hint="eastAsia" w:ascii="仿宋" w:hAnsi="仿宋" w:eastAsia="仿宋" w:cs="仿宋"/>
          <w:color w:val="auto"/>
          <w:kern w:val="0"/>
          <w:sz w:val="24"/>
        </w:rPr>
        <w:t>（2）实施阶段</w:t>
      </w:r>
    </w:p>
    <w:p>
      <w:pPr>
        <w:autoSpaceDE w:val="0"/>
        <w:autoSpaceDN w:val="0"/>
        <w:adjustRightInd w:val="0"/>
        <w:spacing w:line="360" w:lineRule="auto"/>
        <w:ind w:left="-148" w:firstLine="568"/>
        <w:jc w:val="left"/>
        <w:rPr>
          <w:rFonts w:ascii="仿宋" w:hAnsi="仿宋" w:eastAsia="仿宋" w:cs="仿宋"/>
          <w:color w:val="auto"/>
          <w:sz w:val="24"/>
        </w:rPr>
      </w:pPr>
      <w:r>
        <w:rPr>
          <w:rFonts w:hint="eastAsia" w:ascii="仿宋" w:hAnsi="仿宋" w:eastAsia="仿宋" w:cs="仿宋"/>
          <w:color w:val="auto"/>
          <w:sz w:val="24"/>
        </w:rPr>
        <w:t>牵头制定总体架构，在初步设计方案基础之上，组织各中标单位共同梳理、设计符合应用子系统共同调用的应用支撑接口，组织制定业务总体实施和集成方案、各子系统对接的接口方案等。</w:t>
      </w:r>
    </w:p>
    <w:p>
      <w:pPr>
        <w:autoSpaceDE w:val="0"/>
        <w:autoSpaceDN w:val="0"/>
        <w:adjustRightInd w:val="0"/>
        <w:spacing w:line="360" w:lineRule="auto"/>
        <w:ind w:left="-148" w:firstLine="568"/>
        <w:jc w:val="left"/>
        <w:rPr>
          <w:rFonts w:ascii="仿宋" w:hAnsi="仿宋" w:eastAsia="仿宋" w:cs="仿宋"/>
          <w:color w:val="auto"/>
          <w:sz w:val="24"/>
        </w:rPr>
      </w:pPr>
      <w:r>
        <w:rPr>
          <w:rFonts w:hint="eastAsia" w:ascii="仿宋" w:hAnsi="仿宋" w:eastAsia="仿宋" w:cs="仿宋"/>
          <w:color w:val="auto"/>
          <w:sz w:val="24"/>
        </w:rPr>
        <w:t>实施准备阶段制定的总体实施和集成方案，指导、监督各涉及项目承建商按照相应要求组织实施；根据实施准备阶段制定的项目建设的关键指标要求和质量要求，监督、把控各涉及项目承建商的实施质量；根据实施准备阶段制定的整体集成服务实施进度计划，协调、监督各涉及项目承建商按照进度完成实施工作；组织、管理、协调各涉及项目承建商，及时发现技术风险问题并制定解决方案，组织相关方解决；落实各项目的团队成员信息和工作方式，并做好总体沟通管理及问题反馈机制；统筹协调各接口对接工作；组织各涉及项目之间的集成联调测试和工程整体集成联调测试，确保本项目达成总体建设目标和各项关键指标；结合各子系统培训内容，综合制订培训方案,在招标方要求的时间内完成相关培训工作。</w:t>
      </w:r>
    </w:p>
    <w:p>
      <w:pPr>
        <w:autoSpaceDE w:val="0"/>
        <w:autoSpaceDN w:val="0"/>
        <w:adjustRightInd w:val="0"/>
        <w:spacing w:line="360" w:lineRule="auto"/>
        <w:ind w:firstLine="240" w:firstLineChars="100"/>
        <w:jc w:val="left"/>
        <w:rPr>
          <w:rFonts w:ascii="仿宋" w:hAnsi="仿宋" w:eastAsia="仿宋" w:cs="仿宋"/>
          <w:color w:val="auto"/>
          <w:sz w:val="24"/>
        </w:rPr>
      </w:pPr>
      <w:r>
        <w:rPr>
          <w:rFonts w:hint="eastAsia" w:ascii="仿宋" w:hAnsi="仿宋" w:eastAsia="仿宋" w:cs="仿宋"/>
          <w:color w:val="auto"/>
          <w:sz w:val="24"/>
        </w:rPr>
        <w:t>（3）项目验收阶段</w:t>
      </w:r>
    </w:p>
    <w:p>
      <w:pPr>
        <w:autoSpaceDE w:val="0"/>
        <w:autoSpaceDN w:val="0"/>
        <w:adjustRightInd w:val="0"/>
        <w:spacing w:line="360" w:lineRule="auto"/>
        <w:ind w:left="-148" w:firstLine="568"/>
        <w:jc w:val="left"/>
        <w:rPr>
          <w:rFonts w:ascii="仿宋" w:hAnsi="仿宋" w:eastAsia="仿宋" w:cs="仿宋"/>
          <w:color w:val="auto"/>
          <w:sz w:val="24"/>
        </w:rPr>
      </w:pPr>
      <w:r>
        <w:rPr>
          <w:rFonts w:hint="eastAsia" w:ascii="仿宋" w:hAnsi="仿宋" w:eastAsia="仿宋" w:cs="仿宋"/>
          <w:color w:val="auto"/>
          <w:sz w:val="24"/>
        </w:rPr>
        <w:t>发现、协调并组织解决各涉及项目承建商之间的遗留问题，以及工程验收过程中遇到的其它问题，负责配合招标方做好各系统独立验收及项目总体验收工作。</w:t>
      </w:r>
    </w:p>
    <w:p>
      <w:pPr>
        <w:autoSpaceDE w:val="0"/>
        <w:autoSpaceDN w:val="0"/>
        <w:adjustRightInd w:val="0"/>
        <w:spacing w:line="360" w:lineRule="auto"/>
        <w:ind w:firstLine="240" w:firstLineChars="100"/>
        <w:jc w:val="left"/>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kern w:val="0"/>
          <w:sz w:val="24"/>
        </w:rPr>
        <w:t>集成规范制定</w:t>
      </w:r>
    </w:p>
    <w:p>
      <w:pPr>
        <w:autoSpaceDE w:val="0"/>
        <w:autoSpaceDN w:val="0"/>
        <w:adjustRightInd w:val="0"/>
        <w:spacing w:line="360" w:lineRule="auto"/>
        <w:ind w:firstLine="420"/>
        <w:jc w:val="left"/>
        <w:rPr>
          <w:rFonts w:ascii="仿宋" w:hAnsi="仿宋" w:eastAsia="仿宋" w:cs="仿宋"/>
          <w:color w:val="auto"/>
          <w:kern w:val="0"/>
          <w:sz w:val="24"/>
        </w:rPr>
      </w:pPr>
      <w:r>
        <w:rPr>
          <w:rFonts w:hint="eastAsia" w:ascii="仿宋" w:hAnsi="仿宋" w:eastAsia="仿宋" w:cs="仿宋"/>
          <w:color w:val="auto"/>
          <w:kern w:val="0"/>
          <w:sz w:val="24"/>
        </w:rPr>
        <w:t>包含但不限于：负责制定平台整体技术统筹、技术选型及各项技术规范、业务流程规范、相关规章制度等，明确各子系统使用的软件开发框架、开发语言、开发环境、运行库、中间件、控件、插件的类型和版本等，确定平台的运行及部署环境，建立本项目所建设内容的各项功能性模块的数据标准、性能指标、开发约定和子系统之间的接口要求等，防止各系统之间发生端口冲突、服务冲突等。</w:t>
      </w:r>
    </w:p>
    <w:p>
      <w:pPr>
        <w:autoSpaceDE w:val="0"/>
        <w:autoSpaceDN w:val="0"/>
        <w:adjustRightInd w:val="0"/>
        <w:spacing w:line="360" w:lineRule="auto"/>
        <w:ind w:firstLine="240" w:firstLineChars="100"/>
        <w:jc w:val="left"/>
        <w:rPr>
          <w:rFonts w:ascii="仿宋" w:hAnsi="仿宋" w:eastAsia="仿宋" w:cs="仿宋"/>
          <w:color w:val="auto"/>
          <w:kern w:val="0"/>
          <w:sz w:val="24"/>
        </w:rPr>
      </w:pPr>
      <w:r>
        <w:rPr>
          <w:rFonts w:hint="eastAsia" w:ascii="仿宋" w:hAnsi="仿宋" w:eastAsia="仿宋" w:cs="仿宋"/>
          <w:color w:val="auto"/>
          <w:kern w:val="0"/>
          <w:sz w:val="24"/>
        </w:rPr>
        <w:t>（5）</w:t>
      </w:r>
      <w:r>
        <w:rPr>
          <w:rFonts w:hint="eastAsia" w:ascii="仿宋" w:hAnsi="仿宋" w:eastAsia="仿宋" w:cs="仿宋"/>
          <w:color w:val="auto"/>
          <w:sz w:val="24"/>
        </w:rPr>
        <w:t>启动阶段</w:t>
      </w:r>
    </w:p>
    <w:p>
      <w:pPr>
        <w:autoSpaceDE w:val="0"/>
        <w:autoSpaceDN w:val="0"/>
        <w:adjustRightInd w:val="0"/>
        <w:spacing w:line="360" w:lineRule="auto"/>
        <w:ind w:left="-148" w:firstLine="568"/>
        <w:jc w:val="left"/>
        <w:rPr>
          <w:rFonts w:ascii="仿宋" w:hAnsi="仿宋" w:eastAsia="仿宋" w:cs="仿宋"/>
          <w:color w:val="auto"/>
          <w:sz w:val="24"/>
        </w:rPr>
      </w:pPr>
      <w:r>
        <w:rPr>
          <w:rFonts w:hint="eastAsia" w:ascii="仿宋" w:hAnsi="仿宋" w:eastAsia="仿宋" w:cs="仿宋"/>
          <w:color w:val="auto"/>
          <w:sz w:val="24"/>
        </w:rPr>
        <w:t>在招标方和各涉及项目中标单位的配合下，牵头制定与医疗保障信息平台应用系统集成相关的标准规范，并组织相关宣贯培训。</w:t>
      </w:r>
    </w:p>
    <w:p>
      <w:pPr>
        <w:numPr>
          <w:ilvl w:val="0"/>
          <w:numId w:val="9"/>
        </w:numPr>
        <w:autoSpaceDE w:val="0"/>
        <w:autoSpaceDN w:val="0"/>
        <w:adjustRightInd w:val="0"/>
        <w:spacing w:line="360" w:lineRule="auto"/>
        <w:jc w:val="left"/>
        <w:rPr>
          <w:rFonts w:ascii="仿宋" w:hAnsi="仿宋" w:eastAsia="仿宋" w:cs="仿宋"/>
          <w:color w:val="auto"/>
          <w:sz w:val="24"/>
        </w:rPr>
      </w:pPr>
      <w:r>
        <w:rPr>
          <w:rFonts w:hint="eastAsia" w:ascii="仿宋" w:hAnsi="仿宋" w:eastAsia="仿宋" w:cs="仿宋"/>
          <w:color w:val="auto"/>
          <w:sz w:val="24"/>
        </w:rPr>
        <w:t>实施阶段</w:t>
      </w:r>
    </w:p>
    <w:p>
      <w:pPr>
        <w:autoSpaceDE w:val="0"/>
        <w:autoSpaceDN w:val="0"/>
        <w:adjustRightInd w:val="0"/>
        <w:spacing w:line="360" w:lineRule="auto"/>
        <w:ind w:left="-148" w:firstLine="568"/>
        <w:jc w:val="left"/>
        <w:rPr>
          <w:rFonts w:ascii="仿宋" w:hAnsi="仿宋" w:eastAsia="仿宋" w:cs="仿宋"/>
          <w:color w:val="auto"/>
          <w:sz w:val="24"/>
        </w:rPr>
      </w:pPr>
      <w:r>
        <w:rPr>
          <w:rFonts w:hint="eastAsia" w:ascii="仿宋" w:hAnsi="仿宋" w:eastAsia="仿宋" w:cs="仿宋"/>
          <w:color w:val="auto"/>
          <w:sz w:val="24"/>
        </w:rPr>
        <w:t>根据启动阶段制定的各项集成规范标准，制定系统开发周期及子系统同步开发计划，调度、督促各项目组按开发计划完成开发，建立各中标单位之间的定期协调和临时沟通机制，协调、监督各涉及项目承建商按照总体规划进行建设，确保总体建设目标的达成。</w:t>
      </w:r>
    </w:p>
    <w:p>
      <w:pPr>
        <w:numPr>
          <w:ilvl w:val="0"/>
          <w:numId w:val="9"/>
        </w:numPr>
        <w:autoSpaceDE w:val="0"/>
        <w:autoSpaceDN w:val="0"/>
        <w:adjustRightInd w:val="0"/>
        <w:spacing w:line="360" w:lineRule="auto"/>
        <w:jc w:val="left"/>
        <w:rPr>
          <w:rFonts w:ascii="仿宋" w:hAnsi="仿宋" w:eastAsia="仿宋" w:cs="仿宋"/>
          <w:color w:val="auto"/>
          <w:sz w:val="24"/>
        </w:rPr>
      </w:pPr>
      <w:r>
        <w:rPr>
          <w:rFonts w:hint="eastAsia" w:ascii="仿宋" w:hAnsi="仿宋" w:eastAsia="仿宋" w:cs="仿宋"/>
          <w:color w:val="auto"/>
          <w:sz w:val="24"/>
        </w:rPr>
        <w:t>项目验收阶段</w:t>
      </w:r>
    </w:p>
    <w:p>
      <w:pPr>
        <w:autoSpaceDE w:val="0"/>
        <w:autoSpaceDN w:val="0"/>
        <w:adjustRightInd w:val="0"/>
        <w:spacing w:line="360" w:lineRule="auto"/>
        <w:ind w:left="-148" w:firstLine="568"/>
        <w:jc w:val="left"/>
        <w:rPr>
          <w:rFonts w:ascii="仿宋" w:hAnsi="仿宋" w:eastAsia="仿宋" w:cs="仿宋"/>
          <w:color w:val="auto"/>
          <w:sz w:val="24"/>
        </w:rPr>
      </w:pPr>
      <w:r>
        <w:rPr>
          <w:rFonts w:hint="eastAsia" w:ascii="仿宋" w:hAnsi="仿宋" w:eastAsia="仿宋" w:cs="仿宋"/>
          <w:color w:val="auto"/>
          <w:sz w:val="24"/>
        </w:rPr>
        <w:t>发现、协调并组织解决各涉及项目承建商之间的遗留问题，以及工程验收过程中遇到的其它问题。</w:t>
      </w:r>
    </w:p>
    <w:p>
      <w:pPr>
        <w:autoSpaceDE w:val="0"/>
        <w:autoSpaceDN w:val="0"/>
        <w:adjustRightInd w:val="0"/>
        <w:spacing w:line="360" w:lineRule="auto"/>
        <w:ind w:firstLine="240" w:firstLineChars="100"/>
        <w:jc w:val="left"/>
        <w:rPr>
          <w:rFonts w:ascii="仿宋" w:hAnsi="仿宋" w:eastAsia="仿宋" w:cs="仿宋"/>
          <w:color w:val="auto"/>
          <w:sz w:val="24"/>
        </w:rPr>
      </w:pPr>
      <w:r>
        <w:rPr>
          <w:rFonts w:hint="eastAsia" w:ascii="仿宋" w:hAnsi="仿宋" w:eastAsia="仿宋" w:cs="仿宋"/>
          <w:color w:val="auto"/>
          <w:sz w:val="24"/>
        </w:rPr>
        <w:t>（8）技术咨询服务</w:t>
      </w:r>
    </w:p>
    <w:p>
      <w:pPr>
        <w:autoSpaceDE w:val="0"/>
        <w:autoSpaceDN w:val="0"/>
        <w:adjustRightInd w:val="0"/>
        <w:spacing w:line="360" w:lineRule="auto"/>
        <w:ind w:left="-148" w:firstLine="568"/>
        <w:jc w:val="left"/>
        <w:rPr>
          <w:rFonts w:ascii="仿宋" w:hAnsi="仿宋" w:eastAsia="仿宋" w:cs="仿宋"/>
          <w:color w:val="auto"/>
          <w:sz w:val="24"/>
        </w:rPr>
      </w:pPr>
      <w:r>
        <w:rPr>
          <w:rFonts w:hint="eastAsia" w:ascii="仿宋" w:hAnsi="仿宋" w:eastAsia="仿宋" w:cs="仿宋"/>
          <w:color w:val="auto"/>
          <w:sz w:val="24"/>
        </w:rPr>
        <w:t>提供总体架构制定、集成规范制定、重大变更评估、项目建设、运维等方面的技术咨询服务。组织承建商开发系统原型，验证各系统技术的可用性和可集成性。</w:t>
      </w:r>
    </w:p>
    <w:p>
      <w:pPr>
        <w:autoSpaceDE w:val="0"/>
        <w:autoSpaceDN w:val="0"/>
        <w:adjustRightInd w:val="0"/>
        <w:spacing w:line="360" w:lineRule="auto"/>
        <w:ind w:firstLine="240" w:firstLineChars="100"/>
        <w:jc w:val="left"/>
        <w:rPr>
          <w:rFonts w:ascii="仿宋" w:hAnsi="仿宋" w:eastAsia="仿宋" w:cs="仿宋"/>
          <w:color w:val="auto"/>
          <w:sz w:val="24"/>
        </w:rPr>
      </w:pPr>
      <w:r>
        <w:rPr>
          <w:rFonts w:hint="eastAsia" w:ascii="仿宋" w:hAnsi="仿宋" w:eastAsia="仿宋" w:cs="仿宋"/>
          <w:color w:val="auto"/>
          <w:sz w:val="24"/>
        </w:rPr>
        <w:t>（9）启动阶段</w:t>
      </w:r>
    </w:p>
    <w:p>
      <w:pPr>
        <w:autoSpaceDE w:val="0"/>
        <w:autoSpaceDN w:val="0"/>
        <w:adjustRightInd w:val="0"/>
        <w:spacing w:line="360" w:lineRule="auto"/>
        <w:ind w:left="-148" w:firstLine="568"/>
        <w:jc w:val="left"/>
        <w:rPr>
          <w:rFonts w:ascii="仿宋" w:hAnsi="仿宋" w:eastAsia="仿宋" w:cs="仿宋"/>
          <w:color w:val="auto"/>
          <w:sz w:val="24"/>
        </w:rPr>
      </w:pPr>
      <w:r>
        <w:rPr>
          <w:rFonts w:hint="eastAsia" w:ascii="仿宋" w:hAnsi="仿宋" w:eastAsia="仿宋" w:cs="仿宋"/>
          <w:color w:val="auto"/>
          <w:sz w:val="24"/>
        </w:rPr>
        <w:t>为招标方和各涉及项目承建商提供关于总体架构和相关技术标准的技术咨询服务，确保总体建设目标的达成。</w:t>
      </w:r>
    </w:p>
    <w:p>
      <w:pPr>
        <w:numPr>
          <w:ilvl w:val="0"/>
          <w:numId w:val="10"/>
        </w:numPr>
        <w:autoSpaceDE w:val="0"/>
        <w:autoSpaceDN w:val="0"/>
        <w:adjustRightInd w:val="0"/>
        <w:spacing w:line="360" w:lineRule="auto"/>
        <w:jc w:val="left"/>
        <w:rPr>
          <w:rFonts w:ascii="仿宋" w:hAnsi="仿宋" w:eastAsia="仿宋" w:cs="仿宋"/>
          <w:color w:val="auto"/>
          <w:sz w:val="24"/>
        </w:rPr>
      </w:pPr>
      <w:r>
        <w:rPr>
          <w:rFonts w:hint="eastAsia" w:ascii="仿宋" w:hAnsi="仿宋" w:eastAsia="仿宋" w:cs="仿宋"/>
          <w:color w:val="auto"/>
          <w:sz w:val="24"/>
        </w:rPr>
        <w:t>实施阶段</w:t>
      </w:r>
    </w:p>
    <w:p>
      <w:pPr>
        <w:autoSpaceDE w:val="0"/>
        <w:autoSpaceDN w:val="0"/>
        <w:adjustRightInd w:val="0"/>
        <w:spacing w:line="360" w:lineRule="auto"/>
        <w:ind w:left="-148" w:firstLine="568"/>
        <w:jc w:val="left"/>
        <w:rPr>
          <w:rFonts w:ascii="仿宋" w:hAnsi="仿宋" w:eastAsia="仿宋" w:cs="仿宋"/>
          <w:color w:val="auto"/>
          <w:sz w:val="24"/>
        </w:rPr>
      </w:pPr>
      <w:r>
        <w:rPr>
          <w:rFonts w:hint="eastAsia" w:ascii="仿宋" w:hAnsi="仿宋" w:eastAsia="仿宋" w:cs="仿宋"/>
          <w:color w:val="auto"/>
          <w:sz w:val="24"/>
        </w:rPr>
        <w:t>分析评估实施过程中重大变更对于总体架构的影响，确保变更符合总体建设目标；对于项目建设过程中的关键技术问题提供咨询服务。</w:t>
      </w:r>
    </w:p>
    <w:p>
      <w:pPr>
        <w:autoSpaceDE w:val="0"/>
        <w:autoSpaceDN w:val="0"/>
        <w:adjustRightInd w:val="0"/>
        <w:spacing w:line="360" w:lineRule="auto"/>
        <w:ind w:left="-148" w:firstLine="568"/>
        <w:jc w:val="left"/>
        <w:rPr>
          <w:rFonts w:ascii="仿宋" w:hAnsi="仿宋" w:eastAsia="仿宋" w:cs="仿宋"/>
          <w:color w:val="auto"/>
          <w:sz w:val="24"/>
        </w:rPr>
      </w:pPr>
      <w:r>
        <w:rPr>
          <w:rFonts w:hint="eastAsia" w:ascii="仿宋" w:hAnsi="仿宋" w:eastAsia="仿宋" w:cs="仿宋"/>
          <w:color w:val="auto"/>
          <w:sz w:val="24"/>
        </w:rPr>
        <w:t>（11）项目验收阶段</w:t>
      </w:r>
    </w:p>
    <w:p>
      <w:pPr>
        <w:autoSpaceDE w:val="0"/>
        <w:autoSpaceDN w:val="0"/>
        <w:adjustRightInd w:val="0"/>
        <w:spacing w:line="360" w:lineRule="auto"/>
        <w:ind w:firstLine="420"/>
        <w:jc w:val="left"/>
        <w:rPr>
          <w:rFonts w:ascii="仿宋" w:hAnsi="仿宋" w:eastAsia="仿宋" w:cs="仿宋"/>
          <w:color w:val="auto"/>
          <w:sz w:val="24"/>
        </w:rPr>
      </w:pPr>
      <w:r>
        <w:rPr>
          <w:rFonts w:hint="eastAsia" w:ascii="仿宋" w:hAnsi="仿宋" w:eastAsia="仿宋" w:cs="仿宋"/>
          <w:color w:val="auto"/>
          <w:sz w:val="24"/>
        </w:rPr>
        <w:t>为招标方和各涉及项目承建商提供项目验收过程出现的具体问题的技术咨询服务，确保系统验收后的稳定运行。</w:t>
      </w:r>
    </w:p>
    <w:p>
      <w:pPr>
        <w:spacing w:line="360" w:lineRule="auto"/>
        <w:ind w:left="420" w:hanging="420"/>
        <w:rPr>
          <w:rFonts w:ascii="仿宋" w:hAnsi="仿宋" w:eastAsia="仿宋" w:cs="仿宋"/>
          <w:b/>
          <w:bCs/>
          <w:color w:val="auto"/>
          <w:sz w:val="24"/>
        </w:rPr>
      </w:pPr>
      <w:bookmarkStart w:id="198" w:name="_Toc40904976"/>
      <w:r>
        <w:rPr>
          <w:rFonts w:hint="eastAsia" w:ascii="仿宋" w:hAnsi="仿宋" w:eastAsia="仿宋" w:cs="仿宋"/>
          <w:b/>
          <w:bCs/>
          <w:color w:val="auto"/>
          <w:sz w:val="24"/>
        </w:rPr>
        <w:t>18.3项目管理服务</w:t>
      </w:r>
      <w:bookmarkEnd w:id="198"/>
    </w:p>
    <w:p>
      <w:pPr>
        <w:autoSpaceDE w:val="0"/>
        <w:autoSpaceDN w:val="0"/>
        <w:adjustRightInd w:val="0"/>
        <w:spacing w:line="360" w:lineRule="auto"/>
        <w:ind w:firstLine="420"/>
        <w:jc w:val="left"/>
        <w:rPr>
          <w:rFonts w:ascii="仿宋" w:hAnsi="仿宋" w:eastAsia="仿宋" w:cs="仿宋"/>
          <w:color w:val="auto"/>
          <w:sz w:val="24"/>
        </w:rPr>
      </w:pPr>
      <w:r>
        <w:rPr>
          <w:rFonts w:hint="eastAsia" w:ascii="仿宋" w:hAnsi="仿宋" w:eastAsia="仿宋" w:cs="仿宋"/>
          <w:color w:val="auto"/>
          <w:sz w:val="24"/>
        </w:rPr>
        <w:t>投标方需提供详细的项目管理方案，应配备1个独立的项目管理小组，提供项目团队人员安排、项目进度安排、项目关键点控制计划与方案、项目安全控制计划与方案、项目分工界面安排、协调施工、监理、软硬件厂商等，确保项目顺利实施。投标方负责在日常工作中整理各类维护手册以及在集成过程中生成的各类资料。</w:t>
      </w:r>
    </w:p>
    <w:p>
      <w:pPr>
        <w:numPr>
          <w:ilvl w:val="0"/>
          <w:numId w:val="11"/>
        </w:numPr>
        <w:autoSpaceDE w:val="0"/>
        <w:autoSpaceDN w:val="0"/>
        <w:adjustRightInd w:val="0"/>
        <w:spacing w:line="360" w:lineRule="auto"/>
        <w:jc w:val="left"/>
        <w:rPr>
          <w:rFonts w:ascii="仿宋" w:hAnsi="仿宋" w:eastAsia="仿宋" w:cs="仿宋"/>
          <w:color w:val="auto"/>
          <w:sz w:val="24"/>
        </w:rPr>
      </w:pPr>
      <w:r>
        <w:rPr>
          <w:rFonts w:hint="eastAsia" w:ascii="仿宋" w:hAnsi="仿宋" w:eastAsia="仿宋" w:cs="仿宋"/>
          <w:color w:val="auto"/>
          <w:sz w:val="24"/>
        </w:rPr>
        <w:t>计划管理</w:t>
      </w:r>
    </w:p>
    <w:p>
      <w:pPr>
        <w:autoSpaceDE w:val="0"/>
        <w:autoSpaceDN w:val="0"/>
        <w:adjustRightIn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1）负责编制应用系统建设总体实施方案、总体实施计划，明确工程任务分解和各项任务的实施目标、质量目标、实施计划和评审检查计划等。</w:t>
      </w:r>
    </w:p>
    <w:p>
      <w:pPr>
        <w:autoSpaceDE w:val="0"/>
        <w:autoSpaceDN w:val="0"/>
        <w:adjustRightIn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2)在实施过程中，对制定的计划按照项目规范、制度进行统一控制、管理和调整。</w:t>
      </w:r>
    </w:p>
    <w:p>
      <w:pPr>
        <w:autoSpaceDE w:val="0"/>
        <w:autoSpaceDN w:val="0"/>
        <w:adjustRightIn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(2)进度管理</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1)配合招标方和监理进行进度管理，参与制定工程进度管理机制。</w:t>
      </w:r>
    </w:p>
    <w:p>
      <w:pPr>
        <w:autoSpaceDE w:val="0"/>
        <w:autoSpaceDN w:val="0"/>
        <w:adjustRightIn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2)指导、监督并检查各应用系统承建商实施进展情况，并协调各方落实各项进度要求，解决进度问题。</w:t>
      </w:r>
    </w:p>
    <w:p>
      <w:pPr>
        <w:autoSpaceDE w:val="0"/>
        <w:autoSpaceDN w:val="0"/>
        <w:adjustRightIn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3)收集各应用系统承建商的工作进展报告和工作计划，按照总体实施方案和总体实施计划要求，指导并检查各项工作进展情况，及时发现技术风险问题，提出整改意见和制定解决方案，并指导相关各应用系统承建商落实已批准的整改意见。</w:t>
      </w:r>
    </w:p>
    <w:p>
      <w:pPr>
        <w:autoSpaceDE w:val="0"/>
        <w:autoSpaceDN w:val="0"/>
        <w:adjustRightIn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4）协助组织各应用系统承建商之间的沟通协调会。</w:t>
      </w:r>
    </w:p>
    <w:p>
      <w:pPr>
        <w:autoSpaceDE w:val="0"/>
        <w:autoSpaceDN w:val="0"/>
        <w:adjustRightIn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5）编写进展报告，定期就工程进展情况向招标方通报，同时参加日常工作会议和专题工作会议并向招标方进行专题汇报。</w:t>
      </w:r>
    </w:p>
    <w:p>
      <w:pPr>
        <w:autoSpaceDE w:val="0"/>
        <w:autoSpaceDN w:val="0"/>
        <w:adjustRightIn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rPr>
        <w:t>6）协助招标方编制各类工程进展报告，通报进展情况。</w:t>
      </w:r>
    </w:p>
    <w:p>
      <w:pPr>
        <w:autoSpaceDE w:val="0"/>
        <w:autoSpaceDN w:val="0"/>
        <w:adjustRightIn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（3）质量管理</w:t>
      </w:r>
    </w:p>
    <w:p>
      <w:pPr>
        <w:autoSpaceDE w:val="0"/>
        <w:autoSpaceDN w:val="0"/>
        <w:adjustRightIn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1）配合招标方和监理进行质量管理，参与制定工程质量管理机制。</w:t>
      </w:r>
    </w:p>
    <w:p>
      <w:pPr>
        <w:autoSpaceDE w:val="0"/>
        <w:autoSpaceDN w:val="0"/>
        <w:adjustRightIn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rPr>
        <w:t>2）配合招标方和监理明确工程质量目标、质量标准，制定项目质量管理制度，明确项目质量管理工作流程及质量问题的发现、解决方法，明确质量管理工作方法和工具、管理内容，明确影响质量的控制节点以及如何检查、控制。质量管理内容包括但不限于：系统的响应能力管理、可用性管理、可靠性管理、可扩展性管理、健壮性管理、安全性管理、可修改性管理、可变性管理、易用性管理、可测试管理、功能性管理、互操作性管理等。</w:t>
      </w:r>
    </w:p>
    <w:p>
      <w:pPr>
        <w:autoSpaceDE w:val="0"/>
        <w:autoSpaceDN w:val="0"/>
        <w:adjustRightInd w:val="0"/>
        <w:spacing w:line="360" w:lineRule="auto"/>
        <w:ind w:firstLine="360" w:firstLineChars="150"/>
        <w:jc w:val="left"/>
        <w:rPr>
          <w:rFonts w:ascii="仿宋" w:hAnsi="仿宋" w:eastAsia="仿宋" w:cs="仿宋"/>
          <w:color w:val="auto"/>
          <w:kern w:val="0"/>
          <w:sz w:val="24"/>
        </w:rPr>
      </w:pPr>
      <w:r>
        <w:rPr>
          <w:rFonts w:hint="eastAsia" w:ascii="仿宋" w:hAnsi="仿宋" w:eastAsia="仿宋" w:cs="仿宋"/>
          <w:color w:val="auto"/>
          <w:kern w:val="0"/>
          <w:sz w:val="24"/>
        </w:rPr>
        <w:t>（4）配置管理</w:t>
      </w:r>
    </w:p>
    <w:p>
      <w:pPr>
        <w:autoSpaceDE w:val="0"/>
        <w:autoSpaceDN w:val="0"/>
        <w:adjustRightIn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1）协同招标方和监理进行配置管理，制定工程配置管理机制。</w:t>
      </w:r>
    </w:p>
    <w:p>
      <w:pPr>
        <w:autoSpaceDE w:val="0"/>
        <w:autoSpaceDN w:val="0"/>
        <w:adjustRightIn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对集成工作过程涉及的各项资源、工程过程文件、工程建设成果进行配置管理。过程文档性文件及其他非代码类文件：所采用的工具、管理制度、版本控制、过程及发布文件的管理等。包括但不限于数据、脚本、代码类资源：所采用的工具、管理制度、版本控制、过程代码（测试的、发布的）</w:t>
      </w:r>
    </w:p>
    <w:p>
      <w:pPr>
        <w:autoSpaceDE w:val="0"/>
        <w:autoSpaceDN w:val="0"/>
        <w:adjustRightInd w:val="0"/>
        <w:spacing w:line="360" w:lineRule="auto"/>
        <w:ind w:firstLine="360" w:firstLineChars="150"/>
        <w:jc w:val="left"/>
        <w:rPr>
          <w:rFonts w:ascii="仿宋" w:hAnsi="仿宋" w:eastAsia="仿宋" w:cs="仿宋"/>
          <w:color w:val="auto"/>
          <w:kern w:val="0"/>
          <w:sz w:val="24"/>
        </w:rPr>
      </w:pPr>
      <w:r>
        <w:rPr>
          <w:rFonts w:hint="eastAsia" w:ascii="仿宋" w:hAnsi="仿宋" w:eastAsia="仿宋" w:cs="仿宋"/>
          <w:color w:val="auto"/>
          <w:kern w:val="0"/>
          <w:sz w:val="24"/>
        </w:rPr>
        <w:t>（5）变更管理</w:t>
      </w:r>
    </w:p>
    <w:p>
      <w:pPr>
        <w:autoSpaceDE w:val="0"/>
        <w:autoSpaceDN w:val="0"/>
        <w:adjustRightInd w:val="0"/>
        <w:spacing w:line="360" w:lineRule="auto"/>
        <w:ind w:left="420"/>
        <w:jc w:val="left"/>
        <w:rPr>
          <w:rFonts w:ascii="仿宋" w:hAnsi="仿宋" w:eastAsia="仿宋" w:cs="仿宋"/>
          <w:color w:val="auto"/>
          <w:kern w:val="0"/>
          <w:sz w:val="24"/>
        </w:rPr>
      </w:pPr>
      <w:r>
        <w:rPr>
          <w:rFonts w:hint="eastAsia" w:ascii="仿宋" w:hAnsi="仿宋" w:eastAsia="仿宋" w:cs="仿宋"/>
          <w:color w:val="auto"/>
          <w:kern w:val="0"/>
          <w:sz w:val="24"/>
        </w:rPr>
        <w:t>1）协同招标方和监理进行变更管理，制定工程变更管理机制。</w:t>
      </w:r>
    </w:p>
    <w:p>
      <w:pPr>
        <w:numPr>
          <w:ilvl w:val="0"/>
          <w:numId w:val="12"/>
        </w:numPr>
        <w:autoSpaceDE w:val="0"/>
        <w:autoSpaceDN w:val="0"/>
        <w:adjustRightInd w:val="0"/>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协助对变更进行评估，提出评估意见。</w:t>
      </w:r>
    </w:p>
    <w:p>
      <w:pPr>
        <w:numPr>
          <w:ilvl w:val="0"/>
          <w:numId w:val="12"/>
        </w:numPr>
        <w:autoSpaceDE w:val="0"/>
        <w:autoSpaceDN w:val="0"/>
        <w:adjustRightInd w:val="0"/>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检查相关方变更调整情况，组织解决相关问题。</w:t>
      </w:r>
    </w:p>
    <w:p>
      <w:pPr>
        <w:autoSpaceDE w:val="0"/>
        <w:autoSpaceDN w:val="0"/>
        <w:adjustRightInd w:val="0"/>
        <w:spacing w:line="360" w:lineRule="auto"/>
        <w:ind w:firstLine="360" w:firstLineChars="150"/>
        <w:jc w:val="left"/>
        <w:rPr>
          <w:rFonts w:ascii="仿宋" w:hAnsi="仿宋" w:eastAsia="仿宋" w:cs="仿宋"/>
          <w:color w:val="auto"/>
          <w:kern w:val="0"/>
          <w:sz w:val="24"/>
        </w:rPr>
      </w:pPr>
      <w:r>
        <w:rPr>
          <w:rFonts w:hint="eastAsia" w:ascii="仿宋" w:hAnsi="仿宋" w:eastAsia="仿宋" w:cs="仿宋"/>
          <w:color w:val="auto"/>
          <w:kern w:val="0"/>
          <w:sz w:val="24"/>
        </w:rPr>
        <w:t>（6）风险问题管理</w:t>
      </w:r>
    </w:p>
    <w:p>
      <w:pPr>
        <w:numPr>
          <w:ilvl w:val="1"/>
          <w:numId w:val="12"/>
        </w:numPr>
        <w:spacing w:line="360" w:lineRule="auto"/>
        <w:rPr>
          <w:rFonts w:ascii="仿宋" w:hAnsi="仿宋" w:eastAsia="仿宋" w:cs="仿宋"/>
          <w:color w:val="auto"/>
          <w:kern w:val="0"/>
          <w:sz w:val="24"/>
        </w:rPr>
      </w:pPr>
      <w:r>
        <w:rPr>
          <w:rFonts w:hint="eastAsia" w:ascii="仿宋" w:hAnsi="仿宋" w:eastAsia="仿宋" w:cs="仿宋"/>
          <w:color w:val="auto"/>
          <w:kern w:val="0"/>
          <w:sz w:val="24"/>
        </w:rPr>
        <w:t>协同招标方和监理进行风险问题管理，制定风险问题管理机制。</w:t>
      </w:r>
    </w:p>
    <w:p>
      <w:pPr>
        <w:spacing w:line="360" w:lineRule="auto"/>
        <w:ind w:firstLine="840" w:firstLineChars="350"/>
        <w:rPr>
          <w:rFonts w:ascii="仿宋" w:hAnsi="仿宋" w:eastAsia="仿宋" w:cs="仿宋"/>
          <w:color w:val="auto"/>
          <w:kern w:val="0"/>
          <w:sz w:val="24"/>
        </w:rPr>
      </w:pPr>
      <w:r>
        <w:rPr>
          <w:rFonts w:hint="eastAsia" w:ascii="仿宋" w:hAnsi="仿宋" w:eastAsia="仿宋" w:cs="仿宋"/>
          <w:color w:val="auto"/>
          <w:kern w:val="0"/>
          <w:sz w:val="24"/>
        </w:rPr>
        <w:t>2）及时发现、协调并组织各承建商解决风险和问题。</w:t>
      </w:r>
    </w:p>
    <w:p>
      <w:pPr>
        <w:autoSpaceDE w:val="0"/>
        <w:autoSpaceDN w:val="0"/>
        <w:adjustRightInd w:val="0"/>
        <w:spacing w:line="360" w:lineRule="auto"/>
        <w:ind w:firstLine="360" w:firstLineChars="150"/>
        <w:jc w:val="left"/>
        <w:rPr>
          <w:rFonts w:ascii="仿宋" w:hAnsi="仿宋" w:eastAsia="仿宋" w:cs="仿宋"/>
          <w:color w:val="auto"/>
          <w:kern w:val="0"/>
          <w:sz w:val="24"/>
        </w:rPr>
      </w:pPr>
      <w:r>
        <w:rPr>
          <w:rFonts w:hint="eastAsia" w:ascii="仿宋" w:hAnsi="仿宋" w:eastAsia="仿宋" w:cs="仿宋"/>
          <w:color w:val="auto"/>
          <w:kern w:val="0"/>
          <w:sz w:val="24"/>
        </w:rPr>
        <w:t>（7）验收管理</w:t>
      </w:r>
    </w:p>
    <w:p>
      <w:pPr>
        <w:autoSpaceDE w:val="0"/>
        <w:autoSpaceDN w:val="0"/>
        <w:adjustRightInd w:val="0"/>
        <w:spacing w:line="360" w:lineRule="auto"/>
        <w:ind w:left="368" w:leftChars="175" w:firstLine="360" w:firstLineChars="150"/>
        <w:jc w:val="left"/>
        <w:rPr>
          <w:rFonts w:ascii="仿宋" w:hAnsi="仿宋" w:eastAsia="仿宋" w:cs="仿宋"/>
          <w:color w:val="auto"/>
          <w:kern w:val="0"/>
          <w:sz w:val="24"/>
        </w:rPr>
      </w:pPr>
      <w:r>
        <w:rPr>
          <w:rFonts w:hint="eastAsia" w:ascii="仿宋" w:hAnsi="仿宋" w:eastAsia="仿宋" w:cs="仿宋"/>
          <w:color w:val="auto"/>
          <w:kern w:val="0"/>
          <w:sz w:val="24"/>
        </w:rPr>
        <w:t>1）验收组织</w:t>
      </w:r>
    </w:p>
    <w:p>
      <w:pPr>
        <w:autoSpaceDE w:val="0"/>
        <w:autoSpaceDN w:val="0"/>
        <w:adjustRightInd w:val="0"/>
        <w:spacing w:line="360" w:lineRule="auto"/>
        <w:ind w:firstLine="420"/>
        <w:jc w:val="left"/>
        <w:rPr>
          <w:rFonts w:ascii="仿宋" w:hAnsi="仿宋" w:eastAsia="仿宋" w:cs="仿宋"/>
          <w:color w:val="auto"/>
          <w:kern w:val="0"/>
          <w:sz w:val="24"/>
        </w:rPr>
      </w:pPr>
      <w:r>
        <w:rPr>
          <w:rFonts w:hint="eastAsia" w:ascii="仿宋" w:hAnsi="仿宋" w:eastAsia="仿宋" w:cs="仿宋"/>
          <w:color w:val="auto"/>
          <w:kern w:val="0"/>
          <w:sz w:val="24"/>
        </w:rPr>
        <w:t>项目验收分为初验和终验，都由招标方组织进行。</w:t>
      </w:r>
    </w:p>
    <w:p>
      <w:pPr>
        <w:autoSpaceDE w:val="0"/>
        <w:autoSpaceDN w:val="0"/>
        <w:adjustRightInd w:val="0"/>
        <w:spacing w:line="360" w:lineRule="auto"/>
        <w:ind w:left="840"/>
        <w:jc w:val="left"/>
        <w:rPr>
          <w:rFonts w:ascii="仿宋" w:hAnsi="仿宋" w:eastAsia="仿宋" w:cs="仿宋"/>
          <w:color w:val="auto"/>
          <w:kern w:val="0"/>
          <w:sz w:val="24"/>
        </w:rPr>
      </w:pPr>
      <w:r>
        <w:rPr>
          <w:rFonts w:hint="eastAsia" w:ascii="仿宋" w:hAnsi="仿宋" w:eastAsia="仿宋" w:cs="仿宋"/>
          <w:color w:val="auto"/>
          <w:kern w:val="0"/>
          <w:sz w:val="24"/>
        </w:rPr>
        <w:t>2）初验流程</w:t>
      </w:r>
    </w:p>
    <w:p>
      <w:pPr>
        <w:autoSpaceDE w:val="0"/>
        <w:autoSpaceDN w:val="0"/>
        <w:adjustRightIn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招标方依据相关批复文件、招标采购文件、合同对项目的工程、技术、财务和档案等组织专家进行验收，形成验收报告；投标方提供初验所需的详细设计、测试报告等材料。</w:t>
      </w:r>
    </w:p>
    <w:p>
      <w:pPr>
        <w:autoSpaceDE w:val="0"/>
        <w:autoSpaceDN w:val="0"/>
        <w:adjustRightIn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项目初验后进入试运行，试运行期3个月。</w:t>
      </w:r>
    </w:p>
    <w:p>
      <w:pPr>
        <w:autoSpaceDE w:val="0"/>
        <w:autoSpaceDN w:val="0"/>
        <w:adjustRightInd w:val="0"/>
        <w:spacing w:line="360" w:lineRule="auto"/>
        <w:ind w:left="840"/>
        <w:jc w:val="left"/>
        <w:rPr>
          <w:rFonts w:ascii="仿宋" w:hAnsi="仿宋" w:eastAsia="仿宋" w:cs="仿宋"/>
          <w:color w:val="auto"/>
          <w:kern w:val="0"/>
          <w:sz w:val="24"/>
        </w:rPr>
      </w:pPr>
      <w:r>
        <w:rPr>
          <w:rFonts w:hint="eastAsia" w:ascii="仿宋" w:hAnsi="仿宋" w:eastAsia="仿宋" w:cs="仿宋"/>
          <w:color w:val="auto"/>
          <w:kern w:val="0"/>
          <w:sz w:val="24"/>
        </w:rPr>
        <w:t>3）终验流程</w:t>
      </w:r>
    </w:p>
    <w:p>
      <w:pPr>
        <w:autoSpaceDE w:val="0"/>
        <w:autoSpaceDN w:val="0"/>
        <w:adjustRightInd w:val="0"/>
        <w:spacing w:line="360" w:lineRule="auto"/>
        <w:ind w:firstLine="420"/>
        <w:jc w:val="left"/>
        <w:rPr>
          <w:rFonts w:ascii="仿宋" w:hAnsi="仿宋" w:eastAsia="仿宋" w:cs="仿宋"/>
          <w:color w:val="auto"/>
          <w:kern w:val="0"/>
          <w:sz w:val="24"/>
        </w:rPr>
      </w:pPr>
      <w:r>
        <w:rPr>
          <w:rFonts w:hint="eastAsia" w:ascii="仿宋" w:hAnsi="仿宋" w:eastAsia="仿宋" w:cs="仿宋"/>
          <w:color w:val="auto"/>
          <w:kern w:val="0"/>
          <w:sz w:val="24"/>
        </w:rPr>
        <w:t>招标方组织成立验收组，负责开展竣工验收的先期基础性工作，重点检查项目建设、设计、监理、施工、招标采购、档案资料、预（概）算执行和财务决算等情况，提出验收评价意见和建议。</w:t>
      </w:r>
    </w:p>
    <w:p>
      <w:pPr>
        <w:autoSpaceDE w:val="0"/>
        <w:autoSpaceDN w:val="0"/>
        <w:adjustRightInd w:val="0"/>
        <w:spacing w:line="360" w:lineRule="auto"/>
        <w:ind w:firstLine="360" w:firstLineChars="150"/>
        <w:jc w:val="left"/>
        <w:rPr>
          <w:rFonts w:ascii="仿宋" w:hAnsi="仿宋" w:eastAsia="仿宋" w:cs="仿宋"/>
          <w:color w:val="auto"/>
          <w:kern w:val="0"/>
          <w:sz w:val="24"/>
        </w:rPr>
      </w:pPr>
      <w:r>
        <w:rPr>
          <w:rFonts w:hint="eastAsia" w:ascii="仿宋" w:hAnsi="仿宋" w:eastAsia="仿宋" w:cs="仿宋"/>
          <w:color w:val="auto"/>
          <w:kern w:val="0"/>
          <w:sz w:val="24"/>
        </w:rPr>
        <w:t>（8）验收内容</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1）审查项目的建设目标、规模、内容、质量及资金使用等情况（终验阶段需单独编制提交云资源建设专项报告，涵盖云资源使用情况、服务目录表、应用部署等方面）。</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2）审核项目形成的资产情况。</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3）评价项目交付使用情况。</w:t>
      </w:r>
    </w:p>
    <w:p>
      <w:pPr>
        <w:numPr>
          <w:ilvl w:val="0"/>
          <w:numId w:val="12"/>
        </w:numPr>
        <w:spacing w:line="360" w:lineRule="auto"/>
        <w:rPr>
          <w:rFonts w:ascii="仿宋" w:hAnsi="仿宋" w:eastAsia="仿宋" w:cs="仿宋"/>
          <w:color w:val="auto"/>
          <w:kern w:val="0"/>
          <w:sz w:val="24"/>
        </w:rPr>
      </w:pPr>
      <w:r>
        <w:rPr>
          <w:rFonts w:hint="eastAsia" w:ascii="仿宋" w:hAnsi="仿宋" w:eastAsia="仿宋" w:cs="仿宋"/>
          <w:color w:val="auto"/>
          <w:kern w:val="0"/>
          <w:sz w:val="24"/>
        </w:rPr>
        <w:t>检查项目建设单位执行国家法律、法规情况。</w:t>
      </w:r>
    </w:p>
    <w:p>
      <w:pPr>
        <w:autoSpaceDE w:val="0"/>
        <w:autoSpaceDN w:val="0"/>
        <w:adjustRightInd w:val="0"/>
        <w:spacing w:line="360" w:lineRule="auto"/>
        <w:ind w:firstLine="240" w:firstLineChars="100"/>
        <w:jc w:val="left"/>
        <w:rPr>
          <w:rFonts w:ascii="仿宋" w:hAnsi="仿宋" w:eastAsia="仿宋" w:cs="仿宋"/>
          <w:color w:val="auto"/>
          <w:kern w:val="0"/>
          <w:sz w:val="24"/>
        </w:rPr>
      </w:pPr>
      <w:r>
        <w:rPr>
          <w:rFonts w:hint="eastAsia" w:ascii="仿宋" w:hAnsi="仿宋" w:eastAsia="仿宋" w:cs="仿宋"/>
          <w:color w:val="auto"/>
          <w:kern w:val="0"/>
          <w:sz w:val="24"/>
        </w:rPr>
        <w:t>（9）验收相关材料</w:t>
      </w:r>
    </w:p>
    <w:p>
      <w:pPr>
        <w:autoSpaceDE w:val="0"/>
        <w:autoSpaceDN w:val="0"/>
        <w:adjustRightInd w:val="0"/>
        <w:spacing w:line="360" w:lineRule="auto"/>
        <w:ind w:firstLine="420"/>
        <w:jc w:val="left"/>
        <w:rPr>
          <w:rFonts w:ascii="仿宋" w:hAnsi="仿宋" w:eastAsia="仿宋" w:cs="仿宋"/>
          <w:color w:val="auto"/>
          <w:kern w:val="0"/>
          <w:sz w:val="24"/>
        </w:rPr>
      </w:pPr>
      <w:r>
        <w:rPr>
          <w:rFonts w:hint="eastAsia" w:ascii="仿宋" w:hAnsi="仿宋" w:eastAsia="仿宋" w:cs="仿宋"/>
          <w:color w:val="auto"/>
          <w:kern w:val="0"/>
          <w:sz w:val="24"/>
        </w:rPr>
        <w:t>投标方需负责整理并提供以下验收材料：项目实施方案、项目合同、项目建设总结、项目批复相关文档、项目招标相关文档、项目建设相关文档、初步验收报告、财务报告、软件测试报告、安全测评报告、竣工验收报告等，以及6个子系统和中台的相关验收材料。</w:t>
      </w:r>
    </w:p>
    <w:p>
      <w:pPr>
        <w:autoSpaceDE w:val="0"/>
        <w:autoSpaceDN w:val="0"/>
        <w:adjustRightInd w:val="0"/>
        <w:spacing w:line="360" w:lineRule="auto"/>
        <w:ind w:firstLine="360" w:firstLineChars="150"/>
        <w:jc w:val="left"/>
        <w:rPr>
          <w:rFonts w:ascii="仿宋" w:hAnsi="仿宋" w:eastAsia="仿宋" w:cs="仿宋"/>
          <w:color w:val="auto"/>
          <w:kern w:val="0"/>
          <w:sz w:val="24"/>
        </w:rPr>
      </w:pPr>
      <w:r>
        <w:rPr>
          <w:rFonts w:hint="eastAsia" w:ascii="仿宋" w:hAnsi="仿宋" w:eastAsia="仿宋" w:cs="仿宋"/>
          <w:color w:val="auto"/>
          <w:kern w:val="0"/>
          <w:sz w:val="24"/>
        </w:rPr>
        <w:t>（10）文档管理</w:t>
      </w:r>
    </w:p>
    <w:p>
      <w:pPr>
        <w:autoSpaceDE w:val="0"/>
        <w:autoSpaceDN w:val="0"/>
        <w:adjustRightInd w:val="0"/>
        <w:spacing w:line="360" w:lineRule="auto"/>
        <w:ind w:firstLine="420"/>
        <w:jc w:val="left"/>
        <w:rPr>
          <w:rFonts w:ascii="仿宋" w:hAnsi="仿宋" w:eastAsia="仿宋" w:cs="仿宋"/>
          <w:color w:val="auto"/>
          <w:sz w:val="24"/>
        </w:rPr>
      </w:pPr>
      <w:r>
        <w:rPr>
          <w:rFonts w:hint="eastAsia" w:ascii="仿宋" w:hAnsi="仿宋" w:eastAsia="仿宋" w:cs="仿宋"/>
          <w:color w:val="auto"/>
          <w:sz w:val="24"/>
        </w:rPr>
        <w:t>根据总集要求完成文档管理、档案归档。根据招标方要求，组织工程总体推动相关的培训和会议；编写相关会议的通知、纪要、培训和汇报材料。完成招标方交办的有关工程总体推动的相关事项。应用系统集成服务工作完成后，集成商应提交集成服务实施总结报告，并根据验收要求对数据与信息互联互通情况进行说明，实现医疗保障信息平台各应用系统互联互通、信息共享共用，完成平台使用、维护、接口文档的统筹集成。</w:t>
      </w:r>
    </w:p>
    <w:p>
      <w:pPr>
        <w:autoSpaceDE w:val="0"/>
        <w:autoSpaceDN w:val="0"/>
        <w:adjustRightInd w:val="0"/>
        <w:spacing w:line="360" w:lineRule="auto"/>
        <w:ind w:firstLine="360" w:firstLineChars="150"/>
        <w:jc w:val="left"/>
        <w:rPr>
          <w:rFonts w:ascii="仿宋" w:hAnsi="仿宋" w:eastAsia="仿宋" w:cs="仿宋"/>
          <w:color w:val="auto"/>
          <w:kern w:val="0"/>
          <w:sz w:val="24"/>
        </w:rPr>
      </w:pPr>
      <w:r>
        <w:rPr>
          <w:rFonts w:hint="eastAsia" w:ascii="仿宋" w:hAnsi="仿宋" w:eastAsia="仿宋" w:cs="仿宋"/>
          <w:color w:val="auto"/>
          <w:sz w:val="24"/>
        </w:rPr>
        <w:t>（11）</w:t>
      </w:r>
      <w:r>
        <w:rPr>
          <w:rFonts w:hint="eastAsia" w:ascii="仿宋" w:hAnsi="仿宋" w:eastAsia="仿宋" w:cs="仿宋"/>
          <w:color w:val="auto"/>
          <w:kern w:val="0"/>
          <w:sz w:val="24"/>
        </w:rPr>
        <w:t>协助合同管理</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1）对各分包合同中的技术部分内容提出审核意见。</w:t>
      </w:r>
    </w:p>
    <w:p>
      <w:pPr>
        <w:autoSpaceDE w:val="0"/>
        <w:autoSpaceDN w:val="0"/>
        <w:adjustRightIn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rPr>
        <w:t>2）对各分包的合同进度款支付提出审核意见。</w:t>
      </w:r>
    </w:p>
    <w:p>
      <w:pPr>
        <w:widowControl/>
        <w:spacing w:line="360" w:lineRule="auto"/>
        <w:rPr>
          <w:rFonts w:ascii="仿宋" w:hAnsi="仿宋" w:eastAsia="仿宋" w:cs="仿宋"/>
          <w:b/>
          <w:bCs/>
          <w:color w:val="auto"/>
          <w:kern w:val="44"/>
          <w:sz w:val="24"/>
        </w:rPr>
      </w:pPr>
      <w:bookmarkStart w:id="199" w:name="_Toc40904977"/>
      <w:r>
        <w:rPr>
          <w:rFonts w:hint="eastAsia" w:ascii="仿宋" w:hAnsi="仿宋" w:eastAsia="仿宋" w:cs="仿宋"/>
          <w:b/>
          <w:bCs/>
          <w:color w:val="auto"/>
          <w:kern w:val="44"/>
          <w:sz w:val="24"/>
        </w:rPr>
        <w:t>19.服务期限与地点要求</w:t>
      </w:r>
      <w:bookmarkEnd w:id="199"/>
    </w:p>
    <w:p>
      <w:pPr>
        <w:autoSpaceDE w:val="0"/>
        <w:autoSpaceDN w:val="0"/>
        <w:adjustRightIn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（1）服务期：</w:t>
      </w:r>
      <w:r>
        <w:rPr>
          <w:rFonts w:hint="eastAsia" w:ascii="仿宋" w:hAnsi="仿宋" w:eastAsia="仿宋" w:cs="仿宋"/>
          <w:color w:val="auto"/>
          <w:kern w:val="0"/>
          <w:sz w:val="24"/>
          <w:lang w:val="zh-CN" w:bidi="zh-CN"/>
        </w:rPr>
        <w:t>合同签订之日至项目终验结束</w:t>
      </w:r>
      <w:r>
        <w:rPr>
          <w:rFonts w:hint="eastAsia" w:ascii="仿宋" w:hAnsi="仿宋" w:eastAsia="仿宋" w:cs="仿宋"/>
          <w:color w:val="auto"/>
          <w:kern w:val="0"/>
          <w:sz w:val="24"/>
        </w:rPr>
        <w:t>。</w:t>
      </w:r>
    </w:p>
    <w:p>
      <w:pPr>
        <w:autoSpaceDE w:val="0"/>
        <w:autoSpaceDN w:val="0"/>
        <w:adjustRightIn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（2）服务地点为招标方指定地点。</w:t>
      </w:r>
    </w:p>
    <w:p>
      <w:pPr>
        <w:autoSpaceDE w:val="0"/>
        <w:autoSpaceDN w:val="0"/>
        <w:adjustRightIn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rPr>
        <w:t>（3）提供最少2名专业项目管理人员的驻场服务，以及最少8名专业技术支持人员的驻场服务，其中，技术团队人员有2人须提供数据库管理员主流认证证书，并预备各领域专家级技术人员在工作执行阶段进行技术支撑。</w:t>
      </w:r>
    </w:p>
    <w:p>
      <w:pPr>
        <w:widowControl/>
        <w:spacing w:line="360" w:lineRule="auto"/>
        <w:rPr>
          <w:rFonts w:ascii="仿宋" w:hAnsi="仿宋" w:eastAsia="仿宋" w:cs="仿宋"/>
          <w:b/>
          <w:bCs/>
          <w:color w:val="auto"/>
          <w:kern w:val="44"/>
          <w:sz w:val="24"/>
        </w:rPr>
      </w:pPr>
      <w:bookmarkStart w:id="200" w:name="_Toc40904978"/>
      <w:r>
        <w:rPr>
          <w:rFonts w:hint="eastAsia" w:ascii="仿宋" w:hAnsi="仿宋" w:eastAsia="仿宋" w:cs="仿宋"/>
          <w:b/>
          <w:bCs/>
          <w:color w:val="auto"/>
          <w:kern w:val="44"/>
          <w:sz w:val="24"/>
        </w:rPr>
        <w:t>20.质保要求</w:t>
      </w:r>
      <w:bookmarkEnd w:id="200"/>
    </w:p>
    <w:p>
      <w:pPr>
        <w:autoSpaceDE w:val="0"/>
        <w:autoSpaceDN w:val="0"/>
        <w:adjustRightIn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（1）中标单位应提供项目竣工验收合格后1年的免费质量保证服务。</w:t>
      </w:r>
    </w:p>
    <w:p>
      <w:pPr>
        <w:autoSpaceDE w:val="0"/>
        <w:autoSpaceDN w:val="0"/>
        <w:adjustRightIn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kern w:val="0"/>
          <w:sz w:val="24"/>
        </w:rPr>
        <w:t>（2）质量保证期内投标方应提供7×24小时的技术支持。投标方应说明提供技术服务的方式以及出现故障后的处理流程、响应时间、解决时间。</w:t>
      </w:r>
    </w:p>
    <w:p>
      <w:pPr>
        <w:widowControl/>
        <w:spacing w:line="360" w:lineRule="auto"/>
        <w:rPr>
          <w:rFonts w:ascii="仿宋" w:hAnsi="仿宋" w:eastAsia="仿宋" w:cs="仿宋"/>
          <w:b/>
          <w:bCs/>
          <w:color w:val="auto"/>
          <w:kern w:val="44"/>
          <w:sz w:val="24"/>
        </w:rPr>
      </w:pPr>
      <w:bookmarkStart w:id="201" w:name="_Toc40904979"/>
      <w:r>
        <w:rPr>
          <w:rFonts w:hint="eastAsia" w:ascii="仿宋" w:hAnsi="仿宋" w:eastAsia="仿宋" w:cs="仿宋"/>
          <w:b/>
          <w:bCs/>
          <w:color w:val="auto"/>
          <w:kern w:val="44"/>
          <w:sz w:val="24"/>
        </w:rPr>
        <w:t>21.验收要求</w:t>
      </w:r>
      <w:bookmarkEnd w:id="201"/>
    </w:p>
    <w:p>
      <w:pPr>
        <w:autoSpaceDE w:val="0"/>
        <w:autoSpaceDN w:val="0"/>
        <w:adjustRightInd w:val="0"/>
        <w:spacing w:line="360" w:lineRule="auto"/>
        <w:ind w:firstLine="420"/>
        <w:jc w:val="left"/>
        <w:rPr>
          <w:rFonts w:ascii="仿宋" w:hAnsi="仿宋" w:eastAsia="仿宋" w:cs="仿宋"/>
          <w:color w:val="auto"/>
          <w:sz w:val="24"/>
        </w:rPr>
      </w:pPr>
      <w:r>
        <w:rPr>
          <w:rFonts w:hint="eastAsia" w:ascii="仿宋" w:hAnsi="仿宋" w:eastAsia="仿宋" w:cs="仿宋"/>
          <w:color w:val="auto"/>
          <w:kern w:val="0"/>
          <w:sz w:val="24"/>
        </w:rPr>
        <w:t>根据项目进展分初验和终验；验收标准以招标文件、投标文件、设计方案为依据，由招标方组织专家进行验收评审。验收所产生的费用均已包含在采购预算内。</w:t>
      </w:r>
    </w:p>
    <w:p>
      <w:pPr>
        <w:widowControl/>
        <w:spacing w:line="360" w:lineRule="auto"/>
        <w:rPr>
          <w:rFonts w:ascii="仿宋" w:hAnsi="仿宋" w:eastAsia="仿宋" w:cs="仿宋"/>
          <w:b/>
          <w:bCs/>
          <w:color w:val="auto"/>
          <w:kern w:val="44"/>
          <w:sz w:val="24"/>
        </w:rPr>
      </w:pPr>
      <w:bookmarkStart w:id="202" w:name="_Toc40904980"/>
      <w:r>
        <w:rPr>
          <w:rFonts w:hint="eastAsia" w:ascii="仿宋" w:hAnsi="仿宋" w:eastAsia="仿宋" w:cs="仿宋"/>
          <w:b/>
          <w:bCs/>
          <w:color w:val="auto"/>
          <w:kern w:val="44"/>
          <w:sz w:val="24"/>
        </w:rPr>
        <w:t>22.其它要求</w:t>
      </w:r>
      <w:bookmarkEnd w:id="202"/>
    </w:p>
    <w:p>
      <w:pPr>
        <w:tabs>
          <w:tab w:val="left" w:pos="1301"/>
        </w:tabs>
        <w:autoSpaceDE w:val="0"/>
        <w:autoSpaceDN w:val="0"/>
        <w:spacing w:line="360" w:lineRule="auto"/>
        <w:ind w:left="-380"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（1）中标方须按照招标方指定地点和要求，搭建应用系统测试环境，相关费用由中标方负责。</w:t>
      </w:r>
    </w:p>
    <w:p>
      <w:pPr>
        <w:tabs>
          <w:tab w:val="left" w:pos="1301"/>
        </w:tabs>
        <w:autoSpaceDE w:val="0"/>
        <w:autoSpaceDN w:val="0"/>
        <w:spacing w:line="360" w:lineRule="auto"/>
        <w:ind w:left="-380"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（2）投标方承诺：如投标单位在海南省无分公司或办事处，须承诺中标后在海南省注册分公司或办事处，办公地址须在海南省医疗保障局周边半径2公里范围内。</w:t>
      </w:r>
    </w:p>
    <w:p>
      <w:pPr>
        <w:tabs>
          <w:tab w:val="left" w:pos="1301"/>
        </w:tabs>
        <w:autoSpaceDE w:val="0"/>
        <w:autoSpaceDN w:val="0"/>
        <w:spacing w:line="360" w:lineRule="auto"/>
        <w:ind w:left="-380" w:right="318" w:firstLine="476" w:firstLineChars="200"/>
        <w:rPr>
          <w:rFonts w:ascii="仿宋" w:hAnsi="仿宋" w:eastAsia="仿宋" w:cs="仿宋"/>
          <w:color w:val="auto"/>
          <w:sz w:val="24"/>
        </w:rPr>
      </w:pPr>
      <w:r>
        <w:rPr>
          <w:rFonts w:hint="eastAsia" w:ascii="仿宋" w:hAnsi="仿宋" w:eastAsia="仿宋" w:cs="仿宋"/>
          <w:color w:val="auto"/>
          <w:spacing w:val="-1"/>
          <w:sz w:val="24"/>
        </w:rPr>
        <w:t>（3）当招标方有新需求，而本文又未包括或与本文不符时，则应符合招标</w:t>
      </w:r>
      <w:r>
        <w:rPr>
          <w:rFonts w:hint="eastAsia" w:ascii="仿宋" w:hAnsi="仿宋" w:eastAsia="仿宋" w:cs="仿宋"/>
          <w:color w:val="auto"/>
          <w:spacing w:val="-10"/>
          <w:sz w:val="24"/>
        </w:rPr>
        <w:t>方新需求；对于招标方尚未有标准的，而本文又未提及的部分，中标单位提出其标</w:t>
      </w:r>
      <w:r>
        <w:rPr>
          <w:rFonts w:hint="eastAsia" w:ascii="仿宋" w:hAnsi="仿宋" w:eastAsia="仿宋" w:cs="仿宋"/>
          <w:color w:val="auto"/>
          <w:sz w:val="24"/>
        </w:rPr>
        <w:t>准，留待双方认可后执行。</w:t>
      </w:r>
    </w:p>
    <w:p>
      <w:pPr>
        <w:tabs>
          <w:tab w:val="left" w:pos="1301"/>
        </w:tabs>
        <w:autoSpaceDE w:val="0"/>
        <w:autoSpaceDN w:val="0"/>
        <w:spacing w:line="360" w:lineRule="auto"/>
        <w:ind w:left="-380"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4）中标单位中标单位单位应确保其技术建议的可行性以及所提供服务和产品的完整性，若出现由于中标单位单位中标单位所提供的服务和产品不全面而导致系统功能无法实现或不能完全实现，由中标单位中标单位及时无偿补足，并负全部责任。</w:t>
      </w:r>
    </w:p>
    <w:p>
      <w:pPr>
        <w:tabs>
          <w:tab w:val="left" w:pos="1301"/>
        </w:tabs>
        <w:autoSpaceDE w:val="0"/>
        <w:autoSpaceDN w:val="0"/>
        <w:spacing w:line="360" w:lineRule="auto"/>
        <w:ind w:left="-380"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5）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tabs>
          <w:tab w:val="left" w:pos="1301"/>
        </w:tabs>
        <w:autoSpaceDE w:val="0"/>
        <w:autoSpaceDN w:val="0"/>
        <w:spacing w:line="360" w:lineRule="auto"/>
        <w:ind w:left="-380"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（6）投标方承诺承担驻场工程师就餐和相关差旅费用，并提供驻场工程师办公电脑、打印机等设备。</w:t>
      </w:r>
    </w:p>
    <w:p>
      <w:pPr>
        <w:tabs>
          <w:tab w:val="left" w:pos="1301"/>
        </w:tabs>
        <w:autoSpaceDE w:val="0"/>
        <w:autoSpaceDN w:val="0"/>
        <w:spacing w:line="360" w:lineRule="auto"/>
        <w:ind w:left="-380"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（7）投标方承诺本项目合作终止后1年内，无条件配合招标方进行数据迁移、数据字典提供、数据结构提供、对相关实现方式讲解。</w:t>
      </w:r>
    </w:p>
    <w:p>
      <w:pPr>
        <w:tabs>
          <w:tab w:val="left" w:pos="1301"/>
        </w:tabs>
        <w:autoSpaceDE w:val="0"/>
        <w:autoSpaceDN w:val="0"/>
        <w:spacing w:line="360" w:lineRule="auto"/>
        <w:ind w:left="-380"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（8）本项目建设内容、需求若有变化，与本文不符的，则按照招标方与投标方友好协商修订为准。</w:t>
      </w: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keepNext/>
        <w:keepLines/>
        <w:spacing w:line="360" w:lineRule="auto"/>
        <w:jc w:val="center"/>
        <w:rPr>
          <w:rFonts w:ascii="仿宋" w:hAnsi="仿宋" w:eastAsia="仿宋" w:cs="仿宋"/>
          <w:b/>
          <w:bCs/>
          <w:color w:val="auto"/>
          <w:sz w:val="24"/>
        </w:rPr>
      </w:pPr>
    </w:p>
    <w:p>
      <w:pPr>
        <w:rPr>
          <w:rFonts w:ascii="仿宋" w:hAnsi="仿宋" w:eastAsia="仿宋"/>
          <w:color w:val="auto"/>
        </w:rPr>
      </w:pPr>
      <w:r>
        <w:rPr>
          <w:rFonts w:ascii="仿宋" w:hAnsi="仿宋" w:eastAsia="仿宋"/>
          <w:color w:val="auto"/>
        </w:rPr>
        <w:br w:type="page"/>
      </w:r>
    </w:p>
    <w:p>
      <w:pPr>
        <w:keepNext/>
        <w:keepLines/>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3包应用支撑和经办子系统</w:t>
      </w:r>
    </w:p>
    <w:p>
      <w:pPr>
        <w:widowControl/>
        <w:spacing w:line="360" w:lineRule="auto"/>
        <w:jc w:val="left"/>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1.项目概述</w:t>
      </w:r>
    </w:p>
    <w:p>
      <w:pPr>
        <w:spacing w:line="360" w:lineRule="auto"/>
        <w:ind w:firstLine="236" w:firstLineChars="98"/>
        <w:rPr>
          <w:rFonts w:ascii="仿宋" w:hAnsi="仿宋" w:eastAsia="仿宋" w:cs="仿宋"/>
          <w:b/>
          <w:color w:val="auto"/>
          <w:kern w:val="0"/>
          <w:sz w:val="24"/>
          <w:lang w:val="zh-CN" w:bidi="zh-CN"/>
        </w:rPr>
      </w:pPr>
      <w:bookmarkStart w:id="203" w:name="_Toc27899505"/>
      <w:bookmarkStart w:id="204" w:name="_Toc40898610"/>
      <w:r>
        <w:rPr>
          <w:rFonts w:hint="eastAsia" w:ascii="仿宋" w:hAnsi="仿宋" w:eastAsia="仿宋" w:cs="仿宋"/>
          <w:b/>
          <w:color w:val="auto"/>
          <w:kern w:val="0"/>
          <w:sz w:val="24"/>
          <w:lang w:val="zh-CN" w:bidi="zh-CN"/>
        </w:rPr>
        <w:t>1.1项目背景</w:t>
      </w:r>
      <w:bookmarkEnd w:id="203"/>
      <w:bookmarkEnd w:id="204"/>
    </w:p>
    <w:p>
      <w:pPr>
        <w:pStyle w:val="18"/>
        <w:rPr>
          <w:rFonts w:ascii="仿宋" w:hAnsi="仿宋" w:eastAsia="仿宋" w:cs="仿宋"/>
          <w:color w:val="auto"/>
          <w:sz w:val="24"/>
        </w:rPr>
      </w:pPr>
      <w:r>
        <w:rPr>
          <w:rFonts w:hint="eastAsia" w:ascii="仿宋" w:hAnsi="仿宋" w:eastAsia="仿宋" w:cs="仿宋"/>
          <w:color w:val="auto"/>
          <w:sz w:val="24"/>
        </w:rPr>
        <w:t>以习近平新时代中国特色社会主义思想为指导，全面贯彻党的十九大、十九届二中三中全会精神和2019年全国“两会”精神，认真落实全国医疗保障工作会议座谈会精神，严格遵循《国家医疗保障局医疗保障信息化工作指导意见》及《医疗保障信息平台建设指南》，坚持“千方百计保基本、始终做到可持续、回应社会解民忧、敢于担当推改革”，以医保为龙头带动“三医联动”改革，以信息化建设为抓手推动医保覆盖与医保控费，积极融入医疗保障信息化全国“一盘棋”格局，为逐步构建起全国医保便捷可及“大服务”、规范高效“大经办”、智能精准“大治理”、融合共享“大协作”、在线可用“大数据”、安全可靠“大支撑”信息化支撑体系添枝加叶。</w:t>
      </w:r>
    </w:p>
    <w:p>
      <w:pPr>
        <w:pStyle w:val="18"/>
        <w:rPr>
          <w:rFonts w:ascii="仿宋" w:hAnsi="仿宋" w:eastAsia="仿宋" w:cs="仿宋"/>
          <w:color w:val="auto"/>
          <w:sz w:val="24"/>
        </w:rPr>
      </w:pPr>
      <w:r>
        <w:rPr>
          <w:rFonts w:hint="eastAsia" w:ascii="仿宋" w:hAnsi="仿宋" w:eastAsia="仿宋" w:cs="仿宋"/>
          <w:color w:val="auto"/>
          <w:sz w:val="24"/>
        </w:rPr>
        <w:t>针对海南地区人口经济发展差异和老龄化严重的社会问题及农垦职工医疗保险基金缺口等历史遗留问题，本项目按照国家医保局标准全国统一、数据两级集中、平台分级部署、网络全面覆盖的医疗保障信息化建设要求，注重顶层设计、统一业务标准、打造基础平台、做好数据汇集、强化协同共享、增强网络安全。依托国家平台与海南省平台之间的协作联通，使用国家下达的中台服务，贯彻表层应用能用即用，国家系统中未设计的表层应用，采用国家统一的中台进行组装的整体思路，建设海南省统一的医疗保障信息平台，实现医保全省统筹统收统支“九统一”的重点工作任务，即： 统一行政管理和稽查执法，统一医保发展规划，统一医保基金收缴，统一医保待遇政策，统一医保支付范围，统一医保基金管理，统一医保经办规程，统一医保定点机构，统一医保信息系统。进一步完善医疗保障制度体系，提升医疗保障基金监管，强化医保支付、深化医药服务价格改革、优化医疗保障管理服务水平，探索常住外籍人员医疗保障办法。发挥信息化对医疗保障事业的支撑作用。解决群众反映强烈的突出问题，不断提高人民群众医疗保障获利感、幸福感和安全感，助力提高医改整体效能同时促进海南自由贸易试验区快速建设和实施健康中国战略。</w:t>
      </w:r>
      <w:bookmarkStart w:id="205" w:name="_Toc40898611"/>
      <w:bookmarkStart w:id="206" w:name="_Toc27899506"/>
    </w:p>
    <w:p>
      <w:pPr>
        <w:pStyle w:val="18"/>
        <w:ind w:firstLine="0" w:firstLineChars="0"/>
        <w:rPr>
          <w:rFonts w:ascii="仿宋" w:hAnsi="仿宋" w:eastAsia="仿宋" w:cs="仿宋"/>
          <w:color w:val="auto"/>
          <w:sz w:val="24"/>
        </w:rPr>
      </w:pPr>
      <w:r>
        <w:rPr>
          <w:rFonts w:hint="eastAsia" w:ascii="仿宋" w:hAnsi="仿宋" w:eastAsia="仿宋" w:cs="仿宋"/>
          <w:b/>
          <w:color w:val="auto"/>
          <w:sz w:val="24"/>
          <w:lang w:bidi="zh-CN"/>
        </w:rPr>
        <w:t>2.项目建设原则</w:t>
      </w:r>
      <w:bookmarkEnd w:id="205"/>
      <w:bookmarkEnd w:id="206"/>
    </w:p>
    <w:p>
      <w:pPr>
        <w:pStyle w:val="18"/>
        <w:rPr>
          <w:rFonts w:ascii="仿宋" w:hAnsi="仿宋" w:eastAsia="仿宋" w:cs="仿宋"/>
          <w:color w:val="auto"/>
          <w:sz w:val="24"/>
        </w:rPr>
      </w:pPr>
      <w:r>
        <w:rPr>
          <w:rFonts w:hint="eastAsia" w:ascii="仿宋" w:hAnsi="仿宋" w:eastAsia="仿宋" w:cs="仿宋"/>
          <w:color w:val="auto"/>
          <w:sz w:val="24"/>
        </w:rPr>
        <w:t>系统建设应该遵循以下原则：</w:t>
      </w:r>
    </w:p>
    <w:p>
      <w:pPr>
        <w:pStyle w:val="18"/>
        <w:ind w:firstLine="482"/>
        <w:rPr>
          <w:rFonts w:ascii="仿宋" w:hAnsi="仿宋" w:eastAsia="仿宋" w:cs="仿宋"/>
          <w:b/>
          <w:color w:val="auto"/>
          <w:sz w:val="24"/>
        </w:rPr>
      </w:pPr>
      <w:r>
        <w:rPr>
          <w:rFonts w:hint="eastAsia" w:ascii="仿宋" w:hAnsi="仿宋" w:eastAsia="仿宋" w:cs="仿宋"/>
          <w:b/>
          <w:color w:val="auto"/>
          <w:sz w:val="24"/>
        </w:rPr>
        <w:t>（1）统筹规划，分步推进</w:t>
      </w:r>
    </w:p>
    <w:p>
      <w:pPr>
        <w:pStyle w:val="18"/>
        <w:rPr>
          <w:rFonts w:ascii="仿宋" w:hAnsi="仿宋" w:eastAsia="仿宋" w:cs="仿宋"/>
          <w:color w:val="auto"/>
          <w:sz w:val="24"/>
        </w:rPr>
      </w:pPr>
      <w:r>
        <w:rPr>
          <w:rFonts w:hint="eastAsia" w:ascii="仿宋" w:hAnsi="仿宋" w:eastAsia="仿宋" w:cs="仿宋"/>
          <w:color w:val="auto"/>
          <w:sz w:val="24"/>
        </w:rPr>
        <w:t>为避免信息孤岛、重复建设等现象，海南省医疗保障局医疗保障信息平台建设工程需进行“自上而下”的顶层规划设计，进行合理有序布局；通过“统一领导、统一规划、统一部署、统一标准”的统筹指导建设，集约管理，节约投资。同时，遵循“自下而上”的项目操作原则，立足现行管理体制与制度建设，打好基础，确立方向，稳步推进，均衡发展，实现项目落地，并为下一步制度完善、管理提升留有空间。</w:t>
      </w:r>
    </w:p>
    <w:p>
      <w:pPr>
        <w:pStyle w:val="18"/>
        <w:ind w:firstLine="482"/>
        <w:rPr>
          <w:rFonts w:ascii="仿宋" w:hAnsi="仿宋" w:eastAsia="仿宋" w:cs="仿宋"/>
          <w:b/>
          <w:color w:val="auto"/>
          <w:sz w:val="24"/>
        </w:rPr>
      </w:pPr>
      <w:r>
        <w:rPr>
          <w:rFonts w:hint="eastAsia" w:ascii="仿宋" w:hAnsi="仿宋" w:eastAsia="仿宋" w:cs="仿宋"/>
          <w:b/>
          <w:color w:val="auto"/>
          <w:sz w:val="24"/>
        </w:rPr>
        <w:t>（2）需求导向、务求实效</w:t>
      </w:r>
    </w:p>
    <w:p>
      <w:pPr>
        <w:pStyle w:val="18"/>
        <w:rPr>
          <w:rFonts w:ascii="仿宋" w:hAnsi="仿宋" w:eastAsia="仿宋" w:cs="仿宋"/>
          <w:color w:val="auto"/>
          <w:sz w:val="24"/>
        </w:rPr>
      </w:pPr>
      <w:r>
        <w:rPr>
          <w:rFonts w:hint="eastAsia" w:ascii="仿宋" w:hAnsi="仿宋" w:eastAsia="仿宋" w:cs="仿宋"/>
          <w:color w:val="auto"/>
          <w:sz w:val="24"/>
        </w:rPr>
        <w:t>以医保各部门间信息共享与业务协同作为原始需求驱动，进行医保基础平台的规划建设。再以此为基础，逐步拓展数据资源与数据资源服务能力，进一步进行医保大数据分析挖掘等高级应用，完善与丰富贴近实战的大数据应用服务，从而形成良性循环，并尽快体现出阶段性效果。</w:t>
      </w:r>
    </w:p>
    <w:p>
      <w:pPr>
        <w:pStyle w:val="18"/>
        <w:ind w:firstLine="482"/>
        <w:rPr>
          <w:rFonts w:ascii="仿宋" w:hAnsi="仿宋" w:eastAsia="仿宋" w:cs="仿宋"/>
          <w:b/>
          <w:color w:val="auto"/>
          <w:sz w:val="24"/>
        </w:rPr>
      </w:pPr>
      <w:r>
        <w:rPr>
          <w:rFonts w:hint="eastAsia" w:ascii="仿宋" w:hAnsi="仿宋" w:eastAsia="仿宋" w:cs="仿宋"/>
          <w:b/>
          <w:color w:val="auto"/>
          <w:sz w:val="24"/>
        </w:rPr>
        <w:t>（3）统一协同，资源共享</w:t>
      </w:r>
    </w:p>
    <w:p>
      <w:pPr>
        <w:pStyle w:val="18"/>
        <w:rPr>
          <w:rFonts w:ascii="仿宋" w:hAnsi="仿宋" w:eastAsia="仿宋" w:cs="仿宋"/>
          <w:color w:val="auto"/>
          <w:sz w:val="24"/>
        </w:rPr>
      </w:pPr>
      <w:r>
        <w:rPr>
          <w:rFonts w:hint="eastAsia" w:ascii="仿宋" w:hAnsi="仿宋" w:eastAsia="仿宋" w:cs="仿宋"/>
          <w:color w:val="auto"/>
          <w:sz w:val="24"/>
        </w:rPr>
        <w:t>统一管理、统一规划，就必须有一套统一的标准规范作为基础支撑。标准与规范应向上符合国家的标准与规范，向下规范医保行业业务范围内大数据建设与应用。遵循统一的标准，各相关职能部门根据权限的不同，共享信息资源。同时，各级医保管理部门共同参与，既能保障数据同步，也有利于实现信息共享和协同工作，实现资源的集约化管理。</w:t>
      </w:r>
    </w:p>
    <w:p>
      <w:pPr>
        <w:pStyle w:val="18"/>
        <w:ind w:firstLine="482"/>
        <w:rPr>
          <w:rFonts w:ascii="仿宋" w:hAnsi="仿宋" w:eastAsia="仿宋" w:cs="仿宋"/>
          <w:b/>
          <w:color w:val="auto"/>
          <w:sz w:val="24"/>
        </w:rPr>
      </w:pPr>
      <w:r>
        <w:rPr>
          <w:rFonts w:hint="eastAsia" w:ascii="仿宋" w:hAnsi="仿宋" w:eastAsia="仿宋" w:cs="仿宋"/>
          <w:b/>
          <w:color w:val="auto"/>
          <w:sz w:val="24"/>
        </w:rPr>
        <w:t>（4）整合共享，协作高效</w:t>
      </w:r>
    </w:p>
    <w:p>
      <w:pPr>
        <w:pStyle w:val="18"/>
        <w:rPr>
          <w:rFonts w:ascii="仿宋" w:hAnsi="仿宋" w:eastAsia="仿宋" w:cs="仿宋"/>
          <w:color w:val="auto"/>
          <w:sz w:val="24"/>
        </w:rPr>
      </w:pPr>
      <w:r>
        <w:rPr>
          <w:rFonts w:hint="eastAsia" w:ascii="仿宋" w:hAnsi="仿宋" w:eastAsia="仿宋" w:cs="仿宋"/>
          <w:color w:val="auto"/>
          <w:sz w:val="24"/>
        </w:rPr>
        <w:t>突破区域、部门之间的界限和体制性障碍，充分整合基础设施资源和智能终端获取的信息资源，通过医疗保障信息平台建设推进跨部门、跨领域的信息化协同共享，增强医疗保障的效率和决策能力，同时有效满足公众信息需求，提升医保资源的利用效率。</w:t>
      </w:r>
    </w:p>
    <w:p>
      <w:pPr>
        <w:pStyle w:val="18"/>
        <w:ind w:firstLine="482"/>
        <w:rPr>
          <w:rFonts w:ascii="仿宋" w:hAnsi="仿宋" w:eastAsia="仿宋" w:cs="仿宋"/>
          <w:b/>
          <w:color w:val="auto"/>
          <w:sz w:val="24"/>
        </w:rPr>
      </w:pPr>
      <w:r>
        <w:rPr>
          <w:rFonts w:hint="eastAsia" w:ascii="仿宋" w:hAnsi="仿宋" w:eastAsia="仿宋" w:cs="仿宋"/>
          <w:b/>
          <w:color w:val="auto"/>
          <w:sz w:val="24"/>
        </w:rPr>
        <w:t>（5）统一标准，开放接口</w:t>
      </w:r>
    </w:p>
    <w:p>
      <w:pPr>
        <w:pStyle w:val="18"/>
        <w:rPr>
          <w:rFonts w:ascii="仿宋" w:hAnsi="仿宋" w:eastAsia="仿宋" w:cs="仿宋"/>
          <w:color w:val="auto"/>
          <w:sz w:val="24"/>
          <w:lang w:val="en-US"/>
        </w:rPr>
      </w:pPr>
      <w:r>
        <w:rPr>
          <w:rFonts w:hint="eastAsia" w:ascii="仿宋" w:hAnsi="仿宋" w:eastAsia="仿宋" w:cs="仿宋"/>
          <w:color w:val="auto"/>
          <w:sz w:val="24"/>
        </w:rPr>
        <w:t>通过明确和开放医疗信息平台的接口与标准，为后期其他相关行业的数据接入提供标准接口，最大限度地实现医保与政府、职能部门、医院、企业、百姓的信息对接。</w:t>
      </w:r>
    </w:p>
    <w:p>
      <w:pPr>
        <w:autoSpaceDE w:val="0"/>
        <w:autoSpaceDN w:val="0"/>
        <w:spacing w:line="360" w:lineRule="auto"/>
        <w:ind w:left="221"/>
        <w:jc w:val="left"/>
        <w:rPr>
          <w:rFonts w:ascii="仿宋" w:hAnsi="仿宋" w:eastAsia="仿宋" w:cs="仿宋"/>
          <w:b/>
          <w:color w:val="auto"/>
          <w:kern w:val="0"/>
          <w:sz w:val="24"/>
          <w:lang w:val="zh-CN" w:bidi="zh-CN"/>
        </w:rPr>
      </w:pPr>
      <w:bookmarkStart w:id="207" w:name="_Toc40898612"/>
      <w:r>
        <w:rPr>
          <w:rFonts w:hint="eastAsia" w:ascii="仿宋" w:hAnsi="仿宋" w:eastAsia="仿宋" w:cs="仿宋"/>
          <w:b/>
          <w:color w:val="auto"/>
          <w:kern w:val="0"/>
          <w:sz w:val="24"/>
          <w:lang w:val="zh-CN" w:bidi="zh-CN"/>
        </w:rPr>
        <w:t>3.建设目标</w:t>
      </w:r>
      <w:bookmarkEnd w:id="207"/>
    </w:p>
    <w:p>
      <w:pPr>
        <w:pStyle w:val="18"/>
        <w:rPr>
          <w:rFonts w:ascii="仿宋" w:hAnsi="仿宋" w:eastAsia="仿宋" w:cs="仿宋"/>
          <w:color w:val="auto"/>
          <w:sz w:val="24"/>
        </w:rPr>
      </w:pPr>
      <w:r>
        <w:rPr>
          <w:rFonts w:hint="eastAsia" w:ascii="仿宋" w:hAnsi="仿宋" w:eastAsia="仿宋" w:cs="仿宋"/>
          <w:color w:val="auto"/>
          <w:sz w:val="24"/>
        </w:rPr>
        <w:t>建立全省统一的城镇职工和城乡居民医保业务经办标准，打造标准化、智能化、便捷化的业务经办体系，通过业务经办子系统规范全省医保业务经办机构的业务经办流程，汇聚各市县的医保业务数据和业务经办过程信息，实现城镇职工和城乡居民医保服务的均等化、规范化。</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海南省医疗保障局医保信息平台业务经办和应用支撑子系统包含医保基础业务管理、医疗救助、医保扶贫、异地就医管理、医疗服务价格管理、医保结算收费平台、医联体、报表管理、基金财务与报表、核心经办精准服务、内部统一门户管理、基础信息管理、专家库、医保行政管理等模块。对参保缴费、待遇结算、基金财务、异地就医等业务进行办理以及医疗救助、医保扶贫等方面进行管理。通过调用不同中心和其他子系统进行数据交换同步。相关数据通过海南省医保共享交换库将业务经办子系统数据上传至国家医保交换库，最终传给对应的国家医保子系统，实现数据汇聚和调用。</w:t>
      </w:r>
    </w:p>
    <w:p>
      <w:pPr>
        <w:autoSpaceDE w:val="0"/>
        <w:autoSpaceDN w:val="0"/>
        <w:spacing w:line="360" w:lineRule="auto"/>
        <w:jc w:val="left"/>
        <w:rPr>
          <w:rFonts w:ascii="仿宋" w:hAnsi="仿宋" w:eastAsia="仿宋" w:cs="仿宋"/>
          <w:b/>
          <w:color w:val="auto"/>
          <w:kern w:val="0"/>
          <w:sz w:val="24"/>
          <w:lang w:val="zh-CN" w:bidi="zh-CN"/>
        </w:rPr>
      </w:pPr>
      <w:bookmarkStart w:id="208" w:name="_Toc40898613"/>
      <w:r>
        <w:rPr>
          <w:rFonts w:hint="eastAsia" w:ascii="仿宋" w:hAnsi="仿宋" w:eastAsia="仿宋" w:cs="仿宋"/>
          <w:b/>
          <w:color w:val="auto"/>
          <w:kern w:val="0"/>
          <w:sz w:val="24"/>
          <w:lang w:val="zh-CN" w:bidi="zh-CN"/>
        </w:rPr>
        <w:t>4.系统定位</w:t>
      </w:r>
      <w:bookmarkEnd w:id="208"/>
    </w:p>
    <w:p>
      <w:pPr>
        <w:pStyle w:val="18"/>
        <w:rPr>
          <w:rFonts w:ascii="仿宋" w:hAnsi="仿宋" w:eastAsia="仿宋" w:cs="仿宋"/>
          <w:color w:val="auto"/>
          <w:sz w:val="24"/>
        </w:rPr>
      </w:pPr>
      <w:r>
        <w:rPr>
          <w:rFonts w:hint="eastAsia" w:ascii="仿宋" w:hAnsi="仿宋" w:eastAsia="仿宋" w:cs="仿宋"/>
          <w:color w:val="auto"/>
          <w:sz w:val="24"/>
        </w:rPr>
        <w:t>海南省医疗保障局医疗保障信息平台总体功能架构如下图所示：</w:t>
      </w:r>
    </w:p>
    <w:p>
      <w:pPr>
        <w:pStyle w:val="9"/>
        <w:spacing w:line="360" w:lineRule="auto"/>
        <w:rPr>
          <w:rFonts w:ascii="仿宋" w:hAnsi="仿宋" w:eastAsia="仿宋" w:cs="仿宋"/>
          <w:color w:val="auto"/>
          <w:sz w:val="24"/>
        </w:rPr>
      </w:pPr>
      <w:r>
        <w:rPr>
          <w:rFonts w:hint="eastAsia" w:ascii="仿宋" w:hAnsi="仿宋" w:eastAsia="仿宋" w:cs="仿宋"/>
          <w:color w:val="auto"/>
          <w:sz w:val="24"/>
          <w:lang w:val="en-US" w:bidi="ar-SA"/>
        </w:rPr>
        <w:drawing>
          <wp:inline distT="0" distB="0" distL="114300" distR="114300">
            <wp:extent cx="5231130" cy="2848610"/>
            <wp:effectExtent l="0" t="0" r="762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31130" cy="2848610"/>
                    </a:xfrm>
                    <a:prstGeom prst="rect">
                      <a:avLst/>
                    </a:prstGeom>
                    <a:noFill/>
                    <a:ln>
                      <a:noFill/>
                    </a:ln>
                  </pic:spPr>
                </pic:pic>
              </a:graphicData>
            </a:graphic>
          </wp:inline>
        </w:drawing>
      </w:r>
    </w:p>
    <w:p>
      <w:pPr>
        <w:pStyle w:val="18"/>
        <w:ind w:firstLine="482"/>
        <w:jc w:val="left"/>
        <w:rPr>
          <w:rFonts w:ascii="仿宋" w:hAnsi="仿宋" w:eastAsia="仿宋" w:cs="仿宋"/>
          <w:b/>
          <w:color w:val="auto"/>
          <w:sz w:val="24"/>
        </w:rPr>
      </w:pPr>
      <w:r>
        <w:rPr>
          <w:rFonts w:hint="eastAsia" w:ascii="仿宋" w:hAnsi="仿宋" w:eastAsia="仿宋" w:cs="仿宋"/>
          <w:b/>
          <w:color w:val="auto"/>
          <w:sz w:val="24"/>
        </w:rPr>
        <w:t>本文涉及的</w:t>
      </w:r>
      <w:r>
        <w:rPr>
          <w:rFonts w:hint="eastAsia" w:ascii="仿宋" w:hAnsi="仿宋" w:eastAsia="仿宋" w:cs="仿宋"/>
          <w:b/>
          <w:color w:val="auto"/>
          <w:sz w:val="24"/>
          <w:lang w:bidi="zh-CN"/>
        </w:rPr>
        <w:t>业务经办子系统、应用支撑子系统</w:t>
      </w:r>
      <w:r>
        <w:rPr>
          <w:rFonts w:hint="eastAsia" w:ascii="仿宋" w:hAnsi="仿宋" w:eastAsia="仿宋" w:cs="仿宋"/>
          <w:b/>
          <w:color w:val="auto"/>
          <w:sz w:val="24"/>
        </w:rPr>
        <w:t>作为医疗保障信息平台的组成部分。</w:t>
      </w:r>
    </w:p>
    <w:p>
      <w:pPr>
        <w:autoSpaceDE w:val="0"/>
        <w:autoSpaceDN w:val="0"/>
        <w:spacing w:line="360" w:lineRule="auto"/>
        <w:jc w:val="left"/>
        <w:rPr>
          <w:rFonts w:ascii="仿宋" w:hAnsi="仿宋" w:eastAsia="仿宋" w:cs="仿宋"/>
          <w:b/>
          <w:color w:val="auto"/>
          <w:kern w:val="0"/>
          <w:sz w:val="24"/>
          <w:lang w:val="zh-CN" w:bidi="zh-CN"/>
        </w:rPr>
      </w:pPr>
      <w:bookmarkStart w:id="209" w:name="_Toc40898614"/>
      <w:r>
        <w:rPr>
          <w:rFonts w:hint="eastAsia" w:ascii="仿宋" w:hAnsi="仿宋" w:eastAsia="仿宋" w:cs="仿宋"/>
          <w:b/>
          <w:color w:val="auto"/>
          <w:kern w:val="0"/>
          <w:sz w:val="24"/>
          <w:lang w:val="zh-CN" w:bidi="zh-CN"/>
        </w:rPr>
        <w:t>5.技术架构要求</w:t>
      </w:r>
      <w:bookmarkEnd w:id="209"/>
    </w:p>
    <w:p>
      <w:pPr>
        <w:pStyle w:val="18"/>
        <w:rPr>
          <w:rFonts w:ascii="仿宋" w:hAnsi="仿宋" w:eastAsia="仿宋" w:cs="仿宋"/>
          <w:color w:val="auto"/>
          <w:sz w:val="24"/>
        </w:rPr>
      </w:pPr>
      <w:r>
        <w:rPr>
          <w:rFonts w:hint="eastAsia" w:ascii="仿宋" w:hAnsi="仿宋" w:eastAsia="仿宋" w:cs="仿宋"/>
          <w:color w:val="auto"/>
          <w:sz w:val="24"/>
        </w:rPr>
        <w:t>海南省医疗保障信息平台需要支撑1500余万用户的高并发访问和实时交易需求，并且需要考虑将来的医保改革的进一步深化的各项新需求，系统需要具备支撑高并发和实时交易的能力，同时能够灵活扩展，所以整个系统按照云化、分层架构设计。</w:t>
      </w:r>
    </w:p>
    <w:p>
      <w:pPr>
        <w:pStyle w:val="18"/>
        <w:rPr>
          <w:rFonts w:ascii="仿宋" w:hAnsi="仿宋" w:eastAsia="仿宋" w:cs="仿宋"/>
          <w:color w:val="auto"/>
          <w:sz w:val="24"/>
        </w:rPr>
      </w:pPr>
      <w:r>
        <w:rPr>
          <w:rFonts w:hint="eastAsia" w:ascii="仿宋" w:hAnsi="仿宋" w:eastAsia="仿宋" w:cs="仿宋"/>
          <w:color w:val="auto"/>
          <w:sz w:val="24"/>
        </w:rPr>
        <w:t>所有业务应用系统都必须基于医疗保障应用框架（Healthcare Security Application Framework，简称：HSAF）开发。HSAF框架采用分布式云架构，封装核心云支撑服务适配接口，用于实现云产品解耦设计。HSAF适配层基于HSAF 的适配技术，将应用层依赖的分布式技术与具体厂商的分布式技术进行适配，实现应用层可以适配多家厂商的分布式技术。</w:t>
      </w:r>
    </w:p>
    <w:p>
      <w:pPr>
        <w:pStyle w:val="18"/>
        <w:rPr>
          <w:rFonts w:ascii="仿宋" w:hAnsi="仿宋" w:eastAsia="仿宋" w:cs="仿宋"/>
          <w:color w:val="auto"/>
          <w:sz w:val="24"/>
        </w:rPr>
      </w:pPr>
      <w:r>
        <w:rPr>
          <w:rFonts w:hint="eastAsia" w:ascii="仿宋" w:hAnsi="仿宋" w:eastAsia="仿宋" w:cs="仿宋"/>
          <w:color w:val="auto"/>
          <w:sz w:val="24"/>
        </w:rPr>
        <w:t>（1）基础层：建设在云化基础设施上，以云虚拟机、多租户数据库、云存储、负载均衡及专有网络为底层，最大程度的利用了云计算横向扩展的能力；</w:t>
      </w:r>
    </w:p>
    <w:p>
      <w:pPr>
        <w:pStyle w:val="18"/>
        <w:rPr>
          <w:rFonts w:ascii="仿宋" w:hAnsi="仿宋" w:eastAsia="仿宋" w:cs="仿宋"/>
          <w:color w:val="auto"/>
          <w:sz w:val="24"/>
        </w:rPr>
      </w:pPr>
      <w:r>
        <w:rPr>
          <w:rFonts w:hint="eastAsia" w:ascii="仿宋" w:hAnsi="仿宋" w:eastAsia="仿宋" w:cs="仿宋"/>
          <w:color w:val="auto"/>
          <w:sz w:val="24"/>
        </w:rPr>
        <w:t>（2）中间件层：作为应用的支撑平台，提供应用所需要的基础能力，其中包括分布式应用及管理能力，集成接入点能力，异步服务的能力，缓存的能力，分布式数据库的能力等，这些中间件提供的能力可以很好的支撑应用应对高并发和实时交易的场景；</w:t>
      </w:r>
    </w:p>
    <w:p>
      <w:pPr>
        <w:pStyle w:val="18"/>
        <w:rPr>
          <w:rFonts w:ascii="仿宋" w:hAnsi="仿宋" w:eastAsia="仿宋" w:cs="仿宋"/>
          <w:color w:val="auto"/>
          <w:sz w:val="24"/>
        </w:rPr>
      </w:pPr>
      <w:r>
        <w:rPr>
          <w:rFonts w:hint="eastAsia" w:ascii="仿宋" w:hAnsi="仿宋" w:eastAsia="仿宋" w:cs="仿宋"/>
          <w:color w:val="auto"/>
          <w:sz w:val="24"/>
        </w:rPr>
        <w:t>（3）后端服务：在基础设施和中间件之上进行构建，使用了众多开源高效的组件如依赖注入和反向控制框架Spring，持久层框架MyBatis，以及加密、定时任务，日志等框架；</w:t>
      </w:r>
    </w:p>
    <w:p>
      <w:pPr>
        <w:pStyle w:val="18"/>
        <w:rPr>
          <w:rFonts w:ascii="仿宋" w:hAnsi="仿宋" w:eastAsia="仿宋" w:cs="仿宋"/>
          <w:color w:val="auto"/>
          <w:sz w:val="24"/>
        </w:rPr>
      </w:pPr>
      <w:r>
        <w:rPr>
          <w:rFonts w:hint="eastAsia" w:ascii="仿宋" w:hAnsi="仿宋" w:eastAsia="仿宋" w:cs="仿宋"/>
          <w:color w:val="auto"/>
          <w:sz w:val="24"/>
        </w:rPr>
        <w:t>（4）前端服务：采用先进的前端技术H5、VUE等，并采用前后端分离的开发方式，将前端展示与后端服务进行解耦，为用户提供更好的体验；而前端和后端的协议，本项目兼容HTTP、RPC、WEBSERVICE等各种主流的通讯协议，为后续扩展做了很好的准备。</w:t>
      </w:r>
    </w:p>
    <w:p>
      <w:pPr>
        <w:pStyle w:val="18"/>
        <w:rPr>
          <w:rFonts w:ascii="仿宋" w:hAnsi="仿宋" w:eastAsia="仿宋" w:cs="仿宋"/>
          <w:color w:val="auto"/>
          <w:sz w:val="24"/>
        </w:rPr>
      </w:pPr>
      <w:r>
        <w:rPr>
          <w:rFonts w:hint="eastAsia" w:ascii="仿宋" w:hAnsi="仿宋" w:eastAsia="仿宋" w:cs="仿宋"/>
          <w:color w:val="auto"/>
          <w:sz w:val="24"/>
        </w:rPr>
        <w:t>本项目周边的技术也采用了业界比较成熟的架构，代码版本管控工具可与代码构建框架构建和持续集成平台无缝衔接，达到快速开发、快速构建、快速集成的效果。整个服务平台也采用云计算的最佳实践与规范，充分利用到云计算的分布式能力，建设更稳定和高效的服务与应用。</w:t>
      </w:r>
    </w:p>
    <w:p>
      <w:pPr>
        <w:autoSpaceDE w:val="0"/>
        <w:autoSpaceDN w:val="0"/>
        <w:spacing w:line="360" w:lineRule="auto"/>
        <w:jc w:val="left"/>
        <w:rPr>
          <w:rFonts w:ascii="仿宋" w:hAnsi="仿宋" w:eastAsia="仿宋" w:cs="仿宋"/>
          <w:b/>
          <w:color w:val="auto"/>
          <w:kern w:val="0"/>
          <w:sz w:val="24"/>
          <w:lang w:val="zh-CN" w:bidi="zh-CN"/>
        </w:rPr>
      </w:pPr>
      <w:bookmarkStart w:id="210" w:name="_Toc40898615"/>
      <w:r>
        <w:rPr>
          <w:rFonts w:hint="eastAsia" w:ascii="仿宋" w:hAnsi="仿宋" w:eastAsia="仿宋" w:cs="仿宋"/>
          <w:b/>
          <w:color w:val="auto"/>
          <w:kern w:val="0"/>
          <w:sz w:val="24"/>
          <w:lang w:val="zh-CN" w:bidi="zh-CN"/>
        </w:rPr>
        <w:t>6.业务经办子系统</w:t>
      </w:r>
      <w:bookmarkEnd w:id="210"/>
    </w:p>
    <w:p>
      <w:pPr>
        <w:spacing w:line="360" w:lineRule="auto"/>
        <w:ind w:firstLine="472" w:firstLineChars="196"/>
        <w:rPr>
          <w:rFonts w:ascii="仿宋" w:hAnsi="仿宋" w:eastAsia="仿宋" w:cs="仿宋"/>
          <w:b/>
          <w:color w:val="auto"/>
          <w:kern w:val="0"/>
          <w:sz w:val="24"/>
          <w:lang w:val="zh-CN"/>
        </w:rPr>
      </w:pPr>
      <w:r>
        <w:rPr>
          <w:rFonts w:hint="eastAsia" w:ascii="仿宋" w:hAnsi="仿宋" w:eastAsia="仿宋" w:cs="仿宋"/>
          <w:b/>
          <w:color w:val="auto"/>
          <w:kern w:val="0"/>
          <w:sz w:val="24"/>
          <w:lang w:val="zh-CN"/>
        </w:rPr>
        <w:t>6.1医保基础业务</w:t>
      </w:r>
    </w:p>
    <w:p>
      <w:pPr>
        <w:pStyle w:val="18"/>
        <w:rPr>
          <w:rFonts w:ascii="仿宋" w:hAnsi="仿宋" w:eastAsia="仿宋" w:cs="仿宋"/>
          <w:color w:val="auto"/>
          <w:sz w:val="24"/>
        </w:rPr>
      </w:pPr>
      <w:r>
        <w:rPr>
          <w:rFonts w:hint="eastAsia" w:ascii="仿宋" w:hAnsi="仿宋" w:eastAsia="仿宋" w:cs="仿宋"/>
          <w:color w:val="auto"/>
          <w:sz w:val="24"/>
        </w:rPr>
        <w:t>医保业务基础子系统是国家医疗保障信息平台基础约束系统，要求对该系统在海南省进行部署实施和配置管理，统一建设建设该系统与其他系统接口服务。医保业务基础子系统基于业务中台需要满足实现海南省如下业务功能需求：</w:t>
      </w:r>
    </w:p>
    <w:p>
      <w:pPr>
        <w:pStyle w:val="18"/>
        <w:rPr>
          <w:rFonts w:ascii="仿宋" w:hAnsi="仿宋" w:eastAsia="仿宋" w:cs="仿宋"/>
          <w:color w:val="auto"/>
          <w:sz w:val="24"/>
        </w:rPr>
      </w:pPr>
      <w:r>
        <w:rPr>
          <w:rFonts w:hint="eastAsia" w:ascii="仿宋" w:hAnsi="仿宋" w:eastAsia="仿宋" w:cs="仿宋"/>
          <w:color w:val="auto"/>
          <w:sz w:val="24"/>
        </w:rPr>
        <w:t>（1）部署实施国家医疗保障信息平台医保基础业务系统</w:t>
      </w:r>
    </w:p>
    <w:p>
      <w:pPr>
        <w:pStyle w:val="18"/>
        <w:rPr>
          <w:rFonts w:ascii="仿宋" w:hAnsi="仿宋" w:eastAsia="仿宋" w:cs="仿宋"/>
          <w:color w:val="auto"/>
          <w:sz w:val="24"/>
        </w:rPr>
      </w:pPr>
      <w:r>
        <w:rPr>
          <w:rFonts w:hint="eastAsia" w:ascii="仿宋" w:hAnsi="仿宋" w:eastAsia="仿宋" w:cs="仿宋"/>
          <w:color w:val="auto"/>
          <w:sz w:val="24"/>
        </w:rPr>
        <w:t>功能包括参保缴费、待遇结算、定点医疗机构管理、定点医疗机构管理、定点医疗协议管理、特殊病种管理等内容。</w:t>
      </w:r>
    </w:p>
    <w:p>
      <w:pPr>
        <w:pStyle w:val="18"/>
        <w:rPr>
          <w:rFonts w:ascii="仿宋" w:hAnsi="仿宋" w:eastAsia="仿宋" w:cs="仿宋"/>
          <w:color w:val="auto"/>
          <w:sz w:val="24"/>
        </w:rPr>
      </w:pPr>
      <w:r>
        <w:rPr>
          <w:rFonts w:hint="eastAsia" w:ascii="仿宋" w:hAnsi="仿宋" w:eastAsia="仿宋" w:cs="仿宋"/>
          <w:color w:val="auto"/>
          <w:sz w:val="24"/>
        </w:rPr>
        <w:t>（2）综合柜员制</w:t>
      </w:r>
    </w:p>
    <w:p>
      <w:pPr>
        <w:pStyle w:val="18"/>
        <w:rPr>
          <w:rFonts w:ascii="仿宋" w:hAnsi="仿宋" w:eastAsia="仿宋" w:cs="仿宋"/>
          <w:color w:val="auto"/>
          <w:sz w:val="24"/>
        </w:rPr>
      </w:pPr>
      <w:r>
        <w:rPr>
          <w:rFonts w:hint="eastAsia" w:ascii="仿宋" w:hAnsi="仿宋" w:eastAsia="仿宋" w:cs="仿宋"/>
          <w:color w:val="auto"/>
          <w:sz w:val="24"/>
        </w:rPr>
        <w:t>综合柜员制是指由单一或多个员工的组合，通过临柜窗口为参保对象综合办理参保登记、申报缴费、关系转移、待遇报销等多种医保业务，并独立承担相应责任的一种经办组合方式。建立能够根据参保对象情况动态调整业务类型的窗口，实现经办窗口由单一功能向多功能的转变，前台柜员可综合办理各项业务，从而形成以参保对象为中心的柜台管理模式。功能包括业务统一受理、智能调度管理、电子档案集成等综合柜员制管理内容，实现海南省线下一门办。</w:t>
      </w:r>
    </w:p>
    <w:p>
      <w:pPr>
        <w:pStyle w:val="18"/>
        <w:rPr>
          <w:rFonts w:ascii="仿宋" w:hAnsi="仿宋" w:eastAsia="仿宋" w:cs="仿宋"/>
          <w:color w:val="auto"/>
          <w:sz w:val="24"/>
        </w:rPr>
      </w:pPr>
      <w:r>
        <w:rPr>
          <w:rFonts w:hint="eastAsia" w:ascii="仿宋" w:hAnsi="仿宋" w:eastAsia="仿宋" w:cs="仿宋"/>
          <w:color w:val="auto"/>
          <w:sz w:val="24"/>
        </w:rPr>
        <w:t>（3）电子档案管理</w:t>
      </w:r>
    </w:p>
    <w:p>
      <w:pPr>
        <w:pStyle w:val="18"/>
        <w:rPr>
          <w:rFonts w:ascii="仿宋" w:hAnsi="仿宋" w:eastAsia="仿宋" w:cs="仿宋"/>
          <w:color w:val="auto"/>
          <w:sz w:val="24"/>
        </w:rPr>
      </w:pPr>
      <w:r>
        <w:rPr>
          <w:rFonts w:hint="eastAsia" w:ascii="仿宋" w:hAnsi="仿宋" w:eastAsia="仿宋" w:cs="仿宋"/>
          <w:color w:val="auto"/>
          <w:sz w:val="24"/>
        </w:rPr>
        <w:t>通过</w:t>
      </w:r>
      <w:r>
        <w:rPr>
          <w:rFonts w:ascii="仿宋" w:hAnsi="仿宋" w:eastAsia="仿宋" w:cs="仿宋"/>
          <w:color w:val="auto"/>
          <w:sz w:val="24"/>
        </w:rPr>
        <w:t>医保信息共享文档，</w:t>
      </w:r>
      <w:r>
        <w:rPr>
          <w:rFonts w:hint="eastAsia" w:ascii="仿宋" w:hAnsi="仿宋" w:eastAsia="仿宋" w:cs="仿宋"/>
          <w:color w:val="auto"/>
          <w:sz w:val="24"/>
        </w:rPr>
        <w:t>建设海南全省统一的电子档案系统，实现业务档案的一体化衔接，包括档案管理及专项档案管理等内容。</w:t>
      </w:r>
    </w:p>
    <w:p>
      <w:pPr>
        <w:spacing w:line="360" w:lineRule="auto"/>
        <w:ind w:firstLine="472" w:firstLineChars="196"/>
        <w:rPr>
          <w:rFonts w:ascii="仿宋" w:hAnsi="仿宋" w:eastAsia="仿宋" w:cs="仿宋"/>
          <w:b/>
          <w:color w:val="auto"/>
          <w:kern w:val="0"/>
          <w:sz w:val="24"/>
          <w:lang w:val="zh-CN"/>
        </w:rPr>
      </w:pPr>
      <w:r>
        <w:rPr>
          <w:rFonts w:hint="eastAsia" w:ascii="仿宋" w:hAnsi="仿宋" w:eastAsia="仿宋" w:cs="仿宋"/>
          <w:b/>
          <w:color w:val="auto"/>
          <w:kern w:val="0"/>
          <w:sz w:val="24"/>
          <w:lang w:val="zh-CN"/>
        </w:rPr>
        <w:t>6.2医疗救助</w:t>
      </w:r>
    </w:p>
    <w:p>
      <w:pPr>
        <w:pStyle w:val="18"/>
        <w:rPr>
          <w:rFonts w:ascii="仿宋" w:hAnsi="仿宋" w:eastAsia="仿宋" w:cs="仿宋"/>
          <w:color w:val="auto"/>
          <w:sz w:val="24"/>
        </w:rPr>
      </w:pPr>
      <w:r>
        <w:rPr>
          <w:rFonts w:hint="eastAsia" w:ascii="仿宋" w:hAnsi="仿宋" w:eastAsia="仿宋" w:cs="仿宋"/>
          <w:color w:val="auto"/>
          <w:sz w:val="24"/>
        </w:rPr>
        <w:t>为海南全省医疗救助业务提供统一的支撑，包括医疗救助管理、医疗救助标准管理、医疗救助基金管理和医疗救助分析内容。</w:t>
      </w:r>
    </w:p>
    <w:p>
      <w:pPr>
        <w:spacing w:line="360" w:lineRule="auto"/>
        <w:ind w:firstLine="472" w:firstLineChars="196"/>
        <w:rPr>
          <w:rFonts w:ascii="仿宋" w:hAnsi="仿宋" w:eastAsia="仿宋" w:cs="仿宋"/>
          <w:b/>
          <w:color w:val="auto"/>
          <w:kern w:val="0"/>
          <w:sz w:val="24"/>
          <w:lang w:val="zh-CN"/>
        </w:rPr>
      </w:pPr>
      <w:r>
        <w:rPr>
          <w:rFonts w:hint="eastAsia" w:ascii="仿宋" w:hAnsi="仿宋" w:eastAsia="仿宋" w:cs="仿宋"/>
          <w:b/>
          <w:color w:val="auto"/>
          <w:kern w:val="0"/>
          <w:sz w:val="24"/>
          <w:lang w:val="zh-CN"/>
        </w:rPr>
        <w:t>6.3医保扶贫</w:t>
      </w:r>
    </w:p>
    <w:p>
      <w:pPr>
        <w:pStyle w:val="18"/>
        <w:rPr>
          <w:rFonts w:ascii="仿宋" w:hAnsi="仿宋" w:eastAsia="仿宋" w:cs="仿宋"/>
          <w:color w:val="auto"/>
          <w:sz w:val="24"/>
        </w:rPr>
      </w:pPr>
      <w:r>
        <w:rPr>
          <w:rFonts w:hint="eastAsia" w:ascii="仿宋" w:hAnsi="仿宋" w:eastAsia="仿宋" w:cs="仿宋"/>
          <w:color w:val="auto"/>
          <w:sz w:val="24"/>
        </w:rPr>
        <w:t>建设统一医保扶贫管理内容，一方面实现与扶贫办、民政、残联等相关部门对扶贫对象身份的精准识别，做好医疗保障扶贫相关工作；另一方面建立与相关部门的信息共享机制，积极配合贫困人口建档立卡工作。</w:t>
      </w:r>
    </w:p>
    <w:p>
      <w:pPr>
        <w:pStyle w:val="18"/>
        <w:rPr>
          <w:rFonts w:ascii="仿宋" w:hAnsi="仿宋" w:eastAsia="仿宋" w:cs="仿宋"/>
          <w:color w:val="auto"/>
          <w:sz w:val="24"/>
        </w:rPr>
      </w:pPr>
      <w:r>
        <w:rPr>
          <w:rFonts w:hint="eastAsia" w:ascii="仿宋" w:hAnsi="仿宋" w:eastAsia="仿宋" w:cs="仿宋"/>
          <w:color w:val="auto"/>
          <w:sz w:val="24"/>
        </w:rPr>
        <w:t>功能内容包括：</w:t>
      </w:r>
    </w:p>
    <w:p>
      <w:pPr>
        <w:pStyle w:val="18"/>
        <w:rPr>
          <w:rFonts w:ascii="仿宋" w:hAnsi="仿宋" w:eastAsia="仿宋" w:cs="仿宋"/>
          <w:color w:val="auto"/>
          <w:sz w:val="24"/>
        </w:rPr>
      </w:pPr>
      <w:r>
        <w:rPr>
          <w:rFonts w:hint="eastAsia" w:ascii="仿宋" w:hAnsi="仿宋" w:eastAsia="仿宋" w:cs="仿宋"/>
          <w:color w:val="auto"/>
          <w:sz w:val="24"/>
        </w:rPr>
        <w:t>（1）建档立卡精准扶贫人员管理</w:t>
      </w:r>
    </w:p>
    <w:p>
      <w:pPr>
        <w:pStyle w:val="18"/>
        <w:rPr>
          <w:rFonts w:ascii="仿宋" w:hAnsi="仿宋" w:eastAsia="仿宋" w:cs="仿宋"/>
          <w:color w:val="auto"/>
          <w:sz w:val="24"/>
        </w:rPr>
      </w:pPr>
      <w:r>
        <w:rPr>
          <w:rFonts w:hint="eastAsia" w:ascii="仿宋" w:hAnsi="仿宋" w:eastAsia="仿宋" w:cs="仿宋"/>
          <w:color w:val="auto"/>
          <w:sz w:val="24"/>
        </w:rPr>
        <w:t>（2）医疗保障扶贫待遇政策管理</w:t>
      </w:r>
    </w:p>
    <w:p>
      <w:pPr>
        <w:pStyle w:val="18"/>
        <w:rPr>
          <w:rFonts w:ascii="仿宋" w:hAnsi="仿宋" w:eastAsia="仿宋" w:cs="仿宋"/>
          <w:color w:val="auto"/>
          <w:sz w:val="24"/>
        </w:rPr>
      </w:pPr>
      <w:r>
        <w:rPr>
          <w:rFonts w:hint="eastAsia" w:ascii="仿宋" w:hAnsi="仿宋" w:eastAsia="仿宋" w:cs="仿宋"/>
          <w:color w:val="auto"/>
          <w:sz w:val="24"/>
        </w:rPr>
        <w:t>（3）医疗保障扶贫待遇追加管理</w:t>
      </w:r>
    </w:p>
    <w:p>
      <w:pPr>
        <w:pStyle w:val="18"/>
        <w:rPr>
          <w:rFonts w:ascii="仿宋" w:hAnsi="仿宋" w:eastAsia="仿宋" w:cs="仿宋"/>
          <w:color w:val="auto"/>
          <w:sz w:val="24"/>
        </w:rPr>
      </w:pPr>
      <w:r>
        <w:rPr>
          <w:rFonts w:hint="eastAsia" w:ascii="仿宋" w:hAnsi="仿宋" w:eastAsia="仿宋" w:cs="仿宋"/>
          <w:color w:val="auto"/>
          <w:sz w:val="24"/>
        </w:rPr>
        <w:t>（4）医保扶贫政策参数管理</w:t>
      </w:r>
    </w:p>
    <w:p>
      <w:pPr>
        <w:pStyle w:val="18"/>
        <w:rPr>
          <w:rFonts w:ascii="仿宋" w:hAnsi="仿宋" w:eastAsia="仿宋" w:cs="仿宋"/>
          <w:color w:val="auto"/>
          <w:sz w:val="24"/>
        </w:rPr>
      </w:pPr>
      <w:r>
        <w:rPr>
          <w:rFonts w:hint="eastAsia" w:ascii="仿宋" w:hAnsi="仿宋" w:eastAsia="仿宋" w:cs="仿宋"/>
          <w:color w:val="auto"/>
          <w:sz w:val="24"/>
        </w:rPr>
        <w:t>（5）医保扶贫基金管理</w:t>
      </w:r>
    </w:p>
    <w:p>
      <w:pPr>
        <w:pStyle w:val="18"/>
        <w:rPr>
          <w:rFonts w:ascii="仿宋" w:hAnsi="仿宋" w:eastAsia="仿宋" w:cs="仿宋"/>
          <w:color w:val="auto"/>
          <w:sz w:val="24"/>
        </w:rPr>
      </w:pPr>
      <w:r>
        <w:rPr>
          <w:rFonts w:hint="eastAsia" w:ascii="仿宋" w:hAnsi="仿宋" w:eastAsia="仿宋" w:cs="仿宋"/>
          <w:color w:val="auto"/>
          <w:sz w:val="24"/>
        </w:rPr>
        <w:t>（6）医保扶贫统计分析</w:t>
      </w:r>
    </w:p>
    <w:p>
      <w:pPr>
        <w:spacing w:line="360" w:lineRule="auto"/>
        <w:ind w:firstLine="472" w:firstLineChars="196"/>
        <w:rPr>
          <w:rFonts w:ascii="仿宋" w:hAnsi="仿宋" w:eastAsia="仿宋" w:cs="仿宋"/>
          <w:b/>
          <w:color w:val="auto"/>
          <w:kern w:val="0"/>
          <w:sz w:val="24"/>
          <w:lang w:val="zh-CN"/>
        </w:rPr>
      </w:pPr>
      <w:r>
        <w:rPr>
          <w:rFonts w:hint="eastAsia" w:ascii="仿宋" w:hAnsi="仿宋" w:eastAsia="仿宋" w:cs="仿宋"/>
          <w:b/>
          <w:color w:val="auto"/>
          <w:kern w:val="0"/>
          <w:sz w:val="24"/>
          <w:lang w:val="zh-CN"/>
        </w:rPr>
        <w:t>6.4异地就医管理</w:t>
      </w:r>
    </w:p>
    <w:p>
      <w:pPr>
        <w:pStyle w:val="18"/>
        <w:rPr>
          <w:rFonts w:ascii="仿宋" w:hAnsi="仿宋" w:eastAsia="仿宋" w:cs="仿宋"/>
          <w:color w:val="auto"/>
          <w:sz w:val="24"/>
        </w:rPr>
      </w:pPr>
      <w:r>
        <w:rPr>
          <w:rFonts w:hint="eastAsia" w:ascii="仿宋" w:hAnsi="仿宋" w:eastAsia="仿宋" w:cs="仿宋"/>
          <w:color w:val="auto"/>
          <w:sz w:val="24"/>
        </w:rPr>
        <w:t>异地就医管理系统是国家医疗保障信息平台强约束类系统，要求对该系统进行部署实施和配置管理，统一建设建设该系统与其他系统接口服务。异地就医管理系统基于业务中台需要满足实现海南省如下业务功能需求：</w:t>
      </w:r>
    </w:p>
    <w:p>
      <w:pPr>
        <w:pStyle w:val="18"/>
        <w:rPr>
          <w:rFonts w:ascii="仿宋" w:hAnsi="仿宋" w:eastAsia="仿宋" w:cs="仿宋"/>
          <w:color w:val="auto"/>
          <w:sz w:val="24"/>
        </w:rPr>
      </w:pPr>
      <w:r>
        <w:rPr>
          <w:rFonts w:hint="eastAsia" w:ascii="仿宋" w:hAnsi="仿宋" w:eastAsia="仿宋" w:cs="仿宋"/>
          <w:color w:val="auto"/>
          <w:sz w:val="24"/>
        </w:rPr>
        <w:t>（1）异地就医备案管理</w:t>
      </w:r>
    </w:p>
    <w:p>
      <w:pPr>
        <w:pStyle w:val="18"/>
        <w:rPr>
          <w:rFonts w:ascii="仿宋" w:hAnsi="仿宋" w:eastAsia="仿宋" w:cs="仿宋"/>
          <w:color w:val="auto"/>
          <w:sz w:val="24"/>
        </w:rPr>
      </w:pPr>
      <w:r>
        <w:rPr>
          <w:rFonts w:hint="eastAsia" w:ascii="仿宋" w:hAnsi="仿宋" w:eastAsia="仿宋" w:cs="仿宋"/>
          <w:color w:val="auto"/>
          <w:sz w:val="24"/>
        </w:rPr>
        <w:t>（2）异地联网结算管理</w:t>
      </w:r>
    </w:p>
    <w:p>
      <w:pPr>
        <w:pStyle w:val="18"/>
        <w:rPr>
          <w:rFonts w:ascii="仿宋" w:hAnsi="仿宋" w:eastAsia="仿宋" w:cs="仿宋"/>
          <w:color w:val="auto"/>
          <w:sz w:val="24"/>
        </w:rPr>
      </w:pPr>
      <w:r>
        <w:rPr>
          <w:rFonts w:hint="eastAsia" w:ascii="仿宋" w:hAnsi="仿宋" w:eastAsia="仿宋" w:cs="仿宋"/>
          <w:color w:val="auto"/>
          <w:sz w:val="24"/>
        </w:rPr>
        <w:t>（3）异地就医基金拨付管理</w:t>
      </w:r>
    </w:p>
    <w:p>
      <w:pPr>
        <w:pStyle w:val="18"/>
        <w:rPr>
          <w:rFonts w:ascii="仿宋" w:hAnsi="仿宋" w:eastAsia="仿宋" w:cs="仿宋"/>
          <w:color w:val="auto"/>
          <w:sz w:val="24"/>
        </w:rPr>
      </w:pPr>
      <w:r>
        <w:rPr>
          <w:rFonts w:hint="eastAsia" w:ascii="仿宋" w:hAnsi="仿宋" w:eastAsia="仿宋" w:cs="仿宋"/>
          <w:color w:val="auto"/>
          <w:sz w:val="24"/>
        </w:rPr>
        <w:t>（4）预付金管理</w:t>
      </w:r>
    </w:p>
    <w:p>
      <w:pPr>
        <w:pStyle w:val="18"/>
        <w:rPr>
          <w:rFonts w:ascii="仿宋" w:hAnsi="仿宋" w:eastAsia="仿宋" w:cs="仿宋"/>
          <w:color w:val="auto"/>
          <w:sz w:val="24"/>
        </w:rPr>
      </w:pPr>
      <w:r>
        <w:rPr>
          <w:rFonts w:hint="eastAsia" w:ascii="仿宋" w:hAnsi="仿宋" w:eastAsia="仿宋" w:cs="仿宋"/>
          <w:color w:val="auto"/>
          <w:sz w:val="24"/>
        </w:rPr>
        <w:t>（5）月清算管理</w:t>
      </w:r>
    </w:p>
    <w:p>
      <w:pPr>
        <w:pStyle w:val="18"/>
        <w:rPr>
          <w:rFonts w:ascii="仿宋" w:hAnsi="仿宋" w:eastAsia="仿宋" w:cs="仿宋"/>
          <w:color w:val="auto"/>
          <w:sz w:val="24"/>
        </w:rPr>
      </w:pPr>
      <w:r>
        <w:rPr>
          <w:rFonts w:hint="eastAsia" w:ascii="仿宋" w:hAnsi="仿宋" w:eastAsia="仿宋" w:cs="仿宋"/>
          <w:color w:val="auto"/>
          <w:sz w:val="24"/>
        </w:rPr>
        <w:t>（6）对账/冲正</w:t>
      </w:r>
    </w:p>
    <w:p>
      <w:pPr>
        <w:pStyle w:val="18"/>
        <w:rPr>
          <w:rFonts w:ascii="仿宋" w:hAnsi="仿宋" w:eastAsia="仿宋" w:cs="仿宋"/>
          <w:color w:val="auto"/>
          <w:sz w:val="24"/>
        </w:rPr>
      </w:pPr>
      <w:r>
        <w:rPr>
          <w:rFonts w:hint="eastAsia" w:ascii="仿宋" w:hAnsi="仿宋" w:eastAsia="仿宋" w:cs="仿宋"/>
          <w:color w:val="auto"/>
          <w:sz w:val="24"/>
        </w:rPr>
        <w:t>（7）手工报销管理</w:t>
      </w:r>
    </w:p>
    <w:p>
      <w:pPr>
        <w:pStyle w:val="18"/>
        <w:rPr>
          <w:rFonts w:ascii="仿宋" w:hAnsi="仿宋" w:eastAsia="仿宋" w:cs="仿宋"/>
          <w:color w:val="auto"/>
          <w:sz w:val="24"/>
        </w:rPr>
      </w:pPr>
      <w:r>
        <w:rPr>
          <w:rFonts w:hint="eastAsia" w:ascii="仿宋" w:hAnsi="仿宋" w:eastAsia="仿宋" w:cs="仿宋"/>
          <w:color w:val="auto"/>
          <w:sz w:val="24"/>
        </w:rPr>
        <w:t>（8）跨省异地就医医疗机构查询</w:t>
      </w:r>
    </w:p>
    <w:p>
      <w:pPr>
        <w:pStyle w:val="18"/>
        <w:rPr>
          <w:rFonts w:ascii="仿宋" w:hAnsi="仿宋" w:eastAsia="仿宋" w:cs="仿宋"/>
          <w:color w:val="auto"/>
          <w:sz w:val="24"/>
        </w:rPr>
      </w:pPr>
      <w:r>
        <w:rPr>
          <w:rFonts w:hint="eastAsia" w:ascii="仿宋" w:hAnsi="仿宋" w:eastAsia="仿宋" w:cs="仿宋"/>
          <w:color w:val="auto"/>
          <w:sz w:val="24"/>
        </w:rPr>
        <w:t>（9）异地就医综合查询</w:t>
      </w:r>
    </w:p>
    <w:p>
      <w:pPr>
        <w:pStyle w:val="18"/>
        <w:rPr>
          <w:rFonts w:ascii="仿宋" w:hAnsi="仿宋" w:eastAsia="仿宋" w:cs="仿宋"/>
          <w:color w:val="auto"/>
          <w:sz w:val="24"/>
        </w:rPr>
      </w:pPr>
      <w:r>
        <w:rPr>
          <w:rFonts w:hint="eastAsia" w:ascii="仿宋" w:hAnsi="仿宋" w:eastAsia="仿宋" w:cs="仿宋"/>
          <w:color w:val="auto"/>
          <w:sz w:val="24"/>
        </w:rPr>
        <w:t>（10）业务协同管理</w:t>
      </w:r>
    </w:p>
    <w:p>
      <w:pPr>
        <w:pStyle w:val="18"/>
        <w:rPr>
          <w:rFonts w:ascii="仿宋" w:hAnsi="仿宋" w:eastAsia="仿宋" w:cs="仿宋"/>
          <w:color w:val="auto"/>
          <w:sz w:val="24"/>
        </w:rPr>
      </w:pPr>
      <w:r>
        <w:rPr>
          <w:rFonts w:hint="eastAsia" w:ascii="仿宋" w:hAnsi="仿宋" w:eastAsia="仿宋" w:cs="仿宋"/>
          <w:color w:val="auto"/>
          <w:sz w:val="24"/>
        </w:rPr>
        <w:t>（11）省际接口管理</w:t>
      </w:r>
    </w:p>
    <w:p>
      <w:pPr>
        <w:pStyle w:val="18"/>
        <w:ind w:firstLine="482"/>
        <w:rPr>
          <w:rFonts w:ascii="仿宋" w:hAnsi="仿宋" w:eastAsia="仿宋" w:cs="仿宋"/>
          <w:color w:val="auto"/>
          <w:sz w:val="24"/>
        </w:rPr>
      </w:pPr>
      <w:r>
        <w:rPr>
          <w:rFonts w:hint="eastAsia" w:ascii="仿宋" w:hAnsi="仿宋" w:eastAsia="仿宋" w:cs="仿宋"/>
          <w:b/>
          <w:color w:val="auto"/>
          <w:sz w:val="24"/>
        </w:rPr>
        <w:t>6.5医疗服务价格管理</w:t>
      </w:r>
    </w:p>
    <w:p>
      <w:pPr>
        <w:pStyle w:val="18"/>
        <w:rPr>
          <w:rFonts w:ascii="仿宋" w:hAnsi="仿宋" w:eastAsia="仿宋" w:cs="仿宋"/>
          <w:color w:val="auto"/>
          <w:sz w:val="24"/>
        </w:rPr>
      </w:pPr>
      <w:r>
        <w:rPr>
          <w:rFonts w:hint="eastAsia" w:ascii="仿宋" w:hAnsi="仿宋" w:eastAsia="仿宋" w:cs="仿宋"/>
          <w:color w:val="auto"/>
          <w:sz w:val="24"/>
        </w:rPr>
        <w:t>医疗服务价格管理系统是国家医疗保障信息平台强约束类系统，要求对该系统进行部署实施和配置管理，统一建设建设该系统与其他系统接口服务。医疗服务价格管理系统功能内容如下：</w:t>
      </w:r>
    </w:p>
    <w:p>
      <w:pPr>
        <w:pStyle w:val="18"/>
        <w:rPr>
          <w:rFonts w:ascii="仿宋" w:hAnsi="仿宋" w:eastAsia="仿宋" w:cs="仿宋"/>
          <w:color w:val="auto"/>
          <w:sz w:val="24"/>
        </w:rPr>
      </w:pPr>
      <w:r>
        <w:rPr>
          <w:rFonts w:hint="eastAsia" w:ascii="仿宋" w:hAnsi="仿宋" w:eastAsia="仿宋" w:cs="仿宋"/>
          <w:color w:val="auto"/>
          <w:sz w:val="24"/>
        </w:rPr>
        <w:t>（1）价格项目动态调整</w:t>
      </w:r>
    </w:p>
    <w:p>
      <w:pPr>
        <w:pStyle w:val="18"/>
        <w:rPr>
          <w:rFonts w:ascii="仿宋" w:hAnsi="仿宋" w:eastAsia="仿宋" w:cs="仿宋"/>
          <w:color w:val="auto"/>
          <w:sz w:val="24"/>
        </w:rPr>
      </w:pPr>
      <w:r>
        <w:rPr>
          <w:rFonts w:hint="eastAsia" w:ascii="仿宋" w:hAnsi="仿宋" w:eastAsia="仿宋" w:cs="仿宋"/>
          <w:color w:val="auto"/>
          <w:sz w:val="24"/>
        </w:rPr>
        <w:t>（2）动态调整价格标准</w:t>
      </w:r>
    </w:p>
    <w:p>
      <w:pPr>
        <w:pStyle w:val="18"/>
        <w:rPr>
          <w:rFonts w:ascii="仿宋" w:hAnsi="仿宋" w:eastAsia="仿宋" w:cs="仿宋"/>
          <w:color w:val="auto"/>
          <w:sz w:val="24"/>
        </w:rPr>
      </w:pPr>
      <w:r>
        <w:rPr>
          <w:rFonts w:hint="eastAsia" w:ascii="仿宋" w:hAnsi="仿宋" w:eastAsia="仿宋" w:cs="仿宋"/>
          <w:color w:val="auto"/>
          <w:sz w:val="24"/>
        </w:rPr>
        <w:t>（3）工作流程管理</w:t>
      </w:r>
    </w:p>
    <w:p>
      <w:pPr>
        <w:pStyle w:val="18"/>
        <w:rPr>
          <w:rFonts w:ascii="仿宋" w:hAnsi="仿宋" w:eastAsia="仿宋" w:cs="仿宋"/>
          <w:color w:val="auto"/>
          <w:sz w:val="24"/>
        </w:rPr>
      </w:pPr>
      <w:r>
        <w:rPr>
          <w:rFonts w:hint="eastAsia" w:ascii="仿宋" w:hAnsi="仿宋" w:eastAsia="仿宋" w:cs="仿宋"/>
          <w:color w:val="auto"/>
          <w:sz w:val="24"/>
        </w:rPr>
        <w:t>（4）监测监管</w:t>
      </w:r>
    </w:p>
    <w:p>
      <w:pPr>
        <w:pStyle w:val="18"/>
        <w:rPr>
          <w:rFonts w:ascii="仿宋" w:hAnsi="仿宋" w:eastAsia="仿宋" w:cs="仿宋"/>
          <w:color w:val="auto"/>
          <w:sz w:val="24"/>
        </w:rPr>
      </w:pPr>
      <w:r>
        <w:rPr>
          <w:rFonts w:hint="eastAsia" w:ascii="仿宋" w:hAnsi="仿宋" w:eastAsia="仿宋" w:cs="仿宋"/>
          <w:color w:val="auto"/>
          <w:sz w:val="24"/>
        </w:rPr>
        <w:t>（5）统计分析</w:t>
      </w:r>
    </w:p>
    <w:p>
      <w:pPr>
        <w:pStyle w:val="18"/>
        <w:rPr>
          <w:rFonts w:ascii="仿宋" w:hAnsi="仿宋" w:eastAsia="仿宋" w:cs="仿宋"/>
          <w:color w:val="auto"/>
          <w:sz w:val="24"/>
        </w:rPr>
      </w:pPr>
      <w:r>
        <w:rPr>
          <w:rFonts w:hint="eastAsia" w:ascii="仿宋" w:hAnsi="仿宋" w:eastAsia="仿宋" w:cs="仿宋"/>
          <w:color w:val="auto"/>
          <w:sz w:val="24"/>
        </w:rPr>
        <w:t>（6）价格信息管理</w:t>
      </w:r>
    </w:p>
    <w:p>
      <w:pPr>
        <w:spacing w:line="360" w:lineRule="auto"/>
        <w:ind w:firstLine="472" w:firstLineChars="196"/>
        <w:rPr>
          <w:rFonts w:ascii="仿宋" w:hAnsi="仿宋" w:eastAsia="仿宋" w:cs="仿宋"/>
          <w:b/>
          <w:color w:val="auto"/>
          <w:kern w:val="0"/>
          <w:sz w:val="24"/>
          <w:lang w:val="zh-CN"/>
        </w:rPr>
      </w:pPr>
      <w:r>
        <w:rPr>
          <w:rFonts w:hint="eastAsia" w:ascii="仿宋" w:hAnsi="仿宋" w:eastAsia="仿宋" w:cs="仿宋"/>
          <w:b/>
          <w:color w:val="auto"/>
          <w:kern w:val="0"/>
          <w:sz w:val="24"/>
          <w:lang w:val="zh-CN"/>
        </w:rPr>
        <w:t>6.6医保结算收费平台</w:t>
      </w:r>
    </w:p>
    <w:p>
      <w:pPr>
        <w:pStyle w:val="18"/>
        <w:rPr>
          <w:rFonts w:ascii="仿宋" w:hAnsi="仿宋" w:eastAsia="仿宋" w:cs="仿宋"/>
          <w:color w:val="auto"/>
          <w:sz w:val="24"/>
        </w:rPr>
      </w:pPr>
      <w:r>
        <w:rPr>
          <w:rFonts w:hint="eastAsia" w:ascii="仿宋" w:hAnsi="仿宋" w:eastAsia="仿宋" w:cs="仿宋"/>
          <w:color w:val="auto"/>
          <w:sz w:val="24"/>
        </w:rPr>
        <w:t>建设海南全省统一的医保结算收费平台，对海南省两定机构提供基本医疗保险、大病保险、医疗救助、医保扶贫、生育保险、补充保险、商业保险等一站式结算统一的结算接口服务，确保两定机构的结算平稳运行。</w:t>
      </w:r>
    </w:p>
    <w:p>
      <w:pPr>
        <w:pStyle w:val="18"/>
        <w:ind w:firstLine="240" w:firstLineChars="100"/>
        <w:rPr>
          <w:rFonts w:ascii="仿宋" w:hAnsi="仿宋" w:eastAsia="仿宋" w:cs="仿宋"/>
          <w:color w:val="auto"/>
          <w:sz w:val="24"/>
        </w:rPr>
      </w:pPr>
      <w:r>
        <w:rPr>
          <w:rFonts w:hint="eastAsia" w:ascii="仿宋" w:hAnsi="仿宋" w:eastAsia="仿宋" w:cs="仿宋"/>
          <w:color w:val="auto"/>
          <w:sz w:val="24"/>
        </w:rPr>
        <w:t>（1）接口服务管理</w:t>
      </w:r>
    </w:p>
    <w:p>
      <w:pPr>
        <w:pStyle w:val="18"/>
        <w:rPr>
          <w:rFonts w:ascii="仿宋" w:hAnsi="仿宋" w:eastAsia="仿宋" w:cs="仿宋"/>
          <w:color w:val="auto"/>
          <w:sz w:val="24"/>
        </w:rPr>
      </w:pPr>
      <w:r>
        <w:rPr>
          <w:rFonts w:hint="eastAsia" w:ascii="仿宋" w:hAnsi="仿宋" w:eastAsia="仿宋" w:cs="仿宋"/>
          <w:color w:val="auto"/>
          <w:sz w:val="24"/>
        </w:rPr>
        <w:t>1）查询交易管理</w:t>
      </w:r>
    </w:p>
    <w:p>
      <w:pPr>
        <w:pStyle w:val="18"/>
        <w:rPr>
          <w:rFonts w:ascii="仿宋" w:hAnsi="仿宋" w:eastAsia="仿宋" w:cs="仿宋"/>
          <w:color w:val="auto"/>
          <w:sz w:val="24"/>
        </w:rPr>
      </w:pPr>
      <w:r>
        <w:rPr>
          <w:rFonts w:hint="eastAsia" w:ascii="仿宋" w:hAnsi="仿宋" w:eastAsia="仿宋" w:cs="仿宋"/>
          <w:color w:val="auto"/>
          <w:sz w:val="24"/>
        </w:rPr>
        <w:t>2）业务交易管理</w:t>
      </w:r>
    </w:p>
    <w:p>
      <w:pPr>
        <w:pStyle w:val="18"/>
        <w:rPr>
          <w:rFonts w:ascii="仿宋" w:hAnsi="仿宋" w:eastAsia="仿宋" w:cs="仿宋"/>
          <w:color w:val="auto"/>
          <w:sz w:val="24"/>
        </w:rPr>
      </w:pPr>
      <w:r>
        <w:rPr>
          <w:rFonts w:hint="eastAsia" w:ascii="仿宋" w:hAnsi="仿宋" w:eastAsia="仿宋" w:cs="仿宋"/>
          <w:color w:val="auto"/>
          <w:sz w:val="24"/>
        </w:rPr>
        <w:t>3）据上传交易管理</w:t>
      </w:r>
    </w:p>
    <w:p>
      <w:pPr>
        <w:pStyle w:val="18"/>
        <w:ind w:firstLine="240" w:firstLineChars="100"/>
        <w:rPr>
          <w:rFonts w:ascii="仿宋" w:hAnsi="仿宋" w:eastAsia="仿宋" w:cs="仿宋"/>
          <w:color w:val="auto"/>
          <w:sz w:val="24"/>
        </w:rPr>
      </w:pPr>
      <w:r>
        <w:rPr>
          <w:rFonts w:hint="eastAsia" w:ascii="仿宋" w:hAnsi="仿宋" w:eastAsia="仿宋" w:cs="仿宋"/>
          <w:color w:val="auto"/>
          <w:sz w:val="24"/>
        </w:rPr>
        <w:t>（2）两定机构接入授权管理</w:t>
      </w:r>
    </w:p>
    <w:p>
      <w:pPr>
        <w:pStyle w:val="18"/>
        <w:rPr>
          <w:rFonts w:ascii="仿宋" w:hAnsi="仿宋" w:eastAsia="仿宋" w:cs="仿宋"/>
          <w:color w:val="auto"/>
          <w:sz w:val="24"/>
        </w:rPr>
      </w:pPr>
      <w:r>
        <w:rPr>
          <w:rFonts w:hint="eastAsia" w:ascii="仿宋" w:hAnsi="仿宋" w:eastAsia="仿宋" w:cs="仿宋"/>
          <w:color w:val="auto"/>
          <w:sz w:val="24"/>
        </w:rPr>
        <w:t>实现对两定机构的接入的申请管理、接口服务开放授权管理、服务日志调阅管理、交易对账服务管理。</w:t>
      </w:r>
    </w:p>
    <w:p>
      <w:pPr>
        <w:spacing w:line="360" w:lineRule="auto"/>
        <w:ind w:firstLine="472" w:firstLineChars="196"/>
        <w:rPr>
          <w:rFonts w:ascii="仿宋" w:hAnsi="仿宋" w:eastAsia="仿宋" w:cs="仿宋"/>
          <w:b/>
          <w:color w:val="auto"/>
          <w:kern w:val="0"/>
          <w:sz w:val="24"/>
          <w:lang w:val="zh-CN"/>
        </w:rPr>
      </w:pPr>
      <w:r>
        <w:rPr>
          <w:rFonts w:hint="eastAsia" w:ascii="仿宋" w:hAnsi="仿宋" w:eastAsia="仿宋" w:cs="仿宋"/>
          <w:b/>
          <w:color w:val="auto"/>
          <w:kern w:val="0"/>
          <w:sz w:val="24"/>
          <w:lang w:val="zh-CN"/>
        </w:rPr>
        <w:t>6.7医联体</w:t>
      </w:r>
    </w:p>
    <w:p>
      <w:pPr>
        <w:spacing w:line="360" w:lineRule="auto"/>
        <w:ind w:firstLine="470" w:firstLineChars="196"/>
        <w:rPr>
          <w:rFonts w:ascii="仿宋" w:hAnsi="仿宋" w:eastAsia="仿宋" w:cs="仿宋"/>
          <w:b/>
          <w:color w:val="auto"/>
          <w:kern w:val="0"/>
          <w:sz w:val="24"/>
          <w:lang w:val="zh-CN"/>
        </w:rPr>
      </w:pPr>
      <w:r>
        <w:rPr>
          <w:rFonts w:hint="eastAsia" w:ascii="仿宋" w:hAnsi="仿宋" w:eastAsia="仿宋" w:cs="仿宋"/>
          <w:color w:val="auto"/>
          <w:sz w:val="24"/>
        </w:rPr>
        <w:t>为海南省医疗保障局建设医联体相关业务的运行管理支撑内容，包括医保端和院端两部分：</w:t>
      </w:r>
    </w:p>
    <w:p>
      <w:pPr>
        <w:pStyle w:val="18"/>
        <w:rPr>
          <w:rFonts w:ascii="仿宋" w:hAnsi="仿宋" w:eastAsia="仿宋" w:cs="仿宋"/>
          <w:color w:val="auto"/>
          <w:sz w:val="24"/>
        </w:rPr>
      </w:pPr>
      <w:r>
        <w:rPr>
          <w:rFonts w:hint="eastAsia" w:ascii="仿宋" w:hAnsi="仿宋" w:eastAsia="仿宋" w:cs="仿宋"/>
          <w:color w:val="auto"/>
          <w:sz w:val="24"/>
        </w:rPr>
        <w:t>（1）医保端包括医联体信息维护、医疗机构归属医联体、医联体认定管理、生成参保区月份台账、生成预算、记账等功能。</w:t>
      </w:r>
    </w:p>
    <w:p>
      <w:pPr>
        <w:pStyle w:val="18"/>
        <w:rPr>
          <w:rFonts w:ascii="仿宋" w:hAnsi="仿宋" w:eastAsia="仿宋" w:cs="仿宋"/>
          <w:color w:val="auto"/>
          <w:sz w:val="24"/>
        </w:rPr>
      </w:pPr>
      <w:r>
        <w:rPr>
          <w:rFonts w:hint="eastAsia" w:ascii="仿宋" w:hAnsi="仿宋" w:eastAsia="仿宋" w:cs="仿宋"/>
          <w:color w:val="auto"/>
          <w:sz w:val="24"/>
        </w:rPr>
        <w:t>（2）院端包括医院医疗费用审核、医疗机构费用确认、管理资金月份台账、生成医联体内资金支付表。</w:t>
      </w:r>
    </w:p>
    <w:p>
      <w:pPr>
        <w:pStyle w:val="18"/>
        <w:ind w:firstLine="482"/>
        <w:rPr>
          <w:rFonts w:ascii="仿宋" w:hAnsi="仿宋" w:eastAsia="仿宋" w:cs="仿宋"/>
          <w:b/>
          <w:color w:val="auto"/>
          <w:sz w:val="24"/>
        </w:rPr>
      </w:pPr>
      <w:r>
        <w:rPr>
          <w:rFonts w:hint="eastAsia" w:ascii="仿宋" w:hAnsi="仿宋" w:eastAsia="仿宋" w:cs="仿宋"/>
          <w:b/>
          <w:color w:val="auto"/>
          <w:sz w:val="24"/>
        </w:rPr>
        <w:t>6.8报表管理</w:t>
      </w:r>
    </w:p>
    <w:p>
      <w:pPr>
        <w:pStyle w:val="18"/>
        <w:rPr>
          <w:rFonts w:ascii="仿宋" w:hAnsi="仿宋" w:eastAsia="仿宋" w:cs="仿宋"/>
          <w:color w:val="auto"/>
          <w:sz w:val="24"/>
        </w:rPr>
      </w:pPr>
      <w:r>
        <w:rPr>
          <w:rFonts w:hint="eastAsia" w:ascii="仿宋" w:hAnsi="仿宋" w:eastAsia="仿宋" w:cs="仿宋"/>
          <w:color w:val="auto"/>
          <w:sz w:val="24"/>
        </w:rPr>
        <w:t>建设海南省医疗保障局提供统一的报表管理系统，实现海南省医疗保障各项业务报表的统一管理、统一制定、统一报表服务输出、统一统计数据查询接口服务、统一的统计分析数据接口服务。</w:t>
      </w:r>
    </w:p>
    <w:p>
      <w:pPr>
        <w:pStyle w:val="18"/>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rPr>
        <w:t>1）</w:t>
      </w:r>
      <w:r>
        <w:rPr>
          <w:rFonts w:hint="eastAsia" w:ascii="仿宋" w:hAnsi="仿宋" w:eastAsia="仿宋" w:cs="仿宋"/>
          <w:color w:val="auto"/>
          <w:sz w:val="24"/>
        </w:rPr>
        <w:t>统计报表</w:t>
      </w:r>
    </w:p>
    <w:p>
      <w:pPr>
        <w:pStyle w:val="18"/>
        <w:rPr>
          <w:rFonts w:ascii="仿宋" w:hAnsi="仿宋" w:eastAsia="仿宋" w:cs="仿宋"/>
          <w:color w:val="auto"/>
          <w:sz w:val="24"/>
        </w:rPr>
      </w:pPr>
      <w:r>
        <w:rPr>
          <w:rFonts w:hint="eastAsia" w:ascii="仿宋" w:hAnsi="仿宋" w:eastAsia="仿宋" w:cs="仿宋"/>
          <w:color w:val="auto"/>
          <w:sz w:val="24"/>
        </w:rPr>
        <w:t>报表内容包括业务统计分析和报表、基础信息统计分析和报表、信用评价统计分析和报表、风险管理统计分析和报表、指标统计分析和报表、药品和医用耗材招采统计分析和报表、用户统计分析和报表、流量统计分析和报表、移动支付统计分析和报表、医保电子凭证统计分析和报表、基层服务统计分析和报表、处方外购服务统计分析和报表。</w:t>
      </w:r>
    </w:p>
    <w:p>
      <w:pPr>
        <w:pStyle w:val="18"/>
        <w:rPr>
          <w:rFonts w:ascii="仿宋" w:hAnsi="仿宋" w:eastAsia="仿宋" w:cs="仿宋"/>
          <w:color w:val="auto"/>
          <w:sz w:val="24"/>
        </w:rPr>
      </w:pPr>
      <w:r>
        <w:rPr>
          <w:rFonts w:hint="eastAsia" w:ascii="仿宋" w:hAnsi="仿宋" w:eastAsia="仿宋" w:cs="仿宋"/>
          <w:color w:val="auto"/>
          <w:sz w:val="24"/>
          <w:lang w:val="en-US"/>
        </w:rPr>
        <w:t>(2)</w:t>
      </w:r>
      <w:r>
        <w:rPr>
          <w:rFonts w:hint="eastAsia" w:ascii="仿宋" w:hAnsi="仿宋" w:eastAsia="仿宋" w:cs="仿宋"/>
          <w:color w:val="auto"/>
          <w:sz w:val="24"/>
        </w:rPr>
        <w:t>报表中心</w:t>
      </w:r>
    </w:p>
    <w:p>
      <w:pPr>
        <w:pStyle w:val="18"/>
        <w:rPr>
          <w:rFonts w:ascii="仿宋" w:hAnsi="仿宋" w:eastAsia="仿宋" w:cs="仿宋"/>
          <w:color w:val="auto"/>
          <w:sz w:val="24"/>
        </w:rPr>
      </w:pPr>
      <w:r>
        <w:rPr>
          <w:rFonts w:hint="eastAsia" w:ascii="仿宋" w:hAnsi="仿宋" w:eastAsia="仿宋" w:cs="仿宋"/>
          <w:color w:val="auto"/>
          <w:sz w:val="24"/>
        </w:rPr>
        <w:t>包括新增报表模板、变更报表模板、报表数据采集、数据合规性校验、新增外部资源、变更外部资源、新增数据源权限、变更数据源权限、 数据源权限配置、报表目录管理、报表生成管理（月报/季报/半年报/年报）、报表样式配置管理、报表审核管理、报表发布管理、报表打印管理、报表下载管理</w:t>
      </w:r>
    </w:p>
    <w:p>
      <w:pPr>
        <w:pStyle w:val="18"/>
        <w:rPr>
          <w:rFonts w:ascii="仿宋" w:hAnsi="仿宋" w:eastAsia="仿宋" w:cs="仿宋"/>
          <w:color w:val="auto"/>
          <w:sz w:val="24"/>
        </w:rPr>
      </w:pPr>
      <w:r>
        <w:rPr>
          <w:rFonts w:hint="eastAsia" w:ascii="仿宋" w:hAnsi="仿宋" w:eastAsia="仿宋" w:cs="仿宋"/>
          <w:color w:val="auto"/>
          <w:sz w:val="24"/>
          <w:lang w:val="en-US"/>
        </w:rPr>
        <w:t>(3)</w:t>
      </w:r>
      <w:r>
        <w:rPr>
          <w:rFonts w:hint="eastAsia" w:ascii="仿宋" w:hAnsi="仿宋" w:eastAsia="仿宋" w:cs="仿宋"/>
          <w:color w:val="auto"/>
          <w:sz w:val="24"/>
        </w:rPr>
        <w:t>查询统计数据的统一接口服务</w:t>
      </w:r>
    </w:p>
    <w:p>
      <w:pPr>
        <w:pStyle w:val="18"/>
        <w:rPr>
          <w:rFonts w:ascii="仿宋" w:hAnsi="仿宋" w:eastAsia="仿宋" w:cs="仿宋"/>
          <w:color w:val="auto"/>
          <w:sz w:val="24"/>
        </w:rPr>
      </w:pPr>
      <w:r>
        <w:rPr>
          <w:rFonts w:hint="eastAsia" w:ascii="仿宋" w:hAnsi="仿宋" w:eastAsia="仿宋" w:cs="仿宋"/>
          <w:color w:val="auto"/>
          <w:sz w:val="24"/>
        </w:rPr>
        <w:t>基于统计报表中心的全口径数据，对海南省医疗保障信息平台提供统一的数据查询和统计接口服务。</w:t>
      </w:r>
    </w:p>
    <w:p>
      <w:pPr>
        <w:pStyle w:val="18"/>
        <w:ind w:firstLine="482"/>
        <w:rPr>
          <w:rFonts w:ascii="仿宋" w:hAnsi="仿宋" w:eastAsia="仿宋" w:cs="仿宋"/>
          <w:b/>
          <w:color w:val="auto"/>
          <w:sz w:val="24"/>
        </w:rPr>
      </w:pPr>
      <w:r>
        <w:rPr>
          <w:rFonts w:hint="eastAsia" w:ascii="仿宋" w:hAnsi="仿宋" w:eastAsia="仿宋" w:cs="仿宋"/>
          <w:b/>
          <w:color w:val="auto"/>
          <w:sz w:val="24"/>
        </w:rPr>
        <w:t>6.9核心经办精准服务</w:t>
      </w:r>
    </w:p>
    <w:p>
      <w:pPr>
        <w:pStyle w:val="18"/>
        <w:rPr>
          <w:rFonts w:ascii="仿宋" w:hAnsi="仿宋" w:eastAsia="仿宋" w:cs="仿宋"/>
          <w:color w:val="auto"/>
          <w:sz w:val="24"/>
        </w:rPr>
      </w:pPr>
      <w:r>
        <w:rPr>
          <w:rFonts w:hint="eastAsia" w:ascii="仿宋" w:hAnsi="仿宋" w:eastAsia="仿宋" w:cs="仿宋"/>
          <w:color w:val="auto"/>
          <w:sz w:val="24"/>
        </w:rPr>
        <w:t>提供窗口地图指引、办理业务指引、材料自检提醒、医保政策解答、业务办理问题解答、辅助叫号、工作状态提醒、业务辅助受理，能够提高业务办理效率，提升民众业务办理体验。</w:t>
      </w:r>
    </w:p>
    <w:p>
      <w:pPr>
        <w:pStyle w:val="18"/>
        <w:rPr>
          <w:rFonts w:ascii="仿宋" w:hAnsi="仿宋" w:eastAsia="仿宋" w:cs="仿宋"/>
          <w:color w:val="auto"/>
          <w:sz w:val="24"/>
        </w:rPr>
      </w:pPr>
      <w:r>
        <w:rPr>
          <w:rFonts w:hint="eastAsia" w:ascii="仿宋" w:hAnsi="仿宋" w:eastAsia="仿宋" w:cs="仿宋"/>
          <w:color w:val="auto"/>
          <w:sz w:val="24"/>
        </w:rPr>
        <w:t>为窗口人员、审批人员、财务人员、执法稽核人员、决策层、管理层工作助手、处室人员提供工作助手，提高各类人员业务办理效率，提升民众业务办理体验。</w:t>
      </w:r>
    </w:p>
    <w:p>
      <w:pPr>
        <w:pStyle w:val="18"/>
        <w:rPr>
          <w:rFonts w:ascii="仿宋" w:hAnsi="仿宋" w:eastAsia="仿宋" w:cs="仿宋"/>
          <w:color w:val="auto"/>
          <w:sz w:val="24"/>
        </w:rPr>
      </w:pPr>
      <w:r>
        <w:rPr>
          <w:rFonts w:hint="eastAsia" w:ascii="仿宋" w:hAnsi="仿宋" w:eastAsia="仿宋" w:cs="仿宋"/>
          <w:color w:val="auto"/>
          <w:sz w:val="24"/>
        </w:rPr>
        <w:t>提供日工作安排提醒、关注内容更新提示、紧急工作提醒等精准服务。</w:t>
      </w:r>
    </w:p>
    <w:p>
      <w:pPr>
        <w:pStyle w:val="18"/>
        <w:ind w:firstLine="482"/>
        <w:rPr>
          <w:rFonts w:ascii="仿宋" w:hAnsi="仿宋" w:eastAsia="仿宋" w:cs="仿宋"/>
          <w:b/>
          <w:color w:val="auto"/>
          <w:sz w:val="24"/>
        </w:rPr>
      </w:pPr>
      <w:r>
        <w:rPr>
          <w:rFonts w:hint="eastAsia" w:ascii="仿宋" w:hAnsi="仿宋" w:eastAsia="仿宋" w:cs="仿宋"/>
          <w:b/>
          <w:color w:val="auto"/>
          <w:sz w:val="24"/>
        </w:rPr>
        <w:t>6.10基金财务与报表</w:t>
      </w:r>
    </w:p>
    <w:p>
      <w:pPr>
        <w:pStyle w:val="18"/>
        <w:rPr>
          <w:rFonts w:ascii="仿宋" w:hAnsi="仿宋" w:eastAsia="仿宋" w:cs="仿宋"/>
          <w:color w:val="auto"/>
          <w:sz w:val="24"/>
        </w:rPr>
      </w:pPr>
      <w:r>
        <w:rPr>
          <w:rFonts w:hint="eastAsia" w:ascii="仿宋" w:hAnsi="仿宋" w:eastAsia="仿宋" w:cs="仿宋"/>
          <w:color w:val="auto"/>
          <w:sz w:val="24"/>
        </w:rPr>
        <w:t>建设全省统一的医疗保障基金财务与报表管理内容，实现基金财务与报表的无缝衔接、基金财务一体化管理，包括成品软件和定制开发两部分。功能内容如下：</w:t>
      </w:r>
    </w:p>
    <w:p>
      <w:pPr>
        <w:pStyle w:val="18"/>
        <w:rPr>
          <w:rFonts w:ascii="仿宋" w:hAnsi="仿宋" w:eastAsia="仿宋" w:cs="仿宋"/>
          <w:color w:val="auto"/>
          <w:sz w:val="24"/>
        </w:rPr>
      </w:pPr>
      <w:r>
        <w:rPr>
          <w:rFonts w:hint="eastAsia" w:ascii="仿宋" w:hAnsi="仿宋" w:eastAsia="仿宋" w:cs="仿宋"/>
          <w:color w:val="auto"/>
          <w:sz w:val="24"/>
        </w:rPr>
        <w:t>基金财务成品软件提供基金账务处理、基金报表管理、基金出纳管理、基金预决算管理等功能。</w:t>
      </w:r>
    </w:p>
    <w:p>
      <w:pPr>
        <w:pStyle w:val="18"/>
        <w:rPr>
          <w:rFonts w:ascii="仿宋" w:hAnsi="仿宋" w:eastAsia="仿宋" w:cs="仿宋"/>
          <w:color w:val="auto"/>
          <w:sz w:val="24"/>
        </w:rPr>
      </w:pPr>
      <w:r>
        <w:rPr>
          <w:rFonts w:hint="eastAsia" w:ascii="仿宋" w:hAnsi="仿宋" w:eastAsia="仿宋" w:cs="仿宋"/>
          <w:color w:val="auto"/>
          <w:sz w:val="24"/>
        </w:rPr>
        <w:t>基金财务定制开发功能需求如下：</w:t>
      </w:r>
    </w:p>
    <w:p>
      <w:pPr>
        <w:pStyle w:val="18"/>
        <w:rPr>
          <w:rFonts w:ascii="仿宋" w:hAnsi="仿宋" w:eastAsia="仿宋" w:cs="仿宋"/>
          <w:color w:val="auto"/>
          <w:sz w:val="24"/>
        </w:rPr>
      </w:pPr>
      <w:r>
        <w:rPr>
          <w:rFonts w:hint="eastAsia" w:ascii="仿宋" w:hAnsi="仿宋" w:eastAsia="仿宋" w:cs="仿宋"/>
          <w:color w:val="auto"/>
          <w:sz w:val="24"/>
        </w:rPr>
        <w:t>（1）银行账户管理</w:t>
      </w:r>
    </w:p>
    <w:p>
      <w:pPr>
        <w:pStyle w:val="18"/>
        <w:rPr>
          <w:rFonts w:ascii="仿宋" w:hAnsi="仿宋" w:eastAsia="仿宋" w:cs="仿宋"/>
          <w:color w:val="auto"/>
          <w:sz w:val="24"/>
        </w:rPr>
      </w:pPr>
      <w:r>
        <w:rPr>
          <w:rFonts w:hint="eastAsia" w:ascii="仿宋" w:hAnsi="仿宋" w:eastAsia="仿宋" w:cs="仿宋"/>
          <w:color w:val="auto"/>
          <w:sz w:val="24"/>
        </w:rPr>
        <w:t>（2）基金征收管理</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1)实征税务反馈</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2)实征财务到账</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3)查询管理</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4)征收对账管理</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5)缴费报表管理</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6)收入管理</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7)退征信息处理</w:t>
      </w:r>
    </w:p>
    <w:p>
      <w:pPr>
        <w:pStyle w:val="18"/>
        <w:rPr>
          <w:rFonts w:ascii="仿宋" w:hAnsi="仿宋" w:eastAsia="仿宋" w:cs="仿宋"/>
          <w:color w:val="auto"/>
          <w:sz w:val="24"/>
        </w:rPr>
      </w:pPr>
      <w:r>
        <w:rPr>
          <w:rFonts w:hint="eastAsia" w:ascii="仿宋" w:hAnsi="仿宋" w:eastAsia="仿宋" w:cs="仿宋"/>
          <w:color w:val="auto"/>
          <w:sz w:val="24"/>
        </w:rPr>
        <w:t>（3）基金支付管理</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1)支付对账管理</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2)批量支付管理</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3)零星报销管理</w:t>
      </w:r>
    </w:p>
    <w:p>
      <w:pPr>
        <w:pStyle w:val="18"/>
        <w:rPr>
          <w:rFonts w:ascii="仿宋" w:hAnsi="仿宋" w:eastAsia="仿宋" w:cs="仿宋"/>
          <w:color w:val="auto"/>
          <w:sz w:val="24"/>
        </w:rPr>
      </w:pPr>
      <w:r>
        <w:rPr>
          <w:rFonts w:hint="eastAsia" w:ascii="仿宋" w:hAnsi="仿宋" w:eastAsia="仿宋" w:cs="仿宋"/>
          <w:color w:val="auto"/>
          <w:sz w:val="24"/>
        </w:rPr>
        <w:t>（4）财务档案管理</w:t>
      </w:r>
    </w:p>
    <w:p>
      <w:pPr>
        <w:pStyle w:val="18"/>
        <w:rPr>
          <w:rFonts w:ascii="仿宋" w:hAnsi="仿宋" w:eastAsia="仿宋" w:cs="仿宋"/>
          <w:color w:val="auto"/>
          <w:sz w:val="24"/>
        </w:rPr>
      </w:pPr>
      <w:r>
        <w:rPr>
          <w:rFonts w:hint="eastAsia" w:ascii="仿宋" w:hAnsi="仿宋" w:eastAsia="仿宋" w:cs="仿宋"/>
          <w:color w:val="auto"/>
          <w:sz w:val="24"/>
        </w:rPr>
        <w:t>（5）基金报表管理</w:t>
      </w:r>
    </w:p>
    <w:p>
      <w:pPr>
        <w:pStyle w:val="18"/>
        <w:rPr>
          <w:rFonts w:ascii="仿宋" w:hAnsi="仿宋" w:eastAsia="仿宋" w:cs="仿宋"/>
          <w:color w:val="auto"/>
          <w:sz w:val="24"/>
        </w:rPr>
      </w:pPr>
      <w:r>
        <w:rPr>
          <w:rFonts w:hint="eastAsia" w:ascii="仿宋" w:hAnsi="仿宋" w:eastAsia="仿宋" w:cs="仿宋"/>
          <w:color w:val="auto"/>
          <w:sz w:val="24"/>
        </w:rPr>
        <w:t>（6）业务信息处理</w:t>
      </w:r>
    </w:p>
    <w:p>
      <w:pPr>
        <w:pStyle w:val="18"/>
        <w:rPr>
          <w:rFonts w:ascii="仿宋" w:hAnsi="仿宋" w:eastAsia="仿宋" w:cs="仿宋"/>
          <w:color w:val="auto"/>
          <w:sz w:val="24"/>
        </w:rPr>
      </w:pPr>
      <w:r>
        <w:rPr>
          <w:rFonts w:hint="eastAsia" w:ascii="仿宋" w:hAnsi="仿宋" w:eastAsia="仿宋" w:cs="仿宋"/>
          <w:color w:val="auto"/>
          <w:sz w:val="24"/>
        </w:rPr>
        <w:t>（7）医税业务处理</w:t>
      </w:r>
    </w:p>
    <w:p>
      <w:pPr>
        <w:pStyle w:val="18"/>
        <w:rPr>
          <w:rFonts w:ascii="仿宋" w:hAnsi="仿宋" w:eastAsia="仿宋" w:cs="仿宋"/>
          <w:color w:val="auto"/>
          <w:sz w:val="24"/>
        </w:rPr>
      </w:pPr>
      <w:r>
        <w:rPr>
          <w:rFonts w:hint="eastAsia" w:ascii="仿宋" w:hAnsi="仿宋" w:eastAsia="仿宋" w:cs="仿宋"/>
          <w:color w:val="auto"/>
          <w:sz w:val="24"/>
        </w:rPr>
        <w:t>（8）医银业务管理</w:t>
      </w:r>
    </w:p>
    <w:p>
      <w:pPr>
        <w:pStyle w:val="18"/>
        <w:rPr>
          <w:rFonts w:ascii="仿宋" w:hAnsi="仿宋" w:eastAsia="仿宋" w:cs="仿宋"/>
          <w:color w:val="auto"/>
          <w:sz w:val="24"/>
        </w:rPr>
      </w:pPr>
      <w:r>
        <w:rPr>
          <w:rFonts w:hint="eastAsia" w:ascii="仿宋" w:hAnsi="仿宋" w:eastAsia="仿宋" w:cs="仿宋"/>
          <w:color w:val="auto"/>
          <w:sz w:val="24"/>
        </w:rPr>
        <w:t>（9）财政信息处理</w:t>
      </w:r>
    </w:p>
    <w:p>
      <w:pPr>
        <w:pStyle w:val="18"/>
        <w:rPr>
          <w:rFonts w:ascii="仿宋" w:hAnsi="仿宋" w:eastAsia="仿宋" w:cs="仿宋"/>
          <w:color w:val="auto"/>
          <w:sz w:val="24"/>
        </w:rPr>
      </w:pPr>
      <w:r>
        <w:rPr>
          <w:rFonts w:hint="eastAsia" w:ascii="仿宋" w:hAnsi="仿宋" w:eastAsia="仿宋" w:cs="仿宋"/>
          <w:color w:val="auto"/>
          <w:sz w:val="24"/>
        </w:rPr>
        <w:t>（10）医保基金管理</w:t>
      </w:r>
    </w:p>
    <w:p>
      <w:pPr>
        <w:pStyle w:val="18"/>
        <w:numPr>
          <w:ilvl w:val="0"/>
          <w:numId w:val="13"/>
        </w:numPr>
        <w:ind w:firstLineChars="0"/>
        <w:rPr>
          <w:rFonts w:ascii="仿宋" w:hAnsi="仿宋" w:eastAsia="仿宋" w:cs="仿宋"/>
          <w:color w:val="auto"/>
          <w:sz w:val="24"/>
        </w:rPr>
      </w:pPr>
      <w:r>
        <w:rPr>
          <w:rFonts w:hint="eastAsia" w:ascii="仿宋" w:hAnsi="仿宋" w:eastAsia="仿宋" w:cs="仿宋"/>
          <w:color w:val="auto"/>
          <w:sz w:val="24"/>
        </w:rPr>
        <w:t>基金财务报表</w:t>
      </w:r>
    </w:p>
    <w:p>
      <w:pPr>
        <w:spacing w:line="360" w:lineRule="auto"/>
        <w:rPr>
          <w:rFonts w:ascii="仿宋" w:hAnsi="仿宋" w:eastAsia="仿宋" w:cs="仿宋"/>
          <w:b/>
          <w:color w:val="auto"/>
          <w:kern w:val="0"/>
          <w:sz w:val="24"/>
          <w:lang w:val="zh-CN" w:bidi="zh-CN"/>
        </w:rPr>
      </w:pPr>
      <w:bookmarkStart w:id="211" w:name="_Toc40898616"/>
      <w:r>
        <w:rPr>
          <w:rFonts w:hint="eastAsia" w:ascii="仿宋" w:hAnsi="仿宋" w:eastAsia="仿宋" w:cs="仿宋"/>
          <w:b/>
          <w:color w:val="auto"/>
          <w:kern w:val="0"/>
          <w:sz w:val="24"/>
          <w:lang w:val="zh-CN" w:bidi="zh-CN"/>
        </w:rPr>
        <w:t>7.应用支撑子系统</w:t>
      </w:r>
      <w:bookmarkEnd w:id="211"/>
    </w:p>
    <w:p>
      <w:pPr>
        <w:pStyle w:val="18"/>
        <w:ind w:firstLine="482"/>
        <w:rPr>
          <w:rFonts w:ascii="仿宋" w:hAnsi="仿宋" w:eastAsia="仿宋" w:cs="仿宋"/>
          <w:b/>
          <w:color w:val="auto"/>
          <w:sz w:val="24"/>
        </w:rPr>
      </w:pPr>
      <w:bookmarkStart w:id="212" w:name="_Toc27899515"/>
      <w:r>
        <w:rPr>
          <w:rFonts w:hint="eastAsia" w:ascii="仿宋" w:hAnsi="仿宋" w:eastAsia="仿宋" w:cs="仿宋"/>
          <w:b/>
          <w:color w:val="auto"/>
          <w:sz w:val="24"/>
        </w:rPr>
        <w:t>7.1内部统一门户</w:t>
      </w:r>
      <w:bookmarkEnd w:id="212"/>
    </w:p>
    <w:p>
      <w:pPr>
        <w:pStyle w:val="18"/>
        <w:rPr>
          <w:rFonts w:ascii="仿宋" w:hAnsi="仿宋" w:eastAsia="仿宋" w:cs="仿宋"/>
          <w:color w:val="auto"/>
          <w:sz w:val="24"/>
        </w:rPr>
      </w:pPr>
      <w:r>
        <w:rPr>
          <w:rFonts w:hint="eastAsia" w:ascii="仿宋" w:hAnsi="仿宋" w:eastAsia="仿宋" w:cs="仿宋"/>
          <w:color w:val="auto"/>
          <w:sz w:val="24"/>
        </w:rPr>
        <w:t>为海南省医疗保障局建设内部统一门户子系统，主要是为医疗保障信息平台提供统一登录入口、统一认证和授权、统一工作和沟通机制以及基本办公功能，同时在个人工作台提供各业务系统核心展示和交互界面功能，便于工作人员查看处理工作信息。实现国家局、海南省和地市医疗保障系统的一体化衔接，对各级医保局工作人员来说，登录一个门户，就能使用全部功能。</w:t>
      </w:r>
    </w:p>
    <w:p>
      <w:pPr>
        <w:pStyle w:val="18"/>
        <w:rPr>
          <w:rFonts w:ascii="仿宋" w:hAnsi="仿宋" w:eastAsia="仿宋" w:cs="仿宋"/>
          <w:color w:val="auto"/>
          <w:sz w:val="24"/>
        </w:rPr>
      </w:pPr>
      <w:r>
        <w:rPr>
          <w:rFonts w:hint="eastAsia" w:ascii="仿宋" w:hAnsi="仿宋" w:eastAsia="仿宋" w:cs="仿宋"/>
          <w:color w:val="auto"/>
          <w:sz w:val="24"/>
        </w:rPr>
        <w:t>主要功能如下：</w:t>
      </w:r>
    </w:p>
    <w:p>
      <w:pPr>
        <w:pStyle w:val="18"/>
        <w:rPr>
          <w:rFonts w:ascii="仿宋" w:hAnsi="仿宋" w:eastAsia="仿宋" w:cs="仿宋"/>
          <w:color w:val="auto"/>
          <w:sz w:val="24"/>
        </w:rPr>
      </w:pPr>
      <w:r>
        <w:rPr>
          <w:rFonts w:hint="eastAsia" w:ascii="仿宋" w:hAnsi="仿宋" w:eastAsia="仿宋" w:cs="仿宋"/>
          <w:color w:val="auto"/>
          <w:sz w:val="24"/>
        </w:rPr>
        <w:t>（1）单点登录</w:t>
      </w:r>
    </w:p>
    <w:p>
      <w:pPr>
        <w:pStyle w:val="18"/>
        <w:rPr>
          <w:rFonts w:ascii="仿宋" w:hAnsi="仿宋" w:eastAsia="仿宋" w:cs="仿宋"/>
          <w:color w:val="auto"/>
          <w:sz w:val="24"/>
        </w:rPr>
      </w:pPr>
      <w:r>
        <w:rPr>
          <w:rFonts w:hint="eastAsia" w:ascii="仿宋" w:hAnsi="仿宋" w:eastAsia="仿宋" w:cs="仿宋"/>
          <w:color w:val="auto"/>
          <w:sz w:val="24"/>
        </w:rPr>
        <w:t>为医疗保障信息平台中各个子系统提供统一的用户登录服务。实现医疗保障局的各个子系统通过门户单点登录功能登录后，各子系统无需二次登录。保障医疗保障局平台内系统入口安全、凭证安全。</w:t>
      </w:r>
    </w:p>
    <w:p>
      <w:pPr>
        <w:pStyle w:val="18"/>
        <w:rPr>
          <w:rFonts w:ascii="仿宋" w:hAnsi="仿宋" w:eastAsia="仿宋" w:cs="仿宋"/>
          <w:color w:val="auto"/>
          <w:sz w:val="24"/>
        </w:rPr>
      </w:pPr>
      <w:r>
        <w:rPr>
          <w:rFonts w:hint="eastAsia" w:ascii="仿宋" w:hAnsi="仿宋" w:eastAsia="仿宋" w:cs="仿宋"/>
          <w:color w:val="auto"/>
          <w:sz w:val="24"/>
        </w:rPr>
        <w:t>（2）AAA管理</w:t>
      </w:r>
    </w:p>
    <w:p>
      <w:pPr>
        <w:pStyle w:val="18"/>
        <w:rPr>
          <w:rFonts w:ascii="仿宋" w:hAnsi="仿宋" w:eastAsia="仿宋" w:cs="仿宋"/>
          <w:color w:val="auto"/>
          <w:sz w:val="24"/>
        </w:rPr>
      </w:pPr>
      <w:r>
        <w:rPr>
          <w:rFonts w:hint="eastAsia" w:ascii="仿宋" w:hAnsi="仿宋" w:eastAsia="仿宋" w:cs="仿宋"/>
          <w:color w:val="auto"/>
          <w:sz w:val="24"/>
        </w:rPr>
        <w:t>为医疗保障平台提供统一的账号管理功能，为医疗保障平台提供统一的授权控制与管理功能。主要功能包括账户管理、统一身份认证、统一鉴权。</w:t>
      </w:r>
    </w:p>
    <w:p>
      <w:pPr>
        <w:pStyle w:val="18"/>
        <w:rPr>
          <w:rFonts w:ascii="仿宋" w:hAnsi="仿宋" w:eastAsia="仿宋" w:cs="仿宋"/>
          <w:color w:val="auto"/>
          <w:sz w:val="24"/>
        </w:rPr>
      </w:pPr>
      <w:r>
        <w:rPr>
          <w:rFonts w:hint="eastAsia" w:ascii="仿宋" w:hAnsi="仿宋" w:eastAsia="仿宋" w:cs="仿宋"/>
          <w:color w:val="auto"/>
          <w:sz w:val="24"/>
        </w:rPr>
        <w:t>（3）邮件服务</w:t>
      </w:r>
    </w:p>
    <w:p>
      <w:pPr>
        <w:pStyle w:val="18"/>
        <w:rPr>
          <w:rFonts w:ascii="仿宋" w:hAnsi="仿宋" w:eastAsia="仿宋" w:cs="仿宋"/>
          <w:color w:val="auto"/>
          <w:sz w:val="24"/>
        </w:rPr>
      </w:pPr>
      <w:r>
        <w:rPr>
          <w:rFonts w:hint="eastAsia" w:ascii="仿宋" w:hAnsi="仿宋" w:eastAsia="仿宋" w:cs="仿宋"/>
          <w:color w:val="auto"/>
          <w:sz w:val="24"/>
        </w:rPr>
        <w:t>用于海南省医疗保障局内部邮件处理工作，为工作人员提供信件、单据、资料等电子信息的发送、接收功能。系统自动对往来邮件进行归档和整理。工作人员也可对邮件进行删除、置顶、星标及分类等操作。</w:t>
      </w:r>
    </w:p>
    <w:p>
      <w:pPr>
        <w:pStyle w:val="18"/>
        <w:rPr>
          <w:rFonts w:ascii="仿宋" w:hAnsi="仿宋" w:eastAsia="仿宋" w:cs="仿宋"/>
          <w:color w:val="auto"/>
          <w:sz w:val="24"/>
        </w:rPr>
      </w:pPr>
      <w:r>
        <w:rPr>
          <w:rFonts w:hint="eastAsia" w:ascii="仿宋" w:hAnsi="仿宋" w:eastAsia="仿宋" w:cs="仿宋"/>
          <w:color w:val="auto"/>
          <w:sz w:val="24"/>
        </w:rPr>
        <w:t>（4）消息服务</w:t>
      </w:r>
    </w:p>
    <w:p>
      <w:pPr>
        <w:pStyle w:val="18"/>
        <w:rPr>
          <w:rFonts w:ascii="仿宋" w:hAnsi="仿宋" w:eastAsia="仿宋" w:cs="仿宋"/>
          <w:color w:val="auto"/>
          <w:sz w:val="24"/>
        </w:rPr>
      </w:pPr>
      <w:r>
        <w:rPr>
          <w:rFonts w:hint="eastAsia" w:ascii="仿宋" w:hAnsi="仿宋" w:eastAsia="仿宋" w:cs="仿宋"/>
          <w:color w:val="auto"/>
          <w:sz w:val="24"/>
        </w:rPr>
        <w:t>消息服务是系统和操作员，操作员与操作员之间重要的交互手段。将站内消息、短信、即时消息等发送给相应系统用户，系统用户可通过个人工作台查看消息内容。</w:t>
      </w:r>
    </w:p>
    <w:p>
      <w:pPr>
        <w:pStyle w:val="18"/>
        <w:rPr>
          <w:rFonts w:ascii="仿宋" w:hAnsi="仿宋" w:eastAsia="仿宋" w:cs="仿宋"/>
          <w:color w:val="auto"/>
          <w:sz w:val="24"/>
        </w:rPr>
      </w:pPr>
      <w:r>
        <w:rPr>
          <w:rFonts w:hint="eastAsia" w:ascii="仿宋" w:hAnsi="仿宋" w:eastAsia="仿宋" w:cs="仿宋"/>
          <w:color w:val="auto"/>
          <w:sz w:val="24"/>
        </w:rPr>
        <w:t>（5）通讯录管理</w:t>
      </w:r>
    </w:p>
    <w:p>
      <w:pPr>
        <w:pStyle w:val="18"/>
        <w:rPr>
          <w:rFonts w:ascii="仿宋" w:hAnsi="仿宋" w:eastAsia="仿宋" w:cs="仿宋"/>
          <w:color w:val="auto"/>
          <w:sz w:val="24"/>
        </w:rPr>
      </w:pPr>
      <w:r>
        <w:rPr>
          <w:rFonts w:hint="eastAsia" w:ascii="仿宋" w:hAnsi="仿宋" w:eastAsia="仿宋" w:cs="仿宋"/>
          <w:color w:val="auto"/>
          <w:sz w:val="24"/>
        </w:rPr>
        <w:t>通讯录管理功能为用户提供通讯录的查询、新增、修改、删除功能。并且为消息服务、文件服务、邮件服务需要指定接收人时提供通讯录查询接口，便于工作人员选择接收人列表。</w:t>
      </w:r>
    </w:p>
    <w:p>
      <w:pPr>
        <w:pStyle w:val="18"/>
        <w:rPr>
          <w:rFonts w:ascii="仿宋" w:hAnsi="仿宋" w:eastAsia="仿宋" w:cs="仿宋"/>
          <w:color w:val="auto"/>
          <w:sz w:val="24"/>
        </w:rPr>
      </w:pPr>
      <w:r>
        <w:rPr>
          <w:rFonts w:hint="eastAsia" w:ascii="仿宋" w:hAnsi="仿宋" w:eastAsia="仿宋" w:cs="仿宋"/>
          <w:color w:val="auto"/>
          <w:sz w:val="24"/>
        </w:rPr>
        <w:t>（6）统一工作流程管理</w:t>
      </w:r>
    </w:p>
    <w:p>
      <w:pPr>
        <w:pStyle w:val="18"/>
        <w:rPr>
          <w:rFonts w:ascii="仿宋" w:hAnsi="仿宋" w:eastAsia="仿宋" w:cs="仿宋"/>
          <w:color w:val="auto"/>
          <w:sz w:val="24"/>
        </w:rPr>
      </w:pPr>
      <w:r>
        <w:rPr>
          <w:rFonts w:hint="eastAsia" w:ascii="仿宋" w:hAnsi="仿宋" w:eastAsia="仿宋" w:cs="仿宋"/>
          <w:color w:val="auto"/>
          <w:sz w:val="24"/>
        </w:rPr>
        <w:t>统一工作流是一种业务办理流程的模板，功能由支撑平台工作流中心提供。管理人员通过制定工作流流程模板，定制业务流程。业务系统根据流程模板流转业务，生成待办项给每个人业务经办人员</w:t>
      </w:r>
    </w:p>
    <w:p>
      <w:pPr>
        <w:pStyle w:val="18"/>
        <w:rPr>
          <w:rFonts w:ascii="仿宋" w:hAnsi="仿宋" w:eastAsia="仿宋" w:cs="仿宋"/>
          <w:color w:val="auto"/>
          <w:sz w:val="24"/>
        </w:rPr>
      </w:pPr>
      <w:r>
        <w:rPr>
          <w:rFonts w:hint="eastAsia" w:ascii="仿宋" w:hAnsi="仿宋" w:eastAsia="仿宋" w:cs="仿宋"/>
          <w:color w:val="auto"/>
          <w:sz w:val="24"/>
        </w:rPr>
        <w:t>（7）基本信息管理</w:t>
      </w:r>
    </w:p>
    <w:p>
      <w:pPr>
        <w:pStyle w:val="18"/>
        <w:rPr>
          <w:rFonts w:ascii="仿宋" w:hAnsi="仿宋" w:eastAsia="仿宋" w:cs="仿宋"/>
          <w:color w:val="auto"/>
          <w:sz w:val="24"/>
        </w:rPr>
      </w:pPr>
      <w:r>
        <w:rPr>
          <w:rFonts w:hint="eastAsia" w:ascii="仿宋" w:hAnsi="仿宋" w:eastAsia="仿宋" w:cs="仿宋"/>
          <w:color w:val="auto"/>
          <w:sz w:val="24"/>
        </w:rPr>
        <w:t>基础信息管理是维护门户的基础信息。将经办机构，用户，权限等统一管理、统一授权。方便管理人员统一管理。</w:t>
      </w:r>
    </w:p>
    <w:p>
      <w:pPr>
        <w:pStyle w:val="18"/>
        <w:rPr>
          <w:rFonts w:ascii="仿宋" w:hAnsi="仿宋" w:eastAsia="仿宋" w:cs="仿宋"/>
          <w:color w:val="auto"/>
          <w:sz w:val="24"/>
        </w:rPr>
      </w:pPr>
      <w:r>
        <w:rPr>
          <w:rFonts w:hint="eastAsia" w:ascii="仿宋" w:hAnsi="仿宋" w:eastAsia="仿宋" w:cs="仿宋"/>
          <w:color w:val="auto"/>
          <w:sz w:val="24"/>
        </w:rPr>
        <w:t>（8）个人工作台</w:t>
      </w:r>
    </w:p>
    <w:p>
      <w:pPr>
        <w:pStyle w:val="18"/>
        <w:rPr>
          <w:rFonts w:ascii="仿宋" w:hAnsi="仿宋" w:eastAsia="仿宋" w:cs="仿宋"/>
          <w:color w:val="auto"/>
          <w:sz w:val="24"/>
        </w:rPr>
      </w:pPr>
      <w:r>
        <w:rPr>
          <w:rFonts w:hint="eastAsia" w:ascii="仿宋" w:hAnsi="仿宋" w:eastAsia="仿宋" w:cs="仿宋"/>
          <w:color w:val="auto"/>
          <w:sz w:val="24"/>
        </w:rPr>
        <w:t>个人工作台为用户提供直观的个人代办事项、邮件管理、文件收发、通知消息收发、通讯录管理、业务查询和监管等窗口，并可对各种业务场景的图表进行展示。</w:t>
      </w:r>
    </w:p>
    <w:p>
      <w:pPr>
        <w:pStyle w:val="18"/>
        <w:rPr>
          <w:rFonts w:ascii="仿宋" w:hAnsi="仿宋" w:eastAsia="仿宋" w:cs="仿宋"/>
          <w:color w:val="auto"/>
          <w:sz w:val="24"/>
        </w:rPr>
      </w:pPr>
      <w:r>
        <w:rPr>
          <w:rFonts w:hint="eastAsia" w:ascii="仿宋" w:hAnsi="仿宋" w:eastAsia="仿宋" w:cs="仿宋"/>
          <w:color w:val="auto"/>
          <w:sz w:val="24"/>
        </w:rPr>
        <w:t>（9）CMS内容管理</w:t>
      </w:r>
    </w:p>
    <w:p>
      <w:pPr>
        <w:pStyle w:val="18"/>
        <w:rPr>
          <w:rFonts w:ascii="仿宋" w:hAnsi="仿宋" w:eastAsia="仿宋" w:cs="仿宋"/>
          <w:color w:val="auto"/>
          <w:sz w:val="24"/>
        </w:rPr>
      </w:pPr>
      <w:r>
        <w:rPr>
          <w:rFonts w:hint="eastAsia" w:ascii="仿宋" w:hAnsi="仿宋" w:eastAsia="仿宋" w:cs="仿宋"/>
          <w:color w:val="auto"/>
          <w:sz w:val="24"/>
        </w:rPr>
        <w:t>CMS内容系统可为发布栏目内容，预设好固定的模板信息。在维护栏目内容的时候可以使用模板进行编辑，提高效率。维护栏目类别，在发布文章的时候可以将文章分类归类到对应的栏目中。栏目内容编辑是办公室人员通过系统编辑需要推送的文章，可以使用之前发布的模板进行使用模板编辑，也可以直接使用空白模板进行文章的编辑。</w:t>
      </w:r>
    </w:p>
    <w:p>
      <w:pPr>
        <w:pStyle w:val="18"/>
        <w:rPr>
          <w:rFonts w:ascii="仿宋" w:hAnsi="仿宋" w:eastAsia="仿宋" w:cs="仿宋"/>
          <w:color w:val="auto"/>
          <w:sz w:val="24"/>
        </w:rPr>
      </w:pPr>
      <w:r>
        <w:rPr>
          <w:rFonts w:hint="eastAsia" w:ascii="仿宋" w:hAnsi="仿宋" w:eastAsia="仿宋" w:cs="仿宋"/>
          <w:color w:val="auto"/>
          <w:sz w:val="24"/>
        </w:rPr>
        <w:t>（10）资产管理</w:t>
      </w:r>
    </w:p>
    <w:p>
      <w:pPr>
        <w:pStyle w:val="18"/>
        <w:rPr>
          <w:rFonts w:ascii="仿宋" w:hAnsi="仿宋" w:eastAsia="仿宋" w:cs="仿宋"/>
          <w:color w:val="auto"/>
          <w:sz w:val="24"/>
        </w:rPr>
      </w:pPr>
      <w:r>
        <w:rPr>
          <w:rFonts w:hint="eastAsia" w:ascii="仿宋" w:hAnsi="仿宋" w:eastAsia="仿宋" w:cs="仿宋"/>
          <w:color w:val="auto"/>
          <w:sz w:val="24"/>
        </w:rPr>
        <w:t>为各部门提供固定资产的管理功能，其中包括资产采购、资产预算、资产库存、资产使用、资产评估、资产财务和资产审核管理等。功能包括：</w:t>
      </w:r>
    </w:p>
    <w:p>
      <w:pPr>
        <w:pStyle w:val="18"/>
        <w:rPr>
          <w:rFonts w:ascii="仿宋" w:hAnsi="仿宋" w:eastAsia="仿宋" w:cs="仿宋"/>
          <w:color w:val="auto"/>
          <w:sz w:val="24"/>
        </w:rPr>
      </w:pPr>
      <w:r>
        <w:rPr>
          <w:rFonts w:hint="eastAsia" w:ascii="仿宋" w:hAnsi="仿宋" w:eastAsia="仿宋" w:cs="仿宋"/>
          <w:color w:val="auto"/>
          <w:sz w:val="24"/>
        </w:rPr>
        <w:t>（11）项目或委托办事事项管理</w:t>
      </w:r>
    </w:p>
    <w:p>
      <w:pPr>
        <w:pStyle w:val="18"/>
        <w:rPr>
          <w:rFonts w:ascii="仿宋" w:hAnsi="仿宋" w:eastAsia="仿宋" w:cs="仿宋"/>
          <w:color w:val="auto"/>
          <w:sz w:val="24"/>
        </w:rPr>
      </w:pPr>
      <w:r>
        <w:rPr>
          <w:rFonts w:hint="eastAsia" w:ascii="仿宋" w:hAnsi="仿宋" w:eastAsia="仿宋" w:cs="仿宋"/>
          <w:color w:val="auto"/>
          <w:sz w:val="24"/>
        </w:rPr>
        <w:t>用于发布委托办事事宜、研究课题项目、待起草的标准或政策等，研究人员、事业单位能够注册、申请账号，根据需要调整项目申报信息，并支持模板导入等功能。</w:t>
      </w:r>
    </w:p>
    <w:p>
      <w:pPr>
        <w:pStyle w:val="18"/>
        <w:rPr>
          <w:rFonts w:ascii="仿宋" w:hAnsi="仿宋" w:eastAsia="仿宋" w:cs="仿宋"/>
          <w:color w:val="auto"/>
          <w:sz w:val="24"/>
        </w:rPr>
      </w:pPr>
      <w:r>
        <w:rPr>
          <w:rFonts w:hint="eastAsia" w:ascii="仿宋" w:hAnsi="仿宋" w:eastAsia="仿宋" w:cs="仿宋"/>
          <w:color w:val="auto"/>
          <w:sz w:val="24"/>
        </w:rPr>
        <w:t>（12）问题反馈平台</w:t>
      </w:r>
    </w:p>
    <w:p>
      <w:pPr>
        <w:pStyle w:val="18"/>
        <w:ind w:firstLine="960" w:firstLineChars="400"/>
        <w:rPr>
          <w:rFonts w:ascii="仿宋" w:hAnsi="仿宋" w:eastAsia="仿宋" w:cs="仿宋"/>
          <w:color w:val="auto"/>
          <w:sz w:val="24"/>
        </w:rPr>
      </w:pPr>
      <w:r>
        <w:rPr>
          <w:rFonts w:hint="eastAsia" w:ascii="仿宋" w:hAnsi="仿宋" w:eastAsia="仿宋" w:cs="仿宋"/>
          <w:color w:val="auto"/>
          <w:sz w:val="24"/>
        </w:rPr>
        <w:t>1)常见问题解答</w:t>
      </w:r>
    </w:p>
    <w:p>
      <w:pPr>
        <w:pStyle w:val="18"/>
        <w:rPr>
          <w:rFonts w:ascii="仿宋" w:hAnsi="仿宋" w:eastAsia="仿宋" w:cs="仿宋"/>
          <w:color w:val="auto"/>
          <w:sz w:val="24"/>
        </w:rPr>
      </w:pPr>
      <w:r>
        <w:rPr>
          <w:rFonts w:hint="eastAsia" w:ascii="仿宋" w:hAnsi="仿宋" w:eastAsia="仿宋" w:cs="仿宋"/>
          <w:color w:val="auto"/>
          <w:sz w:val="24"/>
        </w:rPr>
        <w:t>页面展示几类常见问题，针对展示问题进行反馈。</w:t>
      </w:r>
    </w:p>
    <w:p>
      <w:pPr>
        <w:pStyle w:val="18"/>
        <w:ind w:firstLine="960" w:firstLineChars="400"/>
        <w:rPr>
          <w:rFonts w:ascii="仿宋" w:hAnsi="仿宋" w:eastAsia="仿宋" w:cs="仿宋"/>
          <w:color w:val="auto"/>
          <w:sz w:val="24"/>
        </w:rPr>
      </w:pPr>
      <w:r>
        <w:rPr>
          <w:rFonts w:hint="eastAsia" w:ascii="仿宋" w:hAnsi="仿宋" w:eastAsia="仿宋" w:cs="仿宋"/>
          <w:color w:val="auto"/>
          <w:sz w:val="24"/>
        </w:rPr>
        <w:t>2)其他问题反馈</w:t>
      </w:r>
    </w:p>
    <w:p>
      <w:pPr>
        <w:pStyle w:val="18"/>
        <w:rPr>
          <w:rFonts w:ascii="仿宋" w:hAnsi="仿宋" w:eastAsia="仿宋" w:cs="仿宋"/>
          <w:color w:val="auto"/>
          <w:sz w:val="24"/>
        </w:rPr>
      </w:pPr>
      <w:r>
        <w:rPr>
          <w:rFonts w:hint="eastAsia" w:ascii="仿宋" w:hAnsi="仿宋" w:eastAsia="仿宋" w:cs="仿宋"/>
          <w:color w:val="auto"/>
          <w:sz w:val="24"/>
        </w:rPr>
        <w:t>对其他类型的问题进行反馈。实现对咨询产生的问题进行反馈。</w:t>
      </w:r>
    </w:p>
    <w:p>
      <w:pPr>
        <w:pStyle w:val="18"/>
        <w:rPr>
          <w:rFonts w:ascii="仿宋" w:hAnsi="仿宋" w:eastAsia="仿宋" w:cs="仿宋"/>
          <w:color w:val="auto"/>
          <w:sz w:val="24"/>
        </w:rPr>
      </w:pPr>
      <w:r>
        <w:rPr>
          <w:rFonts w:hint="eastAsia" w:ascii="仿宋" w:hAnsi="仿宋" w:eastAsia="仿宋" w:cs="仿宋"/>
          <w:color w:val="auto"/>
          <w:sz w:val="24"/>
        </w:rPr>
        <w:t>（13）通告管理</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1)系统更新通告</w:t>
      </w:r>
    </w:p>
    <w:p>
      <w:pPr>
        <w:pStyle w:val="18"/>
        <w:rPr>
          <w:rFonts w:ascii="仿宋" w:hAnsi="仿宋" w:eastAsia="仿宋" w:cs="仿宋"/>
          <w:color w:val="auto"/>
          <w:sz w:val="24"/>
        </w:rPr>
      </w:pPr>
      <w:r>
        <w:rPr>
          <w:rFonts w:hint="eastAsia" w:ascii="仿宋" w:hAnsi="仿宋" w:eastAsia="仿宋" w:cs="仿宋"/>
          <w:color w:val="auto"/>
          <w:sz w:val="24"/>
        </w:rPr>
        <w:t>对系统更新进行通告。</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2)政策发布通告</w:t>
      </w:r>
    </w:p>
    <w:p>
      <w:pPr>
        <w:pStyle w:val="18"/>
        <w:rPr>
          <w:rFonts w:ascii="仿宋" w:hAnsi="仿宋" w:eastAsia="仿宋" w:cs="仿宋"/>
          <w:color w:val="auto"/>
          <w:sz w:val="24"/>
        </w:rPr>
      </w:pPr>
      <w:r>
        <w:rPr>
          <w:rFonts w:hint="eastAsia" w:ascii="仿宋" w:hAnsi="仿宋" w:eastAsia="仿宋" w:cs="仿宋"/>
          <w:color w:val="auto"/>
          <w:sz w:val="24"/>
        </w:rPr>
        <w:t>如有新政策发布进行通告。</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3)其他类通告</w:t>
      </w:r>
    </w:p>
    <w:p>
      <w:pPr>
        <w:pStyle w:val="18"/>
        <w:rPr>
          <w:rFonts w:ascii="仿宋" w:hAnsi="仿宋" w:eastAsia="仿宋" w:cs="仿宋"/>
          <w:color w:val="auto"/>
          <w:sz w:val="24"/>
        </w:rPr>
      </w:pPr>
      <w:r>
        <w:rPr>
          <w:rFonts w:hint="eastAsia" w:ascii="仿宋" w:hAnsi="仿宋" w:eastAsia="仿宋" w:cs="仿宋"/>
          <w:color w:val="auto"/>
          <w:sz w:val="24"/>
        </w:rPr>
        <w:t>对其他类（如：惩罚、奖励）进行通告。</w:t>
      </w:r>
    </w:p>
    <w:p>
      <w:pPr>
        <w:pStyle w:val="18"/>
        <w:rPr>
          <w:rFonts w:ascii="仿宋" w:hAnsi="仿宋" w:eastAsia="仿宋" w:cs="仿宋"/>
          <w:color w:val="auto"/>
          <w:sz w:val="24"/>
        </w:rPr>
      </w:pPr>
      <w:r>
        <w:rPr>
          <w:rFonts w:hint="eastAsia" w:ascii="仿宋" w:hAnsi="仿宋" w:eastAsia="仿宋" w:cs="仿宋"/>
          <w:color w:val="auto"/>
          <w:sz w:val="24"/>
        </w:rPr>
        <w:t>（14）工作日历管理</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1)工作日历维护</w:t>
      </w:r>
    </w:p>
    <w:p>
      <w:pPr>
        <w:pStyle w:val="18"/>
        <w:rPr>
          <w:rFonts w:ascii="仿宋" w:hAnsi="仿宋" w:eastAsia="仿宋" w:cs="仿宋"/>
          <w:color w:val="auto"/>
          <w:sz w:val="24"/>
        </w:rPr>
      </w:pPr>
      <w:r>
        <w:rPr>
          <w:rFonts w:hint="eastAsia" w:ascii="仿宋" w:hAnsi="仿宋" w:eastAsia="仿宋" w:cs="仿宋"/>
          <w:color w:val="auto"/>
          <w:sz w:val="24"/>
        </w:rPr>
        <w:t>实现工作日历维护。</w:t>
      </w:r>
    </w:p>
    <w:p>
      <w:pPr>
        <w:pStyle w:val="18"/>
        <w:ind w:firstLine="840" w:firstLineChars="350"/>
        <w:rPr>
          <w:rFonts w:ascii="仿宋" w:hAnsi="仿宋" w:eastAsia="仿宋" w:cs="仿宋"/>
          <w:color w:val="auto"/>
          <w:sz w:val="24"/>
        </w:rPr>
      </w:pPr>
      <w:r>
        <w:rPr>
          <w:rFonts w:hint="eastAsia" w:ascii="仿宋" w:hAnsi="仿宋" w:eastAsia="仿宋" w:cs="仿宋"/>
          <w:color w:val="auto"/>
          <w:sz w:val="24"/>
        </w:rPr>
        <w:t>2)工作日历管理</w:t>
      </w:r>
    </w:p>
    <w:p>
      <w:pPr>
        <w:pStyle w:val="18"/>
        <w:rPr>
          <w:rFonts w:ascii="仿宋" w:hAnsi="仿宋" w:eastAsia="仿宋" w:cs="仿宋"/>
          <w:color w:val="auto"/>
          <w:sz w:val="24"/>
        </w:rPr>
      </w:pPr>
      <w:r>
        <w:rPr>
          <w:rFonts w:hint="eastAsia" w:ascii="仿宋" w:hAnsi="仿宋" w:eastAsia="仿宋" w:cs="仿宋"/>
          <w:color w:val="auto"/>
          <w:sz w:val="24"/>
        </w:rPr>
        <w:t>实现工作日历管理。</w:t>
      </w:r>
    </w:p>
    <w:p>
      <w:pPr>
        <w:pStyle w:val="18"/>
        <w:ind w:firstLine="482"/>
        <w:rPr>
          <w:rFonts w:ascii="仿宋" w:hAnsi="仿宋" w:eastAsia="仿宋" w:cs="仿宋"/>
          <w:b/>
          <w:color w:val="auto"/>
          <w:sz w:val="24"/>
        </w:rPr>
      </w:pPr>
      <w:r>
        <w:rPr>
          <w:rFonts w:hint="eastAsia" w:ascii="仿宋" w:hAnsi="仿宋" w:eastAsia="仿宋" w:cs="仿宋"/>
          <w:b/>
          <w:color w:val="auto"/>
          <w:sz w:val="24"/>
        </w:rPr>
        <w:t>7.2基础信息管理</w:t>
      </w:r>
    </w:p>
    <w:p>
      <w:pPr>
        <w:pStyle w:val="18"/>
        <w:rPr>
          <w:rFonts w:ascii="仿宋" w:hAnsi="仿宋" w:eastAsia="仿宋" w:cs="仿宋"/>
          <w:color w:val="auto"/>
          <w:sz w:val="24"/>
        </w:rPr>
      </w:pPr>
      <w:r>
        <w:rPr>
          <w:rFonts w:hint="eastAsia" w:ascii="仿宋" w:hAnsi="仿宋" w:eastAsia="仿宋" w:cs="仿宋"/>
          <w:color w:val="auto"/>
          <w:sz w:val="24"/>
        </w:rPr>
        <w:t>基础信息管理系统是国家医疗保障信息平台强约束系统，本标段要求部署实施国家医保局基础信息管理系统，统一建设建设基础信息管理系统与其他系统接口服务。需要部署实施的基础信息管理系统功能包括：</w:t>
      </w:r>
    </w:p>
    <w:p>
      <w:pPr>
        <w:pStyle w:val="18"/>
        <w:rPr>
          <w:rFonts w:ascii="仿宋" w:hAnsi="仿宋" w:eastAsia="仿宋" w:cs="仿宋"/>
          <w:color w:val="auto"/>
          <w:sz w:val="24"/>
        </w:rPr>
      </w:pPr>
      <w:r>
        <w:rPr>
          <w:rFonts w:hint="eastAsia" w:ascii="仿宋" w:hAnsi="仿宋" w:eastAsia="仿宋" w:cs="仿宋"/>
          <w:color w:val="auto"/>
          <w:sz w:val="24"/>
        </w:rPr>
        <w:t>（1）疾病编码诊断手术操作编码标准管理</w:t>
      </w:r>
    </w:p>
    <w:p>
      <w:pPr>
        <w:pStyle w:val="18"/>
        <w:rPr>
          <w:rFonts w:ascii="仿宋" w:hAnsi="仿宋" w:eastAsia="仿宋" w:cs="仿宋"/>
          <w:color w:val="auto"/>
          <w:sz w:val="24"/>
        </w:rPr>
      </w:pPr>
      <w:r>
        <w:rPr>
          <w:rFonts w:hint="eastAsia" w:ascii="仿宋" w:hAnsi="仿宋" w:eastAsia="仿宋" w:cs="仿宋"/>
          <w:color w:val="auto"/>
          <w:sz w:val="24"/>
        </w:rPr>
        <w:t>（2）药品编码标准管理</w:t>
      </w:r>
    </w:p>
    <w:p>
      <w:pPr>
        <w:pStyle w:val="18"/>
        <w:rPr>
          <w:rFonts w:ascii="仿宋" w:hAnsi="仿宋" w:eastAsia="仿宋" w:cs="仿宋"/>
          <w:color w:val="auto"/>
          <w:sz w:val="24"/>
        </w:rPr>
      </w:pPr>
      <w:r>
        <w:rPr>
          <w:rFonts w:hint="eastAsia" w:ascii="仿宋" w:hAnsi="仿宋" w:eastAsia="仿宋" w:cs="仿宋"/>
          <w:color w:val="auto"/>
          <w:sz w:val="24"/>
        </w:rPr>
        <w:t>（3）医疗服务项目编码标准管理</w:t>
      </w:r>
    </w:p>
    <w:p>
      <w:pPr>
        <w:pStyle w:val="18"/>
        <w:rPr>
          <w:rFonts w:ascii="仿宋" w:hAnsi="仿宋" w:eastAsia="仿宋" w:cs="仿宋"/>
          <w:color w:val="auto"/>
          <w:sz w:val="24"/>
        </w:rPr>
      </w:pPr>
      <w:r>
        <w:rPr>
          <w:rFonts w:hint="eastAsia" w:ascii="仿宋" w:hAnsi="仿宋" w:eastAsia="仿宋" w:cs="仿宋"/>
          <w:color w:val="auto"/>
          <w:sz w:val="24"/>
        </w:rPr>
        <w:t>（4）耗材编码标准管理</w:t>
      </w:r>
    </w:p>
    <w:p>
      <w:pPr>
        <w:pStyle w:val="18"/>
        <w:rPr>
          <w:rFonts w:ascii="仿宋" w:hAnsi="仿宋" w:eastAsia="仿宋" w:cs="仿宋"/>
          <w:color w:val="auto"/>
          <w:sz w:val="24"/>
        </w:rPr>
      </w:pPr>
      <w:r>
        <w:rPr>
          <w:rFonts w:hint="eastAsia" w:ascii="仿宋" w:hAnsi="仿宋" w:eastAsia="仿宋" w:cs="仿宋"/>
          <w:color w:val="auto"/>
          <w:sz w:val="24"/>
        </w:rPr>
        <w:t>（5）门慢门特病种目录管理</w:t>
      </w:r>
    </w:p>
    <w:p>
      <w:pPr>
        <w:pStyle w:val="18"/>
        <w:rPr>
          <w:rFonts w:ascii="仿宋" w:hAnsi="仿宋" w:eastAsia="仿宋" w:cs="仿宋"/>
          <w:color w:val="auto"/>
          <w:sz w:val="24"/>
        </w:rPr>
      </w:pPr>
      <w:r>
        <w:rPr>
          <w:rFonts w:hint="eastAsia" w:ascii="仿宋" w:hAnsi="仿宋" w:eastAsia="仿宋" w:cs="仿宋"/>
          <w:color w:val="auto"/>
          <w:sz w:val="24"/>
        </w:rPr>
        <w:t>（6）病种结算目录管理</w:t>
      </w:r>
    </w:p>
    <w:p>
      <w:pPr>
        <w:pStyle w:val="18"/>
        <w:rPr>
          <w:rFonts w:ascii="仿宋" w:hAnsi="仿宋" w:eastAsia="仿宋" w:cs="仿宋"/>
          <w:color w:val="auto"/>
          <w:sz w:val="24"/>
        </w:rPr>
      </w:pPr>
      <w:r>
        <w:rPr>
          <w:rFonts w:hint="eastAsia" w:ascii="仿宋" w:hAnsi="仿宋" w:eastAsia="仿宋" w:cs="仿宋"/>
          <w:color w:val="auto"/>
          <w:sz w:val="24"/>
        </w:rPr>
        <w:t>（7）日间手术、日间治疗病种目录管理</w:t>
      </w:r>
    </w:p>
    <w:p>
      <w:pPr>
        <w:pStyle w:val="18"/>
        <w:rPr>
          <w:rFonts w:ascii="仿宋" w:hAnsi="仿宋" w:eastAsia="仿宋" w:cs="仿宋"/>
          <w:color w:val="auto"/>
          <w:sz w:val="24"/>
        </w:rPr>
      </w:pPr>
      <w:r>
        <w:rPr>
          <w:rFonts w:hint="eastAsia" w:ascii="仿宋" w:hAnsi="仿宋" w:eastAsia="仿宋" w:cs="仿宋"/>
          <w:color w:val="auto"/>
          <w:sz w:val="24"/>
        </w:rPr>
        <w:t>（8）医保结算清单数据标准管理</w:t>
      </w:r>
    </w:p>
    <w:p>
      <w:pPr>
        <w:pStyle w:val="18"/>
        <w:rPr>
          <w:rFonts w:ascii="仿宋" w:hAnsi="仿宋" w:eastAsia="仿宋" w:cs="仿宋"/>
          <w:color w:val="auto"/>
          <w:sz w:val="24"/>
        </w:rPr>
      </w:pPr>
      <w:r>
        <w:rPr>
          <w:rFonts w:hint="eastAsia" w:ascii="仿宋" w:hAnsi="仿宋" w:eastAsia="仿宋" w:cs="仿宋"/>
          <w:color w:val="auto"/>
          <w:sz w:val="24"/>
        </w:rPr>
        <w:t>（9）定点医药机构和照护机构管理</w:t>
      </w:r>
    </w:p>
    <w:p>
      <w:pPr>
        <w:pStyle w:val="18"/>
        <w:rPr>
          <w:rFonts w:ascii="仿宋" w:hAnsi="仿宋" w:eastAsia="仿宋" w:cs="仿宋"/>
          <w:color w:val="auto"/>
          <w:sz w:val="24"/>
        </w:rPr>
      </w:pPr>
      <w:r>
        <w:rPr>
          <w:rFonts w:hint="eastAsia" w:ascii="仿宋" w:hAnsi="仿宋" w:eastAsia="仿宋" w:cs="仿宋"/>
          <w:color w:val="auto"/>
          <w:sz w:val="24"/>
        </w:rPr>
        <w:t>（10）执业医师目录管理</w:t>
      </w:r>
    </w:p>
    <w:p>
      <w:pPr>
        <w:pStyle w:val="18"/>
        <w:rPr>
          <w:rFonts w:ascii="仿宋" w:hAnsi="仿宋" w:eastAsia="仿宋" w:cs="仿宋"/>
          <w:color w:val="auto"/>
          <w:sz w:val="24"/>
        </w:rPr>
      </w:pPr>
      <w:r>
        <w:rPr>
          <w:rFonts w:hint="eastAsia" w:ascii="仿宋" w:hAnsi="仿宋" w:eastAsia="仿宋" w:cs="仿宋"/>
          <w:color w:val="auto"/>
          <w:sz w:val="24"/>
        </w:rPr>
        <w:t>（11）执业护士目录管理</w:t>
      </w:r>
    </w:p>
    <w:p>
      <w:pPr>
        <w:pStyle w:val="18"/>
        <w:rPr>
          <w:rFonts w:ascii="仿宋" w:hAnsi="仿宋" w:eastAsia="仿宋" w:cs="仿宋"/>
          <w:color w:val="auto"/>
          <w:sz w:val="24"/>
        </w:rPr>
      </w:pPr>
      <w:r>
        <w:rPr>
          <w:rFonts w:hint="eastAsia" w:ascii="仿宋" w:hAnsi="仿宋" w:eastAsia="仿宋" w:cs="仿宋"/>
          <w:color w:val="auto"/>
          <w:sz w:val="24"/>
        </w:rPr>
        <w:t>（12）执业药师目录管理</w:t>
      </w:r>
    </w:p>
    <w:p>
      <w:pPr>
        <w:pStyle w:val="18"/>
        <w:rPr>
          <w:rFonts w:ascii="仿宋" w:hAnsi="仿宋" w:eastAsia="仿宋" w:cs="仿宋"/>
          <w:color w:val="auto"/>
          <w:sz w:val="24"/>
        </w:rPr>
      </w:pPr>
      <w:r>
        <w:rPr>
          <w:rFonts w:hint="eastAsia" w:ascii="仿宋" w:hAnsi="仿宋" w:eastAsia="仿宋" w:cs="仿宋"/>
          <w:color w:val="auto"/>
          <w:sz w:val="24"/>
        </w:rPr>
        <w:t>（13）医保定点零售药店编码标准管理</w:t>
      </w:r>
    </w:p>
    <w:p>
      <w:pPr>
        <w:pStyle w:val="18"/>
        <w:rPr>
          <w:rFonts w:ascii="仿宋" w:hAnsi="仿宋" w:eastAsia="仿宋" w:cs="仿宋"/>
          <w:color w:val="auto"/>
          <w:sz w:val="24"/>
        </w:rPr>
      </w:pPr>
      <w:r>
        <w:rPr>
          <w:rFonts w:hint="eastAsia" w:ascii="仿宋" w:hAnsi="仿宋" w:eastAsia="仿宋" w:cs="仿宋"/>
          <w:color w:val="auto"/>
          <w:sz w:val="24"/>
        </w:rPr>
        <w:t>（14）医保经办机构、经办人员管理</w:t>
      </w:r>
    </w:p>
    <w:p>
      <w:pPr>
        <w:pStyle w:val="18"/>
        <w:rPr>
          <w:rFonts w:ascii="仿宋" w:hAnsi="仿宋" w:eastAsia="仿宋" w:cs="仿宋"/>
          <w:color w:val="auto"/>
          <w:sz w:val="24"/>
        </w:rPr>
      </w:pPr>
      <w:r>
        <w:rPr>
          <w:rFonts w:hint="eastAsia" w:ascii="仿宋" w:hAnsi="仿宋" w:eastAsia="仿宋" w:cs="仿宋"/>
          <w:color w:val="auto"/>
          <w:sz w:val="24"/>
        </w:rPr>
        <w:t>（15）长期护理保险失能评估标准管理</w:t>
      </w:r>
    </w:p>
    <w:p>
      <w:pPr>
        <w:pStyle w:val="18"/>
        <w:rPr>
          <w:rFonts w:ascii="仿宋" w:hAnsi="仿宋" w:eastAsia="仿宋" w:cs="仿宋"/>
          <w:color w:val="auto"/>
          <w:sz w:val="24"/>
        </w:rPr>
      </w:pPr>
      <w:r>
        <w:rPr>
          <w:rFonts w:hint="eastAsia" w:ascii="仿宋" w:hAnsi="仿宋" w:eastAsia="仿宋" w:cs="仿宋"/>
          <w:color w:val="auto"/>
          <w:sz w:val="24"/>
        </w:rPr>
        <w:t>（16）参保人员信息管理</w:t>
      </w:r>
    </w:p>
    <w:p>
      <w:pPr>
        <w:pStyle w:val="18"/>
        <w:rPr>
          <w:rFonts w:ascii="仿宋" w:hAnsi="仿宋" w:eastAsia="仿宋" w:cs="仿宋"/>
          <w:color w:val="auto"/>
          <w:sz w:val="24"/>
        </w:rPr>
      </w:pPr>
      <w:r>
        <w:rPr>
          <w:rFonts w:hint="eastAsia" w:ascii="仿宋" w:hAnsi="仿宋" w:eastAsia="仿宋" w:cs="仿宋"/>
          <w:color w:val="auto"/>
          <w:sz w:val="24"/>
        </w:rPr>
        <w:t>（17）参保单位信息管理</w:t>
      </w:r>
    </w:p>
    <w:p>
      <w:pPr>
        <w:pStyle w:val="18"/>
        <w:rPr>
          <w:rFonts w:ascii="仿宋" w:hAnsi="仿宋" w:eastAsia="仿宋" w:cs="仿宋"/>
          <w:color w:val="auto"/>
          <w:sz w:val="24"/>
        </w:rPr>
      </w:pPr>
      <w:r>
        <w:rPr>
          <w:rFonts w:hint="eastAsia" w:ascii="仿宋" w:hAnsi="仿宋" w:eastAsia="仿宋" w:cs="仿宋"/>
          <w:color w:val="auto"/>
          <w:sz w:val="24"/>
        </w:rPr>
        <w:t>（18）人员身份属性管理</w:t>
      </w:r>
    </w:p>
    <w:p>
      <w:pPr>
        <w:pStyle w:val="18"/>
        <w:rPr>
          <w:rFonts w:ascii="仿宋" w:hAnsi="仿宋" w:eastAsia="仿宋" w:cs="仿宋"/>
          <w:color w:val="auto"/>
          <w:sz w:val="24"/>
        </w:rPr>
      </w:pPr>
      <w:r>
        <w:rPr>
          <w:rFonts w:hint="eastAsia" w:ascii="仿宋" w:hAnsi="仿宋" w:eastAsia="仿宋" w:cs="仿宋"/>
          <w:color w:val="auto"/>
          <w:sz w:val="24"/>
        </w:rPr>
        <w:t>（19）身份认证管理</w:t>
      </w:r>
    </w:p>
    <w:p>
      <w:pPr>
        <w:pStyle w:val="18"/>
        <w:rPr>
          <w:rFonts w:ascii="仿宋" w:hAnsi="仿宋" w:eastAsia="仿宋" w:cs="仿宋"/>
          <w:color w:val="auto"/>
          <w:sz w:val="24"/>
        </w:rPr>
      </w:pPr>
      <w:r>
        <w:rPr>
          <w:rFonts w:hint="eastAsia" w:ascii="仿宋" w:hAnsi="仿宋" w:eastAsia="仿宋" w:cs="仿宋"/>
          <w:color w:val="auto"/>
          <w:sz w:val="24"/>
        </w:rPr>
        <w:t>（20）专家库管理</w:t>
      </w:r>
    </w:p>
    <w:p>
      <w:pPr>
        <w:pStyle w:val="18"/>
        <w:rPr>
          <w:rFonts w:ascii="仿宋" w:hAnsi="仿宋" w:eastAsia="仿宋" w:cs="仿宋"/>
          <w:color w:val="auto"/>
          <w:sz w:val="24"/>
        </w:rPr>
      </w:pPr>
      <w:r>
        <w:rPr>
          <w:rFonts w:hint="eastAsia" w:ascii="仿宋" w:hAnsi="仿宋" w:eastAsia="仿宋" w:cs="仿宋"/>
          <w:color w:val="auto"/>
          <w:sz w:val="24"/>
        </w:rPr>
        <w:t>（21）医疗救助目录管理</w:t>
      </w:r>
    </w:p>
    <w:p>
      <w:pPr>
        <w:pStyle w:val="18"/>
        <w:rPr>
          <w:rFonts w:ascii="仿宋" w:hAnsi="仿宋" w:eastAsia="仿宋" w:cs="仿宋"/>
          <w:color w:val="auto"/>
          <w:sz w:val="24"/>
        </w:rPr>
      </w:pPr>
      <w:r>
        <w:rPr>
          <w:rFonts w:hint="eastAsia" w:ascii="仿宋" w:hAnsi="仿宋" w:eastAsia="仿宋" w:cs="仿宋"/>
          <w:color w:val="auto"/>
          <w:sz w:val="24"/>
        </w:rPr>
        <w:t>（22）待遇清单管理</w:t>
      </w:r>
    </w:p>
    <w:p>
      <w:pPr>
        <w:pStyle w:val="18"/>
        <w:ind w:firstLine="482"/>
        <w:rPr>
          <w:rFonts w:ascii="仿宋" w:hAnsi="仿宋" w:eastAsia="仿宋" w:cs="仿宋"/>
          <w:b/>
          <w:color w:val="auto"/>
          <w:sz w:val="24"/>
        </w:rPr>
      </w:pPr>
      <w:r>
        <w:rPr>
          <w:rFonts w:hint="eastAsia" w:ascii="仿宋" w:hAnsi="仿宋" w:eastAsia="仿宋" w:cs="仿宋"/>
          <w:b/>
          <w:color w:val="auto"/>
          <w:sz w:val="24"/>
        </w:rPr>
        <w:t>7.3专家库</w:t>
      </w:r>
    </w:p>
    <w:p>
      <w:pPr>
        <w:pStyle w:val="18"/>
        <w:rPr>
          <w:rFonts w:ascii="仿宋" w:hAnsi="仿宋" w:eastAsia="仿宋" w:cs="仿宋"/>
          <w:color w:val="auto"/>
          <w:sz w:val="24"/>
        </w:rPr>
      </w:pPr>
      <w:r>
        <w:rPr>
          <w:rFonts w:hint="eastAsia" w:ascii="仿宋" w:hAnsi="仿宋" w:eastAsia="仿宋" w:cs="仿宋"/>
          <w:color w:val="auto"/>
          <w:sz w:val="24"/>
        </w:rPr>
        <w:t>实现海南省医疗保障业务相关的专家服务、专家管理和评审标准管理。</w:t>
      </w:r>
    </w:p>
    <w:p>
      <w:pPr>
        <w:pStyle w:val="18"/>
        <w:ind w:firstLine="482"/>
        <w:rPr>
          <w:rFonts w:ascii="仿宋" w:hAnsi="仿宋" w:eastAsia="仿宋" w:cs="仿宋"/>
          <w:b/>
          <w:color w:val="auto"/>
          <w:sz w:val="24"/>
        </w:rPr>
      </w:pPr>
      <w:r>
        <w:rPr>
          <w:rFonts w:hint="eastAsia" w:ascii="仿宋" w:hAnsi="仿宋" w:eastAsia="仿宋" w:cs="仿宋"/>
          <w:b/>
          <w:color w:val="auto"/>
          <w:sz w:val="24"/>
        </w:rPr>
        <w:t>7.4医保行政管理</w:t>
      </w:r>
    </w:p>
    <w:p>
      <w:pPr>
        <w:pStyle w:val="18"/>
        <w:rPr>
          <w:rFonts w:ascii="仿宋" w:hAnsi="仿宋" w:eastAsia="仿宋" w:cs="仿宋"/>
          <w:color w:val="auto"/>
          <w:sz w:val="24"/>
        </w:rPr>
      </w:pPr>
      <w:r>
        <w:rPr>
          <w:rFonts w:hint="eastAsia" w:ascii="仿宋" w:hAnsi="仿宋" w:eastAsia="仿宋" w:cs="仿宋"/>
          <w:color w:val="auto"/>
          <w:sz w:val="24"/>
        </w:rPr>
        <w:t>主要功能包括基础信息管理、组织机构管理、培训管理调研问卷、绩效考核管理。</w:t>
      </w:r>
    </w:p>
    <w:p>
      <w:pPr>
        <w:pStyle w:val="18"/>
        <w:ind w:firstLine="482"/>
        <w:rPr>
          <w:rFonts w:ascii="仿宋" w:hAnsi="仿宋" w:eastAsia="仿宋" w:cs="仿宋"/>
          <w:b/>
          <w:color w:val="auto"/>
          <w:sz w:val="24"/>
        </w:rPr>
      </w:pPr>
      <w:bookmarkStart w:id="213" w:name="_Toc40898617"/>
      <w:r>
        <w:rPr>
          <w:rFonts w:hint="eastAsia" w:ascii="仿宋" w:hAnsi="仿宋" w:eastAsia="仿宋" w:cs="仿宋"/>
          <w:b/>
          <w:color w:val="auto"/>
          <w:sz w:val="24"/>
        </w:rPr>
        <w:t>7.4.1数据治理</w:t>
      </w:r>
      <w:bookmarkEnd w:id="213"/>
    </w:p>
    <w:p>
      <w:pPr>
        <w:pStyle w:val="18"/>
        <w:rPr>
          <w:rFonts w:ascii="仿宋" w:hAnsi="仿宋" w:eastAsia="仿宋" w:cs="仿宋"/>
          <w:color w:val="auto"/>
          <w:sz w:val="24"/>
        </w:rPr>
      </w:pPr>
      <w:r>
        <w:rPr>
          <w:rFonts w:hint="eastAsia" w:ascii="仿宋" w:hAnsi="仿宋" w:eastAsia="仿宋" w:cs="仿宋"/>
          <w:color w:val="auto"/>
          <w:sz w:val="24"/>
        </w:rPr>
        <w:t>（1）数据迁移实施流程</w:t>
      </w:r>
    </w:p>
    <w:p>
      <w:pPr>
        <w:pStyle w:val="18"/>
        <w:rPr>
          <w:rFonts w:ascii="仿宋" w:hAnsi="仿宋" w:eastAsia="仿宋" w:cs="仿宋"/>
          <w:color w:val="auto"/>
          <w:sz w:val="24"/>
        </w:rPr>
      </w:pPr>
      <w:r>
        <w:rPr>
          <w:rFonts w:hint="eastAsia" w:ascii="仿宋" w:hAnsi="仿宋" w:eastAsia="仿宋" w:cs="仿宋"/>
          <w:color w:val="auto"/>
          <w:sz w:val="24"/>
        </w:rPr>
        <w:t>按照国家医疗保障信息平台数据标准要求以及本项目建设系统要求，对现有我省人社、卫健委系统、民政中积累的大量医保历史业务数据进行整合，将全省的医保数据库迁移到新的医保局数据中心数据库，保证新系统的顺利切换运行。梳理各类业务数据，整理、整合关联数据，做到既相互独立，又相互联动。分析各类业务数据，修正、完善、补缺业务历史数据，提高数据质量。</w:t>
      </w:r>
    </w:p>
    <w:p>
      <w:pPr>
        <w:pStyle w:val="18"/>
        <w:rPr>
          <w:rFonts w:ascii="仿宋" w:hAnsi="仿宋" w:eastAsia="仿宋" w:cs="仿宋"/>
          <w:color w:val="auto"/>
          <w:sz w:val="24"/>
        </w:rPr>
      </w:pPr>
      <w:r>
        <w:rPr>
          <w:rFonts w:hint="eastAsia" w:ascii="仿宋" w:hAnsi="仿宋" w:eastAsia="仿宋" w:cs="仿宋"/>
          <w:color w:val="auto"/>
          <w:sz w:val="24"/>
        </w:rPr>
        <w:t>（2）数据抽取</w:t>
      </w:r>
    </w:p>
    <w:p>
      <w:pPr>
        <w:pStyle w:val="18"/>
        <w:rPr>
          <w:rFonts w:ascii="仿宋" w:hAnsi="仿宋" w:eastAsia="仿宋" w:cs="仿宋"/>
          <w:color w:val="auto"/>
          <w:sz w:val="24"/>
        </w:rPr>
      </w:pPr>
      <w:r>
        <w:rPr>
          <w:rFonts w:hint="eastAsia" w:ascii="仿宋" w:hAnsi="仿宋" w:eastAsia="仿宋" w:cs="仿宋"/>
          <w:color w:val="auto"/>
          <w:sz w:val="24"/>
        </w:rPr>
        <w:t>对各统筹区医保业务系统中的基础信息资源、医保业务信息资源进行分析，根据数据整合需求及数据映射规则，进行数据抽取。</w:t>
      </w:r>
    </w:p>
    <w:p>
      <w:pPr>
        <w:pStyle w:val="18"/>
        <w:rPr>
          <w:rFonts w:ascii="仿宋" w:hAnsi="仿宋" w:eastAsia="仿宋" w:cs="仿宋"/>
          <w:color w:val="auto"/>
          <w:sz w:val="24"/>
        </w:rPr>
      </w:pPr>
      <w:r>
        <w:rPr>
          <w:rFonts w:hint="eastAsia" w:ascii="仿宋" w:hAnsi="仿宋" w:eastAsia="仿宋" w:cs="仿宋"/>
          <w:color w:val="auto"/>
          <w:sz w:val="24"/>
        </w:rPr>
        <w:t>（3）数据清洗</w:t>
      </w:r>
    </w:p>
    <w:p>
      <w:pPr>
        <w:pStyle w:val="18"/>
        <w:rPr>
          <w:rFonts w:ascii="仿宋" w:hAnsi="仿宋" w:eastAsia="仿宋" w:cs="仿宋"/>
          <w:color w:val="auto"/>
          <w:sz w:val="24"/>
        </w:rPr>
      </w:pPr>
      <w:r>
        <w:rPr>
          <w:rFonts w:hint="eastAsia" w:ascii="仿宋" w:hAnsi="仿宋" w:eastAsia="仿宋" w:cs="仿宋"/>
          <w:color w:val="auto"/>
          <w:sz w:val="24"/>
        </w:rPr>
        <w:t>建立科学的数据清理流程，对全省医保系统的业务数据清洗和转换，提供可视化工具，对数据清洗的全过程进行监控。发现并纠正数据文件中可识别的错误，包括检查数据一致性，处理无效值和缺失值等。由于编码和标准规范不统一等问题，数据中可能存在一些无效值和缺失值，需要给予适当的处理。</w:t>
      </w:r>
    </w:p>
    <w:p>
      <w:pPr>
        <w:pStyle w:val="18"/>
        <w:rPr>
          <w:rFonts w:ascii="仿宋" w:hAnsi="仿宋" w:eastAsia="仿宋" w:cs="仿宋"/>
          <w:color w:val="auto"/>
          <w:sz w:val="24"/>
        </w:rPr>
      </w:pPr>
      <w:r>
        <w:rPr>
          <w:rFonts w:hint="eastAsia" w:ascii="仿宋" w:hAnsi="仿宋" w:eastAsia="仿宋" w:cs="仿宋"/>
          <w:color w:val="auto"/>
          <w:sz w:val="24"/>
        </w:rPr>
        <w:t>（4）数据转换整合</w:t>
      </w:r>
    </w:p>
    <w:p>
      <w:pPr>
        <w:pStyle w:val="18"/>
        <w:rPr>
          <w:rFonts w:ascii="仿宋" w:hAnsi="仿宋" w:eastAsia="仿宋" w:cs="仿宋"/>
          <w:color w:val="auto"/>
          <w:sz w:val="24"/>
        </w:rPr>
      </w:pPr>
      <w:r>
        <w:rPr>
          <w:rFonts w:hint="eastAsia" w:ascii="仿宋" w:hAnsi="仿宋" w:eastAsia="仿宋" w:cs="仿宋"/>
          <w:color w:val="auto"/>
          <w:sz w:val="24"/>
        </w:rPr>
        <w:t>对原系统数据字典整理和数据质量分析，对新系统数据字典整理，新旧系统数据差异分析，建立新旧系统数据之间的映射关系以及新旧系统数据整合。</w:t>
      </w:r>
    </w:p>
    <w:p>
      <w:pPr>
        <w:pStyle w:val="18"/>
        <w:rPr>
          <w:rFonts w:ascii="仿宋" w:hAnsi="仿宋" w:eastAsia="仿宋" w:cs="仿宋"/>
          <w:color w:val="auto"/>
          <w:sz w:val="24"/>
        </w:rPr>
      </w:pPr>
      <w:r>
        <w:rPr>
          <w:rFonts w:hint="eastAsia" w:ascii="仿宋" w:hAnsi="仿宋" w:eastAsia="仿宋" w:cs="仿宋"/>
          <w:color w:val="auto"/>
          <w:sz w:val="24"/>
        </w:rPr>
        <w:t>（5）数据迁移</w:t>
      </w:r>
    </w:p>
    <w:p>
      <w:pPr>
        <w:pStyle w:val="18"/>
        <w:rPr>
          <w:rFonts w:ascii="仿宋" w:hAnsi="仿宋" w:eastAsia="仿宋" w:cs="仿宋"/>
          <w:color w:val="auto"/>
          <w:sz w:val="24"/>
        </w:rPr>
      </w:pPr>
      <w:r>
        <w:rPr>
          <w:rFonts w:hint="eastAsia" w:ascii="仿宋" w:hAnsi="仿宋" w:eastAsia="仿宋" w:cs="仿宋"/>
          <w:color w:val="auto"/>
          <w:sz w:val="24"/>
        </w:rPr>
        <w:t>通过数据交换、服务接口方式实现统筹区医保数据按需、有序的汇集，从而支撑医疗保障业务运行，同时为信息共享作好资源保障。包括医保基础信息接收与同步、各统筹区医保数据迁移和横向部门数据获取归集。</w:t>
      </w:r>
    </w:p>
    <w:p>
      <w:pPr>
        <w:pStyle w:val="18"/>
        <w:ind w:firstLine="0" w:firstLineChars="0"/>
        <w:rPr>
          <w:rFonts w:ascii="仿宋" w:hAnsi="仿宋" w:eastAsia="仿宋" w:cs="仿宋"/>
          <w:b/>
          <w:color w:val="auto"/>
          <w:sz w:val="24"/>
        </w:rPr>
      </w:pPr>
      <w:bookmarkStart w:id="214" w:name="_Toc40898618"/>
      <w:r>
        <w:rPr>
          <w:rFonts w:hint="eastAsia" w:ascii="仿宋" w:hAnsi="仿宋" w:eastAsia="仿宋" w:cs="仿宋"/>
          <w:b/>
          <w:color w:val="auto"/>
          <w:sz w:val="24"/>
        </w:rPr>
        <w:t>8.软件安全要求</w:t>
      </w:r>
      <w:bookmarkEnd w:id="214"/>
    </w:p>
    <w:p>
      <w:pPr>
        <w:pStyle w:val="18"/>
        <w:ind w:firstLineChars="0"/>
        <w:rPr>
          <w:rFonts w:ascii="仿宋" w:hAnsi="仿宋" w:eastAsia="仿宋" w:cs="仿宋"/>
          <w:color w:val="auto"/>
          <w:sz w:val="24"/>
        </w:rPr>
      </w:pPr>
      <w:r>
        <w:rPr>
          <w:rFonts w:hint="eastAsia" w:ascii="仿宋" w:hAnsi="仿宋" w:eastAsia="仿宋" w:cs="仿宋"/>
          <w:color w:val="auto"/>
          <w:sz w:val="24"/>
        </w:rPr>
        <w:t>（1）中标单位须严格按照国家医疗保障局《医保信息系统安全开发规范》要求组织系统开发和实施，并符合《信息安全技术网络安全等级保护基本要求》（GB/T 22239一2019）三级安全要求。</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（2）中标单位所开发的系统须符合《信息系统密码应用基本要求》。</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（3）系统上线前，应按照招标方要求进行源代码安全扫描，并对发现的漏洞进行修复。</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（4）投标方应提供详细的安全设计方案并详细说明在应用安全和数据安全方面采取的安全的措施。</w:t>
      </w:r>
      <w:bookmarkStart w:id="215" w:name="_Toc40898619"/>
    </w:p>
    <w:p>
      <w:pPr>
        <w:pStyle w:val="19"/>
        <w:ind w:firstLine="171" w:firstLineChars="71"/>
        <w:rPr>
          <w:rFonts w:ascii="仿宋" w:hAnsi="仿宋" w:eastAsia="仿宋" w:cs="仿宋"/>
          <w:color w:val="auto"/>
          <w:sz w:val="24"/>
          <w:szCs w:val="24"/>
        </w:rPr>
      </w:pPr>
      <w:r>
        <w:rPr>
          <w:rFonts w:hint="eastAsia" w:ascii="仿宋" w:hAnsi="仿宋" w:eastAsia="仿宋" w:cs="仿宋"/>
          <w:b/>
          <w:color w:val="auto"/>
          <w:sz w:val="24"/>
          <w:szCs w:val="24"/>
        </w:rPr>
        <w:t>9</w:t>
      </w:r>
      <w:r>
        <w:rPr>
          <w:rFonts w:hint="eastAsia" w:ascii="仿宋" w:hAnsi="仿宋" w:eastAsia="仿宋" w:cs="仿宋"/>
          <w:b/>
          <w:color w:val="auto"/>
          <w:kern w:val="0"/>
          <w:sz w:val="24"/>
          <w:szCs w:val="24"/>
          <w:lang w:val="zh-CN"/>
        </w:rPr>
        <w:t>.软件性能要求</w:t>
      </w:r>
      <w:bookmarkEnd w:id="215"/>
    </w:p>
    <w:p>
      <w:pPr>
        <w:pStyle w:val="18"/>
        <w:rPr>
          <w:rFonts w:ascii="仿宋" w:hAnsi="仿宋" w:eastAsia="仿宋" w:cs="仿宋"/>
          <w:color w:val="auto"/>
          <w:sz w:val="24"/>
          <w:lang w:bidi="zh-CN"/>
        </w:rPr>
      </w:pPr>
      <w:r>
        <w:rPr>
          <w:rFonts w:hint="eastAsia" w:ascii="仿宋" w:hAnsi="仿宋" w:eastAsia="仿宋" w:cs="仿宋"/>
          <w:color w:val="auto"/>
          <w:sz w:val="24"/>
          <w:lang w:bidi="zh-CN"/>
        </w:rPr>
        <w:t>根据不同业务处理类型，软件性能要满足相应的交易响应时间要求。交易响应时间指完成目标系统中的交互或批量业务处理所需的响应时间。根据业务处理类型的不同，可以把交易划分为三类：交互类业务、查询类业务和大数据量批处理类业务，分别给出响应时间要求的参考值，包括峰值响应时间、平均响应时间。</w:t>
      </w:r>
    </w:p>
    <w:p>
      <w:pPr>
        <w:pStyle w:val="18"/>
        <w:rPr>
          <w:rFonts w:ascii="仿宋" w:hAnsi="仿宋" w:eastAsia="仿宋" w:cs="仿宋"/>
          <w:color w:val="auto"/>
          <w:sz w:val="24"/>
          <w:lang w:bidi="zh-CN"/>
        </w:rPr>
      </w:pPr>
      <w:r>
        <w:rPr>
          <w:rFonts w:hint="eastAsia" w:ascii="仿宋" w:hAnsi="仿宋" w:eastAsia="仿宋" w:cs="仿宋"/>
          <w:color w:val="auto"/>
          <w:sz w:val="24"/>
          <w:lang w:bidi="zh-CN"/>
        </w:rPr>
        <w:t>（1）交互类业务</w:t>
      </w:r>
    </w:p>
    <w:p>
      <w:pPr>
        <w:pStyle w:val="18"/>
        <w:rPr>
          <w:rFonts w:ascii="仿宋" w:hAnsi="仿宋" w:eastAsia="仿宋" w:cs="仿宋"/>
          <w:color w:val="auto"/>
          <w:sz w:val="24"/>
          <w:lang w:bidi="zh-CN"/>
        </w:rPr>
      </w:pPr>
      <w:r>
        <w:rPr>
          <w:rFonts w:hint="eastAsia" w:ascii="仿宋" w:hAnsi="仿宋" w:eastAsia="仿宋" w:cs="仿宋"/>
          <w:color w:val="auto"/>
          <w:sz w:val="24"/>
          <w:lang w:bidi="zh-CN"/>
        </w:rPr>
        <w:t>交互类业务是指平时工作中在系统中进行的业务处理，如录入、修改或删除一条记录、发布一条信息等操作。</w:t>
      </w:r>
    </w:p>
    <w:p>
      <w:pPr>
        <w:pStyle w:val="18"/>
        <w:numPr>
          <w:ilvl w:val="0"/>
          <w:numId w:val="14"/>
        </w:numPr>
        <w:ind w:firstLineChars="0"/>
        <w:rPr>
          <w:rFonts w:ascii="仿宋" w:hAnsi="仿宋" w:eastAsia="仿宋" w:cs="仿宋"/>
          <w:color w:val="auto"/>
          <w:sz w:val="24"/>
          <w:lang w:bidi="zh-CN"/>
        </w:rPr>
      </w:pPr>
      <w:r>
        <w:rPr>
          <w:rFonts w:hint="eastAsia" w:ascii="仿宋" w:hAnsi="仿宋" w:eastAsia="仿宋" w:cs="仿宋"/>
          <w:color w:val="auto"/>
          <w:sz w:val="24"/>
          <w:lang w:bidi="zh-CN"/>
        </w:rPr>
        <w:t>平均响应时间：1 秒</w:t>
      </w:r>
    </w:p>
    <w:p>
      <w:pPr>
        <w:pStyle w:val="18"/>
        <w:numPr>
          <w:ilvl w:val="0"/>
          <w:numId w:val="14"/>
        </w:numPr>
        <w:ind w:firstLineChars="0"/>
        <w:rPr>
          <w:rFonts w:ascii="仿宋" w:hAnsi="仿宋" w:eastAsia="仿宋" w:cs="仿宋"/>
          <w:color w:val="auto"/>
          <w:sz w:val="24"/>
          <w:lang w:bidi="zh-CN"/>
        </w:rPr>
      </w:pPr>
      <w:r>
        <w:rPr>
          <w:rFonts w:hint="eastAsia" w:ascii="仿宋" w:hAnsi="仿宋" w:eastAsia="仿宋" w:cs="仿宋"/>
          <w:color w:val="auto"/>
          <w:sz w:val="24"/>
          <w:lang w:bidi="zh-CN"/>
        </w:rPr>
        <w:t>峰值响应时间：3 秒</w:t>
      </w:r>
    </w:p>
    <w:p>
      <w:pPr>
        <w:pStyle w:val="18"/>
        <w:rPr>
          <w:rFonts w:ascii="仿宋" w:hAnsi="仿宋" w:eastAsia="仿宋" w:cs="仿宋"/>
          <w:color w:val="auto"/>
          <w:sz w:val="24"/>
          <w:lang w:bidi="zh-CN"/>
        </w:rPr>
      </w:pPr>
      <w:r>
        <w:rPr>
          <w:rFonts w:hint="eastAsia" w:ascii="仿宋" w:hAnsi="仿宋" w:eastAsia="仿宋" w:cs="仿宋"/>
          <w:color w:val="auto"/>
          <w:sz w:val="24"/>
          <w:lang w:bidi="zh-CN"/>
        </w:rPr>
        <w:t>批量前台经办业务数据导入（按一次2000条评估）</w:t>
      </w:r>
    </w:p>
    <w:p>
      <w:pPr>
        <w:pStyle w:val="18"/>
        <w:numPr>
          <w:ilvl w:val="0"/>
          <w:numId w:val="15"/>
        </w:numPr>
        <w:ind w:firstLineChars="0"/>
        <w:rPr>
          <w:rFonts w:ascii="仿宋" w:hAnsi="仿宋" w:eastAsia="仿宋" w:cs="仿宋"/>
          <w:color w:val="auto"/>
          <w:sz w:val="24"/>
          <w:lang w:bidi="zh-CN"/>
        </w:rPr>
      </w:pPr>
      <w:r>
        <w:rPr>
          <w:rFonts w:hint="eastAsia" w:ascii="仿宋" w:hAnsi="仿宋" w:eastAsia="仿宋" w:cs="仿宋"/>
          <w:color w:val="auto"/>
          <w:sz w:val="24"/>
          <w:lang w:bidi="zh-CN"/>
        </w:rPr>
        <w:t>平均响应时间：3秒</w:t>
      </w:r>
    </w:p>
    <w:p>
      <w:pPr>
        <w:pStyle w:val="18"/>
        <w:numPr>
          <w:ilvl w:val="0"/>
          <w:numId w:val="15"/>
        </w:numPr>
        <w:ind w:firstLineChars="0"/>
        <w:rPr>
          <w:rFonts w:ascii="仿宋" w:hAnsi="仿宋" w:eastAsia="仿宋" w:cs="仿宋"/>
          <w:color w:val="auto"/>
          <w:sz w:val="24"/>
          <w:lang w:bidi="zh-CN"/>
        </w:rPr>
      </w:pPr>
      <w:r>
        <w:rPr>
          <w:rFonts w:hint="eastAsia" w:ascii="仿宋" w:hAnsi="仿宋" w:eastAsia="仿宋" w:cs="仿宋"/>
          <w:color w:val="auto"/>
          <w:sz w:val="24"/>
          <w:lang w:bidi="zh-CN"/>
        </w:rPr>
        <w:t>峰值响应时间：5 秒</w:t>
      </w:r>
    </w:p>
    <w:p>
      <w:pPr>
        <w:pStyle w:val="18"/>
        <w:rPr>
          <w:rFonts w:ascii="仿宋" w:hAnsi="仿宋" w:eastAsia="仿宋" w:cs="仿宋"/>
          <w:color w:val="auto"/>
          <w:sz w:val="24"/>
          <w:lang w:bidi="zh-CN"/>
        </w:rPr>
      </w:pPr>
      <w:r>
        <w:rPr>
          <w:rFonts w:hint="eastAsia" w:ascii="仿宋" w:hAnsi="仿宋" w:eastAsia="仿宋" w:cs="仿宋"/>
          <w:color w:val="auto"/>
          <w:sz w:val="24"/>
        </w:rPr>
        <w:t>（2）</w:t>
      </w:r>
      <w:r>
        <w:rPr>
          <w:rFonts w:hint="eastAsia" w:ascii="仿宋" w:hAnsi="仿宋" w:eastAsia="仿宋" w:cs="仿宋"/>
          <w:color w:val="auto"/>
          <w:sz w:val="24"/>
          <w:lang w:bidi="zh-CN"/>
        </w:rPr>
        <w:t>查询类业务</w:t>
      </w:r>
    </w:p>
    <w:p>
      <w:pPr>
        <w:pStyle w:val="18"/>
        <w:rPr>
          <w:rFonts w:ascii="仿宋" w:hAnsi="仿宋" w:eastAsia="仿宋" w:cs="仿宋"/>
          <w:color w:val="auto"/>
          <w:sz w:val="24"/>
          <w:lang w:bidi="zh-CN"/>
        </w:rPr>
      </w:pPr>
      <w:r>
        <w:rPr>
          <w:rFonts w:hint="eastAsia" w:ascii="仿宋" w:hAnsi="仿宋" w:eastAsia="仿宋" w:cs="仿宋"/>
          <w:color w:val="auto"/>
          <w:sz w:val="24"/>
          <w:lang w:bidi="zh-CN"/>
        </w:rPr>
        <w:t>查询业务由于受到查询的复杂程度、查询的数据量大小等因素的影响，需要根据具体情况而定，在此给出一个参考范围。</w:t>
      </w:r>
    </w:p>
    <w:p>
      <w:pPr>
        <w:pStyle w:val="18"/>
        <w:numPr>
          <w:ilvl w:val="0"/>
          <w:numId w:val="16"/>
        </w:numPr>
        <w:ind w:firstLineChars="0"/>
        <w:rPr>
          <w:rFonts w:ascii="仿宋" w:hAnsi="仿宋" w:eastAsia="仿宋" w:cs="仿宋"/>
          <w:color w:val="auto"/>
          <w:sz w:val="24"/>
          <w:lang w:bidi="zh-CN"/>
        </w:rPr>
      </w:pPr>
      <w:r>
        <w:rPr>
          <w:rFonts w:hint="eastAsia" w:ascii="仿宋" w:hAnsi="仿宋" w:eastAsia="仿宋" w:cs="仿宋"/>
          <w:color w:val="auto"/>
          <w:sz w:val="24"/>
          <w:lang w:bidi="zh-CN"/>
        </w:rPr>
        <w:t>简单查询平均响应时间：1 秒</w:t>
      </w:r>
    </w:p>
    <w:p>
      <w:pPr>
        <w:pStyle w:val="18"/>
        <w:numPr>
          <w:ilvl w:val="0"/>
          <w:numId w:val="16"/>
        </w:numPr>
        <w:ind w:firstLineChars="0"/>
        <w:rPr>
          <w:rFonts w:ascii="仿宋" w:hAnsi="仿宋" w:eastAsia="仿宋" w:cs="仿宋"/>
          <w:color w:val="auto"/>
          <w:sz w:val="24"/>
          <w:lang w:bidi="zh-CN"/>
        </w:rPr>
      </w:pPr>
      <w:r>
        <w:rPr>
          <w:rFonts w:hint="eastAsia" w:ascii="仿宋" w:hAnsi="仿宋" w:eastAsia="仿宋" w:cs="仿宋"/>
          <w:color w:val="auto"/>
          <w:sz w:val="24"/>
          <w:lang w:bidi="zh-CN"/>
        </w:rPr>
        <w:t>复杂查询平均响应时间：3 秒</w:t>
      </w:r>
    </w:p>
    <w:p>
      <w:pPr>
        <w:pStyle w:val="18"/>
        <w:numPr>
          <w:ilvl w:val="0"/>
          <w:numId w:val="16"/>
        </w:numPr>
        <w:ind w:firstLineChars="0"/>
        <w:rPr>
          <w:rFonts w:ascii="仿宋" w:hAnsi="仿宋" w:eastAsia="仿宋" w:cs="仿宋"/>
          <w:color w:val="auto"/>
          <w:sz w:val="24"/>
          <w:lang w:bidi="zh-CN"/>
        </w:rPr>
      </w:pPr>
      <w:r>
        <w:rPr>
          <w:rFonts w:hint="eastAsia" w:ascii="仿宋" w:hAnsi="仿宋" w:eastAsia="仿宋" w:cs="仿宋"/>
          <w:color w:val="auto"/>
          <w:sz w:val="24"/>
          <w:lang w:bidi="zh-CN"/>
        </w:rPr>
        <w:t>视频播放平均响应时间：3 秒</w:t>
      </w:r>
    </w:p>
    <w:p>
      <w:pPr>
        <w:pStyle w:val="18"/>
        <w:rPr>
          <w:rFonts w:ascii="仿宋" w:hAnsi="仿宋" w:eastAsia="仿宋" w:cs="仿宋"/>
          <w:color w:val="auto"/>
          <w:sz w:val="24"/>
          <w:lang w:bidi="zh-CN"/>
        </w:rPr>
      </w:pPr>
      <w:r>
        <w:rPr>
          <w:rFonts w:hint="eastAsia" w:ascii="仿宋" w:hAnsi="仿宋" w:eastAsia="仿宋" w:cs="仿宋"/>
          <w:color w:val="auto"/>
          <w:sz w:val="24"/>
        </w:rPr>
        <w:t>（3）</w:t>
      </w:r>
      <w:r>
        <w:rPr>
          <w:rFonts w:hint="eastAsia" w:ascii="仿宋" w:hAnsi="仿宋" w:eastAsia="仿宋" w:cs="仿宋"/>
          <w:color w:val="auto"/>
          <w:sz w:val="24"/>
          <w:lang w:bidi="zh-CN"/>
        </w:rPr>
        <w:t>交易接口服务（数据交换）</w:t>
      </w:r>
    </w:p>
    <w:p>
      <w:pPr>
        <w:pStyle w:val="18"/>
        <w:numPr>
          <w:ilvl w:val="0"/>
          <w:numId w:val="17"/>
        </w:numPr>
        <w:ind w:firstLineChars="0"/>
        <w:rPr>
          <w:rFonts w:ascii="仿宋" w:hAnsi="仿宋" w:eastAsia="仿宋" w:cs="仿宋"/>
          <w:color w:val="auto"/>
          <w:sz w:val="24"/>
          <w:lang w:bidi="zh-CN"/>
        </w:rPr>
      </w:pPr>
      <w:r>
        <w:rPr>
          <w:rFonts w:hint="eastAsia" w:ascii="仿宋" w:hAnsi="仿宋" w:eastAsia="仿宋" w:cs="仿宋"/>
          <w:color w:val="auto"/>
          <w:sz w:val="24"/>
          <w:lang w:bidi="zh-CN"/>
        </w:rPr>
        <w:t>单条记录交易接口平均响应时间：1 秒</w:t>
      </w:r>
    </w:p>
    <w:p>
      <w:pPr>
        <w:pStyle w:val="18"/>
        <w:numPr>
          <w:ilvl w:val="0"/>
          <w:numId w:val="17"/>
        </w:numPr>
        <w:ind w:firstLineChars="0"/>
        <w:rPr>
          <w:rFonts w:ascii="仿宋" w:hAnsi="仿宋" w:eastAsia="仿宋" w:cs="仿宋"/>
          <w:color w:val="auto"/>
          <w:sz w:val="24"/>
          <w:lang w:bidi="zh-CN"/>
        </w:rPr>
      </w:pPr>
      <w:r>
        <w:rPr>
          <w:rFonts w:hint="eastAsia" w:ascii="仿宋" w:hAnsi="仿宋" w:eastAsia="仿宋" w:cs="仿宋"/>
          <w:color w:val="auto"/>
          <w:sz w:val="24"/>
          <w:lang w:bidi="zh-CN"/>
        </w:rPr>
        <w:t>多条记录（100条）交易接口平均响应时间：3 秒</w:t>
      </w:r>
    </w:p>
    <w:p>
      <w:pPr>
        <w:pStyle w:val="18"/>
        <w:rPr>
          <w:rFonts w:ascii="仿宋" w:hAnsi="仿宋" w:eastAsia="仿宋" w:cs="仿宋"/>
          <w:color w:val="auto"/>
          <w:sz w:val="24"/>
          <w:lang w:bidi="zh-CN"/>
        </w:rPr>
      </w:pPr>
      <w:r>
        <w:rPr>
          <w:rFonts w:hint="eastAsia" w:ascii="仿宋" w:hAnsi="仿宋" w:eastAsia="仿宋" w:cs="仿宋"/>
          <w:color w:val="auto"/>
          <w:sz w:val="24"/>
        </w:rPr>
        <w:t>（4）</w:t>
      </w:r>
      <w:r>
        <w:rPr>
          <w:rFonts w:hint="eastAsia" w:ascii="仿宋" w:hAnsi="仿宋" w:eastAsia="仿宋" w:cs="仿宋"/>
          <w:color w:val="auto"/>
          <w:sz w:val="24"/>
          <w:lang w:bidi="zh-CN"/>
        </w:rPr>
        <w:t>大数据量、批处理业务</w:t>
      </w:r>
    </w:p>
    <w:p>
      <w:pPr>
        <w:pStyle w:val="18"/>
        <w:rPr>
          <w:rFonts w:ascii="仿宋" w:hAnsi="仿宋" w:eastAsia="仿宋" w:cs="仿宋"/>
          <w:color w:val="auto"/>
          <w:sz w:val="24"/>
          <w:lang w:bidi="zh-CN"/>
        </w:rPr>
      </w:pPr>
      <w:r>
        <w:rPr>
          <w:rFonts w:hint="eastAsia" w:ascii="仿宋" w:hAnsi="仿宋" w:eastAsia="仿宋" w:cs="仿宋"/>
          <w:color w:val="auto"/>
          <w:sz w:val="24"/>
          <w:lang w:bidi="zh-CN"/>
        </w:rPr>
        <w:t>批量交易指一次完成多笔业务处理的交易，如批量扣缴等。由于批量交易的数据量不确定，需要根据具体的情况确定响应时间，如会计核算等业务处理。该类业务具有处理复杂、操作数据量大、处理时间长的特点，具体的响应时间视提交数据量、业务处理量而定。</w:t>
      </w:r>
      <w:bookmarkStart w:id="216" w:name="_Toc40898620"/>
    </w:p>
    <w:p>
      <w:pPr>
        <w:pStyle w:val="18"/>
        <w:ind w:firstLine="0" w:firstLineChars="0"/>
        <w:rPr>
          <w:rFonts w:ascii="仿宋" w:hAnsi="仿宋" w:eastAsia="仿宋" w:cs="仿宋"/>
          <w:color w:val="auto"/>
          <w:sz w:val="24"/>
          <w:lang w:bidi="zh-CN"/>
        </w:rPr>
      </w:pPr>
      <w:r>
        <w:rPr>
          <w:rFonts w:hint="eastAsia" w:ascii="仿宋" w:hAnsi="仿宋" w:eastAsia="仿宋" w:cs="仿宋"/>
          <w:b/>
          <w:color w:val="auto"/>
          <w:sz w:val="24"/>
        </w:rPr>
        <w:t>10</w:t>
      </w:r>
      <w:r>
        <w:rPr>
          <w:rFonts w:hint="eastAsia" w:ascii="仿宋" w:hAnsi="仿宋" w:eastAsia="仿宋" w:cs="仿宋"/>
          <w:b/>
          <w:color w:val="auto"/>
          <w:kern w:val="2"/>
          <w:sz w:val="24"/>
          <w:lang w:val="en-US"/>
        </w:rPr>
        <w:t>.软件技术要求</w:t>
      </w:r>
      <w:bookmarkEnd w:id="216"/>
      <w:bookmarkStart w:id="217" w:name="_Toc27899516"/>
      <w:bookmarkStart w:id="218" w:name="_Toc40898621"/>
    </w:p>
    <w:p>
      <w:pPr>
        <w:pStyle w:val="18"/>
        <w:ind w:firstLine="482"/>
        <w:rPr>
          <w:rFonts w:ascii="仿宋" w:hAnsi="仿宋" w:eastAsia="仿宋" w:cs="仿宋"/>
          <w:color w:val="auto"/>
          <w:sz w:val="24"/>
          <w:lang w:bidi="zh-CN"/>
        </w:rPr>
      </w:pPr>
      <w:r>
        <w:rPr>
          <w:rFonts w:hint="eastAsia" w:ascii="仿宋" w:hAnsi="仿宋" w:eastAsia="仿宋" w:cs="仿宋"/>
          <w:b/>
          <w:color w:val="auto"/>
          <w:sz w:val="24"/>
        </w:rPr>
        <w:t>10.1总体技术要求</w:t>
      </w:r>
      <w:bookmarkEnd w:id="217"/>
      <w:bookmarkEnd w:id="218"/>
    </w:p>
    <w:p>
      <w:pPr>
        <w:pStyle w:val="18"/>
        <w:rPr>
          <w:rFonts w:ascii="仿宋" w:hAnsi="仿宋" w:eastAsia="仿宋" w:cs="仿宋"/>
          <w:color w:val="auto"/>
          <w:sz w:val="24"/>
          <w:lang w:bidi="zh-CN"/>
        </w:rPr>
      </w:pPr>
      <w:r>
        <w:rPr>
          <w:rFonts w:hint="eastAsia" w:ascii="仿宋" w:hAnsi="仿宋" w:eastAsia="仿宋" w:cs="仿宋"/>
          <w:color w:val="auto"/>
          <w:sz w:val="24"/>
          <w:lang w:bidi="zh-CN"/>
        </w:rPr>
        <w:t>产品应该是企业级的解决方案，支持可分布的、可伸缩的体系结构。支持部署在主流的操作系统（Linux）和硬件平台上，支持B/S 结构，支持云计算技术架构。</w:t>
      </w:r>
    </w:p>
    <w:p>
      <w:pPr>
        <w:pStyle w:val="18"/>
        <w:rPr>
          <w:rFonts w:ascii="仿宋" w:hAnsi="仿宋" w:eastAsia="仿宋" w:cs="仿宋"/>
          <w:color w:val="auto"/>
          <w:sz w:val="24"/>
          <w:lang w:bidi="zh-CN"/>
        </w:rPr>
      </w:pPr>
      <w:r>
        <w:rPr>
          <w:rFonts w:hint="eastAsia" w:ascii="仿宋" w:hAnsi="仿宋" w:eastAsia="仿宋" w:cs="仿宋"/>
          <w:color w:val="auto"/>
          <w:sz w:val="24"/>
          <w:lang w:bidi="zh-CN"/>
        </w:rPr>
        <w:t>投标方提供的软件必须是模块化设计，并且保证任何软件模块的维护和更新都不影响其它软件模块，软件具有容错能力。</w:t>
      </w:r>
    </w:p>
    <w:p>
      <w:pPr>
        <w:pStyle w:val="18"/>
        <w:rPr>
          <w:rFonts w:ascii="仿宋" w:hAnsi="仿宋" w:eastAsia="仿宋" w:cs="仿宋"/>
          <w:color w:val="auto"/>
          <w:sz w:val="24"/>
          <w:lang w:bidi="zh-CN"/>
        </w:rPr>
      </w:pPr>
      <w:r>
        <w:rPr>
          <w:rFonts w:hint="eastAsia" w:ascii="仿宋" w:hAnsi="仿宋" w:eastAsia="仿宋" w:cs="仿宋"/>
          <w:color w:val="auto"/>
          <w:sz w:val="24"/>
          <w:lang w:bidi="zh-CN"/>
        </w:rPr>
        <w:t>投标方提供的软件应具有自身故障监视和诊断能力，即软件能及时发现故障并发出告警。</w:t>
      </w:r>
    </w:p>
    <w:p>
      <w:pPr>
        <w:pStyle w:val="18"/>
        <w:rPr>
          <w:rFonts w:ascii="仿宋" w:hAnsi="仿宋" w:eastAsia="仿宋" w:cs="仿宋"/>
          <w:color w:val="auto"/>
          <w:sz w:val="24"/>
          <w:lang w:bidi="zh-CN"/>
        </w:rPr>
      </w:pPr>
      <w:r>
        <w:rPr>
          <w:rFonts w:hint="eastAsia" w:ascii="仿宋" w:hAnsi="仿宋" w:eastAsia="仿宋" w:cs="仿宋"/>
          <w:color w:val="auto"/>
          <w:sz w:val="24"/>
          <w:lang w:bidi="zh-CN"/>
        </w:rPr>
        <w:t>投标方提供的软件在不同时期软件版本应能向下兼容，软件版本易于升级，且在升级的过程中不影响业务的性能与运行。</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投标方应承诺在供货时提供最新版本的软件，但该软件必须是经过测试正式推出，其可靠性、稳定性经过严格验证。</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本项目运维期内，软件版本升级时，中标单位应承诺免费更新软件版本，并提供相应的新版本软件功能说明书及修改说明书。</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投标方提供的应用软件要求具有较强的容错功能。</w:t>
      </w:r>
    </w:p>
    <w:p>
      <w:pPr>
        <w:pStyle w:val="18"/>
        <w:ind w:firstLine="482"/>
        <w:rPr>
          <w:rFonts w:ascii="仿宋" w:hAnsi="仿宋" w:eastAsia="仿宋" w:cs="仿宋"/>
          <w:b/>
          <w:color w:val="auto"/>
          <w:sz w:val="24"/>
        </w:rPr>
      </w:pPr>
      <w:bookmarkStart w:id="219" w:name="_Toc40898622"/>
      <w:bookmarkStart w:id="220" w:name="_Toc27899517"/>
      <w:r>
        <w:rPr>
          <w:rFonts w:hint="eastAsia" w:ascii="仿宋" w:hAnsi="仿宋" w:eastAsia="仿宋" w:cs="仿宋"/>
          <w:b/>
          <w:color w:val="auto"/>
          <w:sz w:val="24"/>
        </w:rPr>
        <w:t>10.2应用软件性能要求</w:t>
      </w:r>
      <w:bookmarkEnd w:id="219"/>
      <w:bookmarkEnd w:id="220"/>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（1）应用软件系统的各个软件功能模块应满足本文相关功能要求。应用软件必须能够切实满足系统监控管理的需求，并且适应今后的业务增长和变化，随时可以按功能需要进行修改和维护。</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（2）应用软件应采用通用软件开发平台进行开发，有很强的灵活性和扩展性，在今后开展新业务时可通过对参数等的简单更改迅速方便地实现，具有良好的适应能力。</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应用软件应采用友好的图形化窗口的用户操作界面，可操作性强，而且操作界面应力求简洁、直观，具有全中文界面，有向导性功能，支持工作台化管理，有利于简化操作，并提高操作效率。在考虑简化用户的操作的同时，应允许操作人员必要时做一些人工干预。</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（3）应用软件应具备一套完备的数据管理系统和进程调度系统，以保证系统的安全可靠和整个系统的正常运转。</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（4）应用软件还应采用参数驱动的设计思想，在应用软件中，凡是不能确定的因素，应做到参数化，以达到通过对参数的设置就可适应不同的情况及不同时期的应用要求，并具备多用户和多任务操作能力。</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5）每个应用的功能由一个应用模块完成，应用模块之间应减少耦合度；应用模块与系统之间采用开放的应用接口（API）进行通信；开发人员可灵活开发新的应用模块，并可在不需对原有系统进行重新编译的前提下，动态加载到系统使用。</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（6）应用软件必须可制作打包安装盘（包），具有自动安装功能以及网络远程安装功能。</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（7）应用软件要遵循易操作性、健壮性、实用性、高效性和安全性的原则。</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（8）灵活设计和详细规划系统操作权限，支持功能级、数据级权限控制，可按原子级业务、业务组件、业务流程分配系统操作权限；支持角色管理，个性化角色工作台展示业务组件、业务图表。</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（9）应用软件应具有完整、严谨的操作权限管理机制和日志记录，确保系统的安全性和业务的可稽核性；系统采用业务回退机制，加强业务的可逆性。</w:t>
      </w:r>
      <w:bookmarkStart w:id="221" w:name="_Toc27899518"/>
      <w:bookmarkStart w:id="222" w:name="_Toc40898623"/>
    </w:p>
    <w:p>
      <w:pPr>
        <w:pStyle w:val="20"/>
        <w:tabs>
          <w:tab w:val="left" w:pos="1301"/>
        </w:tabs>
        <w:autoSpaceDE w:val="0"/>
        <w:autoSpaceDN w:val="0"/>
        <w:spacing w:line="360" w:lineRule="auto"/>
        <w:ind w:firstLine="482"/>
        <w:rPr>
          <w:rFonts w:ascii="仿宋" w:hAnsi="仿宋" w:eastAsia="仿宋" w:cs="仿宋"/>
          <w:color w:val="auto"/>
          <w:kern w:val="0"/>
          <w:sz w:val="24"/>
          <w:szCs w:val="24"/>
          <w:lang w:val="zh-CN" w:bidi="zh-CN"/>
        </w:rPr>
      </w:pPr>
      <w:r>
        <w:rPr>
          <w:rFonts w:hint="eastAsia" w:ascii="仿宋" w:hAnsi="仿宋" w:eastAsia="仿宋" w:cs="仿宋"/>
          <w:b/>
          <w:color w:val="auto"/>
          <w:kern w:val="0"/>
          <w:sz w:val="24"/>
          <w:szCs w:val="24"/>
          <w:lang w:val="zh-CN" w:bidi="zh-CN"/>
        </w:rPr>
        <w:t>10.3</w:t>
      </w:r>
      <w:r>
        <w:rPr>
          <w:rFonts w:hint="eastAsia" w:ascii="仿宋" w:hAnsi="仿宋" w:eastAsia="仿宋" w:cs="仿宋"/>
          <w:b/>
          <w:color w:val="auto"/>
          <w:kern w:val="0"/>
          <w:sz w:val="24"/>
          <w:szCs w:val="24"/>
          <w:lang w:val="zh-CN"/>
        </w:rPr>
        <w:t>应用软件说明要求</w:t>
      </w:r>
      <w:bookmarkEnd w:id="221"/>
      <w:bookmarkEnd w:id="222"/>
    </w:p>
    <w:p>
      <w:pPr>
        <w:pStyle w:val="20"/>
        <w:tabs>
          <w:tab w:val="left" w:pos="1301"/>
        </w:tabs>
        <w:autoSpaceDE w:val="0"/>
        <w:autoSpaceDN w:val="0"/>
        <w:spacing w:line="360" w:lineRule="auto"/>
        <w:ind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投标方产品应支持当前主流X86服务器和主流操作系统（Linux），支持虚拟化，支持主流云服务等。</w:t>
      </w:r>
    </w:p>
    <w:p>
      <w:pPr>
        <w:pStyle w:val="20"/>
        <w:tabs>
          <w:tab w:val="left" w:pos="1301"/>
        </w:tabs>
        <w:autoSpaceDE w:val="0"/>
        <w:autoSpaceDN w:val="0"/>
        <w:spacing w:line="360" w:lineRule="auto"/>
        <w:ind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投标方产品应支持当前主流数据库、中间件及云数据库。</w:t>
      </w:r>
      <w:bookmarkStart w:id="223" w:name="_Toc27899519"/>
      <w:bookmarkStart w:id="224" w:name="_Toc40898624"/>
    </w:p>
    <w:p>
      <w:pPr>
        <w:pStyle w:val="20"/>
        <w:tabs>
          <w:tab w:val="left" w:pos="1301"/>
        </w:tabs>
        <w:autoSpaceDE w:val="0"/>
        <w:autoSpaceDN w:val="0"/>
        <w:spacing w:line="360" w:lineRule="auto"/>
        <w:ind w:firstLineChars="0"/>
        <w:rPr>
          <w:rFonts w:ascii="仿宋" w:hAnsi="仿宋" w:eastAsia="仿宋" w:cs="仿宋"/>
          <w:color w:val="auto"/>
          <w:kern w:val="0"/>
          <w:sz w:val="24"/>
          <w:szCs w:val="24"/>
          <w:lang w:val="zh-CN" w:bidi="zh-CN"/>
        </w:rPr>
      </w:pPr>
      <w:r>
        <w:rPr>
          <w:rFonts w:hint="eastAsia" w:ascii="仿宋" w:hAnsi="仿宋" w:eastAsia="仿宋" w:cs="仿宋"/>
          <w:b/>
          <w:color w:val="auto"/>
          <w:kern w:val="0"/>
          <w:sz w:val="24"/>
          <w:szCs w:val="24"/>
          <w:lang w:val="zh-CN"/>
        </w:rPr>
        <w:t>10.4中标单位第三方软件技术要求</w:t>
      </w:r>
      <w:bookmarkEnd w:id="223"/>
      <w:bookmarkEnd w:id="224"/>
    </w:p>
    <w:p>
      <w:pPr>
        <w:pStyle w:val="18"/>
        <w:rPr>
          <w:rFonts w:ascii="仿宋" w:hAnsi="仿宋" w:eastAsia="仿宋" w:cs="仿宋"/>
          <w:color w:val="auto"/>
          <w:sz w:val="24"/>
          <w:lang w:bidi="zh-CN"/>
        </w:rPr>
      </w:pPr>
      <w:r>
        <w:rPr>
          <w:rFonts w:hint="eastAsia" w:ascii="仿宋" w:hAnsi="仿宋" w:eastAsia="仿宋" w:cs="仿宋"/>
          <w:color w:val="auto"/>
          <w:sz w:val="24"/>
          <w:lang w:bidi="zh-CN"/>
        </w:rPr>
        <w:t>中标单位原则上须使用招标方所提供的第三方软件，如遇特殊情况，需使用其他第三方软件，在征得招标方同意后，由中标单位自行解决。</w:t>
      </w:r>
      <w:bookmarkStart w:id="225" w:name="_Toc40898625"/>
    </w:p>
    <w:p>
      <w:pPr>
        <w:pStyle w:val="18"/>
        <w:ind w:firstLine="0" w:firstLineChars="0"/>
        <w:rPr>
          <w:rFonts w:ascii="仿宋" w:hAnsi="仿宋" w:eastAsia="仿宋" w:cs="仿宋"/>
          <w:color w:val="auto"/>
          <w:sz w:val="24"/>
          <w:lang w:bidi="zh-CN"/>
        </w:rPr>
      </w:pPr>
      <w:r>
        <w:rPr>
          <w:rFonts w:hint="eastAsia" w:ascii="仿宋" w:hAnsi="仿宋" w:eastAsia="仿宋" w:cs="仿宋"/>
          <w:b/>
          <w:color w:val="auto"/>
          <w:sz w:val="24"/>
        </w:rPr>
        <w:t>11.服务要求</w:t>
      </w:r>
      <w:bookmarkEnd w:id="225"/>
      <w:bookmarkStart w:id="226" w:name="_Toc40898626"/>
      <w:bookmarkStart w:id="227" w:name="_Toc27899520"/>
    </w:p>
    <w:p>
      <w:pPr>
        <w:pStyle w:val="18"/>
        <w:ind w:firstLine="482"/>
        <w:rPr>
          <w:rFonts w:ascii="仿宋" w:hAnsi="仿宋" w:eastAsia="仿宋" w:cs="仿宋"/>
          <w:color w:val="auto"/>
          <w:sz w:val="24"/>
          <w:lang w:bidi="zh-CN"/>
        </w:rPr>
      </w:pPr>
      <w:r>
        <w:rPr>
          <w:rFonts w:hint="eastAsia" w:ascii="仿宋" w:hAnsi="仿宋" w:eastAsia="仿宋" w:cs="仿宋"/>
          <w:b/>
          <w:color w:val="auto"/>
          <w:sz w:val="24"/>
        </w:rPr>
        <w:t>11.1集成要求</w:t>
      </w:r>
      <w:bookmarkEnd w:id="226"/>
      <w:bookmarkEnd w:id="227"/>
    </w:p>
    <w:p>
      <w:pPr>
        <w:pStyle w:val="18"/>
        <w:rPr>
          <w:rFonts w:ascii="仿宋" w:hAnsi="仿宋" w:eastAsia="仿宋" w:cs="仿宋"/>
          <w:color w:val="auto"/>
          <w:sz w:val="24"/>
          <w:lang w:bidi="zh-CN"/>
        </w:rPr>
      </w:pPr>
      <w:r>
        <w:rPr>
          <w:rFonts w:hint="eastAsia" w:ascii="仿宋" w:hAnsi="仿宋" w:eastAsia="仿宋" w:cs="仿宋"/>
          <w:color w:val="auto"/>
          <w:sz w:val="24"/>
        </w:rPr>
        <w:t>中标单位</w:t>
      </w:r>
      <w:r>
        <w:rPr>
          <w:rFonts w:hint="eastAsia" w:ascii="仿宋" w:hAnsi="仿宋" w:eastAsia="仿宋" w:cs="仿宋"/>
          <w:color w:val="auto"/>
          <w:sz w:val="24"/>
          <w:lang w:bidi="zh-CN"/>
        </w:rPr>
        <w:t>应配合软件集成商进行</w:t>
      </w:r>
      <w:r>
        <w:rPr>
          <w:rFonts w:hint="eastAsia" w:ascii="仿宋" w:hAnsi="仿宋" w:eastAsia="仿宋" w:cs="仿宋"/>
          <w:color w:val="auto"/>
          <w:sz w:val="24"/>
        </w:rPr>
        <w:t>与其他应用系统</w:t>
      </w:r>
      <w:r>
        <w:rPr>
          <w:rFonts w:hint="eastAsia" w:ascii="仿宋" w:hAnsi="仿宋" w:eastAsia="仿宋" w:cs="仿宋"/>
          <w:color w:val="auto"/>
          <w:sz w:val="24"/>
          <w:lang w:bidi="zh-CN"/>
        </w:rPr>
        <w:t>的集成工作，包括相关软件部署，系统软件上线运行以及与其他系统的互联等。</w:t>
      </w:r>
    </w:p>
    <w:p>
      <w:pPr>
        <w:pStyle w:val="18"/>
        <w:ind w:firstLine="482"/>
        <w:rPr>
          <w:rFonts w:ascii="仿宋" w:hAnsi="仿宋" w:eastAsia="仿宋" w:cs="仿宋"/>
          <w:b/>
          <w:color w:val="auto"/>
          <w:sz w:val="24"/>
        </w:rPr>
      </w:pPr>
      <w:bookmarkStart w:id="228" w:name="_Toc40898627"/>
      <w:bookmarkStart w:id="229" w:name="_Toc27899521"/>
      <w:r>
        <w:rPr>
          <w:rFonts w:hint="eastAsia" w:ascii="仿宋" w:hAnsi="仿宋" w:eastAsia="仿宋" w:cs="仿宋"/>
          <w:b/>
          <w:color w:val="auto"/>
          <w:sz w:val="24"/>
        </w:rPr>
        <w:t>11.2中标单位项目管理要求</w:t>
      </w:r>
      <w:bookmarkEnd w:id="228"/>
      <w:bookmarkEnd w:id="229"/>
    </w:p>
    <w:p>
      <w:pPr>
        <w:pStyle w:val="18"/>
        <w:rPr>
          <w:rFonts w:ascii="仿宋" w:hAnsi="仿宋" w:eastAsia="仿宋" w:cs="仿宋"/>
          <w:color w:val="auto"/>
          <w:sz w:val="24"/>
        </w:rPr>
      </w:pPr>
      <w:r>
        <w:rPr>
          <w:rFonts w:hint="eastAsia" w:ascii="仿宋" w:hAnsi="仿宋" w:eastAsia="仿宋" w:cs="仿宋"/>
          <w:color w:val="auto"/>
          <w:sz w:val="24"/>
        </w:rPr>
        <w:t>中标单位需提供本次工程建设的项目管理方案，本包投入技术人员不少于30人，包括项目人员名单及角色分工、项目实施计划、项目变更管理方案以及项目风险管理方案等。</w:t>
      </w:r>
      <w:r>
        <w:rPr>
          <w:rFonts w:hint="eastAsia" w:ascii="仿宋" w:hAnsi="仿宋" w:eastAsia="仿宋" w:cs="仿宋"/>
          <w:color w:val="auto"/>
          <w:sz w:val="24"/>
          <w:lang w:bidi="zh-CN"/>
        </w:rPr>
        <w:t>中标单位</w:t>
      </w:r>
      <w:r>
        <w:rPr>
          <w:rFonts w:hint="eastAsia" w:ascii="仿宋" w:hAnsi="仿宋" w:eastAsia="仿宋" w:cs="仿宋"/>
          <w:color w:val="auto"/>
          <w:sz w:val="24"/>
        </w:rPr>
        <w:t>应承诺提供现场实施服务。</w:t>
      </w:r>
    </w:p>
    <w:p>
      <w:pPr>
        <w:pStyle w:val="18"/>
        <w:rPr>
          <w:rFonts w:ascii="仿宋" w:hAnsi="仿宋" w:eastAsia="仿宋" w:cs="仿宋"/>
          <w:color w:val="auto"/>
          <w:sz w:val="24"/>
        </w:rPr>
      </w:pPr>
      <w:r>
        <w:rPr>
          <w:rFonts w:hint="eastAsia" w:ascii="仿宋" w:hAnsi="仿宋" w:eastAsia="仿宋" w:cs="仿宋"/>
          <w:color w:val="auto"/>
          <w:sz w:val="24"/>
        </w:rPr>
        <w:t>基本要求如下：</w:t>
      </w:r>
    </w:p>
    <w:p>
      <w:pPr>
        <w:pStyle w:val="20"/>
        <w:autoSpaceDE w:val="0"/>
        <w:autoSpaceDN w:val="0"/>
        <w:spacing w:line="360" w:lineRule="auto"/>
        <w:ind w:left="480" w:firstLine="0"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kern w:val="0"/>
          <w:sz w:val="24"/>
          <w:szCs w:val="24"/>
          <w:lang w:val="zh-CN" w:bidi="zh-CN"/>
        </w:rPr>
        <w:t>(1)项目</w:t>
      </w:r>
      <w:r>
        <w:rPr>
          <w:rFonts w:hint="eastAsia" w:ascii="仿宋" w:hAnsi="仿宋" w:eastAsia="仿宋" w:cs="仿宋"/>
          <w:color w:val="auto"/>
          <w:spacing w:val="-4"/>
          <w:kern w:val="0"/>
          <w:sz w:val="24"/>
          <w:szCs w:val="24"/>
          <w:lang w:val="zh-CN" w:bidi="zh-CN"/>
        </w:rPr>
        <w:t>经理</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具有5年以上的信息化规划和建设管理经验，具有信息化总体规划能力，具备省级及以上医疗、医保或医药相关行业规划建设经验，对医疗、医保或医药领域信息化有深入理解，有良好的沟通能力、耐性和综合素质。</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中标单位参与的项目经理负责对业务经办子系统、应用支撑子系统和数据治理的项目管理工作。</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（2）</w:t>
      </w:r>
      <w:r>
        <w:rPr>
          <w:rFonts w:hint="eastAsia" w:ascii="仿宋" w:hAnsi="仿宋" w:eastAsia="仿宋" w:cs="仿宋"/>
          <w:color w:val="auto"/>
          <w:spacing w:val="-4"/>
          <w:kern w:val="0"/>
          <w:sz w:val="24"/>
          <w:szCs w:val="24"/>
          <w:lang w:val="zh-CN" w:bidi="zh-CN"/>
        </w:rPr>
        <w:t>需求分析阶段</w:t>
      </w:r>
    </w:p>
    <w:p>
      <w:pPr>
        <w:pStyle w:val="20"/>
        <w:tabs>
          <w:tab w:val="left" w:pos="1301"/>
        </w:tabs>
        <w:autoSpaceDE w:val="0"/>
        <w:autoSpaceDN w:val="0"/>
        <w:spacing w:line="360" w:lineRule="auto"/>
        <w:ind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中标单位需与海南省医疗保障局等相关部门相关人员充分沟通，掌握本项目的需求。</w:t>
      </w:r>
    </w:p>
    <w:p>
      <w:pPr>
        <w:pStyle w:val="20"/>
        <w:spacing w:line="360" w:lineRule="auto"/>
        <w:ind w:firstLine="480"/>
        <w:rPr>
          <w:rFonts w:ascii="仿宋" w:hAnsi="仿宋" w:eastAsia="仿宋" w:cs="仿宋"/>
          <w:color w:val="auto"/>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color w:val="auto"/>
          <w:sz w:val="24"/>
          <w:szCs w:val="24"/>
        </w:rPr>
        <w:t>参与人员数量，针对</w:t>
      </w:r>
      <w:r>
        <w:rPr>
          <w:rFonts w:hint="eastAsia" w:ascii="仿宋" w:hAnsi="仿宋" w:eastAsia="仿宋" w:cs="仿宋"/>
          <w:color w:val="auto"/>
          <w:kern w:val="0"/>
          <w:sz w:val="24"/>
          <w:szCs w:val="24"/>
          <w:lang w:val="zh-CN" w:bidi="zh-CN"/>
        </w:rPr>
        <w:t>业务经办子系统、应用支撑子系统工作，</w:t>
      </w:r>
      <w:r>
        <w:rPr>
          <w:rFonts w:hint="eastAsia" w:ascii="仿宋" w:hAnsi="仿宋" w:eastAsia="仿宋" w:cs="仿宋"/>
          <w:color w:val="auto"/>
          <w:sz w:val="24"/>
          <w:szCs w:val="24"/>
        </w:rPr>
        <w:t>总数不少于10人。</w:t>
      </w:r>
    </w:p>
    <w:p>
      <w:pPr>
        <w:pStyle w:val="20"/>
        <w:spacing w:line="360" w:lineRule="auto"/>
        <w:ind w:firstLine="480"/>
        <w:rPr>
          <w:rFonts w:ascii="仿宋" w:hAnsi="仿宋" w:eastAsia="仿宋" w:cs="仿宋"/>
          <w:color w:val="auto"/>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color w:val="auto"/>
          <w:sz w:val="24"/>
          <w:szCs w:val="24"/>
        </w:rPr>
        <w:t>至少需提交的文档：业务需求调研报告、应用系统需求分析规格说明书。</w:t>
      </w:r>
    </w:p>
    <w:p>
      <w:pPr>
        <w:pStyle w:val="20"/>
        <w:autoSpaceDE w:val="0"/>
        <w:autoSpaceDN w:val="0"/>
        <w:spacing w:line="360" w:lineRule="auto"/>
        <w:ind w:left="480" w:firstLine="0"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（3）系统设计研发阶段</w:t>
      </w:r>
    </w:p>
    <w:p>
      <w:pPr>
        <w:pStyle w:val="20"/>
        <w:spacing w:line="360" w:lineRule="auto"/>
        <w:ind w:firstLine="480"/>
        <w:rPr>
          <w:rFonts w:ascii="仿宋" w:hAnsi="仿宋" w:eastAsia="仿宋" w:cs="仿宋"/>
          <w:color w:val="auto"/>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color w:val="auto"/>
          <w:sz w:val="24"/>
          <w:szCs w:val="24"/>
        </w:rPr>
        <w:t>参与人员数量，针对</w:t>
      </w:r>
      <w:r>
        <w:rPr>
          <w:rFonts w:hint="eastAsia" w:ascii="仿宋" w:hAnsi="仿宋" w:eastAsia="仿宋" w:cs="仿宋"/>
          <w:color w:val="auto"/>
          <w:kern w:val="0"/>
          <w:sz w:val="24"/>
          <w:szCs w:val="24"/>
          <w:lang w:val="zh-CN" w:bidi="zh-CN"/>
        </w:rPr>
        <w:t>业务经办子系统、应用支撑子系统工作，</w:t>
      </w:r>
      <w:r>
        <w:rPr>
          <w:rFonts w:hint="eastAsia" w:ascii="仿宋" w:hAnsi="仿宋" w:eastAsia="仿宋" w:cs="仿宋"/>
          <w:color w:val="auto"/>
          <w:sz w:val="24"/>
          <w:szCs w:val="24"/>
        </w:rPr>
        <w:t>总数不少于30人。</w:t>
      </w:r>
    </w:p>
    <w:p>
      <w:pPr>
        <w:pStyle w:val="20"/>
        <w:spacing w:line="360" w:lineRule="auto"/>
        <w:ind w:firstLine="480"/>
        <w:rPr>
          <w:rFonts w:ascii="仿宋" w:hAnsi="仿宋" w:eastAsia="仿宋" w:cs="仿宋"/>
          <w:color w:val="auto"/>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color w:val="auto"/>
          <w:sz w:val="24"/>
          <w:szCs w:val="24"/>
        </w:rPr>
        <w:t>至少需提交的文档：系统架构设计说明书，系统详细设计说明书，数据库设计说明书，各软件功能模块、流程、数据、接口模块的详细说明及内部测试报告。</w:t>
      </w:r>
    </w:p>
    <w:p>
      <w:pPr>
        <w:pStyle w:val="20"/>
        <w:spacing w:line="360" w:lineRule="auto"/>
        <w:ind w:firstLine="480"/>
        <w:rPr>
          <w:rFonts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pacing w:val="-4"/>
          <w:kern w:val="0"/>
          <w:sz w:val="24"/>
          <w:szCs w:val="24"/>
          <w:lang w:val="zh-CN" w:bidi="zh-CN"/>
        </w:rPr>
        <w:t>系统测试阶段</w:t>
      </w:r>
    </w:p>
    <w:p>
      <w:pPr>
        <w:pStyle w:val="20"/>
        <w:spacing w:line="360" w:lineRule="auto"/>
        <w:ind w:firstLine="480"/>
        <w:rPr>
          <w:rFonts w:ascii="仿宋" w:hAnsi="仿宋" w:eastAsia="仿宋" w:cs="仿宋"/>
          <w:color w:val="auto"/>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color w:val="auto"/>
          <w:sz w:val="24"/>
          <w:szCs w:val="24"/>
        </w:rPr>
        <w:t>参与人员数量，针对</w:t>
      </w:r>
      <w:r>
        <w:rPr>
          <w:rFonts w:hint="eastAsia" w:ascii="仿宋" w:hAnsi="仿宋" w:eastAsia="仿宋" w:cs="仿宋"/>
          <w:color w:val="auto"/>
          <w:kern w:val="0"/>
          <w:sz w:val="24"/>
          <w:szCs w:val="24"/>
          <w:lang w:val="zh-CN" w:bidi="zh-CN"/>
        </w:rPr>
        <w:t>业务经办子系统、应用支撑子系统工作，</w:t>
      </w:r>
      <w:r>
        <w:rPr>
          <w:rFonts w:hint="eastAsia" w:ascii="仿宋" w:hAnsi="仿宋" w:eastAsia="仿宋" w:cs="仿宋"/>
          <w:color w:val="auto"/>
          <w:sz w:val="24"/>
          <w:szCs w:val="24"/>
        </w:rPr>
        <w:t>总数不少于10人。</w:t>
      </w:r>
    </w:p>
    <w:p>
      <w:pPr>
        <w:pStyle w:val="20"/>
        <w:spacing w:line="360" w:lineRule="auto"/>
        <w:ind w:firstLine="480"/>
        <w:rPr>
          <w:rFonts w:ascii="仿宋" w:hAnsi="仿宋" w:eastAsia="仿宋" w:cs="仿宋"/>
          <w:color w:val="auto"/>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color w:val="auto"/>
          <w:sz w:val="24"/>
          <w:szCs w:val="24"/>
        </w:rPr>
        <w:t>至少需提交的文档：测试方案、测试过程文档、系统整体测试报告。</w:t>
      </w:r>
    </w:p>
    <w:p>
      <w:pPr>
        <w:pStyle w:val="20"/>
        <w:autoSpaceDE w:val="0"/>
        <w:autoSpaceDN w:val="0"/>
        <w:spacing w:line="360" w:lineRule="auto"/>
        <w:ind w:left="480" w:firstLine="0"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（5）系统实施阶段</w:t>
      </w:r>
    </w:p>
    <w:p>
      <w:pPr>
        <w:pStyle w:val="20"/>
        <w:spacing w:line="360" w:lineRule="auto"/>
        <w:ind w:firstLine="480"/>
        <w:rPr>
          <w:rFonts w:ascii="仿宋" w:hAnsi="仿宋" w:eastAsia="仿宋" w:cs="仿宋"/>
          <w:color w:val="auto"/>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color w:val="auto"/>
          <w:sz w:val="24"/>
          <w:szCs w:val="24"/>
        </w:rPr>
        <w:t>驻场参与人员数量，针对</w:t>
      </w:r>
      <w:r>
        <w:rPr>
          <w:rFonts w:hint="eastAsia" w:ascii="仿宋" w:hAnsi="仿宋" w:eastAsia="仿宋" w:cs="仿宋"/>
          <w:color w:val="auto"/>
          <w:kern w:val="0"/>
          <w:sz w:val="24"/>
          <w:szCs w:val="24"/>
          <w:lang w:val="zh-CN" w:bidi="zh-CN"/>
        </w:rPr>
        <w:t>业务经办子系统、应用支撑子系统工作，</w:t>
      </w:r>
      <w:r>
        <w:rPr>
          <w:rFonts w:hint="eastAsia" w:ascii="仿宋" w:hAnsi="仿宋" w:eastAsia="仿宋" w:cs="仿宋"/>
          <w:color w:val="auto"/>
          <w:sz w:val="24"/>
          <w:szCs w:val="24"/>
        </w:rPr>
        <w:t>总数不少于20人。</w:t>
      </w:r>
    </w:p>
    <w:p>
      <w:pPr>
        <w:pStyle w:val="20"/>
        <w:spacing w:line="360" w:lineRule="auto"/>
        <w:ind w:firstLine="480"/>
        <w:rPr>
          <w:rFonts w:ascii="仿宋" w:hAnsi="仿宋" w:eastAsia="仿宋" w:cs="仿宋"/>
          <w:color w:val="auto"/>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color w:val="auto"/>
          <w:sz w:val="24"/>
          <w:szCs w:val="24"/>
        </w:rPr>
        <w:t>至少需提交的文档：系统实施计划、过程文档、试运行报告。</w:t>
      </w:r>
    </w:p>
    <w:p>
      <w:pPr>
        <w:pStyle w:val="20"/>
        <w:autoSpaceDE w:val="0"/>
        <w:autoSpaceDN w:val="0"/>
        <w:spacing w:line="360" w:lineRule="auto"/>
        <w:ind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（6）数据治理</w:t>
      </w:r>
    </w:p>
    <w:p>
      <w:pPr>
        <w:pStyle w:val="20"/>
        <w:spacing w:line="360" w:lineRule="auto"/>
        <w:ind w:firstLine="480"/>
        <w:rPr>
          <w:rFonts w:ascii="仿宋" w:hAnsi="仿宋" w:eastAsia="仿宋" w:cs="仿宋"/>
          <w:bCs/>
          <w:color w:val="auto"/>
          <w:kern w:val="0"/>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bCs/>
          <w:color w:val="auto"/>
          <w:kern w:val="0"/>
          <w:sz w:val="24"/>
          <w:szCs w:val="24"/>
        </w:rPr>
        <w:t>参与人员数量，总数不少于15人。</w:t>
      </w:r>
    </w:p>
    <w:p>
      <w:pPr>
        <w:pStyle w:val="20"/>
        <w:spacing w:line="360" w:lineRule="auto"/>
        <w:ind w:firstLine="480"/>
        <w:rPr>
          <w:rFonts w:ascii="仿宋" w:hAnsi="仿宋" w:eastAsia="仿宋" w:cs="仿宋"/>
          <w:bCs/>
          <w:color w:val="auto"/>
          <w:kern w:val="0"/>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bCs/>
          <w:color w:val="auto"/>
          <w:kern w:val="0"/>
          <w:sz w:val="24"/>
          <w:szCs w:val="24"/>
        </w:rPr>
        <w:t>至少需提交的文档：数据清洗、转换、迁移总体方案、历史数据情况调研报告、软硬件环境需求、数据迁移脚本、数据迁移应急方案、数据质量验证报告等。</w:t>
      </w:r>
    </w:p>
    <w:p>
      <w:pPr>
        <w:pStyle w:val="20"/>
        <w:autoSpaceDE w:val="0"/>
        <w:autoSpaceDN w:val="0"/>
        <w:spacing w:line="360" w:lineRule="auto"/>
        <w:ind w:left="464" w:firstLine="0"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（7）驻场服务</w:t>
      </w:r>
    </w:p>
    <w:p>
      <w:pPr>
        <w:pStyle w:val="20"/>
        <w:spacing w:line="360" w:lineRule="auto"/>
        <w:ind w:firstLine="480"/>
        <w:rPr>
          <w:rFonts w:ascii="仿宋" w:hAnsi="仿宋" w:eastAsia="仿宋" w:cs="仿宋"/>
          <w:bCs/>
          <w:color w:val="auto"/>
          <w:kern w:val="0"/>
          <w:sz w:val="24"/>
          <w:szCs w:val="24"/>
        </w:rPr>
      </w:pPr>
      <w:r>
        <w:rPr>
          <w:rFonts w:hint="eastAsia" w:ascii="仿宋" w:hAnsi="仿宋" w:eastAsia="仿宋" w:cs="仿宋"/>
          <w:bCs/>
          <w:color w:val="auto"/>
          <w:kern w:val="0"/>
          <w:sz w:val="24"/>
          <w:szCs w:val="24"/>
        </w:rPr>
        <w:t>本项目运维期内需提供至少20名本项目专职长期驻场工程师，驻场工程师工作量不额外计费，驻场工程师具备本系统进行修改、调整能力，并按客户要求调整本系统（包括驻场工程师工作量内的新需求）。</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人员要求：驻场负责人</w:t>
      </w:r>
      <w:r>
        <w:rPr>
          <w:rFonts w:hint="eastAsia" w:ascii="仿宋" w:hAnsi="仿宋" w:eastAsia="仿宋" w:cs="仿宋"/>
          <w:color w:val="auto"/>
          <w:kern w:val="0"/>
          <w:sz w:val="24"/>
          <w:szCs w:val="24"/>
        </w:rPr>
        <w:t>具有</w:t>
      </w:r>
      <w:r>
        <w:rPr>
          <w:rFonts w:ascii="仿宋" w:hAnsi="仿宋" w:eastAsia="仿宋" w:cs="仿宋"/>
          <w:bCs w:val="0"/>
          <w:color w:val="auto"/>
          <w:kern w:val="0"/>
          <w:sz w:val="24"/>
          <w:szCs w:val="24"/>
        </w:rPr>
        <w:t>一定医保信息平台开发建设实践经验</w:t>
      </w:r>
      <w:r>
        <w:rPr>
          <w:rFonts w:hint="eastAsia" w:ascii="仿宋" w:hAnsi="仿宋" w:eastAsia="仿宋" w:cs="仿宋"/>
          <w:bCs w:val="0"/>
          <w:color w:val="auto"/>
          <w:kern w:val="0"/>
          <w:sz w:val="24"/>
        </w:rPr>
        <w:t>且具备</w:t>
      </w:r>
      <w:r>
        <w:rPr>
          <w:rFonts w:hint="eastAsia" w:ascii="仿宋" w:hAnsi="仿宋" w:eastAsia="仿宋" w:cs="仿宋"/>
          <w:color w:val="auto"/>
          <w:kern w:val="0"/>
          <w:sz w:val="24"/>
          <w:szCs w:val="24"/>
        </w:rPr>
        <w:t>5</w:t>
      </w:r>
      <w:r>
        <w:rPr>
          <w:rFonts w:hint="eastAsia" w:ascii="仿宋" w:hAnsi="仿宋" w:eastAsia="仿宋" w:cs="仿宋"/>
          <w:color w:val="auto"/>
          <w:sz w:val="24"/>
          <w:szCs w:val="24"/>
        </w:rPr>
        <w:t>以上的政府相关领域信息化研发经验，具备省级及以上政府相关行业建设经验，对政府相关领域信息化有深入理解，有良好的沟通能力、 耐性和综合素质。</w:t>
      </w:r>
    </w:p>
    <w:p>
      <w:pPr>
        <w:pStyle w:val="20"/>
        <w:autoSpaceDE w:val="0"/>
        <w:autoSpaceDN w:val="0"/>
        <w:spacing w:line="360" w:lineRule="auto"/>
        <w:ind w:left="464" w:firstLine="0"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（8）系统优化服务</w:t>
      </w:r>
    </w:p>
    <w:p>
      <w:pPr>
        <w:pStyle w:val="20"/>
        <w:spacing w:line="360" w:lineRule="auto"/>
        <w:ind w:firstLine="480"/>
        <w:rPr>
          <w:rFonts w:ascii="仿宋" w:hAnsi="仿宋" w:eastAsia="仿宋" w:cs="仿宋"/>
          <w:bCs/>
          <w:color w:val="auto"/>
          <w:kern w:val="0"/>
          <w:sz w:val="24"/>
          <w:szCs w:val="24"/>
        </w:rPr>
      </w:pPr>
      <w:r>
        <w:rPr>
          <w:rFonts w:hint="eastAsia" w:ascii="仿宋" w:hAnsi="仿宋" w:eastAsia="仿宋" w:cs="仿宋"/>
          <w:bCs/>
          <w:color w:val="auto"/>
          <w:kern w:val="0"/>
          <w:sz w:val="24"/>
          <w:szCs w:val="24"/>
        </w:rPr>
        <w:t>本项目运维期内至少每半年进行一次系统性数据梳理和整体优化，确保数据管理效率。</w:t>
      </w:r>
    </w:p>
    <w:p>
      <w:pPr>
        <w:pStyle w:val="20"/>
        <w:autoSpaceDE w:val="0"/>
        <w:autoSpaceDN w:val="0"/>
        <w:spacing w:line="360" w:lineRule="auto"/>
        <w:ind w:left="464" w:firstLine="0"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（9）保密内容</w:t>
      </w:r>
    </w:p>
    <w:p>
      <w:pPr>
        <w:pStyle w:val="20"/>
        <w:spacing w:line="360" w:lineRule="auto"/>
        <w:ind w:firstLine="480"/>
        <w:rPr>
          <w:rFonts w:ascii="仿宋" w:hAnsi="仿宋" w:eastAsia="仿宋" w:cs="仿宋"/>
          <w:bCs/>
          <w:color w:val="auto"/>
          <w:kern w:val="0"/>
          <w:sz w:val="24"/>
          <w:szCs w:val="24"/>
        </w:rPr>
      </w:pPr>
      <w:r>
        <w:rPr>
          <w:rFonts w:hint="eastAsia" w:ascii="仿宋" w:hAnsi="仿宋" w:eastAsia="仿宋" w:cs="仿宋"/>
          <w:bCs/>
          <w:color w:val="auto"/>
          <w:kern w:val="0"/>
          <w:sz w:val="24"/>
          <w:szCs w:val="24"/>
        </w:rPr>
        <w:t>投标方需在投标文件中明确，本项目中数据（包含原始数据和衍生数据）全部为招标方所有，全部列入保密范围，投标方不得未经用户许可的情况下导出、分析以及移作他用。投标方中标后需签订《保密承诺协议书》。</w:t>
      </w:r>
    </w:p>
    <w:p>
      <w:pPr>
        <w:pStyle w:val="20"/>
        <w:autoSpaceDE w:val="0"/>
        <w:autoSpaceDN w:val="0"/>
        <w:spacing w:line="360" w:lineRule="auto"/>
        <w:ind w:left="464" w:firstLine="0"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（10）源代码和产权要求</w:t>
      </w:r>
    </w:p>
    <w:p>
      <w:pPr>
        <w:pStyle w:val="20"/>
        <w:spacing w:line="360" w:lineRule="auto"/>
        <w:ind w:firstLine="480"/>
        <w:rPr>
          <w:rFonts w:ascii="仿宋" w:hAnsi="仿宋" w:eastAsia="仿宋" w:cs="仿宋"/>
          <w:bCs/>
          <w:color w:val="auto"/>
          <w:kern w:val="0"/>
          <w:sz w:val="24"/>
          <w:szCs w:val="24"/>
        </w:rPr>
      </w:pPr>
      <w:r>
        <w:rPr>
          <w:rFonts w:hint="eastAsia" w:ascii="仿宋" w:hAnsi="仿宋" w:eastAsia="仿宋" w:cs="仿宋"/>
          <w:bCs/>
          <w:color w:val="auto"/>
          <w:kern w:val="0"/>
          <w:sz w:val="24"/>
          <w:szCs w:val="24"/>
        </w:rPr>
        <w:t>投标方需在投标文件中明确，本项目中的全部源代码（不包含既有知识产权类和工具）和知识产权全部为招标方所有，中标单位需在合作期间及合作终止后 5 年内，在招标方提出要求的 3 天内无条件提供本项目源代码。</w:t>
      </w:r>
      <w:bookmarkStart w:id="230" w:name="_Toc40898628"/>
      <w:bookmarkStart w:id="231" w:name="_Toc27899522"/>
    </w:p>
    <w:p>
      <w:pPr>
        <w:pStyle w:val="18"/>
        <w:ind w:firstLine="0" w:firstLineChars="0"/>
        <w:rPr>
          <w:rFonts w:ascii="仿宋" w:hAnsi="仿宋" w:eastAsia="仿宋" w:cs="仿宋"/>
          <w:b/>
          <w:color w:val="auto"/>
          <w:sz w:val="24"/>
        </w:rPr>
      </w:pPr>
      <w:r>
        <w:rPr>
          <w:rFonts w:hint="eastAsia" w:ascii="仿宋" w:hAnsi="仿宋" w:eastAsia="仿宋" w:cs="仿宋"/>
          <w:b/>
          <w:color w:val="auto"/>
          <w:sz w:val="24"/>
        </w:rPr>
        <w:t>12.培训要求</w:t>
      </w:r>
      <w:bookmarkEnd w:id="230"/>
      <w:bookmarkEnd w:id="231"/>
    </w:p>
    <w:p>
      <w:pPr>
        <w:pStyle w:val="20"/>
        <w:spacing w:line="360" w:lineRule="auto"/>
        <w:ind w:firstLine="464"/>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（1）对系统建设人员的培训</w:t>
      </w:r>
    </w:p>
    <w:p>
      <w:pPr>
        <w:pStyle w:val="20"/>
        <w:spacing w:line="360" w:lineRule="auto"/>
        <w:ind w:firstLine="480"/>
        <w:rPr>
          <w:rFonts w:ascii="仿宋" w:hAnsi="仿宋" w:eastAsia="仿宋" w:cs="仿宋"/>
          <w:bCs/>
          <w:color w:val="auto"/>
          <w:kern w:val="0"/>
          <w:sz w:val="24"/>
          <w:szCs w:val="24"/>
        </w:rPr>
      </w:pPr>
      <w:r>
        <w:rPr>
          <w:rFonts w:hint="eastAsia" w:ascii="仿宋" w:hAnsi="仿宋" w:eastAsia="仿宋" w:cs="仿宋"/>
          <w:bCs/>
          <w:color w:val="auto"/>
          <w:kern w:val="0"/>
          <w:sz w:val="24"/>
          <w:szCs w:val="24"/>
        </w:rPr>
        <w:t>系统建设人员不仅要对相关的技术有深入的研究，还要对项目运行涉及的具 体业务有充分的理解。因此，应加强对系统建设人员这两方面的培训，以保证系 统建设符合实际业务需要。</w:t>
      </w:r>
    </w:p>
    <w:p>
      <w:pPr>
        <w:pStyle w:val="20"/>
        <w:autoSpaceDE w:val="0"/>
        <w:autoSpaceDN w:val="0"/>
        <w:spacing w:line="360" w:lineRule="auto"/>
        <w:ind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（2）对应用部门各级系统应用人员的培训</w:t>
      </w:r>
    </w:p>
    <w:p>
      <w:pPr>
        <w:pStyle w:val="19"/>
        <w:ind w:firstLine="480"/>
        <w:rPr>
          <w:rFonts w:ascii="仿宋" w:hAnsi="仿宋" w:eastAsia="仿宋" w:cs="仿宋"/>
          <w:color w:val="auto"/>
          <w:kern w:val="0"/>
          <w:sz w:val="24"/>
          <w:szCs w:val="24"/>
        </w:rPr>
      </w:pPr>
      <w:r>
        <w:rPr>
          <w:rFonts w:hint="eastAsia" w:ascii="仿宋" w:hAnsi="仿宋" w:eastAsia="仿宋" w:cs="仿宋"/>
          <w:color w:val="auto"/>
          <w:kern w:val="0"/>
          <w:sz w:val="24"/>
          <w:szCs w:val="24"/>
        </w:rPr>
        <w:t>使之能够了解信息系统的建设思想、主要功能和操作规程，能够熟练应用这一系统辅助开展工作，并能结合实际工作需要提出各种改进意见。根据人员对系统的使用特点不同，对应用人员的培训分为两个层次：</w:t>
      </w:r>
    </w:p>
    <w:p>
      <w:pPr>
        <w:pStyle w:val="20"/>
        <w:spacing w:line="360" w:lineRule="auto"/>
        <w:ind w:firstLine="480"/>
        <w:rPr>
          <w:rFonts w:ascii="仿宋" w:hAnsi="仿宋" w:eastAsia="仿宋" w:cs="仿宋"/>
          <w:bCs/>
          <w:color w:val="auto"/>
          <w:kern w:val="0"/>
          <w:sz w:val="24"/>
          <w:szCs w:val="24"/>
        </w:rPr>
      </w:pPr>
      <w:r>
        <w:rPr>
          <w:rFonts w:hint="eastAsia" w:ascii="仿宋" w:hAnsi="仿宋" w:eastAsia="仿宋" w:cs="仿宋"/>
          <w:bCs/>
          <w:color w:val="auto"/>
          <w:kern w:val="0"/>
          <w:sz w:val="24"/>
          <w:szCs w:val="24"/>
        </w:rPr>
        <w:t>对领导培训的主要目的是使有关主管领导对系统有一定的了解，同时能够应用系统进行决策、指挥工作；</w:t>
      </w:r>
    </w:p>
    <w:p>
      <w:pPr>
        <w:pStyle w:val="20"/>
        <w:spacing w:line="360" w:lineRule="auto"/>
        <w:ind w:firstLine="480"/>
        <w:rPr>
          <w:rFonts w:ascii="仿宋" w:hAnsi="仿宋" w:eastAsia="仿宋" w:cs="仿宋"/>
          <w:bCs/>
          <w:color w:val="auto"/>
          <w:kern w:val="0"/>
          <w:sz w:val="24"/>
          <w:szCs w:val="24"/>
        </w:rPr>
      </w:pPr>
      <w:r>
        <w:rPr>
          <w:rFonts w:hint="eastAsia" w:ascii="仿宋" w:hAnsi="仿宋" w:eastAsia="仿宋" w:cs="仿宋"/>
          <w:bCs/>
          <w:color w:val="auto"/>
          <w:kern w:val="0"/>
          <w:sz w:val="24"/>
          <w:szCs w:val="24"/>
        </w:rPr>
        <w:t>对其他应用人员的培训，主要使他们在各业务环境下能够很好地利用系统完成相应的专业工作，提高工作效率，提高信息的准确性和全面性。</w:t>
      </w:r>
    </w:p>
    <w:p>
      <w:pPr>
        <w:pStyle w:val="20"/>
        <w:autoSpaceDE w:val="0"/>
        <w:autoSpaceDN w:val="0"/>
        <w:spacing w:line="360" w:lineRule="auto"/>
        <w:ind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（3）系统运行维护人员的培训</w:t>
      </w:r>
    </w:p>
    <w:p>
      <w:pPr>
        <w:pStyle w:val="20"/>
        <w:spacing w:line="360" w:lineRule="auto"/>
        <w:ind w:firstLine="480"/>
        <w:rPr>
          <w:rFonts w:ascii="仿宋" w:hAnsi="仿宋" w:eastAsia="仿宋" w:cs="仿宋"/>
          <w:bCs/>
          <w:color w:val="auto"/>
          <w:kern w:val="0"/>
          <w:sz w:val="24"/>
          <w:szCs w:val="24"/>
        </w:rPr>
      </w:pPr>
      <w:r>
        <w:rPr>
          <w:rFonts w:hint="eastAsia" w:ascii="仿宋" w:hAnsi="仿宋" w:eastAsia="仿宋" w:cs="仿宋"/>
          <w:bCs/>
          <w:color w:val="auto"/>
          <w:kern w:val="0"/>
          <w:sz w:val="24"/>
          <w:szCs w:val="24"/>
        </w:rPr>
        <w:t>运维人员培训主要包括以下几个方面：系统整体知识培训、业务系统培训等。通过培训使项目运维队伍能够充分了解本项目。</w:t>
      </w:r>
    </w:p>
    <w:p>
      <w:pPr>
        <w:pStyle w:val="18"/>
        <w:ind w:firstLine="0" w:firstLineChars="0"/>
        <w:rPr>
          <w:rFonts w:ascii="仿宋" w:hAnsi="仿宋" w:eastAsia="仿宋" w:cs="仿宋"/>
          <w:b/>
          <w:color w:val="auto"/>
          <w:sz w:val="24"/>
        </w:rPr>
      </w:pPr>
      <w:bookmarkStart w:id="232" w:name="_Toc40898629"/>
      <w:bookmarkStart w:id="233" w:name="_Toc27899523"/>
      <w:r>
        <w:rPr>
          <w:rFonts w:hint="eastAsia" w:ascii="仿宋" w:hAnsi="仿宋" w:eastAsia="仿宋" w:cs="仿宋"/>
          <w:b/>
          <w:color w:val="auto"/>
          <w:sz w:val="24"/>
        </w:rPr>
        <w:t>13.维护及技术支持要求</w:t>
      </w:r>
      <w:bookmarkEnd w:id="232"/>
      <w:bookmarkEnd w:id="233"/>
    </w:p>
    <w:p>
      <w:pPr>
        <w:pStyle w:val="20"/>
        <w:spacing w:line="360" w:lineRule="auto"/>
        <w:ind w:firstLine="464"/>
        <w:rPr>
          <w:rFonts w:ascii="仿宋" w:hAnsi="仿宋" w:eastAsia="仿宋" w:cs="仿宋"/>
          <w:color w:val="auto"/>
          <w:sz w:val="24"/>
          <w:szCs w:val="24"/>
        </w:rPr>
      </w:pPr>
      <w:r>
        <w:rPr>
          <w:rFonts w:hint="eastAsia" w:ascii="仿宋" w:hAnsi="仿宋" w:eastAsia="仿宋" w:cs="仿宋"/>
          <w:color w:val="auto"/>
          <w:spacing w:val="-4"/>
          <w:kern w:val="0"/>
          <w:sz w:val="24"/>
          <w:szCs w:val="24"/>
          <w:lang w:val="zh-CN" w:bidi="zh-CN"/>
        </w:rPr>
        <w:t>（1）</w:t>
      </w:r>
      <w:r>
        <w:rPr>
          <w:rFonts w:hint="eastAsia" w:ascii="仿宋" w:hAnsi="仿宋" w:eastAsia="仿宋" w:cs="仿宋"/>
          <w:bCs/>
          <w:color w:val="auto"/>
          <w:kern w:val="0"/>
          <w:sz w:val="24"/>
          <w:szCs w:val="24"/>
        </w:rPr>
        <w:t>针对</w:t>
      </w:r>
      <w:r>
        <w:rPr>
          <w:rFonts w:hint="eastAsia" w:ascii="仿宋" w:hAnsi="仿宋" w:eastAsia="仿宋" w:cs="仿宋"/>
          <w:color w:val="auto"/>
          <w:sz w:val="24"/>
          <w:szCs w:val="24"/>
        </w:rPr>
        <w:t>所有软件，中标单位应提供项目终验合格后2年的免费运维服务。</w:t>
      </w:r>
    </w:p>
    <w:p>
      <w:pPr>
        <w:pStyle w:val="20"/>
        <w:spacing w:line="360" w:lineRule="auto"/>
        <w:ind w:firstLine="464"/>
        <w:rPr>
          <w:rFonts w:ascii="仿宋" w:hAnsi="仿宋" w:eastAsia="仿宋" w:cs="仿宋"/>
          <w:color w:val="auto"/>
          <w:sz w:val="24"/>
          <w:szCs w:val="24"/>
        </w:rPr>
      </w:pPr>
      <w:r>
        <w:rPr>
          <w:rFonts w:hint="eastAsia" w:ascii="仿宋" w:hAnsi="仿宋" w:eastAsia="仿宋" w:cs="仿宋"/>
          <w:color w:val="auto"/>
          <w:spacing w:val="-4"/>
          <w:kern w:val="0"/>
          <w:sz w:val="24"/>
          <w:szCs w:val="24"/>
          <w:lang w:val="zh-CN" w:bidi="zh-CN"/>
        </w:rPr>
        <w:t>（2）</w:t>
      </w:r>
      <w:r>
        <w:rPr>
          <w:rFonts w:hint="eastAsia" w:ascii="仿宋" w:hAnsi="仿宋" w:eastAsia="仿宋" w:cs="仿宋"/>
          <w:color w:val="auto"/>
          <w:sz w:val="24"/>
          <w:szCs w:val="24"/>
        </w:rPr>
        <w:t>在软件维保期内，中标单位应提供灵活、多样的通信手段（包括但不限于场地、设备及人员、专用服务电话），提供7*24 小时的响应服务，保证在任何时候招标方人员都能及时找到中标单位的服务人员。如遇驻场人员无法解决的问题或招标方认为需要，中标单位的技术人员应在12 小时内赶到现场支持。</w:t>
      </w:r>
    </w:p>
    <w:p>
      <w:pPr>
        <w:pStyle w:val="20"/>
        <w:spacing w:line="360" w:lineRule="auto"/>
        <w:ind w:firstLine="464"/>
        <w:rPr>
          <w:rFonts w:ascii="仿宋" w:hAnsi="仿宋" w:eastAsia="仿宋" w:cs="仿宋"/>
          <w:color w:val="auto"/>
          <w:sz w:val="24"/>
          <w:szCs w:val="24"/>
        </w:rPr>
      </w:pPr>
      <w:r>
        <w:rPr>
          <w:rFonts w:hint="eastAsia" w:ascii="仿宋" w:hAnsi="仿宋" w:eastAsia="仿宋" w:cs="仿宋"/>
          <w:color w:val="auto"/>
          <w:spacing w:val="-4"/>
          <w:kern w:val="0"/>
          <w:sz w:val="24"/>
          <w:szCs w:val="24"/>
          <w:lang w:val="zh-CN" w:bidi="zh-CN"/>
        </w:rPr>
        <w:t>（3）</w:t>
      </w:r>
      <w:r>
        <w:rPr>
          <w:rFonts w:hint="eastAsia" w:ascii="仿宋" w:hAnsi="仿宋" w:eastAsia="仿宋" w:cs="仿宋"/>
          <w:color w:val="auto"/>
          <w:sz w:val="24"/>
          <w:szCs w:val="24"/>
        </w:rPr>
        <w:t>所供软件出现问题时，其响应时间不超过15 分钟，一般故障处理时间不大于2 小时；特殊情况下，故障修复时间不大于12小时。</w:t>
      </w:r>
    </w:p>
    <w:p>
      <w:pPr>
        <w:pStyle w:val="20"/>
        <w:spacing w:line="360" w:lineRule="auto"/>
        <w:ind w:firstLine="464"/>
        <w:rPr>
          <w:rFonts w:ascii="仿宋" w:hAnsi="仿宋" w:eastAsia="仿宋" w:cs="仿宋"/>
          <w:color w:val="auto"/>
          <w:sz w:val="24"/>
          <w:szCs w:val="24"/>
        </w:rPr>
      </w:pPr>
      <w:r>
        <w:rPr>
          <w:rFonts w:hint="eastAsia" w:ascii="仿宋" w:hAnsi="仿宋" w:eastAsia="仿宋" w:cs="仿宋"/>
          <w:color w:val="auto"/>
          <w:spacing w:val="-4"/>
          <w:kern w:val="0"/>
          <w:sz w:val="24"/>
          <w:szCs w:val="24"/>
          <w:lang w:val="zh-CN" w:bidi="zh-CN"/>
        </w:rPr>
        <w:t>（4）</w:t>
      </w:r>
      <w:r>
        <w:rPr>
          <w:rFonts w:hint="eastAsia" w:ascii="仿宋" w:hAnsi="仿宋" w:eastAsia="仿宋" w:cs="仿宋"/>
          <w:color w:val="auto"/>
          <w:sz w:val="24"/>
          <w:szCs w:val="24"/>
        </w:rPr>
        <w:t>中标单位应提供排除故障响应的具体流程。</w:t>
      </w:r>
    </w:p>
    <w:p>
      <w:pPr>
        <w:pStyle w:val="20"/>
        <w:spacing w:line="360" w:lineRule="auto"/>
        <w:ind w:firstLine="464"/>
        <w:rPr>
          <w:rFonts w:ascii="仿宋" w:hAnsi="仿宋" w:eastAsia="仿宋" w:cs="仿宋"/>
          <w:color w:val="auto"/>
          <w:sz w:val="24"/>
          <w:szCs w:val="24"/>
        </w:rPr>
      </w:pPr>
      <w:r>
        <w:rPr>
          <w:rFonts w:hint="eastAsia" w:ascii="仿宋" w:hAnsi="仿宋" w:eastAsia="仿宋" w:cs="仿宋"/>
          <w:color w:val="auto"/>
          <w:spacing w:val="-4"/>
          <w:kern w:val="0"/>
          <w:sz w:val="24"/>
          <w:szCs w:val="24"/>
          <w:lang w:val="zh-CN" w:bidi="zh-CN"/>
        </w:rPr>
        <w:t>（5）</w:t>
      </w:r>
      <w:r>
        <w:rPr>
          <w:rFonts w:hint="eastAsia" w:ascii="仿宋" w:hAnsi="仿宋" w:eastAsia="仿宋" w:cs="仿宋"/>
          <w:color w:val="auto"/>
          <w:sz w:val="24"/>
          <w:szCs w:val="24"/>
        </w:rPr>
        <w:t>中标单位应在项目方案中说明技术指导和技术支持的范围和程度，中标单位应提供技术服务流程，技术服务内容和价格清单，若维保期内与期外不同，则应分别列出。</w:t>
      </w:r>
    </w:p>
    <w:p>
      <w:pPr>
        <w:spacing w:line="360" w:lineRule="auto"/>
        <w:rPr>
          <w:rFonts w:ascii="仿宋" w:hAnsi="仿宋" w:eastAsia="仿宋" w:cs="仿宋"/>
          <w:b/>
          <w:color w:val="auto"/>
          <w:kern w:val="0"/>
          <w:sz w:val="24"/>
          <w:lang w:val="zh-CN"/>
        </w:rPr>
      </w:pPr>
      <w:bookmarkStart w:id="234" w:name="_Toc40898630"/>
      <w:bookmarkStart w:id="235" w:name="_Toc27899524"/>
      <w:r>
        <w:rPr>
          <w:rFonts w:hint="eastAsia" w:ascii="仿宋" w:hAnsi="仿宋" w:eastAsia="仿宋" w:cs="仿宋"/>
          <w:b/>
          <w:color w:val="auto"/>
          <w:kern w:val="0"/>
          <w:sz w:val="24"/>
          <w:lang w:val="zh-CN"/>
        </w:rPr>
        <w:t>14.技术文件要求</w:t>
      </w:r>
      <w:bookmarkEnd w:id="234"/>
      <w:bookmarkEnd w:id="235"/>
    </w:p>
    <w:p>
      <w:pPr>
        <w:pStyle w:val="18"/>
        <w:rPr>
          <w:rFonts w:ascii="仿宋" w:hAnsi="仿宋" w:eastAsia="仿宋" w:cs="仿宋"/>
          <w:color w:val="auto"/>
          <w:sz w:val="24"/>
        </w:rPr>
      </w:pPr>
      <w:r>
        <w:rPr>
          <w:rFonts w:hint="eastAsia" w:ascii="仿宋" w:hAnsi="仿宋" w:eastAsia="仿宋" w:cs="仿宋"/>
          <w:color w:val="auto"/>
          <w:sz w:val="24"/>
        </w:rPr>
        <w:t>中标单位提供的书面技术资料必须能够满足确保系统正常运行所需的管理、运营、验收及维护的全套文件。中标单位提供的技术文件必须包括但不限于：</w:t>
      </w:r>
    </w:p>
    <w:p>
      <w:pPr>
        <w:pStyle w:val="20"/>
        <w:spacing w:line="360" w:lineRule="auto"/>
        <w:ind w:firstLine="464"/>
        <w:rPr>
          <w:rFonts w:ascii="仿宋" w:hAnsi="仿宋" w:eastAsia="仿宋" w:cs="仿宋"/>
          <w:color w:val="auto"/>
          <w:sz w:val="24"/>
          <w:szCs w:val="24"/>
        </w:rPr>
      </w:pPr>
      <w:r>
        <w:rPr>
          <w:rFonts w:hint="eastAsia" w:ascii="仿宋" w:hAnsi="仿宋" w:eastAsia="仿宋" w:cs="仿宋"/>
          <w:color w:val="auto"/>
          <w:spacing w:val="-4"/>
          <w:kern w:val="0"/>
          <w:sz w:val="24"/>
          <w:szCs w:val="24"/>
          <w:lang w:val="zh-CN" w:bidi="zh-CN"/>
        </w:rPr>
        <w:t>（1）</w:t>
      </w:r>
      <w:r>
        <w:rPr>
          <w:rFonts w:hint="eastAsia" w:ascii="仿宋" w:hAnsi="仿宋" w:eastAsia="仿宋" w:cs="仿宋"/>
          <w:color w:val="auto"/>
          <w:sz w:val="24"/>
          <w:szCs w:val="24"/>
        </w:rPr>
        <w:t>系统说明文件</w:t>
      </w:r>
    </w:p>
    <w:p>
      <w:pPr>
        <w:pStyle w:val="20"/>
        <w:spacing w:line="360" w:lineRule="auto"/>
        <w:ind w:firstLine="464"/>
        <w:rPr>
          <w:rFonts w:ascii="仿宋" w:hAnsi="仿宋" w:eastAsia="仿宋" w:cs="仿宋"/>
          <w:color w:val="auto"/>
          <w:sz w:val="24"/>
          <w:szCs w:val="24"/>
        </w:rPr>
      </w:pPr>
      <w:r>
        <w:rPr>
          <w:rFonts w:hint="eastAsia" w:ascii="仿宋" w:hAnsi="仿宋" w:eastAsia="仿宋" w:cs="仿宋"/>
          <w:color w:val="auto"/>
          <w:spacing w:val="-4"/>
          <w:kern w:val="0"/>
          <w:sz w:val="24"/>
          <w:szCs w:val="24"/>
          <w:lang w:val="zh-CN" w:bidi="zh-CN"/>
        </w:rPr>
        <w:t>（2）</w:t>
      </w:r>
      <w:r>
        <w:rPr>
          <w:rFonts w:hint="eastAsia" w:ascii="仿宋" w:hAnsi="仿宋" w:eastAsia="仿宋" w:cs="仿宋"/>
          <w:color w:val="auto"/>
          <w:sz w:val="24"/>
          <w:szCs w:val="24"/>
        </w:rPr>
        <w:t>技术手册（安装、操作、维护、故障排除、培训文档等）</w:t>
      </w:r>
    </w:p>
    <w:p>
      <w:pPr>
        <w:pStyle w:val="20"/>
        <w:spacing w:line="360" w:lineRule="auto"/>
        <w:ind w:firstLine="464"/>
        <w:rPr>
          <w:rFonts w:ascii="仿宋" w:hAnsi="仿宋" w:eastAsia="仿宋" w:cs="仿宋"/>
          <w:color w:val="auto"/>
          <w:sz w:val="24"/>
          <w:szCs w:val="24"/>
        </w:rPr>
      </w:pPr>
      <w:r>
        <w:rPr>
          <w:rFonts w:hint="eastAsia" w:ascii="仿宋" w:hAnsi="仿宋" w:eastAsia="仿宋" w:cs="仿宋"/>
          <w:color w:val="auto"/>
          <w:spacing w:val="-4"/>
          <w:kern w:val="0"/>
          <w:sz w:val="24"/>
          <w:szCs w:val="24"/>
          <w:lang w:val="zh-CN" w:bidi="zh-CN"/>
        </w:rPr>
        <w:t>（3）</w:t>
      </w:r>
      <w:r>
        <w:rPr>
          <w:rFonts w:hint="eastAsia" w:ascii="仿宋" w:hAnsi="仿宋" w:eastAsia="仿宋" w:cs="仿宋"/>
          <w:color w:val="auto"/>
          <w:sz w:val="24"/>
          <w:szCs w:val="24"/>
        </w:rPr>
        <w:t>详细的工程日志</w:t>
      </w:r>
    </w:p>
    <w:p>
      <w:pPr>
        <w:pStyle w:val="20"/>
        <w:spacing w:line="360" w:lineRule="auto"/>
        <w:ind w:firstLine="464"/>
        <w:rPr>
          <w:rFonts w:ascii="仿宋" w:hAnsi="仿宋" w:eastAsia="仿宋" w:cs="仿宋"/>
          <w:color w:val="auto"/>
          <w:sz w:val="24"/>
          <w:szCs w:val="24"/>
        </w:rPr>
      </w:pPr>
      <w:r>
        <w:rPr>
          <w:rFonts w:hint="eastAsia" w:ascii="仿宋" w:hAnsi="仿宋" w:eastAsia="仿宋" w:cs="仿宋"/>
          <w:color w:val="auto"/>
          <w:spacing w:val="-4"/>
          <w:kern w:val="0"/>
          <w:sz w:val="24"/>
          <w:szCs w:val="24"/>
          <w:lang w:val="zh-CN" w:bidi="zh-CN"/>
        </w:rPr>
        <w:t>（4）</w:t>
      </w:r>
      <w:r>
        <w:rPr>
          <w:rFonts w:hint="eastAsia" w:ascii="仿宋" w:hAnsi="仿宋" w:eastAsia="仿宋" w:cs="仿宋"/>
          <w:color w:val="auto"/>
          <w:sz w:val="24"/>
          <w:szCs w:val="24"/>
        </w:rPr>
        <w:t>系统完整文档</w:t>
      </w:r>
    </w:p>
    <w:p>
      <w:pPr>
        <w:pStyle w:val="19"/>
        <w:ind w:firstLine="480"/>
        <w:jc w:val="both"/>
        <w:rPr>
          <w:rFonts w:ascii="仿宋" w:hAnsi="仿宋" w:eastAsia="仿宋" w:cs="仿宋"/>
          <w:bCs w:val="0"/>
          <w:color w:val="auto"/>
          <w:kern w:val="0"/>
          <w:sz w:val="24"/>
          <w:szCs w:val="24"/>
          <w:lang w:val="zh-CN"/>
        </w:rPr>
      </w:pPr>
      <w:r>
        <w:rPr>
          <w:rFonts w:hint="eastAsia" w:ascii="仿宋" w:hAnsi="仿宋" w:eastAsia="仿宋" w:cs="仿宋"/>
          <w:bCs w:val="0"/>
          <w:color w:val="auto"/>
          <w:kern w:val="0"/>
          <w:sz w:val="24"/>
          <w:szCs w:val="24"/>
          <w:lang w:val="zh-CN"/>
        </w:rPr>
        <w:t>其中，</w:t>
      </w:r>
      <w:r>
        <w:rPr>
          <w:rFonts w:hint="eastAsia" w:ascii="仿宋" w:hAnsi="仿宋" w:eastAsia="仿宋" w:cs="仿宋"/>
          <w:color w:val="auto"/>
          <w:spacing w:val="-4"/>
          <w:kern w:val="0"/>
          <w:sz w:val="24"/>
          <w:szCs w:val="24"/>
          <w:lang w:val="zh-CN" w:bidi="zh-CN"/>
        </w:rPr>
        <w:t>（1）</w:t>
      </w:r>
      <w:r>
        <w:rPr>
          <w:rFonts w:hint="eastAsia" w:ascii="仿宋" w:hAnsi="仿宋" w:eastAsia="仿宋" w:cs="仿宋"/>
          <w:bCs w:val="0"/>
          <w:color w:val="auto"/>
          <w:kern w:val="0"/>
          <w:sz w:val="24"/>
          <w:szCs w:val="24"/>
          <w:lang w:val="zh-CN"/>
        </w:rPr>
        <w:t>、</w:t>
      </w:r>
      <w:r>
        <w:rPr>
          <w:rFonts w:hint="eastAsia" w:ascii="仿宋" w:hAnsi="仿宋" w:eastAsia="仿宋" w:cs="仿宋"/>
          <w:color w:val="auto"/>
          <w:spacing w:val="-4"/>
          <w:kern w:val="0"/>
          <w:sz w:val="24"/>
          <w:szCs w:val="24"/>
          <w:lang w:val="zh-CN" w:bidi="zh-CN"/>
        </w:rPr>
        <w:t>（2）</w:t>
      </w:r>
      <w:r>
        <w:rPr>
          <w:rFonts w:hint="eastAsia" w:ascii="仿宋" w:hAnsi="仿宋" w:eastAsia="仿宋" w:cs="仿宋"/>
          <w:bCs w:val="0"/>
          <w:color w:val="auto"/>
          <w:kern w:val="0"/>
          <w:sz w:val="24"/>
          <w:szCs w:val="24"/>
          <w:lang w:val="zh-CN"/>
        </w:rPr>
        <w:t>项必须在安装调测前提供，</w:t>
      </w:r>
      <w:r>
        <w:rPr>
          <w:rFonts w:hint="eastAsia" w:ascii="仿宋" w:hAnsi="仿宋" w:eastAsia="仿宋" w:cs="仿宋"/>
          <w:color w:val="auto"/>
          <w:spacing w:val="-4"/>
          <w:kern w:val="0"/>
          <w:sz w:val="24"/>
          <w:szCs w:val="24"/>
          <w:lang w:val="zh-CN" w:bidi="zh-CN"/>
        </w:rPr>
        <w:t>（3）</w:t>
      </w:r>
      <w:r>
        <w:rPr>
          <w:rFonts w:hint="eastAsia" w:ascii="仿宋" w:hAnsi="仿宋" w:eastAsia="仿宋" w:cs="仿宋"/>
          <w:bCs w:val="0"/>
          <w:color w:val="auto"/>
          <w:kern w:val="0"/>
          <w:sz w:val="24"/>
          <w:szCs w:val="24"/>
          <w:lang w:val="zh-CN"/>
        </w:rPr>
        <w:t>项必须在工程实施过程中随时提供，并在工程实施后1 个月内汇总移交。所有的文档必须包括书面和电子两种形式。</w:t>
      </w:r>
      <w:r>
        <w:rPr>
          <w:rFonts w:hint="eastAsia" w:ascii="仿宋" w:hAnsi="仿宋" w:eastAsia="仿宋" w:cs="仿宋"/>
          <w:color w:val="auto"/>
          <w:spacing w:val="-4"/>
          <w:kern w:val="0"/>
          <w:sz w:val="24"/>
          <w:szCs w:val="24"/>
          <w:lang w:val="zh-CN" w:bidi="zh-CN"/>
        </w:rPr>
        <w:t>（4）</w:t>
      </w:r>
      <w:r>
        <w:rPr>
          <w:rFonts w:hint="eastAsia" w:ascii="仿宋" w:hAnsi="仿宋" w:eastAsia="仿宋" w:cs="仿宋"/>
          <w:bCs w:val="0"/>
          <w:color w:val="auto"/>
          <w:kern w:val="0"/>
          <w:sz w:val="24"/>
          <w:szCs w:val="24"/>
          <w:lang w:val="zh-CN"/>
        </w:rPr>
        <w:t>项在工程完成初验后，厂家提供完整的技术文档。</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请投标方在项目方案中列出提供的书面技术资料详细清单。</w:t>
      </w:r>
    </w:p>
    <w:p>
      <w:pPr>
        <w:spacing w:line="360" w:lineRule="auto"/>
        <w:rPr>
          <w:rFonts w:ascii="仿宋" w:hAnsi="仿宋" w:eastAsia="仿宋" w:cs="仿宋"/>
          <w:b/>
          <w:color w:val="auto"/>
          <w:kern w:val="0"/>
          <w:sz w:val="24"/>
          <w:lang w:val="zh-CN"/>
        </w:rPr>
      </w:pPr>
      <w:bookmarkStart w:id="236" w:name="_Toc40898631"/>
      <w:r>
        <w:rPr>
          <w:rFonts w:hint="eastAsia" w:ascii="仿宋" w:hAnsi="仿宋" w:eastAsia="仿宋" w:cs="仿宋"/>
          <w:b/>
          <w:color w:val="auto"/>
          <w:kern w:val="0"/>
          <w:sz w:val="24"/>
          <w:lang w:val="zh-CN"/>
        </w:rPr>
        <w:t>15.项目计划要求</w:t>
      </w:r>
      <w:bookmarkEnd w:id="236"/>
    </w:p>
    <w:p>
      <w:pPr>
        <w:pStyle w:val="18"/>
        <w:rPr>
          <w:rFonts w:ascii="仿宋" w:hAnsi="仿宋" w:eastAsia="仿宋" w:cs="仿宋"/>
          <w:color w:val="auto"/>
          <w:sz w:val="24"/>
        </w:rPr>
      </w:pPr>
      <w:r>
        <w:rPr>
          <w:rFonts w:hint="eastAsia" w:ascii="仿宋" w:hAnsi="仿宋" w:eastAsia="仿宋" w:cs="仿宋"/>
          <w:color w:val="auto"/>
          <w:sz w:val="24"/>
        </w:rPr>
        <w:t>服务期限：签订合同之日起至2021年</w:t>
      </w:r>
      <w:r>
        <w:rPr>
          <w:rFonts w:hint="eastAsia" w:ascii="仿宋" w:hAnsi="仿宋" w:eastAsia="仿宋" w:cs="仿宋"/>
          <w:color w:val="auto"/>
          <w:sz w:val="24"/>
          <w:lang w:val="en-US"/>
        </w:rPr>
        <w:t>6</w:t>
      </w:r>
      <w:r>
        <w:rPr>
          <w:rFonts w:hint="eastAsia" w:ascii="仿宋" w:hAnsi="仿宋" w:eastAsia="仿宋" w:cs="仿宋"/>
          <w:color w:val="auto"/>
          <w:sz w:val="24"/>
        </w:rPr>
        <w:t>底前完成系统初验，进入试运行，试运行期至少3个月，2021年底前完成系统终验。</w:t>
      </w:r>
    </w:p>
    <w:p>
      <w:pPr>
        <w:pStyle w:val="18"/>
        <w:rPr>
          <w:rFonts w:ascii="仿宋" w:hAnsi="仿宋" w:eastAsia="仿宋" w:cs="仿宋"/>
          <w:color w:val="auto"/>
          <w:sz w:val="24"/>
        </w:rPr>
      </w:pPr>
      <w:r>
        <w:rPr>
          <w:rFonts w:hint="eastAsia" w:ascii="仿宋" w:hAnsi="仿宋" w:eastAsia="仿宋" w:cs="仿宋"/>
          <w:color w:val="auto"/>
          <w:sz w:val="24"/>
        </w:rPr>
        <w:t>请投标方提出具体实施方案（开发内容细目、项目进度等），保证本工程按期完成。</w:t>
      </w:r>
    </w:p>
    <w:p>
      <w:pPr>
        <w:pStyle w:val="18"/>
        <w:rPr>
          <w:rFonts w:ascii="仿宋" w:hAnsi="仿宋" w:eastAsia="仿宋" w:cs="仿宋"/>
          <w:color w:val="auto"/>
          <w:sz w:val="24"/>
        </w:rPr>
      </w:pPr>
      <w:r>
        <w:rPr>
          <w:rFonts w:hint="eastAsia" w:ascii="仿宋" w:hAnsi="仿宋" w:eastAsia="仿宋" w:cs="仿宋"/>
          <w:color w:val="auto"/>
          <w:sz w:val="24"/>
        </w:rPr>
        <w:t>在工程实施全过程中，招</w:t>
      </w:r>
      <w:r>
        <w:rPr>
          <w:rFonts w:hint="eastAsia" w:ascii="仿宋" w:hAnsi="仿宋" w:eastAsia="仿宋" w:cs="仿宋"/>
          <w:bCs/>
          <w:color w:val="auto"/>
          <w:sz w:val="24"/>
        </w:rPr>
        <w:t>标</w:t>
      </w:r>
      <w:r>
        <w:rPr>
          <w:rFonts w:hint="eastAsia" w:ascii="仿宋" w:hAnsi="仿宋" w:eastAsia="仿宋" w:cs="仿宋"/>
          <w:color w:val="auto"/>
          <w:sz w:val="24"/>
        </w:rPr>
        <w:t>方有对工程质量进行监督控制的职责和权利，承建商应按照项目管理要求进行严格的质量控制，并制定详细合理的沟通计划，至少包括周报、月报和项目例会，应确保双方能及时了解所需的信息。</w:t>
      </w:r>
    </w:p>
    <w:p>
      <w:pPr>
        <w:autoSpaceDE w:val="0"/>
        <w:autoSpaceDN w:val="0"/>
        <w:spacing w:line="360" w:lineRule="auto"/>
        <w:jc w:val="left"/>
        <w:rPr>
          <w:rFonts w:ascii="仿宋" w:hAnsi="仿宋" w:eastAsia="仿宋" w:cs="仿宋"/>
          <w:b/>
          <w:color w:val="auto"/>
          <w:kern w:val="0"/>
          <w:sz w:val="24"/>
          <w:lang w:val="zh-CN"/>
        </w:rPr>
      </w:pPr>
      <w:bookmarkStart w:id="237" w:name="_Toc40898632"/>
      <w:r>
        <w:rPr>
          <w:rFonts w:hint="eastAsia" w:ascii="仿宋" w:hAnsi="仿宋" w:eastAsia="仿宋" w:cs="仿宋"/>
          <w:b/>
          <w:color w:val="auto"/>
          <w:kern w:val="0"/>
          <w:sz w:val="24"/>
          <w:lang w:val="zh-CN"/>
        </w:rPr>
        <w:t>16.项目验收标准与要求</w:t>
      </w:r>
      <w:bookmarkEnd w:id="237"/>
    </w:p>
    <w:p>
      <w:pPr>
        <w:pStyle w:val="18"/>
        <w:ind w:firstLine="482"/>
        <w:rPr>
          <w:rFonts w:ascii="仿宋" w:hAnsi="仿宋" w:eastAsia="仿宋" w:cs="仿宋"/>
          <w:b/>
          <w:color w:val="auto"/>
          <w:sz w:val="24"/>
        </w:rPr>
      </w:pPr>
      <w:r>
        <w:rPr>
          <w:rFonts w:hint="eastAsia" w:ascii="仿宋" w:hAnsi="仿宋" w:eastAsia="仿宋" w:cs="仿宋"/>
          <w:b/>
          <w:color w:val="auto"/>
          <w:sz w:val="24"/>
        </w:rPr>
        <w:t>16.1验收总体要求</w:t>
      </w:r>
    </w:p>
    <w:p>
      <w:pPr>
        <w:pStyle w:val="18"/>
        <w:rPr>
          <w:rFonts w:ascii="仿宋" w:hAnsi="仿宋" w:eastAsia="仿宋" w:cs="仿宋"/>
          <w:color w:val="auto"/>
          <w:sz w:val="24"/>
        </w:rPr>
      </w:pPr>
      <w:r>
        <w:rPr>
          <w:rFonts w:hint="eastAsia" w:ascii="仿宋" w:hAnsi="仿宋" w:eastAsia="仿宋" w:cs="仿宋"/>
          <w:color w:val="auto"/>
          <w:sz w:val="24"/>
        </w:rPr>
        <w:t>由海南省医疗保障局统一组织，招标人与相关人员组成验收小组完成验收。双方根据最终验收情况，编写最终验收报告。中标单位应完成项目验收资料的准备。</w:t>
      </w:r>
    </w:p>
    <w:p>
      <w:pPr>
        <w:pStyle w:val="18"/>
        <w:rPr>
          <w:rFonts w:ascii="仿宋" w:hAnsi="仿宋" w:eastAsia="仿宋" w:cs="仿宋"/>
          <w:color w:val="auto"/>
          <w:sz w:val="24"/>
        </w:rPr>
      </w:pPr>
      <w:r>
        <w:rPr>
          <w:rFonts w:hint="eastAsia" w:ascii="仿宋" w:hAnsi="仿宋" w:eastAsia="仿宋" w:cs="仿宋"/>
          <w:color w:val="auto"/>
          <w:sz w:val="24"/>
        </w:rPr>
        <w:t>在服务过程中出现性能指标或功能上不符合标书和合同要求时，由中标单位负责解决，招标人有拒绝验收的权利并保留索赔权利。</w:t>
      </w:r>
    </w:p>
    <w:p>
      <w:pPr>
        <w:pStyle w:val="18"/>
        <w:rPr>
          <w:rFonts w:ascii="仿宋" w:hAnsi="仿宋" w:eastAsia="仿宋" w:cs="仿宋"/>
          <w:color w:val="auto"/>
          <w:sz w:val="24"/>
        </w:rPr>
      </w:pPr>
      <w:r>
        <w:rPr>
          <w:rFonts w:hint="eastAsia" w:ascii="仿宋" w:hAnsi="仿宋" w:eastAsia="仿宋" w:cs="仿宋"/>
          <w:color w:val="auto"/>
          <w:sz w:val="24"/>
        </w:rPr>
        <w:t>本项目的实施过程中将产生大量的技术及管理文档，中标单位应协助招标人，负责建立、维护、交接项目实施过程中产生的各类文档，确保项目文档的内容体现本项目的实施过程，并确保项目文档的完整性和准确性。</w:t>
      </w:r>
    </w:p>
    <w:p>
      <w:pPr>
        <w:pStyle w:val="18"/>
        <w:rPr>
          <w:rFonts w:ascii="仿宋" w:hAnsi="仿宋" w:eastAsia="仿宋" w:cs="仿宋"/>
          <w:color w:val="auto"/>
          <w:sz w:val="24"/>
        </w:rPr>
      </w:pPr>
      <w:r>
        <w:rPr>
          <w:rFonts w:hint="eastAsia" w:ascii="仿宋" w:hAnsi="仿宋" w:eastAsia="仿宋" w:cs="仿宋"/>
          <w:color w:val="auto"/>
          <w:sz w:val="24"/>
        </w:rPr>
        <w:t>中标单位按照要求提交全部文档，通过验收，视为本项工作完成。</w:t>
      </w:r>
    </w:p>
    <w:p>
      <w:pPr>
        <w:pStyle w:val="18"/>
        <w:rPr>
          <w:rFonts w:ascii="仿宋" w:hAnsi="仿宋" w:eastAsia="仿宋" w:cs="仿宋"/>
          <w:color w:val="auto"/>
          <w:sz w:val="24"/>
        </w:rPr>
      </w:pPr>
      <w:r>
        <w:rPr>
          <w:rFonts w:hint="eastAsia" w:ascii="仿宋" w:hAnsi="仿宋" w:eastAsia="仿宋" w:cs="仿宋"/>
          <w:color w:val="auto"/>
          <w:sz w:val="24"/>
        </w:rPr>
        <w:t>（1）验收组织</w:t>
      </w:r>
    </w:p>
    <w:p>
      <w:pPr>
        <w:pStyle w:val="18"/>
        <w:rPr>
          <w:rFonts w:ascii="仿宋" w:hAnsi="仿宋" w:eastAsia="仿宋" w:cs="仿宋"/>
          <w:color w:val="auto"/>
          <w:sz w:val="24"/>
        </w:rPr>
      </w:pPr>
      <w:r>
        <w:rPr>
          <w:rFonts w:hint="eastAsia" w:ascii="仿宋" w:hAnsi="仿宋" w:eastAsia="仿宋" w:cs="仿宋"/>
          <w:color w:val="auto"/>
          <w:sz w:val="24"/>
        </w:rPr>
        <w:t>项目验收分为初验和终验，都由招标方组织进行。</w:t>
      </w:r>
    </w:p>
    <w:p>
      <w:pPr>
        <w:pStyle w:val="18"/>
        <w:rPr>
          <w:rFonts w:ascii="仿宋" w:hAnsi="仿宋" w:eastAsia="仿宋" w:cs="仿宋"/>
          <w:color w:val="auto"/>
          <w:sz w:val="24"/>
        </w:rPr>
      </w:pPr>
      <w:r>
        <w:rPr>
          <w:rFonts w:hint="eastAsia" w:ascii="仿宋" w:hAnsi="仿宋" w:eastAsia="仿宋" w:cs="仿宋"/>
          <w:color w:val="auto"/>
          <w:sz w:val="24"/>
        </w:rPr>
        <w:t>（2）初验流程</w:t>
      </w:r>
    </w:p>
    <w:p>
      <w:pPr>
        <w:pStyle w:val="18"/>
        <w:rPr>
          <w:rFonts w:ascii="仿宋" w:hAnsi="仿宋" w:eastAsia="仿宋" w:cs="仿宋"/>
          <w:color w:val="auto"/>
          <w:sz w:val="24"/>
        </w:rPr>
      </w:pPr>
      <w:r>
        <w:rPr>
          <w:rFonts w:hint="eastAsia" w:ascii="仿宋" w:hAnsi="仿宋" w:eastAsia="仿宋" w:cs="仿宋"/>
          <w:color w:val="auto"/>
          <w:sz w:val="24"/>
        </w:rPr>
        <w:t>招标方依据相关批复文件、招标采购文件、合同，对项目的工程、技术、财务和档案等进行验收，形成验收报告。</w:t>
      </w:r>
    </w:p>
    <w:p>
      <w:pPr>
        <w:pStyle w:val="20"/>
        <w:spacing w:line="360" w:lineRule="auto"/>
        <w:ind w:left="480" w:firstLine="0" w:firstLineChars="0"/>
        <w:rPr>
          <w:rFonts w:ascii="仿宋" w:hAnsi="仿宋" w:eastAsia="仿宋" w:cs="仿宋"/>
          <w:color w:val="auto"/>
          <w:sz w:val="24"/>
          <w:szCs w:val="24"/>
        </w:rPr>
      </w:pPr>
      <w:r>
        <w:rPr>
          <w:rFonts w:hint="eastAsia" w:ascii="仿宋" w:hAnsi="仿宋" w:eastAsia="仿宋" w:cs="仿宋"/>
          <w:color w:val="auto"/>
          <w:sz w:val="24"/>
          <w:szCs w:val="24"/>
        </w:rPr>
        <w:t>项目初验后进入试运行，试运行期3 个月。</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（3）终验流程</w:t>
      </w:r>
    </w:p>
    <w:p>
      <w:pPr>
        <w:pStyle w:val="18"/>
        <w:rPr>
          <w:rFonts w:ascii="仿宋" w:hAnsi="仿宋" w:eastAsia="仿宋" w:cs="仿宋"/>
          <w:color w:val="auto"/>
          <w:sz w:val="24"/>
        </w:rPr>
      </w:pPr>
      <w:r>
        <w:rPr>
          <w:rFonts w:hint="eastAsia" w:ascii="仿宋" w:hAnsi="仿宋" w:eastAsia="仿宋" w:cs="仿宋"/>
          <w:color w:val="auto"/>
          <w:sz w:val="24"/>
        </w:rPr>
        <w:t>招标方组织成立验收组，负责开展终验的先期基础性工作，重点检查项目建设、设计、监理、施工、招标采购、档案资料、预（概）算执行和财务决算等情况，提出验收评价意见和建议。</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（4）验收内容</w:t>
      </w:r>
    </w:p>
    <w:p>
      <w:pPr>
        <w:pStyle w:val="20"/>
        <w:spacing w:line="360" w:lineRule="auto"/>
        <w:ind w:left="480" w:firstLine="0" w:firstLineChars="0"/>
        <w:rPr>
          <w:rFonts w:ascii="仿宋" w:hAnsi="仿宋" w:eastAsia="仿宋" w:cs="仿宋"/>
          <w:color w:val="auto"/>
          <w:sz w:val="24"/>
          <w:szCs w:val="24"/>
        </w:rPr>
      </w:pPr>
      <w:r>
        <w:rPr>
          <w:rFonts w:hint="eastAsia" w:ascii="仿宋" w:hAnsi="仿宋" w:eastAsia="仿宋" w:cs="仿宋"/>
          <w:color w:val="auto"/>
          <w:sz w:val="24"/>
          <w:szCs w:val="24"/>
        </w:rPr>
        <w:t>审查项目的建设目标、规模、内容、质量及资金使用等情况。</w:t>
      </w:r>
    </w:p>
    <w:p>
      <w:pPr>
        <w:pStyle w:val="20"/>
        <w:spacing w:line="360" w:lineRule="auto"/>
        <w:ind w:left="480" w:firstLine="0" w:firstLineChars="0"/>
        <w:rPr>
          <w:rFonts w:ascii="仿宋" w:hAnsi="仿宋" w:eastAsia="仿宋" w:cs="仿宋"/>
          <w:color w:val="auto"/>
          <w:sz w:val="24"/>
          <w:szCs w:val="24"/>
        </w:rPr>
      </w:pPr>
      <w:r>
        <w:rPr>
          <w:rFonts w:hint="eastAsia" w:ascii="仿宋" w:hAnsi="仿宋" w:eastAsia="仿宋" w:cs="仿宋"/>
          <w:color w:val="auto"/>
          <w:sz w:val="24"/>
          <w:szCs w:val="24"/>
        </w:rPr>
        <w:t>审核项目形成的资产情况。</w:t>
      </w:r>
    </w:p>
    <w:p>
      <w:pPr>
        <w:pStyle w:val="20"/>
        <w:spacing w:line="360" w:lineRule="auto"/>
        <w:ind w:left="480" w:firstLine="0" w:firstLineChars="0"/>
        <w:rPr>
          <w:rFonts w:ascii="仿宋" w:hAnsi="仿宋" w:eastAsia="仿宋" w:cs="仿宋"/>
          <w:color w:val="auto"/>
          <w:sz w:val="24"/>
          <w:szCs w:val="24"/>
        </w:rPr>
      </w:pPr>
      <w:r>
        <w:rPr>
          <w:rFonts w:hint="eastAsia" w:ascii="仿宋" w:hAnsi="仿宋" w:eastAsia="仿宋" w:cs="仿宋"/>
          <w:color w:val="auto"/>
          <w:sz w:val="24"/>
          <w:szCs w:val="24"/>
        </w:rPr>
        <w:t>评价项目交付使用情况。</w:t>
      </w:r>
    </w:p>
    <w:p>
      <w:pPr>
        <w:pStyle w:val="20"/>
        <w:spacing w:line="360" w:lineRule="auto"/>
        <w:ind w:left="480" w:firstLine="0" w:firstLineChars="0"/>
        <w:rPr>
          <w:rFonts w:ascii="仿宋" w:hAnsi="仿宋" w:eastAsia="仿宋" w:cs="仿宋"/>
          <w:color w:val="auto"/>
          <w:sz w:val="24"/>
          <w:szCs w:val="24"/>
        </w:rPr>
      </w:pPr>
      <w:r>
        <w:rPr>
          <w:rFonts w:hint="eastAsia" w:ascii="仿宋" w:hAnsi="仿宋" w:eastAsia="仿宋" w:cs="仿宋"/>
          <w:color w:val="auto"/>
          <w:sz w:val="24"/>
          <w:szCs w:val="24"/>
        </w:rPr>
        <w:t>检查项目建设单位执行国家法律、法规情况。</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（5）验收相关材料</w:t>
      </w:r>
    </w:p>
    <w:p>
      <w:pPr>
        <w:pStyle w:val="18"/>
        <w:rPr>
          <w:rFonts w:ascii="仿宋" w:hAnsi="仿宋" w:eastAsia="仿宋" w:cs="仿宋"/>
          <w:color w:val="auto"/>
          <w:sz w:val="24"/>
        </w:rPr>
      </w:pPr>
      <w:r>
        <w:rPr>
          <w:rFonts w:hint="eastAsia" w:ascii="仿宋" w:hAnsi="仿宋" w:eastAsia="仿宋" w:cs="仿宋"/>
          <w:color w:val="auto"/>
          <w:sz w:val="24"/>
          <w:lang w:val="en-US"/>
        </w:rPr>
        <w:t>中标单位</w:t>
      </w:r>
      <w:r>
        <w:rPr>
          <w:rFonts w:hint="eastAsia" w:ascii="仿宋" w:hAnsi="仿宋" w:eastAsia="仿宋" w:cs="仿宋"/>
          <w:color w:val="auto"/>
          <w:sz w:val="24"/>
        </w:rPr>
        <w:t>须负责整理并提供以下验收材料，包括但不限于：项目实施方案、项目合同、项目建设总结、项目招标相关文档、项目建设相关文档、初步验收报告、软件测试报告、安全测评报告等。</w:t>
      </w:r>
    </w:p>
    <w:p>
      <w:pPr>
        <w:autoSpaceDE w:val="0"/>
        <w:autoSpaceDN w:val="0"/>
        <w:spacing w:line="360" w:lineRule="auto"/>
        <w:jc w:val="left"/>
        <w:rPr>
          <w:rFonts w:ascii="仿宋" w:hAnsi="仿宋" w:eastAsia="仿宋" w:cs="仿宋"/>
          <w:b/>
          <w:color w:val="auto"/>
          <w:kern w:val="0"/>
          <w:sz w:val="24"/>
          <w:lang w:val="zh-CN"/>
        </w:rPr>
      </w:pPr>
      <w:bookmarkStart w:id="238" w:name="_Toc40254318"/>
      <w:r>
        <w:rPr>
          <w:rFonts w:hint="eastAsia" w:ascii="仿宋" w:hAnsi="仿宋" w:eastAsia="仿宋" w:cs="仿宋"/>
          <w:b/>
          <w:color w:val="auto"/>
          <w:kern w:val="0"/>
          <w:sz w:val="24"/>
          <w:lang w:val="zh-CN"/>
        </w:rPr>
        <w:t>17.其它要求</w:t>
      </w:r>
      <w:bookmarkEnd w:id="238"/>
    </w:p>
    <w:p>
      <w:pPr>
        <w:numPr>
          <w:ilvl w:val="0"/>
          <w:numId w:val="18"/>
        </w:numPr>
        <w:tabs>
          <w:tab w:val="left" w:pos="1301"/>
        </w:tabs>
        <w:autoSpaceDE w:val="0"/>
        <w:autoSpaceDN w:val="0"/>
        <w:spacing w:line="360" w:lineRule="auto"/>
        <w:ind w:right="317" w:firstLine="480"/>
        <w:rPr>
          <w:rFonts w:ascii="仿宋" w:hAnsi="仿宋" w:eastAsia="仿宋" w:cs="仿宋"/>
          <w:color w:val="auto"/>
          <w:spacing w:val="-10"/>
          <w:sz w:val="24"/>
        </w:rPr>
      </w:pPr>
      <w:r>
        <w:rPr>
          <w:rFonts w:hint="eastAsia" w:ascii="仿宋" w:hAnsi="仿宋" w:eastAsia="仿宋" w:cs="仿宋"/>
          <w:color w:val="auto"/>
          <w:spacing w:val="-10"/>
          <w:sz w:val="24"/>
        </w:rPr>
        <w:t>投标方承诺：如投标单位在海南省无分公司或办事处，须承诺中标后在海南省注册分公司或办事处，办公地址须在海南省医疗保障局周边半径2公里范围内。</w:t>
      </w:r>
    </w:p>
    <w:p>
      <w:pPr>
        <w:numPr>
          <w:ilvl w:val="0"/>
          <w:numId w:val="18"/>
        </w:numPr>
        <w:tabs>
          <w:tab w:val="left" w:pos="1301"/>
        </w:tabs>
        <w:autoSpaceDE w:val="0"/>
        <w:autoSpaceDN w:val="0"/>
        <w:spacing w:line="360" w:lineRule="auto"/>
        <w:ind w:right="317" w:firstLine="480"/>
        <w:rPr>
          <w:rFonts w:ascii="仿宋" w:hAnsi="仿宋" w:eastAsia="仿宋" w:cs="仿宋"/>
          <w:color w:val="auto"/>
          <w:sz w:val="24"/>
        </w:rPr>
      </w:pPr>
      <w:r>
        <w:rPr>
          <w:rFonts w:hint="eastAsia" w:ascii="仿宋" w:hAnsi="仿宋" w:eastAsia="仿宋" w:cs="仿宋"/>
          <w:color w:val="auto"/>
          <w:spacing w:val="-1"/>
          <w:sz w:val="24"/>
        </w:rPr>
        <w:t>当招标方有新需求，而本文又未包括或与本文不符时，则应符合招标</w:t>
      </w:r>
      <w:r>
        <w:rPr>
          <w:rFonts w:hint="eastAsia" w:ascii="仿宋" w:hAnsi="仿宋" w:eastAsia="仿宋" w:cs="仿宋"/>
          <w:color w:val="auto"/>
          <w:spacing w:val="-10"/>
          <w:sz w:val="24"/>
        </w:rPr>
        <w:t>方新需求；对于招标方尚未有标准的，而本文又未提及的部分，中标单位中标单位提出其标</w:t>
      </w:r>
      <w:r>
        <w:rPr>
          <w:rFonts w:hint="eastAsia" w:ascii="仿宋" w:hAnsi="仿宋" w:eastAsia="仿宋" w:cs="仿宋"/>
          <w:color w:val="auto"/>
          <w:sz w:val="24"/>
        </w:rPr>
        <w:t>准，留待双方认可后执行。</w:t>
      </w:r>
    </w:p>
    <w:p>
      <w:pPr>
        <w:numPr>
          <w:ilvl w:val="0"/>
          <w:numId w:val="18"/>
        </w:numPr>
        <w:tabs>
          <w:tab w:val="left" w:pos="1301"/>
        </w:tabs>
        <w:autoSpaceDE w:val="0"/>
        <w:autoSpaceDN w:val="0"/>
        <w:spacing w:line="360" w:lineRule="auto"/>
        <w:ind w:right="317" w:firstLine="480"/>
        <w:rPr>
          <w:rFonts w:ascii="仿宋" w:hAnsi="仿宋" w:eastAsia="仿宋" w:cs="仿宋"/>
          <w:color w:val="auto"/>
          <w:spacing w:val="-10"/>
          <w:sz w:val="24"/>
        </w:rPr>
      </w:pPr>
      <w:r>
        <w:rPr>
          <w:rFonts w:hint="eastAsia" w:ascii="仿宋" w:hAnsi="仿宋" w:eastAsia="仿宋" w:cs="仿宋"/>
          <w:color w:val="auto"/>
          <w:spacing w:val="-10"/>
          <w:sz w:val="24"/>
        </w:rPr>
        <w:t>中标单位中标单位应确保其技术建议的可行性以及所提供服务和产品的完整性，若出现由于中标单位中标单位所提供的服务和产品不全面而导致系统功能无法实现或不能完全实现，由中标单位中标单位及时无偿补足，并负全部责任。</w:t>
      </w:r>
    </w:p>
    <w:p>
      <w:pPr>
        <w:numPr>
          <w:ilvl w:val="0"/>
          <w:numId w:val="18"/>
        </w:numPr>
        <w:tabs>
          <w:tab w:val="left" w:pos="1301"/>
        </w:tabs>
        <w:autoSpaceDE w:val="0"/>
        <w:autoSpaceDN w:val="0"/>
        <w:spacing w:line="360" w:lineRule="auto"/>
        <w:ind w:right="317" w:firstLine="480"/>
        <w:rPr>
          <w:rFonts w:ascii="仿宋" w:hAnsi="仿宋" w:eastAsia="仿宋" w:cs="仿宋"/>
          <w:color w:val="auto"/>
          <w:spacing w:val="-10"/>
          <w:sz w:val="24"/>
        </w:rPr>
      </w:pPr>
      <w:r>
        <w:rPr>
          <w:rFonts w:hint="eastAsia" w:ascii="仿宋" w:hAnsi="仿宋" w:eastAsia="仿宋" w:cs="仿宋"/>
          <w:color w:val="auto"/>
          <w:spacing w:val="-10"/>
          <w:sz w:val="24"/>
        </w:rPr>
        <w:t>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numPr>
          <w:ilvl w:val="0"/>
          <w:numId w:val="18"/>
        </w:numPr>
        <w:tabs>
          <w:tab w:val="left" w:pos="1301"/>
        </w:tabs>
        <w:autoSpaceDE w:val="0"/>
        <w:autoSpaceDN w:val="0"/>
        <w:spacing w:line="360" w:lineRule="auto"/>
        <w:ind w:right="317" w:firstLine="480"/>
        <w:rPr>
          <w:rFonts w:ascii="仿宋" w:hAnsi="仿宋" w:eastAsia="仿宋" w:cs="仿宋"/>
          <w:color w:val="auto"/>
          <w:spacing w:val="-10"/>
          <w:sz w:val="24"/>
        </w:rPr>
      </w:pPr>
      <w:r>
        <w:rPr>
          <w:rFonts w:hint="eastAsia" w:ascii="仿宋" w:hAnsi="仿宋" w:eastAsia="仿宋" w:cs="仿宋"/>
          <w:color w:val="auto"/>
          <w:spacing w:val="-10"/>
          <w:sz w:val="24"/>
        </w:rPr>
        <w:t>投标方承诺承担驻场工程师就餐和相关差旅费用，并提供驻场工程师办公电脑、打印机等设备。</w:t>
      </w:r>
    </w:p>
    <w:p>
      <w:pPr>
        <w:numPr>
          <w:ilvl w:val="0"/>
          <w:numId w:val="18"/>
        </w:numPr>
        <w:tabs>
          <w:tab w:val="left" w:pos="1301"/>
        </w:tabs>
        <w:autoSpaceDE w:val="0"/>
        <w:autoSpaceDN w:val="0"/>
        <w:spacing w:line="360" w:lineRule="auto"/>
        <w:ind w:right="317" w:firstLine="480"/>
        <w:rPr>
          <w:rFonts w:ascii="仿宋" w:hAnsi="仿宋" w:eastAsia="仿宋" w:cs="仿宋"/>
          <w:color w:val="auto"/>
          <w:spacing w:val="-10"/>
          <w:sz w:val="24"/>
        </w:rPr>
      </w:pPr>
      <w:r>
        <w:rPr>
          <w:rFonts w:hint="eastAsia" w:ascii="仿宋" w:hAnsi="仿宋" w:eastAsia="仿宋" w:cs="仿宋"/>
          <w:color w:val="auto"/>
          <w:spacing w:val="-10"/>
          <w:sz w:val="24"/>
        </w:rPr>
        <w:t>投标方承诺本项目合作终止后1年内，无条件配合招标方进行数据迁移、数据字典提供、数据结构提供、对相关实现方式讲解。</w:t>
      </w:r>
    </w:p>
    <w:p>
      <w:pPr>
        <w:numPr>
          <w:ilvl w:val="0"/>
          <w:numId w:val="18"/>
        </w:numPr>
        <w:tabs>
          <w:tab w:val="left" w:pos="1301"/>
        </w:tabs>
        <w:autoSpaceDE w:val="0"/>
        <w:autoSpaceDN w:val="0"/>
        <w:spacing w:line="360" w:lineRule="auto"/>
        <w:ind w:right="317" w:firstLine="480"/>
        <w:rPr>
          <w:rFonts w:ascii="仿宋" w:hAnsi="仿宋" w:eastAsia="仿宋" w:cs="仿宋"/>
          <w:color w:val="auto"/>
          <w:spacing w:val="-10"/>
          <w:sz w:val="24"/>
        </w:rPr>
      </w:pPr>
      <w:r>
        <w:rPr>
          <w:rFonts w:hint="eastAsia" w:ascii="仿宋" w:hAnsi="仿宋" w:eastAsia="仿宋" w:cs="仿宋"/>
          <w:color w:val="auto"/>
          <w:spacing w:val="-10"/>
          <w:sz w:val="24"/>
        </w:rPr>
        <w:t>本项目建设内容、需求若有变化，与本文不符的，则按照招标方与投标方友好协商修订为准。</w:t>
      </w:r>
    </w:p>
    <w:p>
      <w:pPr>
        <w:pStyle w:val="18"/>
        <w:rPr>
          <w:rFonts w:ascii="仿宋" w:hAnsi="仿宋" w:eastAsia="仿宋" w:cs="仿宋"/>
          <w:color w:val="auto"/>
          <w:sz w:val="24"/>
          <w:lang w:val="en-US"/>
        </w:rPr>
      </w:pPr>
    </w:p>
    <w:p>
      <w:pPr>
        <w:widowControl/>
        <w:spacing w:line="360" w:lineRule="auto"/>
        <w:jc w:val="left"/>
        <w:rPr>
          <w:rFonts w:ascii="仿宋" w:hAnsi="仿宋" w:eastAsia="仿宋" w:cs="仿宋"/>
          <w:b/>
          <w:bCs/>
          <w:color w:val="auto"/>
          <w:sz w:val="24"/>
        </w:rPr>
        <w:sectPr>
          <w:pgSz w:w="11906" w:h="16838"/>
          <w:pgMar w:top="1440" w:right="1800" w:bottom="1440" w:left="1800" w:header="851" w:footer="992" w:gutter="0"/>
          <w:cols w:space="425" w:num="1"/>
          <w:docGrid w:type="lines" w:linePitch="312" w:charSpace="0"/>
        </w:sectPr>
      </w:pPr>
      <w:bookmarkStart w:id="239" w:name="_Toc40254207"/>
    </w:p>
    <w:p>
      <w:pPr>
        <w:keepNext/>
        <w:keepLines/>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4包医疗保障综合管控系统-</w:t>
      </w:r>
    </w:p>
    <w:p>
      <w:pPr>
        <w:widowControl/>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1.建设背景</w:t>
      </w:r>
      <w:bookmarkEnd w:id="239"/>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习近平新时代中国特色社会主义思想为指导，全面贯彻落实党的十九大和十九届二中、三中全会精神，坚持以人民为中心的发展思想，认真贯彻落实习近平总书记对医疗保障工作的重要指示精神和全国医疗保障工作会议精神，以政治建设为引领、以自身建设为基础、以改革创新为动力，坚持保基本、兜底线、建机制、强监管，聚焦基金安全，推进“三医联动”改革，切实解决群众反映强烈的突出问题，不断提高人民群众的获得感、幸福感和安全感，努力开创全省医疗保障工作新局面。以国家医疗保障局《关于医疗保障信息化工作的指导意见》为指导，以《医疗保障信息平台建设指南》为依据，以建设全国统一、高效、兼容、便捷、安全的医疗保障信息系统为起点，构建海南省大集中的医疗保障信息平台，实现设备大集中、数据大集中、应用系统大集中，面对全省各族人民在医疗保障领域日益增长的美好生活需要与当前医疗保障管理机制、服务能力、决策水平和监督手段不平衡不充分的发展之间的矛盾，构建更加公平、更加可持续的医疗保障体系。</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医保是关系到人民群众切身利益的大事，海南省医疗保障局成立以来非常重视医疗保障基金安全工作，在国家和省委省政府指导下对骗保行为加大打击力度，完善举报制度，规范线索查办。通过信息技术提升医保基金监管能力，通过大数据分析及时发现骗保线索，确保医保基金安全。按照国家国家医疗保障局《关于开展医保基金监管“两试点一示范”工作通知》要求，积极推进全省医保综合监管工作。医保综合管控系统的建设目标是以国家统一标准为依据，协同建设，增量扩建，调用国家系统服务。利用医保政策、医学知识和数据分析模型对全省医疗行为全过程进行智能监管。</w:t>
      </w:r>
    </w:p>
    <w:p>
      <w:pPr>
        <w:pStyle w:val="20"/>
        <w:spacing w:line="360" w:lineRule="auto"/>
        <w:ind w:firstLine="0" w:firstLineChars="0"/>
        <w:rPr>
          <w:rFonts w:ascii="仿宋" w:hAnsi="仿宋" w:eastAsia="仿宋" w:cs="仿宋"/>
          <w:b/>
          <w:bCs/>
          <w:color w:val="auto"/>
          <w:sz w:val="24"/>
          <w:szCs w:val="24"/>
        </w:rPr>
      </w:pPr>
      <w:bookmarkStart w:id="240" w:name="_Toc40254208"/>
      <w:r>
        <w:rPr>
          <w:rFonts w:hint="eastAsia" w:ascii="仿宋" w:hAnsi="仿宋" w:eastAsia="仿宋" w:cs="仿宋"/>
          <w:b/>
          <w:bCs/>
          <w:color w:val="auto"/>
          <w:sz w:val="24"/>
          <w:szCs w:val="24"/>
        </w:rPr>
        <w:t>2.建设目标</w:t>
      </w:r>
      <w:bookmarkEnd w:id="240"/>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医保综合管控系统以国家局下发的基础版本为基础，在国家局基础版本功能上扩展建设功能、配套功能和本地生产库，根据医疗保险基金安全管理要求、业务管理与服务的需求，采用现代化信息技术手段，以数据为依据，根据各种支付特点和重点为目标对医保费用进行审核监管，从而有效应对医疗保险反欺诈工作。</w:t>
      </w:r>
    </w:p>
    <w:p>
      <w:pPr>
        <w:widowControl/>
        <w:spacing w:line="360" w:lineRule="auto"/>
        <w:jc w:val="left"/>
        <w:rPr>
          <w:rFonts w:ascii="仿宋" w:hAnsi="仿宋" w:eastAsia="仿宋" w:cs="仿宋"/>
          <w:b/>
          <w:bCs/>
          <w:color w:val="auto"/>
          <w:sz w:val="24"/>
        </w:rPr>
      </w:pPr>
      <w:bookmarkStart w:id="241" w:name="_Toc40254209"/>
      <w:r>
        <w:rPr>
          <w:rFonts w:hint="eastAsia" w:ascii="仿宋" w:hAnsi="仿宋" w:eastAsia="仿宋" w:cs="仿宋"/>
          <w:b/>
          <w:bCs/>
          <w:color w:val="auto"/>
          <w:sz w:val="24"/>
        </w:rPr>
        <w:t>3.建设原则</w:t>
      </w:r>
      <w:bookmarkEnd w:id="241"/>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本项目建设将遵循《地方医疗保障信息平台建设指南》的要求，结合实际业务的需要，充分利用信息化技术，对本项目进行全方面的设计。系统建设应该遵循以下原则：</w:t>
      </w:r>
    </w:p>
    <w:p>
      <w:pPr>
        <w:adjustRightInd w:val="0"/>
        <w:snapToGrid w:val="0"/>
        <w:spacing w:line="360" w:lineRule="auto"/>
        <w:ind w:firstLine="482"/>
        <w:rPr>
          <w:rFonts w:ascii="仿宋" w:hAnsi="仿宋" w:eastAsia="仿宋" w:cs="仿宋"/>
          <w:b/>
          <w:color w:val="auto"/>
          <w:sz w:val="24"/>
        </w:rPr>
      </w:pPr>
      <w:r>
        <w:rPr>
          <w:rFonts w:hint="eastAsia" w:ascii="仿宋" w:hAnsi="仿宋" w:eastAsia="仿宋" w:cs="仿宋"/>
          <w:b/>
          <w:color w:val="auto"/>
          <w:sz w:val="24"/>
        </w:rPr>
        <w:t>（1）遵循标准、规范建设</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本项目的标准和规范包括项目管理的标准规范和项目建设中涉及到的数据标准和校验规则等规范。</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管理中，为保证整个项目建设的规范性和可管理性，本项目将建设一套标准的实施过程及运维期间的规范化管理体系，指导建设和运维中应严格按照相关标准规范组织建设实施，尤其是针对应用系统设计，将统一遵循应用开发与集成的规范，保证本项目应用建设的规范性和可集成性。</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数据标准和校验规则的制定，需要在参照相关标准、制度和规范文件要求的基础上，进行科学的分析和建立。本标准和规范一定要保证设计的科学和理性和扩充性。</w:t>
      </w:r>
    </w:p>
    <w:p>
      <w:pPr>
        <w:adjustRightInd w:val="0"/>
        <w:snapToGrid w:val="0"/>
        <w:spacing w:line="360" w:lineRule="auto"/>
        <w:ind w:firstLine="482"/>
        <w:rPr>
          <w:rFonts w:ascii="仿宋" w:hAnsi="仿宋" w:eastAsia="仿宋" w:cs="仿宋"/>
          <w:b/>
          <w:color w:val="auto"/>
          <w:sz w:val="24"/>
        </w:rPr>
      </w:pPr>
      <w:r>
        <w:rPr>
          <w:rFonts w:hint="eastAsia" w:ascii="仿宋" w:hAnsi="仿宋" w:eastAsia="仿宋" w:cs="仿宋"/>
          <w:b/>
          <w:color w:val="auto"/>
          <w:sz w:val="24"/>
        </w:rPr>
        <w:t>（2）应用先进、系统稳定</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随着监管手段的不断创新，对医保监控业务信息化也会不断提出更多、更高的要求，对实时业务数据的采集、处理、存储和传输，以及多样性的数据服务会提出挑战。因此，在系统整体架构和应用功能的设计上，充分结合本项目所涉及的业务（数据）特点和数据量级，采用先进的数据传输、处理、存储技术和在平台可扩展性方面的设计来满足平台每年8%的业务增长量要求，采用先进技术路线，确保系统在未来5年不会因技术原因而进行更新换代或有较大幅的的调整。</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同时，由于系统要保证不间断的稳定运行，需具备高度稳定性的技术手段和工具来保障,系统需支持7*24小时的正常运行及服务接口。</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系统需具备较强的容错能力和良好的恢复能力，当发生意外情况时，监控进程可以自主地对系统进行恢复。</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系统需具有动态负载均衡能力，完全支持硬件系统性能升级与数量扩充，通过增加服务器、利用服务器集群间的负载均衡，可持续满足并发访问用户数的增长。</w:t>
      </w:r>
    </w:p>
    <w:p>
      <w:pPr>
        <w:adjustRightInd w:val="0"/>
        <w:snapToGrid w:val="0"/>
        <w:spacing w:line="360" w:lineRule="auto"/>
        <w:ind w:firstLine="482"/>
        <w:rPr>
          <w:rFonts w:ascii="仿宋" w:hAnsi="仿宋" w:eastAsia="仿宋" w:cs="仿宋"/>
          <w:b/>
          <w:color w:val="auto"/>
          <w:sz w:val="24"/>
        </w:rPr>
      </w:pPr>
      <w:r>
        <w:rPr>
          <w:rFonts w:hint="eastAsia" w:ascii="仿宋" w:hAnsi="仿宋" w:eastAsia="仿宋" w:cs="仿宋"/>
          <w:b/>
          <w:color w:val="auto"/>
          <w:sz w:val="24"/>
        </w:rPr>
        <w:t>（3）架构先进、保证扩展</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系统需保持足够多的易于扩展性，能够支持业务未来的可持续发展需求。设计的基本思路是，在尽量减少程序变动的前提下更方便地进行扩展，在扩展的同时又不影响已有功能的正常使用，对此，在系统技术架构上要考虑采用方便扩展的技术框架，随需而变。</w:t>
      </w:r>
    </w:p>
    <w:p>
      <w:pPr>
        <w:adjustRightInd w:val="0"/>
        <w:snapToGrid w:val="0"/>
        <w:spacing w:line="360" w:lineRule="auto"/>
        <w:ind w:firstLine="482"/>
        <w:rPr>
          <w:rFonts w:ascii="仿宋" w:hAnsi="仿宋" w:eastAsia="仿宋" w:cs="仿宋"/>
          <w:b/>
          <w:color w:val="auto"/>
          <w:sz w:val="24"/>
        </w:rPr>
      </w:pPr>
      <w:r>
        <w:rPr>
          <w:rFonts w:hint="eastAsia" w:ascii="仿宋" w:hAnsi="仿宋" w:eastAsia="仿宋" w:cs="仿宋"/>
          <w:b/>
          <w:color w:val="auto"/>
          <w:sz w:val="24"/>
        </w:rPr>
        <w:t>（4）安全保障、适度开放</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充分考虑信息安全对系统的重要性，建立可靠的安全保障体系，对非法侵入、非法攻击和网络计算机病毒应具有很强的防范能力。数据传输、数据查询和数据更新等操作须经过严格的身份认证，并有相应的技术手段对数据安全和操作安全加以保护。</w:t>
      </w:r>
    </w:p>
    <w:p>
      <w:pPr>
        <w:adjustRightInd w:val="0"/>
        <w:snapToGrid w:val="0"/>
        <w:spacing w:line="360" w:lineRule="auto"/>
        <w:ind w:firstLine="482"/>
        <w:rPr>
          <w:rFonts w:ascii="仿宋" w:hAnsi="仿宋" w:eastAsia="仿宋" w:cs="仿宋"/>
          <w:b/>
          <w:color w:val="auto"/>
          <w:sz w:val="24"/>
        </w:rPr>
      </w:pPr>
      <w:r>
        <w:rPr>
          <w:rFonts w:hint="eastAsia" w:ascii="仿宋" w:hAnsi="仿宋" w:eastAsia="仿宋" w:cs="仿宋"/>
          <w:b/>
          <w:color w:val="auto"/>
          <w:sz w:val="24"/>
        </w:rPr>
        <w:t>（5）高效管理、运维保障</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项目方案在提供基本的系统应用功能实现方式外，在测试、实施、培训、运维等过程，提出了系统性的、经过多个大型项目验证的管理体系，尤其针对项目发生的变更，有明确的流程和人员负责，保障了项目按进度顺利实施和确保客户放心使用。</w:t>
      </w:r>
      <w:bookmarkStart w:id="242" w:name="_Toc40254210"/>
    </w:p>
    <w:p>
      <w:pPr>
        <w:widowControl/>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4.技术架构要求</w:t>
      </w:r>
      <w:bookmarkEnd w:id="242"/>
    </w:p>
    <w:p>
      <w:pPr>
        <w:pStyle w:val="9"/>
        <w:spacing w:line="360" w:lineRule="auto"/>
        <w:ind w:left="221" w:right="318" w:firstLine="482"/>
        <w:rPr>
          <w:rFonts w:ascii="仿宋" w:hAnsi="仿宋" w:eastAsia="仿宋" w:cs="仿宋"/>
          <w:color w:val="auto"/>
          <w:spacing w:val="-9"/>
          <w:sz w:val="24"/>
        </w:rPr>
      </w:pPr>
      <w:r>
        <w:rPr>
          <w:rFonts w:hint="eastAsia" w:ascii="仿宋" w:hAnsi="仿宋" w:eastAsia="仿宋" w:cs="仿宋"/>
          <w:color w:val="auto"/>
          <w:spacing w:val="-9"/>
          <w:sz w:val="24"/>
        </w:rPr>
        <w:t>根据国家医疗保障局医疗保障信息平台规划建设要求，海南省医疗保障信息平台采用国家医疗保障局医疗保障信息平台统一的技术架构。</w:t>
      </w:r>
    </w:p>
    <w:p>
      <w:pPr>
        <w:pStyle w:val="9"/>
        <w:spacing w:line="360" w:lineRule="auto"/>
        <w:ind w:left="221" w:right="318" w:firstLine="482"/>
        <w:rPr>
          <w:rFonts w:ascii="仿宋" w:hAnsi="仿宋" w:eastAsia="仿宋" w:cs="仿宋"/>
          <w:color w:val="auto"/>
          <w:spacing w:val="-9"/>
          <w:sz w:val="24"/>
        </w:rPr>
      </w:pPr>
      <w:r>
        <w:rPr>
          <w:rFonts w:hint="eastAsia" w:ascii="仿宋" w:hAnsi="仿宋" w:eastAsia="仿宋" w:cs="仿宋"/>
          <w:color w:val="auto"/>
          <w:spacing w:val="-9"/>
          <w:sz w:val="24"/>
        </w:rPr>
        <w:t>总体技术架构采用分布式云架构，在基础设施层上，结合云平台，提供分布式服务支撑。通过业务中台构建业务中心，开展交易型应用；通过数据中台实现数据汇聚、数据治理等，开展大数据应用。基于统一的技术框架建设医保智能监管。</w:t>
      </w:r>
    </w:p>
    <w:p>
      <w:pPr>
        <w:pStyle w:val="9"/>
        <w:spacing w:line="360" w:lineRule="auto"/>
        <w:ind w:left="221" w:right="318" w:firstLine="482"/>
        <w:rPr>
          <w:rFonts w:ascii="仿宋" w:hAnsi="仿宋" w:eastAsia="仿宋" w:cs="仿宋"/>
          <w:color w:val="auto"/>
          <w:spacing w:val="-9"/>
          <w:sz w:val="24"/>
        </w:rPr>
      </w:pPr>
      <w:r>
        <w:rPr>
          <w:rFonts w:hint="eastAsia" w:ascii="仿宋" w:hAnsi="仿宋" w:eastAsia="仿宋" w:cs="仿宋"/>
          <w:color w:val="auto"/>
          <w:spacing w:val="-9"/>
          <w:sz w:val="24"/>
        </w:rPr>
        <w:t>（1）应用系统：所有业务应用系统都必须基于医疗保障应用框架（HealthcareSecurity Application Framework，简称：HSAF）开发。</w:t>
      </w:r>
    </w:p>
    <w:p>
      <w:pPr>
        <w:pStyle w:val="9"/>
        <w:spacing w:line="360" w:lineRule="auto"/>
        <w:ind w:left="221" w:right="318" w:firstLine="482"/>
        <w:rPr>
          <w:rFonts w:ascii="仿宋" w:hAnsi="仿宋" w:eastAsia="仿宋" w:cs="仿宋"/>
          <w:color w:val="auto"/>
          <w:spacing w:val="-9"/>
          <w:sz w:val="24"/>
        </w:rPr>
      </w:pPr>
      <w:r>
        <w:rPr>
          <w:rFonts w:hint="eastAsia" w:ascii="仿宋" w:hAnsi="仿宋" w:eastAsia="仿宋" w:cs="仿宋"/>
          <w:color w:val="auto"/>
          <w:spacing w:val="-9"/>
          <w:sz w:val="24"/>
        </w:rPr>
        <w:t>HSAF 框架：采用分布式云架构，封装核心云支撑服务适配接口，用于实现云产品解耦设计。</w:t>
      </w:r>
    </w:p>
    <w:p>
      <w:pPr>
        <w:pStyle w:val="9"/>
        <w:spacing w:line="360" w:lineRule="auto"/>
        <w:ind w:left="221" w:right="318" w:firstLine="482"/>
        <w:rPr>
          <w:rFonts w:ascii="仿宋" w:hAnsi="仿宋" w:eastAsia="仿宋" w:cs="仿宋"/>
          <w:color w:val="auto"/>
          <w:spacing w:val="-9"/>
          <w:sz w:val="24"/>
        </w:rPr>
      </w:pPr>
      <w:r>
        <w:rPr>
          <w:rFonts w:hint="eastAsia" w:ascii="仿宋" w:hAnsi="仿宋" w:eastAsia="仿宋" w:cs="仿宋"/>
          <w:color w:val="auto"/>
          <w:spacing w:val="-9"/>
          <w:sz w:val="24"/>
        </w:rPr>
        <w:t>（2）适配层：基于HSAF 的适配技术，将应用层依赖的分布式技术与具体厂商的分布式技术进行适配，实现应用层可以适配多家厂商的分布式技术。</w:t>
      </w:r>
    </w:p>
    <w:p>
      <w:pPr>
        <w:pStyle w:val="9"/>
        <w:spacing w:line="360" w:lineRule="auto"/>
        <w:ind w:left="221" w:right="318" w:firstLine="482"/>
        <w:rPr>
          <w:rFonts w:ascii="仿宋" w:hAnsi="仿宋" w:eastAsia="仿宋" w:cs="仿宋"/>
          <w:color w:val="auto"/>
          <w:spacing w:val="-9"/>
          <w:sz w:val="24"/>
        </w:rPr>
      </w:pPr>
      <w:r>
        <w:rPr>
          <w:rFonts w:hint="eastAsia" w:ascii="仿宋" w:hAnsi="仿宋" w:eastAsia="仿宋" w:cs="仿宋"/>
          <w:color w:val="auto"/>
          <w:spacing w:val="-9"/>
          <w:sz w:val="24"/>
        </w:rPr>
        <w:t>（3）云支撑服务层：基于云基础设施，为应用层提供通用的技术支撑服务，包括分布式服务、分布式缓存、分布式数据访问、分布式日志服务、非结构化存储和消息队列等。</w:t>
      </w:r>
    </w:p>
    <w:p>
      <w:pPr>
        <w:pStyle w:val="9"/>
        <w:spacing w:line="360" w:lineRule="auto"/>
        <w:ind w:left="221" w:right="318" w:firstLine="482"/>
        <w:rPr>
          <w:rFonts w:ascii="仿宋" w:hAnsi="仿宋" w:eastAsia="仿宋" w:cs="仿宋"/>
          <w:color w:val="auto"/>
          <w:spacing w:val="-9"/>
          <w:sz w:val="24"/>
        </w:rPr>
      </w:pPr>
      <w:r>
        <w:rPr>
          <w:rFonts w:hint="eastAsia" w:ascii="仿宋" w:hAnsi="仿宋" w:eastAsia="仿宋" w:cs="仿宋"/>
          <w:color w:val="auto"/>
          <w:spacing w:val="-9"/>
          <w:sz w:val="24"/>
        </w:rPr>
        <w:t>（4）云基础设施层：采用云架构，在物理设备基础上，实现计算资源、存储资源、网络资源的动态管理和资源调配。</w:t>
      </w:r>
    </w:p>
    <w:p>
      <w:pPr>
        <w:widowControl/>
        <w:spacing w:line="360" w:lineRule="auto"/>
        <w:jc w:val="left"/>
        <w:rPr>
          <w:rFonts w:ascii="仿宋" w:hAnsi="仿宋" w:eastAsia="仿宋" w:cs="仿宋"/>
          <w:b/>
          <w:bCs/>
          <w:color w:val="auto"/>
          <w:sz w:val="24"/>
        </w:rPr>
      </w:pPr>
      <w:bookmarkStart w:id="243" w:name="_Toc40254211"/>
      <w:r>
        <w:rPr>
          <w:rFonts w:hint="eastAsia" w:ascii="仿宋" w:hAnsi="仿宋" w:eastAsia="仿宋" w:cs="仿宋"/>
          <w:b/>
          <w:bCs/>
          <w:color w:val="auto"/>
          <w:sz w:val="24"/>
        </w:rPr>
        <w:t>5.医保综合管控系统功能要求</w:t>
      </w:r>
      <w:bookmarkEnd w:id="243"/>
    </w:p>
    <w:p>
      <w:pPr>
        <w:pStyle w:val="20"/>
        <w:spacing w:line="360" w:lineRule="auto"/>
        <w:ind w:firstLine="236" w:firstLineChars="98"/>
        <w:rPr>
          <w:rFonts w:ascii="仿宋" w:hAnsi="仿宋" w:eastAsia="仿宋" w:cs="仿宋"/>
          <w:b/>
          <w:bCs/>
          <w:color w:val="auto"/>
          <w:sz w:val="24"/>
          <w:szCs w:val="24"/>
        </w:rPr>
      </w:pPr>
      <w:bookmarkStart w:id="244" w:name="_Toc40254212"/>
      <w:bookmarkStart w:id="245" w:name="_Toc15679444"/>
      <w:r>
        <w:rPr>
          <w:rFonts w:hint="eastAsia" w:ascii="仿宋" w:hAnsi="仿宋" w:eastAsia="仿宋" w:cs="仿宋"/>
          <w:b/>
          <w:bCs/>
          <w:color w:val="auto"/>
          <w:sz w:val="24"/>
          <w:szCs w:val="24"/>
        </w:rPr>
        <w:t>5.1医疗保障智能监管</w:t>
      </w:r>
      <w:bookmarkEnd w:id="244"/>
    </w:p>
    <w:bookmarkEnd w:id="245"/>
    <w:p>
      <w:pPr>
        <w:pStyle w:val="20"/>
        <w:numPr>
          <w:ilvl w:val="0"/>
          <w:numId w:val="19"/>
        </w:numPr>
        <w:spacing w:line="360" w:lineRule="auto"/>
        <w:ind w:firstLineChars="0"/>
        <w:rPr>
          <w:rFonts w:ascii="仿宋" w:hAnsi="仿宋" w:eastAsia="仿宋" w:cs="仿宋"/>
          <w:b/>
          <w:bCs/>
          <w:color w:val="auto"/>
          <w:sz w:val="24"/>
          <w:szCs w:val="24"/>
        </w:rPr>
      </w:pPr>
      <w:bookmarkStart w:id="246" w:name="_Toc40254213"/>
      <w:r>
        <w:rPr>
          <w:rFonts w:hint="eastAsia" w:ascii="仿宋" w:hAnsi="仿宋" w:eastAsia="仿宋" w:cs="仿宋"/>
          <w:b/>
          <w:bCs/>
          <w:color w:val="auto"/>
          <w:sz w:val="24"/>
          <w:szCs w:val="24"/>
        </w:rPr>
        <w:t>知识库管理</w:t>
      </w:r>
      <w:bookmarkEnd w:id="246"/>
    </w:p>
    <w:p>
      <w:pPr>
        <w:ind w:left="420"/>
        <w:rPr>
          <w:rFonts w:ascii="仿宋" w:hAnsi="仿宋" w:eastAsia="仿宋" w:cs="仿宋"/>
          <w:color w:val="auto"/>
          <w:spacing w:val="-9"/>
          <w:sz w:val="24"/>
          <w:lang w:val="zh-CN" w:bidi="zh-CN"/>
        </w:rPr>
      </w:pPr>
      <w:r>
        <w:rPr>
          <w:rFonts w:hint="eastAsia" w:ascii="仿宋" w:hAnsi="仿宋" w:eastAsia="仿宋" w:cs="仿宋"/>
          <w:color w:val="auto"/>
          <w:spacing w:val="-9"/>
          <w:sz w:val="24"/>
          <w:lang w:val="zh-CN" w:bidi="zh-CN"/>
        </w:rPr>
        <w:t>知识库</w:t>
      </w:r>
      <w:r>
        <w:rPr>
          <w:rFonts w:ascii="仿宋" w:hAnsi="仿宋" w:eastAsia="仿宋" w:cs="仿宋"/>
          <w:color w:val="auto"/>
          <w:spacing w:val="-9"/>
          <w:sz w:val="24"/>
          <w:lang w:val="zh-CN" w:bidi="zh-CN"/>
        </w:rPr>
        <w:t>参照的上位标准以国家</w:t>
      </w:r>
      <w:r>
        <w:rPr>
          <w:rFonts w:hint="eastAsia" w:ascii="仿宋" w:hAnsi="仿宋" w:eastAsia="仿宋" w:cs="仿宋"/>
          <w:color w:val="auto"/>
          <w:spacing w:val="-9"/>
          <w:sz w:val="24"/>
          <w:lang w:val="zh-CN" w:bidi="zh-CN"/>
        </w:rPr>
        <w:t>标准</w:t>
      </w:r>
      <w:r>
        <w:rPr>
          <w:rFonts w:ascii="仿宋" w:hAnsi="仿宋" w:eastAsia="仿宋" w:cs="仿宋"/>
          <w:color w:val="auto"/>
          <w:spacing w:val="-9"/>
          <w:sz w:val="24"/>
          <w:lang w:val="zh-CN" w:bidi="zh-CN"/>
        </w:rPr>
        <w:t>优先，其次地方标准和行业标准</w:t>
      </w:r>
      <w:r>
        <w:rPr>
          <w:rFonts w:hint="eastAsia" w:ascii="仿宋" w:hAnsi="仿宋" w:eastAsia="仿宋" w:cs="仿宋"/>
          <w:color w:val="auto"/>
          <w:spacing w:val="-9"/>
          <w:sz w:val="24"/>
          <w:lang w:val="zh-CN" w:bidi="zh-CN"/>
        </w:rPr>
        <w:t>。</w:t>
      </w:r>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知识库提供监控规则库需要的知识数据，监控规则库负责将医学知识库的中知识数据转换成规则引擎可执行的数据用来对就诊结算数据进行筛查。知识库管理主要包含医保管理类知识库、临床诊断知识库、药品知识库、诊疗项目知识库、临床路径知识库、知识调取、本地知识上报等各类知识的管理。</w:t>
      </w:r>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提供疾病资料库疾病名称、来源说明、临床表现、相关检查、诊断标准及并发症等知识的维护，同时提供所有知识库数据分类统计。</w:t>
      </w:r>
    </w:p>
    <w:p>
      <w:pPr>
        <w:pStyle w:val="20"/>
        <w:numPr>
          <w:ilvl w:val="0"/>
          <w:numId w:val="19"/>
        </w:numPr>
        <w:spacing w:line="360" w:lineRule="auto"/>
        <w:ind w:firstLineChars="0"/>
        <w:rPr>
          <w:rFonts w:ascii="仿宋" w:hAnsi="仿宋" w:eastAsia="仿宋" w:cs="仿宋"/>
          <w:b/>
          <w:bCs/>
          <w:color w:val="auto"/>
          <w:sz w:val="24"/>
          <w:szCs w:val="24"/>
        </w:rPr>
      </w:pPr>
      <w:bookmarkStart w:id="247" w:name="_Toc40254214"/>
      <w:bookmarkStart w:id="248" w:name="_Toc15679445"/>
      <w:r>
        <w:rPr>
          <w:rFonts w:hint="eastAsia" w:ascii="仿宋" w:hAnsi="仿宋" w:eastAsia="仿宋" w:cs="仿宋"/>
          <w:b/>
          <w:bCs/>
          <w:color w:val="auto"/>
          <w:sz w:val="24"/>
          <w:szCs w:val="24"/>
        </w:rPr>
        <w:t>规则引擎管理</w:t>
      </w:r>
      <w:bookmarkEnd w:id="247"/>
      <w:bookmarkEnd w:id="248"/>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用于对医保智能规则引擎工具的管理，实现监管规则的配置、调度，包括规则引擎管理和监控规则引擎管理。其中监控规则引擎涵盖智能视频引擎、大数据引擎、场景规则引擎、风险引擎、生物识别引擎等。</w:t>
      </w:r>
    </w:p>
    <w:p>
      <w:pPr>
        <w:pStyle w:val="20"/>
        <w:numPr>
          <w:ilvl w:val="0"/>
          <w:numId w:val="19"/>
        </w:numPr>
        <w:spacing w:line="360" w:lineRule="auto"/>
        <w:ind w:firstLineChars="0"/>
        <w:rPr>
          <w:rFonts w:ascii="仿宋" w:hAnsi="仿宋" w:eastAsia="仿宋" w:cs="仿宋"/>
          <w:b/>
          <w:bCs/>
          <w:color w:val="auto"/>
          <w:sz w:val="24"/>
          <w:szCs w:val="24"/>
        </w:rPr>
      </w:pPr>
      <w:bookmarkStart w:id="249" w:name="_Toc15679446"/>
      <w:bookmarkStart w:id="250" w:name="_Toc40254215"/>
      <w:r>
        <w:rPr>
          <w:rFonts w:hint="eastAsia" w:ascii="仿宋" w:hAnsi="仿宋" w:eastAsia="仿宋" w:cs="仿宋"/>
          <w:b/>
          <w:bCs/>
          <w:color w:val="auto"/>
          <w:sz w:val="24"/>
          <w:szCs w:val="24"/>
        </w:rPr>
        <w:t>资源库管理管理</w:t>
      </w:r>
      <w:bookmarkEnd w:id="249"/>
      <w:bookmarkEnd w:id="250"/>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针对综合监管所需各类资源提供统一的整理、清洗、存储和查询，包括视频资源库、图像资源库、生物特征库、监控记录库、异常预警库、黑名单库等。</w:t>
      </w:r>
    </w:p>
    <w:p>
      <w:pPr>
        <w:pStyle w:val="20"/>
        <w:numPr>
          <w:ilvl w:val="0"/>
          <w:numId w:val="19"/>
        </w:numPr>
        <w:spacing w:line="360" w:lineRule="auto"/>
        <w:ind w:firstLineChars="0"/>
        <w:rPr>
          <w:rFonts w:ascii="仿宋" w:hAnsi="仿宋" w:eastAsia="仿宋" w:cs="仿宋"/>
          <w:b/>
          <w:bCs/>
          <w:color w:val="auto"/>
          <w:sz w:val="24"/>
          <w:szCs w:val="24"/>
        </w:rPr>
      </w:pPr>
      <w:bookmarkStart w:id="251" w:name="_Toc40254216"/>
      <w:r>
        <w:rPr>
          <w:rFonts w:hint="eastAsia" w:ascii="仿宋" w:hAnsi="仿宋" w:eastAsia="仿宋" w:cs="仿宋"/>
          <w:b/>
          <w:bCs/>
          <w:color w:val="auto"/>
          <w:sz w:val="24"/>
          <w:szCs w:val="24"/>
        </w:rPr>
        <w:t>事前提醒</w:t>
      </w:r>
      <w:bookmarkEnd w:id="251"/>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根据智能监管规则，实现对医疗行为和就医资格的事前提醒，防患医保违规行为发生</w:t>
      </w:r>
      <w:r>
        <w:rPr>
          <w:rFonts w:ascii="仿宋" w:hAnsi="仿宋" w:eastAsia="仿宋" w:cs="仿宋"/>
          <w:color w:val="auto"/>
          <w:spacing w:val="-9"/>
          <w:sz w:val="24"/>
        </w:rPr>
        <w:t>以及对重复、</w:t>
      </w:r>
      <w:r>
        <w:rPr>
          <w:rFonts w:hint="eastAsia" w:ascii="仿宋" w:hAnsi="仿宋" w:eastAsia="仿宋" w:cs="仿宋"/>
          <w:color w:val="auto"/>
          <w:spacing w:val="-9"/>
          <w:sz w:val="24"/>
        </w:rPr>
        <w:t>分</w:t>
      </w:r>
      <w:r>
        <w:rPr>
          <w:rFonts w:ascii="仿宋" w:hAnsi="仿宋" w:eastAsia="仿宋" w:cs="仿宋"/>
          <w:color w:val="auto"/>
          <w:spacing w:val="-9"/>
          <w:sz w:val="24"/>
        </w:rPr>
        <w:t>解和扩大收费智能提醒</w:t>
      </w:r>
      <w:r>
        <w:rPr>
          <w:rFonts w:hint="eastAsia" w:ascii="仿宋" w:hAnsi="仿宋" w:eastAsia="仿宋" w:cs="仿宋"/>
          <w:color w:val="auto"/>
          <w:spacing w:val="-9"/>
          <w:sz w:val="24"/>
        </w:rPr>
        <w:t>。</w:t>
      </w:r>
    </w:p>
    <w:p>
      <w:pPr>
        <w:pStyle w:val="20"/>
        <w:numPr>
          <w:ilvl w:val="0"/>
          <w:numId w:val="19"/>
        </w:numPr>
        <w:spacing w:line="360" w:lineRule="auto"/>
        <w:ind w:firstLineChars="0"/>
        <w:rPr>
          <w:rFonts w:ascii="仿宋" w:hAnsi="仿宋" w:eastAsia="仿宋" w:cs="仿宋"/>
          <w:b/>
          <w:bCs/>
          <w:color w:val="auto"/>
          <w:sz w:val="24"/>
          <w:szCs w:val="24"/>
        </w:rPr>
      </w:pPr>
      <w:bookmarkStart w:id="252" w:name="_Toc40254217"/>
      <w:bookmarkStart w:id="253" w:name="_Toc15679448"/>
      <w:r>
        <w:rPr>
          <w:rFonts w:hint="eastAsia" w:ascii="仿宋" w:hAnsi="仿宋" w:eastAsia="仿宋" w:cs="仿宋"/>
          <w:b/>
          <w:bCs/>
          <w:color w:val="auto"/>
          <w:sz w:val="24"/>
          <w:szCs w:val="24"/>
        </w:rPr>
        <w:t>事中控制</w:t>
      </w:r>
      <w:bookmarkEnd w:id="252"/>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根据智能监管规则，实现对诊疗行为的事中控制，提醒监管人员及时对违规行为进行处理，提供诊疗行为监管和远程查房管理功能。</w:t>
      </w:r>
    </w:p>
    <w:p>
      <w:pPr>
        <w:pStyle w:val="20"/>
        <w:numPr>
          <w:ilvl w:val="0"/>
          <w:numId w:val="19"/>
        </w:numPr>
        <w:spacing w:line="360" w:lineRule="auto"/>
        <w:ind w:firstLineChars="0"/>
        <w:rPr>
          <w:rFonts w:ascii="仿宋" w:hAnsi="仿宋" w:eastAsia="仿宋" w:cs="仿宋"/>
          <w:b/>
          <w:bCs/>
          <w:color w:val="auto"/>
          <w:sz w:val="24"/>
          <w:szCs w:val="24"/>
        </w:rPr>
      </w:pPr>
      <w:bookmarkStart w:id="254" w:name="_Toc40254218"/>
      <w:r>
        <w:rPr>
          <w:rFonts w:hint="eastAsia" w:ascii="仿宋" w:hAnsi="仿宋" w:eastAsia="仿宋" w:cs="仿宋"/>
          <w:b/>
          <w:bCs/>
          <w:color w:val="auto"/>
          <w:sz w:val="24"/>
          <w:szCs w:val="24"/>
        </w:rPr>
        <w:t>事后审核</w:t>
      </w:r>
      <w:bookmarkEnd w:id="254"/>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通过对比分析医保结算数据，实现对医保违规行为的智能审核，对医疗行为进行监管。包括但不限于智能审核、医疗项目审核、扣款申诉管理和场景监控管理等功能。</w:t>
      </w:r>
    </w:p>
    <w:p>
      <w:pPr>
        <w:pStyle w:val="20"/>
        <w:numPr>
          <w:ilvl w:val="0"/>
          <w:numId w:val="19"/>
        </w:numPr>
        <w:spacing w:line="360" w:lineRule="auto"/>
        <w:ind w:firstLineChars="0"/>
        <w:rPr>
          <w:rFonts w:ascii="仿宋" w:hAnsi="仿宋" w:eastAsia="仿宋" w:cs="仿宋"/>
          <w:b/>
          <w:bCs/>
          <w:color w:val="auto"/>
          <w:sz w:val="24"/>
          <w:szCs w:val="24"/>
        </w:rPr>
      </w:pPr>
      <w:bookmarkStart w:id="255" w:name="_Toc40254219"/>
      <w:r>
        <w:rPr>
          <w:rFonts w:hint="eastAsia" w:ascii="仿宋" w:hAnsi="仿宋" w:eastAsia="仿宋" w:cs="仿宋"/>
          <w:b/>
          <w:bCs/>
          <w:color w:val="auto"/>
          <w:sz w:val="24"/>
          <w:szCs w:val="24"/>
        </w:rPr>
        <w:t>药品进销存管理</w:t>
      </w:r>
      <w:bookmarkEnd w:id="255"/>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通过对定点医药机构药品基础信息、中心商品名药品、销售数量、销售价格、违规刷卡、大量销售、大额销售、大单价销售、入库情况、出库情况等关键性指标进行分析比对，发现违规疑点。</w:t>
      </w:r>
    </w:p>
    <w:p>
      <w:pPr>
        <w:pStyle w:val="20"/>
        <w:numPr>
          <w:ilvl w:val="0"/>
          <w:numId w:val="19"/>
        </w:numPr>
        <w:spacing w:line="360" w:lineRule="auto"/>
        <w:ind w:firstLineChars="0"/>
        <w:rPr>
          <w:rFonts w:ascii="仿宋" w:hAnsi="仿宋" w:eastAsia="仿宋" w:cs="仿宋"/>
          <w:b/>
          <w:bCs/>
          <w:color w:val="auto"/>
          <w:sz w:val="24"/>
          <w:szCs w:val="24"/>
        </w:rPr>
      </w:pPr>
      <w:bookmarkStart w:id="256" w:name="_Toc40254220"/>
      <w:r>
        <w:rPr>
          <w:rFonts w:hint="eastAsia" w:ascii="仿宋" w:hAnsi="仿宋" w:eastAsia="仿宋" w:cs="仿宋"/>
          <w:b/>
          <w:bCs/>
          <w:color w:val="auto"/>
          <w:sz w:val="24"/>
          <w:szCs w:val="24"/>
        </w:rPr>
        <w:t>经办人员监管</w:t>
      </w:r>
      <w:bookmarkEnd w:id="256"/>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针对经办人员业务经办工作、服务行为、组织规模进行智能监管，防范经办风险，提升经办满意度。</w:t>
      </w:r>
    </w:p>
    <w:p>
      <w:pPr>
        <w:pStyle w:val="20"/>
        <w:numPr>
          <w:ilvl w:val="0"/>
          <w:numId w:val="19"/>
        </w:numPr>
        <w:spacing w:line="360" w:lineRule="auto"/>
        <w:ind w:firstLineChars="0"/>
        <w:rPr>
          <w:rFonts w:ascii="仿宋" w:hAnsi="仿宋" w:eastAsia="仿宋" w:cs="仿宋"/>
          <w:b/>
          <w:bCs/>
          <w:color w:val="auto"/>
          <w:sz w:val="24"/>
          <w:szCs w:val="24"/>
        </w:rPr>
      </w:pPr>
      <w:bookmarkStart w:id="257" w:name="_Toc40254221"/>
      <w:r>
        <w:rPr>
          <w:rFonts w:hint="eastAsia" w:ascii="仿宋" w:hAnsi="仿宋" w:eastAsia="仿宋" w:cs="仿宋"/>
          <w:b/>
          <w:bCs/>
          <w:color w:val="auto"/>
          <w:sz w:val="24"/>
          <w:szCs w:val="24"/>
        </w:rPr>
        <w:t>工作人员监管</w:t>
      </w:r>
      <w:bookmarkEnd w:id="257"/>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针对工作人员职能工作、工作行为、权责行使进行智能监管，防范工作风险，提升工作满意度。</w:t>
      </w:r>
    </w:p>
    <w:p>
      <w:pPr>
        <w:pStyle w:val="20"/>
        <w:spacing w:line="360" w:lineRule="auto"/>
        <w:ind w:firstLineChars="0"/>
        <w:rPr>
          <w:rFonts w:ascii="仿宋" w:hAnsi="仿宋" w:eastAsia="仿宋" w:cs="仿宋"/>
          <w:b/>
          <w:bCs/>
          <w:color w:val="auto"/>
          <w:sz w:val="24"/>
          <w:szCs w:val="24"/>
        </w:rPr>
      </w:pPr>
      <w:bookmarkStart w:id="258" w:name="_Toc40254222"/>
      <w:r>
        <w:rPr>
          <w:rFonts w:hint="eastAsia" w:ascii="仿宋" w:hAnsi="仿宋" w:eastAsia="仿宋" w:cs="仿宋"/>
          <w:b/>
          <w:bCs/>
          <w:color w:val="auto"/>
          <w:sz w:val="24"/>
          <w:szCs w:val="24"/>
        </w:rPr>
        <w:t>（10）经办机构监管</w:t>
      </w:r>
      <w:bookmarkEnd w:id="258"/>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针对经办机构职能工作、服务、组织和政策落实进行智能监管，防范机构经办风险，提升经办机构整体满意度。</w:t>
      </w:r>
    </w:p>
    <w:p>
      <w:pPr>
        <w:pStyle w:val="20"/>
        <w:numPr>
          <w:ilvl w:val="0"/>
          <w:numId w:val="20"/>
        </w:numPr>
        <w:spacing w:line="360" w:lineRule="auto"/>
        <w:ind w:firstLineChars="0"/>
        <w:rPr>
          <w:rFonts w:ascii="仿宋" w:hAnsi="仿宋" w:eastAsia="仿宋" w:cs="仿宋"/>
          <w:b/>
          <w:bCs/>
          <w:color w:val="auto"/>
          <w:sz w:val="24"/>
          <w:szCs w:val="24"/>
        </w:rPr>
      </w:pPr>
      <w:bookmarkStart w:id="259" w:name="_Toc40254223"/>
      <w:r>
        <w:rPr>
          <w:rFonts w:hint="eastAsia" w:ascii="仿宋" w:hAnsi="仿宋" w:eastAsia="仿宋" w:cs="仿宋"/>
          <w:b/>
          <w:bCs/>
          <w:color w:val="auto"/>
          <w:sz w:val="24"/>
          <w:szCs w:val="24"/>
        </w:rPr>
        <w:t>省医保局部门监管</w:t>
      </w:r>
      <w:bookmarkEnd w:id="259"/>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针对省医保局各部门智能工作、工作情况进行智能监管，规范各部门工作。</w:t>
      </w:r>
    </w:p>
    <w:p>
      <w:pPr>
        <w:pStyle w:val="20"/>
        <w:numPr>
          <w:ilvl w:val="0"/>
          <w:numId w:val="20"/>
        </w:numPr>
        <w:spacing w:line="360" w:lineRule="auto"/>
        <w:ind w:firstLineChars="0"/>
        <w:rPr>
          <w:rFonts w:ascii="仿宋" w:hAnsi="仿宋" w:eastAsia="仿宋" w:cs="仿宋"/>
          <w:b/>
          <w:bCs/>
          <w:color w:val="auto"/>
          <w:sz w:val="24"/>
          <w:szCs w:val="24"/>
        </w:rPr>
      </w:pPr>
      <w:bookmarkStart w:id="260" w:name="_Toc40254224"/>
      <w:r>
        <w:rPr>
          <w:rFonts w:hint="eastAsia" w:ascii="仿宋" w:hAnsi="仿宋" w:eastAsia="仿宋" w:cs="仿宋"/>
          <w:b/>
          <w:bCs/>
          <w:color w:val="auto"/>
          <w:sz w:val="24"/>
          <w:szCs w:val="24"/>
        </w:rPr>
        <w:t>参保登记监管</w:t>
      </w:r>
      <w:bookmarkEnd w:id="260"/>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参保登记业务经办过程进行智能监管，及时发现参保经办业务异常，包括职工参保登记监管（违规办理）、居民参保登记监管（违规办理）、职工异动监管（违规办理关系转移接续）、居民异动监管（违规办理迁入迁出）、灵活就业人员参保登记监管、职工调入调出监管、居民迁入迁出监管、家庭户迁入迁出监管、民政医疗救助对象参保登记监管、建档立卡扶贫对象参保登记监管等功能。</w:t>
      </w:r>
    </w:p>
    <w:p>
      <w:pPr>
        <w:pStyle w:val="20"/>
        <w:numPr>
          <w:ilvl w:val="0"/>
          <w:numId w:val="20"/>
        </w:numPr>
        <w:spacing w:line="360" w:lineRule="auto"/>
        <w:ind w:firstLineChars="0"/>
        <w:rPr>
          <w:rFonts w:ascii="仿宋" w:hAnsi="仿宋" w:eastAsia="仿宋" w:cs="仿宋"/>
          <w:b/>
          <w:bCs/>
          <w:color w:val="auto"/>
          <w:sz w:val="24"/>
          <w:szCs w:val="24"/>
        </w:rPr>
      </w:pPr>
      <w:bookmarkStart w:id="261" w:name="_Toc40254225"/>
      <w:r>
        <w:rPr>
          <w:rFonts w:hint="eastAsia" w:ascii="仿宋" w:hAnsi="仿宋" w:eastAsia="仿宋" w:cs="仿宋"/>
          <w:b/>
          <w:bCs/>
          <w:color w:val="auto"/>
          <w:sz w:val="24"/>
          <w:szCs w:val="24"/>
        </w:rPr>
        <w:t>参保缴费监管</w:t>
      </w:r>
      <w:bookmarkEnd w:id="261"/>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针对参保缴费业务经办过程进行智能监管，及时发现参保缴费经办业务异常，包括职工缴费监管（篡改缴费数据）、居民缴费监管（篡改缴费数据）、灵活就业人员缴费监管、特殊缴费监管等功能。</w:t>
      </w:r>
    </w:p>
    <w:p>
      <w:pPr>
        <w:pStyle w:val="20"/>
        <w:numPr>
          <w:ilvl w:val="0"/>
          <w:numId w:val="20"/>
        </w:numPr>
        <w:spacing w:line="360" w:lineRule="auto"/>
        <w:ind w:firstLineChars="0"/>
        <w:rPr>
          <w:rFonts w:ascii="仿宋" w:hAnsi="仿宋" w:eastAsia="仿宋" w:cs="仿宋"/>
          <w:b/>
          <w:bCs/>
          <w:color w:val="auto"/>
          <w:sz w:val="24"/>
          <w:szCs w:val="24"/>
        </w:rPr>
      </w:pPr>
      <w:bookmarkStart w:id="262" w:name="_Toc40254226"/>
      <w:r>
        <w:rPr>
          <w:rFonts w:hint="eastAsia" w:ascii="仿宋" w:hAnsi="仿宋" w:eastAsia="仿宋" w:cs="仿宋"/>
          <w:b/>
          <w:bCs/>
          <w:color w:val="auto"/>
          <w:sz w:val="24"/>
          <w:szCs w:val="24"/>
        </w:rPr>
        <w:t>个人待遇监管</w:t>
      </w:r>
      <w:bookmarkEnd w:id="262"/>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个人享受的医保待遇进行智能监管，及时发现个人待遇异常，包括个人待遇计算监管、个人待遇资格监管（违规办理医保待遇、丧失资格继续领取）、个人待遇支付监管（违规支付医保费用）、生育待遇监管、个人账户监管（套刷套现）、一站式结算监管等功能。</w:t>
      </w:r>
    </w:p>
    <w:p>
      <w:pPr>
        <w:pStyle w:val="20"/>
        <w:numPr>
          <w:ilvl w:val="0"/>
          <w:numId w:val="20"/>
        </w:numPr>
        <w:spacing w:line="360" w:lineRule="auto"/>
        <w:ind w:firstLineChars="0"/>
        <w:rPr>
          <w:rFonts w:ascii="仿宋" w:hAnsi="仿宋" w:eastAsia="仿宋" w:cs="仿宋"/>
          <w:b/>
          <w:bCs/>
          <w:color w:val="auto"/>
          <w:sz w:val="24"/>
          <w:szCs w:val="24"/>
        </w:rPr>
      </w:pPr>
      <w:bookmarkStart w:id="263" w:name="_Toc40254227"/>
      <w:r>
        <w:rPr>
          <w:rFonts w:hint="eastAsia" w:ascii="仿宋" w:hAnsi="仿宋" w:eastAsia="仿宋" w:cs="仿宋"/>
          <w:b/>
          <w:bCs/>
          <w:color w:val="auto"/>
          <w:sz w:val="24"/>
          <w:szCs w:val="24"/>
        </w:rPr>
        <w:t>异地就医监管</w:t>
      </w:r>
      <w:bookmarkEnd w:id="263"/>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针对跨省异地就医备案进行智能监管。</w:t>
      </w:r>
    </w:p>
    <w:p>
      <w:pPr>
        <w:pStyle w:val="20"/>
        <w:spacing w:line="360" w:lineRule="auto"/>
        <w:ind w:firstLineChars="0"/>
        <w:rPr>
          <w:rFonts w:ascii="仿宋" w:hAnsi="仿宋" w:eastAsia="仿宋" w:cs="仿宋"/>
          <w:b/>
          <w:bCs/>
          <w:color w:val="auto"/>
          <w:sz w:val="24"/>
          <w:szCs w:val="24"/>
        </w:rPr>
      </w:pPr>
      <w:bookmarkStart w:id="264" w:name="_Toc40254228"/>
      <w:r>
        <w:rPr>
          <w:rFonts w:hint="eastAsia" w:ascii="仿宋" w:hAnsi="仿宋" w:eastAsia="仿宋" w:cs="仿宋"/>
          <w:b/>
          <w:bCs/>
          <w:color w:val="auto"/>
          <w:sz w:val="24"/>
          <w:szCs w:val="24"/>
        </w:rPr>
        <w:t>（16）定点医疗机构监管</w:t>
      </w:r>
      <w:bookmarkEnd w:id="264"/>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针对定点医疗机构进行智能监管。</w:t>
      </w:r>
    </w:p>
    <w:p>
      <w:pPr>
        <w:pStyle w:val="20"/>
        <w:spacing w:line="360" w:lineRule="auto"/>
        <w:ind w:firstLineChars="0"/>
        <w:rPr>
          <w:rFonts w:ascii="仿宋" w:hAnsi="仿宋" w:eastAsia="仿宋" w:cs="仿宋"/>
          <w:b/>
          <w:bCs/>
          <w:color w:val="auto"/>
          <w:sz w:val="24"/>
          <w:szCs w:val="24"/>
        </w:rPr>
      </w:pPr>
      <w:bookmarkStart w:id="265" w:name="_Toc40254229"/>
      <w:r>
        <w:rPr>
          <w:rFonts w:hint="eastAsia" w:ascii="仿宋" w:hAnsi="仿宋" w:eastAsia="仿宋" w:cs="仿宋"/>
          <w:b/>
          <w:bCs/>
          <w:color w:val="auto"/>
          <w:sz w:val="24"/>
          <w:szCs w:val="24"/>
        </w:rPr>
        <w:t>（17）生产流通企业监管</w:t>
      </w:r>
      <w:bookmarkEnd w:id="265"/>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针对药品生产企业和流通企业进行智能监管。</w:t>
      </w:r>
    </w:p>
    <w:p>
      <w:pPr>
        <w:pStyle w:val="20"/>
        <w:spacing w:line="360" w:lineRule="auto"/>
        <w:ind w:firstLineChars="0"/>
        <w:rPr>
          <w:rFonts w:ascii="仿宋" w:hAnsi="仿宋" w:eastAsia="仿宋" w:cs="仿宋"/>
          <w:b/>
          <w:bCs/>
          <w:color w:val="auto"/>
          <w:sz w:val="24"/>
          <w:szCs w:val="24"/>
        </w:rPr>
      </w:pPr>
      <w:bookmarkStart w:id="266" w:name="_Toc40254230"/>
      <w:r>
        <w:rPr>
          <w:rFonts w:hint="eastAsia" w:ascii="仿宋" w:hAnsi="仿宋" w:eastAsia="仿宋" w:cs="仿宋"/>
          <w:b/>
          <w:bCs/>
          <w:color w:val="auto"/>
          <w:sz w:val="24"/>
          <w:szCs w:val="24"/>
        </w:rPr>
        <w:t>（18）参保单位监管</w:t>
      </w:r>
      <w:bookmarkEnd w:id="266"/>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针对参保单位参保缴费进行智能监管，及时发现单位缴费异常，包括单位参保登记监管、单位参保缴费监管、单位合并/分户/注销监管、单位异动监管等功能。</w:t>
      </w:r>
    </w:p>
    <w:p>
      <w:pPr>
        <w:pStyle w:val="20"/>
        <w:spacing w:line="360" w:lineRule="auto"/>
        <w:ind w:firstLineChars="0"/>
        <w:rPr>
          <w:rFonts w:ascii="仿宋" w:hAnsi="仿宋" w:eastAsia="仿宋" w:cs="仿宋"/>
          <w:b/>
          <w:bCs/>
          <w:color w:val="auto"/>
          <w:sz w:val="24"/>
          <w:szCs w:val="24"/>
        </w:rPr>
      </w:pPr>
      <w:bookmarkStart w:id="267" w:name="_Toc40254231"/>
      <w:r>
        <w:rPr>
          <w:rFonts w:hint="eastAsia" w:ascii="仿宋" w:hAnsi="仿宋" w:eastAsia="仿宋" w:cs="仿宋"/>
          <w:b/>
          <w:bCs/>
          <w:color w:val="auto"/>
          <w:sz w:val="24"/>
          <w:szCs w:val="24"/>
        </w:rPr>
        <w:t>（19）商业保险公司监管</w:t>
      </w:r>
      <w:bookmarkEnd w:id="267"/>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针对商业保险服务和理赔进行智能监管。</w:t>
      </w:r>
    </w:p>
    <w:p>
      <w:pPr>
        <w:pStyle w:val="20"/>
        <w:spacing w:line="360" w:lineRule="auto"/>
        <w:ind w:firstLineChars="0"/>
        <w:rPr>
          <w:rFonts w:ascii="仿宋" w:hAnsi="仿宋" w:eastAsia="仿宋" w:cs="仿宋"/>
          <w:b/>
          <w:bCs/>
          <w:color w:val="auto"/>
          <w:sz w:val="24"/>
          <w:szCs w:val="24"/>
        </w:rPr>
      </w:pPr>
      <w:bookmarkStart w:id="268" w:name="_Toc40254232"/>
      <w:r>
        <w:rPr>
          <w:rFonts w:hint="eastAsia" w:ascii="仿宋" w:hAnsi="仿宋" w:eastAsia="仿宋" w:cs="仿宋"/>
          <w:b/>
          <w:bCs/>
          <w:color w:val="auto"/>
          <w:sz w:val="24"/>
          <w:szCs w:val="24"/>
        </w:rPr>
        <w:t>（20）经办监管</w:t>
      </w:r>
      <w:bookmarkEnd w:id="268"/>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经办过程进行智能监管，及时发现经办异常，包括参保缴费业务监管、待遇监管、个人待遇支付监管、医保结算监管、手工报销监管、异地就医监管、定点协议监管、医疗救助监管、关系转移接续监管、综合柜员制监管等功能。</w:t>
      </w:r>
    </w:p>
    <w:p>
      <w:pPr>
        <w:pStyle w:val="20"/>
        <w:numPr>
          <w:ilvl w:val="0"/>
          <w:numId w:val="21"/>
        </w:numPr>
        <w:spacing w:line="360" w:lineRule="auto"/>
        <w:ind w:firstLineChars="0"/>
        <w:rPr>
          <w:rFonts w:ascii="仿宋" w:hAnsi="仿宋" w:eastAsia="仿宋" w:cs="仿宋"/>
          <w:b/>
          <w:bCs/>
          <w:color w:val="auto"/>
          <w:sz w:val="24"/>
          <w:szCs w:val="24"/>
        </w:rPr>
      </w:pPr>
      <w:bookmarkStart w:id="269" w:name="_Toc40254233"/>
      <w:r>
        <w:rPr>
          <w:rFonts w:hint="eastAsia" w:ascii="仿宋" w:hAnsi="仿宋" w:eastAsia="仿宋" w:cs="仿宋"/>
          <w:b/>
          <w:bCs/>
          <w:color w:val="auto"/>
          <w:sz w:val="24"/>
          <w:szCs w:val="24"/>
        </w:rPr>
        <w:t>基金安全监管</w:t>
      </w:r>
      <w:bookmarkEnd w:id="269"/>
    </w:p>
    <w:p>
      <w:pPr>
        <w:pStyle w:val="9"/>
        <w:spacing w:line="360" w:lineRule="auto"/>
        <w:ind w:right="318" w:firstLine="444" w:firstLineChars="200"/>
        <w:rPr>
          <w:rFonts w:ascii="仿宋" w:hAnsi="仿宋" w:eastAsia="仿宋" w:cs="仿宋"/>
          <w:color w:val="auto"/>
          <w:sz w:val="24"/>
        </w:rPr>
      </w:pPr>
      <w:r>
        <w:rPr>
          <w:rFonts w:hint="eastAsia" w:ascii="仿宋" w:hAnsi="仿宋" w:eastAsia="仿宋" w:cs="仿宋"/>
          <w:color w:val="auto"/>
          <w:spacing w:val="-9"/>
          <w:sz w:val="24"/>
        </w:rPr>
        <w:t>针对基金征缴、支出、预决算进行智能监管，确保基金运行安全，包括统一征缴监管、财务预决算监管、基金财务收支监管、基金审计监管、基金绩效评估/处置监管、基金运行监管、医保专项基金使用情况监管等功能。</w:t>
      </w:r>
    </w:p>
    <w:p>
      <w:pPr>
        <w:pStyle w:val="20"/>
        <w:numPr>
          <w:ilvl w:val="0"/>
          <w:numId w:val="21"/>
        </w:numPr>
        <w:spacing w:line="360" w:lineRule="auto"/>
        <w:ind w:firstLineChars="0"/>
        <w:rPr>
          <w:rFonts w:ascii="仿宋" w:hAnsi="仿宋" w:eastAsia="仿宋" w:cs="仿宋"/>
          <w:b/>
          <w:bCs/>
          <w:color w:val="auto"/>
          <w:sz w:val="24"/>
          <w:szCs w:val="24"/>
        </w:rPr>
      </w:pPr>
      <w:bookmarkStart w:id="270" w:name="_Toc40254234"/>
      <w:r>
        <w:rPr>
          <w:rFonts w:hint="eastAsia" w:ascii="仿宋" w:hAnsi="仿宋" w:eastAsia="仿宋" w:cs="仿宋"/>
          <w:b/>
          <w:bCs/>
          <w:color w:val="auto"/>
          <w:sz w:val="24"/>
          <w:szCs w:val="24"/>
        </w:rPr>
        <w:t>药品和医用耗材招采监管</w:t>
      </w:r>
      <w:bookmarkEnd w:id="270"/>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针对药品和医用耗材招采过程进行智能监管，及时药品和医用耗材招采异常，包括招标采购监管、交易结算监管、生产/配送监管、药品和耗材追溯、合同履约监管、短缺</w:t>
      </w:r>
      <w:r>
        <w:rPr>
          <w:rFonts w:ascii="仿宋" w:hAnsi="仿宋" w:eastAsia="仿宋" w:cs="仿宋"/>
          <w:color w:val="auto"/>
          <w:spacing w:val="-9"/>
          <w:sz w:val="24"/>
        </w:rPr>
        <w:t>药品保供稳价监管</w:t>
      </w:r>
      <w:r>
        <w:rPr>
          <w:rFonts w:hint="eastAsia" w:ascii="仿宋" w:hAnsi="仿宋" w:eastAsia="仿宋" w:cs="仿宋"/>
          <w:color w:val="auto"/>
          <w:spacing w:val="-9"/>
          <w:sz w:val="24"/>
        </w:rPr>
        <w:t>等功能。</w:t>
      </w:r>
    </w:p>
    <w:p>
      <w:pPr>
        <w:pStyle w:val="20"/>
        <w:numPr>
          <w:ilvl w:val="0"/>
          <w:numId w:val="21"/>
        </w:numPr>
        <w:spacing w:line="360" w:lineRule="auto"/>
        <w:ind w:firstLineChars="0"/>
        <w:rPr>
          <w:rFonts w:ascii="仿宋" w:hAnsi="仿宋" w:eastAsia="仿宋" w:cs="仿宋"/>
          <w:b/>
          <w:bCs/>
          <w:color w:val="auto"/>
          <w:sz w:val="24"/>
          <w:szCs w:val="24"/>
        </w:rPr>
      </w:pPr>
      <w:bookmarkStart w:id="271" w:name="_Toc40254235"/>
      <w:r>
        <w:rPr>
          <w:rFonts w:hint="eastAsia" w:ascii="仿宋" w:hAnsi="仿宋" w:eastAsia="仿宋" w:cs="仿宋"/>
          <w:b/>
          <w:bCs/>
          <w:color w:val="auto"/>
          <w:sz w:val="24"/>
          <w:szCs w:val="24"/>
        </w:rPr>
        <w:t>制度政策制定监管</w:t>
      </w:r>
      <w:bookmarkEnd w:id="271"/>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针对制度政策制定进行智能监管。</w:t>
      </w:r>
    </w:p>
    <w:p>
      <w:pPr>
        <w:pStyle w:val="20"/>
        <w:numPr>
          <w:ilvl w:val="0"/>
          <w:numId w:val="21"/>
        </w:numPr>
        <w:spacing w:line="360" w:lineRule="auto"/>
        <w:ind w:firstLineChars="0"/>
        <w:rPr>
          <w:rFonts w:ascii="仿宋" w:hAnsi="仿宋" w:eastAsia="仿宋" w:cs="仿宋"/>
          <w:b/>
          <w:bCs/>
          <w:color w:val="auto"/>
          <w:sz w:val="24"/>
          <w:szCs w:val="24"/>
        </w:rPr>
      </w:pPr>
      <w:bookmarkStart w:id="272" w:name="_Toc40254236"/>
      <w:r>
        <w:rPr>
          <w:rFonts w:hint="eastAsia" w:ascii="仿宋" w:hAnsi="仿宋" w:eastAsia="仿宋" w:cs="仿宋"/>
          <w:b/>
          <w:bCs/>
          <w:color w:val="auto"/>
          <w:sz w:val="24"/>
          <w:szCs w:val="24"/>
        </w:rPr>
        <w:t>工作任务监管</w:t>
      </w:r>
      <w:bookmarkEnd w:id="272"/>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针对工作任务进行智能监管。</w:t>
      </w:r>
    </w:p>
    <w:p>
      <w:pPr>
        <w:pStyle w:val="20"/>
        <w:spacing w:line="360" w:lineRule="auto"/>
        <w:ind w:firstLineChars="0"/>
        <w:rPr>
          <w:rFonts w:ascii="仿宋" w:hAnsi="仿宋" w:eastAsia="仿宋" w:cs="仿宋"/>
          <w:b/>
          <w:bCs/>
          <w:color w:val="auto"/>
          <w:sz w:val="24"/>
          <w:szCs w:val="24"/>
        </w:rPr>
      </w:pPr>
      <w:bookmarkStart w:id="273" w:name="_Toc40254237"/>
      <w:r>
        <w:rPr>
          <w:rFonts w:hint="eastAsia" w:ascii="仿宋" w:hAnsi="仿宋" w:eastAsia="仿宋" w:cs="仿宋"/>
          <w:b/>
          <w:bCs/>
          <w:color w:val="auto"/>
          <w:sz w:val="24"/>
          <w:szCs w:val="24"/>
        </w:rPr>
        <w:t>（25）资产监管</w:t>
      </w:r>
      <w:bookmarkEnd w:id="273"/>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针对资产数据进行智能监管。</w:t>
      </w:r>
    </w:p>
    <w:p>
      <w:pPr>
        <w:pStyle w:val="20"/>
        <w:spacing w:line="360" w:lineRule="auto"/>
        <w:ind w:firstLineChars="0"/>
        <w:rPr>
          <w:rFonts w:ascii="仿宋" w:hAnsi="仿宋" w:eastAsia="仿宋" w:cs="仿宋"/>
          <w:b/>
          <w:bCs/>
          <w:color w:val="auto"/>
          <w:sz w:val="24"/>
          <w:szCs w:val="24"/>
        </w:rPr>
      </w:pPr>
      <w:bookmarkStart w:id="274" w:name="_Toc40254238"/>
      <w:r>
        <w:rPr>
          <w:rFonts w:hint="eastAsia" w:ascii="仿宋" w:hAnsi="仿宋" w:eastAsia="仿宋" w:cs="仿宋"/>
          <w:b/>
          <w:bCs/>
          <w:color w:val="auto"/>
          <w:sz w:val="24"/>
          <w:szCs w:val="24"/>
        </w:rPr>
        <w:t>（26）筹资监管</w:t>
      </w:r>
      <w:bookmarkEnd w:id="274"/>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针对筹资信息进行智能监管。</w:t>
      </w:r>
    </w:p>
    <w:p>
      <w:pPr>
        <w:pStyle w:val="20"/>
        <w:spacing w:line="360" w:lineRule="auto"/>
        <w:ind w:firstLineChars="0"/>
        <w:rPr>
          <w:rFonts w:ascii="仿宋" w:hAnsi="仿宋" w:eastAsia="仿宋" w:cs="仿宋"/>
          <w:b/>
          <w:bCs/>
          <w:color w:val="auto"/>
          <w:sz w:val="24"/>
          <w:szCs w:val="24"/>
        </w:rPr>
      </w:pPr>
      <w:bookmarkStart w:id="275" w:name="_Toc40254239"/>
      <w:r>
        <w:rPr>
          <w:rFonts w:hint="eastAsia" w:ascii="仿宋" w:hAnsi="仿宋" w:eastAsia="仿宋" w:cs="仿宋"/>
          <w:b/>
          <w:bCs/>
          <w:color w:val="auto"/>
          <w:sz w:val="24"/>
          <w:szCs w:val="24"/>
        </w:rPr>
        <w:t>（27）险种监管</w:t>
      </w:r>
      <w:bookmarkEnd w:id="275"/>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针对险种信息进行智能监管。</w:t>
      </w:r>
    </w:p>
    <w:p>
      <w:pPr>
        <w:pStyle w:val="20"/>
        <w:spacing w:line="360" w:lineRule="auto"/>
        <w:ind w:firstLineChars="0"/>
        <w:rPr>
          <w:rFonts w:ascii="仿宋" w:hAnsi="仿宋" w:eastAsia="仿宋" w:cs="仿宋"/>
          <w:b/>
          <w:bCs/>
          <w:color w:val="auto"/>
          <w:sz w:val="24"/>
          <w:szCs w:val="24"/>
        </w:rPr>
      </w:pPr>
      <w:bookmarkStart w:id="276" w:name="_Toc40254240"/>
      <w:r>
        <w:rPr>
          <w:rFonts w:hint="eastAsia" w:ascii="仿宋" w:hAnsi="仿宋" w:eastAsia="仿宋" w:cs="仿宋"/>
          <w:b/>
          <w:bCs/>
          <w:color w:val="auto"/>
          <w:sz w:val="24"/>
          <w:szCs w:val="24"/>
        </w:rPr>
        <w:t>（28）医疗服务价格调整监管</w:t>
      </w:r>
      <w:bookmarkEnd w:id="276"/>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针对医疗服务价格调整进行智能监管。</w:t>
      </w:r>
    </w:p>
    <w:p>
      <w:pPr>
        <w:pStyle w:val="20"/>
        <w:numPr>
          <w:ilvl w:val="0"/>
          <w:numId w:val="22"/>
        </w:numPr>
        <w:spacing w:line="360" w:lineRule="auto"/>
        <w:ind w:firstLineChars="0"/>
        <w:rPr>
          <w:rFonts w:ascii="仿宋" w:hAnsi="仿宋" w:eastAsia="仿宋" w:cs="仿宋"/>
          <w:b/>
          <w:bCs/>
          <w:color w:val="auto"/>
          <w:sz w:val="24"/>
          <w:szCs w:val="24"/>
        </w:rPr>
      </w:pPr>
      <w:bookmarkStart w:id="277" w:name="_Toc40254241"/>
      <w:r>
        <w:rPr>
          <w:rFonts w:hint="eastAsia" w:ascii="仿宋" w:hAnsi="仿宋" w:eastAsia="仿宋" w:cs="仿宋"/>
          <w:b/>
          <w:bCs/>
          <w:color w:val="auto"/>
          <w:sz w:val="24"/>
          <w:szCs w:val="24"/>
        </w:rPr>
        <w:t>支付结算方式监管</w:t>
      </w:r>
      <w:bookmarkEnd w:id="277"/>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针对支付结算方式进行智能监管。</w:t>
      </w:r>
    </w:p>
    <w:p>
      <w:pPr>
        <w:pStyle w:val="20"/>
        <w:spacing w:line="360" w:lineRule="auto"/>
        <w:ind w:firstLineChars="0"/>
        <w:rPr>
          <w:rFonts w:ascii="仿宋" w:hAnsi="仿宋" w:eastAsia="仿宋" w:cs="仿宋"/>
          <w:b/>
          <w:bCs/>
          <w:color w:val="auto"/>
          <w:sz w:val="24"/>
          <w:szCs w:val="24"/>
        </w:rPr>
      </w:pPr>
      <w:bookmarkStart w:id="278" w:name="_Toc40254242"/>
      <w:r>
        <w:rPr>
          <w:rFonts w:hint="eastAsia" w:ascii="仿宋" w:hAnsi="仿宋" w:eastAsia="仿宋" w:cs="仿宋"/>
          <w:b/>
          <w:bCs/>
          <w:color w:val="auto"/>
          <w:sz w:val="24"/>
          <w:szCs w:val="24"/>
        </w:rPr>
        <w:t>（30）医药价格监管</w:t>
      </w:r>
      <w:bookmarkEnd w:id="278"/>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针对医药价格进行智能监管。</w:t>
      </w:r>
    </w:p>
    <w:p>
      <w:pPr>
        <w:pStyle w:val="20"/>
        <w:spacing w:line="360" w:lineRule="auto"/>
        <w:ind w:firstLineChars="0"/>
        <w:rPr>
          <w:rFonts w:ascii="仿宋" w:hAnsi="仿宋" w:eastAsia="仿宋" w:cs="仿宋"/>
          <w:b/>
          <w:bCs/>
          <w:color w:val="auto"/>
          <w:sz w:val="24"/>
          <w:szCs w:val="24"/>
        </w:rPr>
      </w:pPr>
      <w:bookmarkStart w:id="279" w:name="_Toc40254243"/>
      <w:r>
        <w:rPr>
          <w:rFonts w:hint="eastAsia" w:ascii="仿宋" w:hAnsi="仿宋" w:eastAsia="仿宋" w:cs="仿宋"/>
          <w:b/>
          <w:bCs/>
          <w:color w:val="auto"/>
          <w:sz w:val="24"/>
          <w:szCs w:val="24"/>
        </w:rPr>
        <w:t>（31）准入监管</w:t>
      </w:r>
      <w:bookmarkEnd w:id="279"/>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针对医保目录、病种目录、采购目录、定点医疗机构、医疗服务价格项目、商业保险公司、医保医师等准入资格进行智能监管。</w:t>
      </w:r>
    </w:p>
    <w:p>
      <w:pPr>
        <w:pStyle w:val="20"/>
        <w:numPr>
          <w:ilvl w:val="0"/>
          <w:numId w:val="23"/>
        </w:numPr>
        <w:spacing w:line="360" w:lineRule="auto"/>
        <w:ind w:firstLineChars="0"/>
        <w:rPr>
          <w:rFonts w:ascii="仿宋" w:hAnsi="仿宋" w:eastAsia="仿宋" w:cs="仿宋"/>
          <w:b/>
          <w:bCs/>
          <w:color w:val="auto"/>
          <w:sz w:val="24"/>
          <w:szCs w:val="24"/>
        </w:rPr>
      </w:pPr>
      <w:bookmarkStart w:id="280" w:name="_Toc40254244"/>
      <w:r>
        <w:rPr>
          <w:rFonts w:hint="eastAsia" w:ascii="仿宋" w:hAnsi="仿宋" w:eastAsia="仿宋" w:cs="仿宋"/>
          <w:b/>
          <w:bCs/>
          <w:color w:val="auto"/>
          <w:sz w:val="24"/>
          <w:szCs w:val="24"/>
        </w:rPr>
        <w:t>待遇清单执行监管</w:t>
      </w:r>
      <w:bookmarkEnd w:id="280"/>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针对待遇清单执行进行智能监管，包括待遇清单目录监管、待遇清单动态调整监管、待遇清单执行跟踪监管等功能。</w:t>
      </w:r>
    </w:p>
    <w:p>
      <w:pPr>
        <w:pStyle w:val="20"/>
        <w:numPr>
          <w:ilvl w:val="0"/>
          <w:numId w:val="23"/>
        </w:numPr>
        <w:spacing w:line="360" w:lineRule="auto"/>
        <w:ind w:firstLineChars="0"/>
        <w:rPr>
          <w:rFonts w:ascii="仿宋" w:hAnsi="仿宋" w:eastAsia="仿宋" w:cs="仿宋"/>
          <w:b/>
          <w:bCs/>
          <w:color w:val="auto"/>
          <w:sz w:val="24"/>
          <w:szCs w:val="24"/>
        </w:rPr>
      </w:pPr>
      <w:bookmarkStart w:id="281" w:name="_Toc40254245"/>
      <w:r>
        <w:rPr>
          <w:rFonts w:hint="eastAsia" w:ascii="仿宋" w:hAnsi="仿宋" w:eastAsia="仿宋" w:cs="仿宋"/>
          <w:b/>
          <w:bCs/>
          <w:color w:val="auto"/>
          <w:sz w:val="24"/>
          <w:szCs w:val="24"/>
        </w:rPr>
        <w:t>执法监管</w:t>
      </w:r>
      <w:bookmarkEnd w:id="281"/>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针对执法过程合规进行智能监管，包括执法过程监管、执法证据监管、稽核过程监管等功能。</w:t>
      </w:r>
    </w:p>
    <w:p>
      <w:pPr>
        <w:pStyle w:val="20"/>
        <w:numPr>
          <w:ilvl w:val="0"/>
          <w:numId w:val="23"/>
        </w:numPr>
        <w:spacing w:line="360" w:lineRule="auto"/>
        <w:ind w:firstLineChars="0"/>
        <w:rPr>
          <w:rFonts w:ascii="仿宋" w:hAnsi="仿宋" w:eastAsia="仿宋" w:cs="仿宋"/>
          <w:b/>
          <w:bCs/>
          <w:color w:val="auto"/>
          <w:sz w:val="24"/>
          <w:szCs w:val="24"/>
        </w:rPr>
      </w:pPr>
      <w:bookmarkStart w:id="282" w:name="_Toc40254246"/>
      <w:r>
        <w:rPr>
          <w:rFonts w:hint="eastAsia" w:ascii="仿宋" w:hAnsi="仿宋" w:eastAsia="仿宋" w:cs="仿宋"/>
          <w:b/>
          <w:bCs/>
          <w:color w:val="auto"/>
          <w:sz w:val="24"/>
          <w:szCs w:val="24"/>
        </w:rPr>
        <w:t>稽核监管</w:t>
      </w:r>
      <w:bookmarkEnd w:id="282"/>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实现对稽核业务的管理，包括身份稽核、稽核记录、稽核范围管理、服务类别稽核、稽核工作管理等功能。</w:t>
      </w:r>
    </w:p>
    <w:p>
      <w:pPr>
        <w:pStyle w:val="20"/>
        <w:numPr>
          <w:ilvl w:val="0"/>
          <w:numId w:val="23"/>
        </w:numPr>
        <w:spacing w:line="360" w:lineRule="auto"/>
        <w:ind w:firstLineChars="0"/>
        <w:rPr>
          <w:rFonts w:ascii="仿宋" w:hAnsi="仿宋" w:eastAsia="仿宋" w:cs="仿宋"/>
          <w:b/>
          <w:bCs/>
          <w:color w:val="auto"/>
          <w:sz w:val="24"/>
          <w:szCs w:val="24"/>
        </w:rPr>
      </w:pPr>
      <w:bookmarkStart w:id="283" w:name="_Toc40254247"/>
      <w:r>
        <w:rPr>
          <w:rFonts w:hint="eastAsia" w:ascii="仿宋" w:hAnsi="仿宋" w:eastAsia="仿宋" w:cs="仿宋"/>
          <w:b/>
          <w:bCs/>
          <w:color w:val="auto"/>
          <w:sz w:val="24"/>
          <w:szCs w:val="24"/>
        </w:rPr>
        <w:t>调查管理</w:t>
      </w:r>
      <w:bookmarkEnd w:id="283"/>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实现对执法调查业务的管理，包括执法检查、证据链管理、调查记录管理、调查方案管理、现场检查等功能。</w:t>
      </w:r>
    </w:p>
    <w:p>
      <w:pPr>
        <w:pStyle w:val="20"/>
        <w:numPr>
          <w:ilvl w:val="0"/>
          <w:numId w:val="23"/>
        </w:numPr>
        <w:spacing w:line="360" w:lineRule="auto"/>
        <w:ind w:firstLineChars="0"/>
        <w:rPr>
          <w:rFonts w:ascii="仿宋" w:hAnsi="仿宋" w:eastAsia="仿宋" w:cs="仿宋"/>
          <w:b/>
          <w:bCs/>
          <w:color w:val="auto"/>
          <w:sz w:val="24"/>
          <w:szCs w:val="24"/>
        </w:rPr>
      </w:pPr>
      <w:bookmarkStart w:id="284" w:name="_Toc40254248"/>
      <w:r>
        <w:rPr>
          <w:rFonts w:hint="eastAsia" w:ascii="仿宋" w:hAnsi="仿宋" w:eastAsia="仿宋" w:cs="仿宋"/>
          <w:b/>
          <w:bCs/>
          <w:color w:val="auto"/>
          <w:sz w:val="24"/>
          <w:szCs w:val="24"/>
        </w:rPr>
        <w:t>审核监管处罚管理</w:t>
      </w:r>
      <w:bookmarkEnd w:id="284"/>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实现审核监管处罚业务过程的管理，包括违规处罚规则匹配、违规处罚告知、违规处罚执行、审核扣费等功能。</w:t>
      </w:r>
    </w:p>
    <w:p>
      <w:pPr>
        <w:pStyle w:val="20"/>
        <w:spacing w:line="360" w:lineRule="auto"/>
        <w:ind w:firstLineChars="0"/>
        <w:rPr>
          <w:rFonts w:ascii="仿宋" w:hAnsi="仿宋" w:eastAsia="仿宋" w:cs="仿宋"/>
          <w:b/>
          <w:bCs/>
          <w:color w:val="auto"/>
          <w:sz w:val="24"/>
          <w:szCs w:val="24"/>
        </w:rPr>
      </w:pPr>
      <w:bookmarkStart w:id="285" w:name="_Toc40254249"/>
      <w:r>
        <w:rPr>
          <w:rFonts w:hint="eastAsia" w:ascii="仿宋" w:hAnsi="仿宋" w:eastAsia="仿宋" w:cs="仿宋"/>
          <w:b/>
          <w:bCs/>
          <w:color w:val="auto"/>
          <w:sz w:val="24"/>
          <w:szCs w:val="24"/>
        </w:rPr>
        <w:t>（37）投诉举报管理</w:t>
      </w:r>
      <w:bookmarkEnd w:id="285"/>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实现投诉举报业务过程的管理，包括线下投诉举报管理、投诉举报证据备案、投诉举报信息审核、投诉举报处理、投诉举报结果反馈等功能。</w:t>
      </w:r>
    </w:p>
    <w:p>
      <w:pPr>
        <w:pStyle w:val="20"/>
        <w:spacing w:line="360" w:lineRule="auto"/>
        <w:ind w:firstLineChars="0"/>
        <w:rPr>
          <w:rFonts w:ascii="仿宋" w:hAnsi="仿宋" w:eastAsia="仿宋" w:cs="仿宋"/>
          <w:b/>
          <w:bCs/>
          <w:color w:val="auto"/>
          <w:sz w:val="24"/>
          <w:szCs w:val="24"/>
        </w:rPr>
      </w:pPr>
      <w:bookmarkStart w:id="286" w:name="_Toc40254250"/>
      <w:r>
        <w:rPr>
          <w:rFonts w:hint="eastAsia" w:ascii="仿宋" w:hAnsi="仿宋" w:eastAsia="仿宋" w:cs="仿宋"/>
          <w:b/>
          <w:bCs/>
          <w:color w:val="auto"/>
          <w:sz w:val="24"/>
          <w:szCs w:val="24"/>
        </w:rPr>
        <w:t>（38）监管检查管理</w:t>
      </w:r>
      <w:bookmarkEnd w:id="286"/>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实现监管检查业务过程的管理，包括监管线索管理、监督检查计划制定、双随机任务分派、现场监督检查、监督检查处罚、检查结果公布、行政执法文书模板等功能。</w:t>
      </w:r>
    </w:p>
    <w:p>
      <w:pPr>
        <w:pStyle w:val="20"/>
        <w:spacing w:line="360" w:lineRule="auto"/>
        <w:ind w:firstLineChars="0"/>
        <w:rPr>
          <w:rFonts w:ascii="仿宋" w:hAnsi="仿宋" w:eastAsia="仿宋" w:cs="仿宋"/>
          <w:b/>
          <w:bCs/>
          <w:color w:val="auto"/>
          <w:sz w:val="24"/>
          <w:szCs w:val="24"/>
        </w:rPr>
      </w:pPr>
      <w:bookmarkStart w:id="287" w:name="_Toc40254251"/>
      <w:r>
        <w:rPr>
          <w:rFonts w:hint="eastAsia" w:ascii="仿宋" w:hAnsi="仿宋" w:eastAsia="仿宋" w:cs="仿宋"/>
          <w:b/>
          <w:bCs/>
          <w:color w:val="auto"/>
          <w:sz w:val="24"/>
          <w:szCs w:val="24"/>
        </w:rPr>
        <w:t>（39）案件管理</w:t>
      </w:r>
      <w:bookmarkEnd w:id="287"/>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针对监督过程中发现重大违规违法行为进行标准化案件管理，包括案件移交管理和案件移送管理功能。</w:t>
      </w:r>
    </w:p>
    <w:p>
      <w:pPr>
        <w:pStyle w:val="20"/>
        <w:spacing w:line="360" w:lineRule="auto"/>
        <w:ind w:firstLineChars="0"/>
        <w:rPr>
          <w:rFonts w:ascii="仿宋" w:hAnsi="仿宋" w:eastAsia="仿宋" w:cs="仿宋"/>
          <w:b/>
          <w:bCs/>
          <w:color w:val="auto"/>
          <w:sz w:val="24"/>
          <w:szCs w:val="24"/>
        </w:rPr>
      </w:pPr>
      <w:bookmarkStart w:id="288" w:name="_Toc40254252"/>
      <w:r>
        <w:rPr>
          <w:rFonts w:hint="eastAsia" w:ascii="仿宋" w:hAnsi="仿宋" w:eastAsia="仿宋" w:cs="仿宋"/>
          <w:b/>
          <w:bCs/>
          <w:color w:val="auto"/>
          <w:sz w:val="24"/>
          <w:szCs w:val="24"/>
        </w:rPr>
        <w:t>（40）统计分析管理</w:t>
      </w:r>
      <w:bookmarkEnd w:id="288"/>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省及各市县基金收支情况统计分析、全省医疗机构基金支出情况统计（医疗总费用、次均费用、人次人数比、等）、远程查房数据统计（通过医院分组、采集人次、完成人次、通过人次、完成率、在床率对远程查房采集信息进行统计分析）、智能监控数据分析（包括实时监控数据、视频分析预警数据、风险监控数据、实名就医数据、实人住院数据、次均住院费用、床日费用、检查费用、药费占比医用耗材占比等）、省医保局审核情况统计、医疗机构药品项目耗材费用分析、费用发展趋势分析、人次发展趋势分析、特病门诊人次及费用统计、疑点阳性率及扣款趋势分析、稽核案件趋势分析、医疗费用情况分析、就医发展趋势分析、医疗费用综合查询、医院基本信息如医院等级、科室及医师信息、开放床位、药品及耗材进销存数据等、复合规则疑点统计等，并以图表的方式进行直观展示，包括柱状图、曲线图、饼图、雷达图等。</w:t>
      </w:r>
    </w:p>
    <w:bookmarkEnd w:id="253"/>
    <w:p>
      <w:pPr>
        <w:pStyle w:val="20"/>
        <w:spacing w:line="360" w:lineRule="auto"/>
        <w:ind w:firstLine="236" w:firstLineChars="98"/>
        <w:rPr>
          <w:rFonts w:ascii="仿宋" w:hAnsi="仿宋" w:eastAsia="仿宋" w:cs="仿宋"/>
          <w:b/>
          <w:bCs/>
          <w:color w:val="auto"/>
          <w:sz w:val="24"/>
          <w:szCs w:val="24"/>
        </w:rPr>
      </w:pPr>
      <w:bookmarkStart w:id="289" w:name="_Toc40254253"/>
      <w:r>
        <w:rPr>
          <w:rFonts w:hint="eastAsia" w:ascii="仿宋" w:hAnsi="仿宋" w:eastAsia="仿宋" w:cs="仿宋"/>
          <w:b/>
          <w:bCs/>
          <w:color w:val="auto"/>
          <w:sz w:val="24"/>
          <w:szCs w:val="24"/>
        </w:rPr>
        <w:t>5.2基金运行及审计监管</w:t>
      </w:r>
      <w:bookmarkEnd w:id="289"/>
    </w:p>
    <w:p>
      <w:pPr>
        <w:pStyle w:val="20"/>
        <w:spacing w:line="360" w:lineRule="auto"/>
        <w:ind w:firstLineChars="0"/>
        <w:rPr>
          <w:rFonts w:ascii="仿宋" w:hAnsi="仿宋" w:eastAsia="仿宋" w:cs="仿宋"/>
          <w:b/>
          <w:bCs/>
          <w:color w:val="auto"/>
          <w:sz w:val="24"/>
          <w:szCs w:val="24"/>
        </w:rPr>
      </w:pPr>
      <w:bookmarkStart w:id="290" w:name="_Toc40254254"/>
      <w:r>
        <w:rPr>
          <w:rFonts w:hint="eastAsia" w:ascii="仿宋" w:hAnsi="仿宋" w:eastAsia="仿宋" w:cs="仿宋"/>
          <w:b/>
          <w:bCs/>
          <w:color w:val="auto"/>
          <w:sz w:val="24"/>
          <w:szCs w:val="24"/>
        </w:rPr>
        <w:t>（1）基金运行监管</w:t>
      </w:r>
      <w:bookmarkEnd w:id="290"/>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基于医保基金运行数据和外部数据，从而及时了解医保基金运行状态，包括基金总体运行分析、基金状况详细分析、基金运行风险预警、基金专户设立管理情况、基金运行预测分析、基金退款核销转移管理、基金运营管理情况、基金预决算辅助支持等功能。</w:t>
      </w:r>
    </w:p>
    <w:p>
      <w:pPr>
        <w:pStyle w:val="20"/>
        <w:spacing w:line="360" w:lineRule="auto"/>
        <w:ind w:firstLineChars="0"/>
        <w:rPr>
          <w:rFonts w:ascii="仿宋" w:hAnsi="仿宋" w:eastAsia="仿宋" w:cs="仿宋"/>
          <w:b/>
          <w:bCs/>
          <w:color w:val="auto"/>
          <w:sz w:val="24"/>
          <w:szCs w:val="24"/>
        </w:rPr>
      </w:pPr>
      <w:bookmarkStart w:id="291" w:name="_Toc40254255"/>
      <w:r>
        <w:rPr>
          <w:rFonts w:hint="eastAsia" w:ascii="仿宋" w:hAnsi="仿宋" w:eastAsia="仿宋" w:cs="仿宋"/>
          <w:b/>
          <w:bCs/>
          <w:color w:val="auto"/>
          <w:sz w:val="24"/>
          <w:szCs w:val="24"/>
        </w:rPr>
        <w:t>（2）基金审计管理</w:t>
      </w:r>
      <w:bookmarkEnd w:id="291"/>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基金筹集、支出、财务监管、预算执行等情况的审计分析结果，从不同方向的基金管理问题进行监管，对审计疑点进行定性，促进医保基金稳定运行。包括基金筹集审计、基金支出审计、基金分配审计、基金结余审计、基金财务预决算运行审计、审计报告模板管理、审计报告生成管理（大数据）、审计报告审核管理、审计报告发布管理、审计组织分工管理、审计工作计划管理、审计工作台账管理、审计规则管理、模型管理、审计分析等功能</w:t>
      </w:r>
    </w:p>
    <w:p>
      <w:pPr>
        <w:pStyle w:val="20"/>
        <w:spacing w:line="360" w:lineRule="auto"/>
        <w:ind w:firstLineChars="0"/>
        <w:rPr>
          <w:rFonts w:ascii="仿宋" w:hAnsi="仿宋" w:eastAsia="仿宋" w:cs="仿宋"/>
          <w:b/>
          <w:bCs/>
          <w:color w:val="auto"/>
          <w:sz w:val="24"/>
          <w:szCs w:val="24"/>
        </w:rPr>
      </w:pPr>
      <w:bookmarkStart w:id="292" w:name="_Toc40254256"/>
      <w:bookmarkStart w:id="293" w:name="_Toc15679454"/>
      <w:r>
        <w:rPr>
          <w:rFonts w:hint="eastAsia" w:ascii="仿宋" w:hAnsi="仿宋" w:eastAsia="仿宋" w:cs="仿宋"/>
          <w:b/>
          <w:bCs/>
          <w:color w:val="auto"/>
          <w:sz w:val="24"/>
          <w:szCs w:val="24"/>
        </w:rPr>
        <w:t>（3）分析引擎</w:t>
      </w:r>
      <w:bookmarkEnd w:id="292"/>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针对审计规则和数据模型的管理，利用审计规则和数据模型分析医保基金运行的各环节数据。包括审计规则管理、模型管理、审计分析等功能</w:t>
      </w:r>
    </w:p>
    <w:bookmarkEnd w:id="293"/>
    <w:p>
      <w:pPr>
        <w:pStyle w:val="20"/>
        <w:spacing w:line="360" w:lineRule="auto"/>
        <w:ind w:firstLineChars="0"/>
        <w:rPr>
          <w:rFonts w:ascii="仿宋" w:hAnsi="仿宋" w:eastAsia="仿宋" w:cs="仿宋"/>
          <w:b/>
          <w:bCs/>
          <w:color w:val="auto"/>
          <w:sz w:val="24"/>
          <w:szCs w:val="24"/>
        </w:rPr>
      </w:pPr>
      <w:bookmarkStart w:id="294" w:name="_Toc40254257"/>
      <w:r>
        <w:rPr>
          <w:rFonts w:hint="eastAsia" w:ascii="仿宋" w:hAnsi="仿宋" w:eastAsia="仿宋" w:cs="仿宋"/>
          <w:b/>
          <w:bCs/>
          <w:color w:val="auto"/>
          <w:sz w:val="24"/>
          <w:szCs w:val="24"/>
        </w:rPr>
        <w:t>（4）统计报表管理</w:t>
      </w:r>
      <w:bookmarkEnd w:id="294"/>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数据采集标准的制定，报表样式的配置、审核、下发、汇总及后续的提取分析，包括数据管理、报表配置管理、报表审核、汇总操作、统计报表提取、统计报表查询、统计报表发布与展示、数据导出、下载及打印等功能。</w:t>
      </w:r>
    </w:p>
    <w:p>
      <w:pPr>
        <w:pStyle w:val="20"/>
        <w:numPr>
          <w:ilvl w:val="0"/>
          <w:numId w:val="24"/>
        </w:numPr>
        <w:spacing w:line="360" w:lineRule="auto"/>
        <w:ind w:firstLineChars="0"/>
        <w:rPr>
          <w:rFonts w:ascii="仿宋" w:hAnsi="仿宋" w:eastAsia="仿宋" w:cs="仿宋"/>
          <w:b/>
          <w:bCs/>
          <w:color w:val="auto"/>
          <w:sz w:val="24"/>
          <w:szCs w:val="24"/>
        </w:rPr>
      </w:pPr>
      <w:bookmarkStart w:id="295" w:name="_Toc40254258"/>
      <w:r>
        <w:rPr>
          <w:rFonts w:hint="eastAsia" w:ascii="仿宋" w:hAnsi="仿宋" w:eastAsia="仿宋" w:cs="仿宋"/>
          <w:b/>
          <w:bCs/>
          <w:color w:val="auto"/>
          <w:sz w:val="24"/>
          <w:szCs w:val="24"/>
        </w:rPr>
        <w:t>内部控制管理</w:t>
      </w:r>
      <w:bookmarkEnd w:id="295"/>
    </w:p>
    <w:p>
      <w:pPr>
        <w:pStyle w:val="20"/>
        <w:spacing w:line="360" w:lineRule="auto"/>
        <w:ind w:firstLine="776" w:firstLineChars="322"/>
        <w:rPr>
          <w:rFonts w:ascii="仿宋" w:hAnsi="仿宋" w:eastAsia="仿宋" w:cs="仿宋"/>
          <w:b/>
          <w:bCs/>
          <w:color w:val="auto"/>
          <w:sz w:val="24"/>
          <w:szCs w:val="24"/>
        </w:rPr>
      </w:pPr>
      <w:bookmarkStart w:id="296" w:name="_Toc40254259"/>
      <w:bookmarkStart w:id="297" w:name="_Toc15679456"/>
      <w:r>
        <w:rPr>
          <w:rFonts w:hint="eastAsia" w:ascii="仿宋" w:hAnsi="仿宋" w:eastAsia="仿宋" w:cs="仿宋"/>
          <w:b/>
          <w:bCs/>
          <w:color w:val="auto"/>
          <w:sz w:val="24"/>
          <w:szCs w:val="24"/>
        </w:rPr>
        <w:t>1）内控功能模块设置</w:t>
      </w:r>
      <w:bookmarkEnd w:id="296"/>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实现内控业务功能、参数的配置，包括受内控限制业务模块登记、内控参数登记、内控参数限制业务模块生效、内控模块作废等功能。</w:t>
      </w:r>
    </w:p>
    <w:p>
      <w:pPr>
        <w:pStyle w:val="20"/>
        <w:spacing w:line="360" w:lineRule="auto"/>
        <w:ind w:firstLine="776" w:firstLineChars="322"/>
        <w:rPr>
          <w:rFonts w:ascii="仿宋" w:hAnsi="仿宋" w:eastAsia="仿宋" w:cs="仿宋"/>
          <w:b/>
          <w:bCs/>
          <w:color w:val="auto"/>
          <w:sz w:val="24"/>
          <w:szCs w:val="24"/>
        </w:rPr>
      </w:pPr>
      <w:bookmarkStart w:id="298" w:name="_Toc40254260"/>
      <w:r>
        <w:rPr>
          <w:rFonts w:hint="eastAsia" w:ascii="仿宋" w:hAnsi="仿宋" w:eastAsia="仿宋" w:cs="仿宋"/>
          <w:b/>
          <w:bCs/>
          <w:color w:val="auto"/>
          <w:sz w:val="24"/>
          <w:szCs w:val="24"/>
        </w:rPr>
        <w:t>2）内控规则管理</w:t>
      </w:r>
      <w:bookmarkEnd w:id="298"/>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提供内控规则的参数配置，通过引擎调度内控规则实现内控风险分析，包括内控分析规则登记、内控分析规则审批、内控分析规则作废、规则引擎等功能。</w:t>
      </w:r>
    </w:p>
    <w:p>
      <w:pPr>
        <w:pStyle w:val="20"/>
        <w:spacing w:line="360" w:lineRule="auto"/>
        <w:ind w:firstLine="776" w:firstLineChars="322"/>
        <w:rPr>
          <w:rFonts w:ascii="仿宋" w:hAnsi="仿宋" w:eastAsia="仿宋" w:cs="仿宋"/>
          <w:b/>
          <w:bCs/>
          <w:color w:val="auto"/>
          <w:sz w:val="24"/>
          <w:szCs w:val="24"/>
        </w:rPr>
      </w:pPr>
      <w:bookmarkStart w:id="299" w:name="_Toc40254261"/>
      <w:r>
        <w:rPr>
          <w:rFonts w:hint="eastAsia" w:ascii="仿宋" w:hAnsi="仿宋" w:eastAsia="仿宋" w:cs="仿宋"/>
          <w:b/>
          <w:bCs/>
          <w:color w:val="auto"/>
          <w:sz w:val="24"/>
          <w:szCs w:val="24"/>
        </w:rPr>
        <w:t>3）内控业务查询</w:t>
      </w:r>
      <w:bookmarkEnd w:id="299"/>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提供对内控业务和任务情况的查询，包括内对受内控限制记录类业务模块使用情况进行单个查询、内控任务单个查询等功能。</w:t>
      </w:r>
    </w:p>
    <w:p>
      <w:pPr>
        <w:pStyle w:val="20"/>
        <w:spacing w:line="360" w:lineRule="auto"/>
        <w:ind w:firstLine="776" w:firstLineChars="322"/>
        <w:rPr>
          <w:rFonts w:ascii="仿宋" w:hAnsi="仿宋" w:eastAsia="仿宋" w:cs="仿宋"/>
          <w:b/>
          <w:bCs/>
          <w:color w:val="auto"/>
          <w:sz w:val="24"/>
          <w:szCs w:val="24"/>
        </w:rPr>
      </w:pPr>
      <w:bookmarkStart w:id="300" w:name="_Toc40254262"/>
      <w:r>
        <w:rPr>
          <w:rFonts w:hint="eastAsia" w:ascii="仿宋" w:hAnsi="仿宋" w:eastAsia="仿宋" w:cs="仿宋"/>
          <w:b/>
          <w:bCs/>
          <w:color w:val="auto"/>
          <w:sz w:val="24"/>
          <w:szCs w:val="24"/>
        </w:rPr>
        <w:t>4）内控任务管理</w:t>
      </w:r>
      <w:bookmarkEnd w:id="300"/>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为开展内控检查处理工作提供内控任务管理，包括内控计划管理、内控检查管理、内控任务佐证材料录入、内控任务结果管理等功能。</w:t>
      </w:r>
    </w:p>
    <w:p>
      <w:pPr>
        <w:pStyle w:val="20"/>
        <w:spacing w:line="360" w:lineRule="auto"/>
        <w:ind w:firstLineChars="0"/>
        <w:rPr>
          <w:rFonts w:ascii="仿宋" w:hAnsi="仿宋" w:eastAsia="仿宋" w:cs="仿宋"/>
          <w:b/>
          <w:bCs/>
          <w:color w:val="auto"/>
          <w:sz w:val="24"/>
          <w:szCs w:val="24"/>
        </w:rPr>
      </w:pPr>
      <w:bookmarkStart w:id="301" w:name="_Toc40254263"/>
      <w:r>
        <w:rPr>
          <w:rFonts w:hint="eastAsia" w:ascii="仿宋" w:hAnsi="仿宋" w:eastAsia="仿宋" w:cs="仿宋"/>
          <w:b/>
          <w:bCs/>
          <w:color w:val="auto"/>
          <w:sz w:val="24"/>
          <w:szCs w:val="24"/>
        </w:rPr>
        <w:t>（6）业务风险管理</w:t>
      </w:r>
      <w:bookmarkEnd w:id="301"/>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利用内控规则、大数据分析预警监测业务经办风险，对业务风险进行处置，包括风险检查点设置、风险检查点预警、风险应对处置、大数据分析监测等功能。</w:t>
      </w:r>
    </w:p>
    <w:p>
      <w:pPr>
        <w:pStyle w:val="20"/>
        <w:numPr>
          <w:ilvl w:val="0"/>
          <w:numId w:val="25"/>
        </w:numPr>
        <w:spacing w:line="360" w:lineRule="auto"/>
        <w:ind w:firstLineChars="0"/>
        <w:rPr>
          <w:rFonts w:ascii="仿宋" w:hAnsi="仿宋" w:eastAsia="仿宋" w:cs="仿宋"/>
          <w:b/>
          <w:bCs/>
          <w:color w:val="auto"/>
          <w:sz w:val="24"/>
          <w:szCs w:val="24"/>
        </w:rPr>
      </w:pPr>
      <w:bookmarkStart w:id="302" w:name="_Toc40254264"/>
      <w:r>
        <w:rPr>
          <w:rFonts w:hint="eastAsia" w:ascii="仿宋" w:hAnsi="仿宋" w:eastAsia="仿宋" w:cs="仿宋"/>
          <w:b/>
          <w:bCs/>
          <w:color w:val="auto"/>
          <w:sz w:val="24"/>
          <w:szCs w:val="24"/>
        </w:rPr>
        <w:t>内控结果管理</w:t>
      </w:r>
      <w:bookmarkEnd w:id="302"/>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实现对内控结果的管理，包括接收内控系统的业务内控结果和通过API的方式提供内控等结果查询。</w:t>
      </w:r>
    </w:p>
    <w:p>
      <w:pPr>
        <w:pStyle w:val="20"/>
        <w:numPr>
          <w:ilvl w:val="0"/>
          <w:numId w:val="25"/>
        </w:numPr>
        <w:spacing w:line="360" w:lineRule="auto"/>
        <w:ind w:firstLineChars="0"/>
        <w:rPr>
          <w:rFonts w:ascii="仿宋" w:hAnsi="仿宋" w:eastAsia="仿宋" w:cs="仿宋"/>
          <w:b/>
          <w:bCs/>
          <w:color w:val="auto"/>
          <w:sz w:val="24"/>
          <w:szCs w:val="24"/>
        </w:rPr>
      </w:pPr>
      <w:bookmarkStart w:id="303" w:name="_Toc40254265"/>
      <w:r>
        <w:rPr>
          <w:rFonts w:hint="eastAsia" w:ascii="仿宋" w:hAnsi="仿宋" w:eastAsia="仿宋" w:cs="仿宋"/>
          <w:b/>
          <w:bCs/>
          <w:color w:val="auto"/>
          <w:sz w:val="24"/>
          <w:szCs w:val="24"/>
        </w:rPr>
        <w:t>风控业务维护</w:t>
      </w:r>
      <w:bookmarkEnd w:id="303"/>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实现对风控业务的维护，包括政策信息查询、服务事项管理、业务环节管理、业务环节校验管理、业务档案规范管理和不相容角色管理等。</w:t>
      </w:r>
    </w:p>
    <w:p>
      <w:pPr>
        <w:pStyle w:val="20"/>
        <w:numPr>
          <w:ilvl w:val="0"/>
          <w:numId w:val="25"/>
        </w:numPr>
        <w:spacing w:line="360" w:lineRule="auto"/>
        <w:ind w:firstLineChars="0"/>
        <w:rPr>
          <w:rFonts w:ascii="仿宋" w:hAnsi="仿宋" w:eastAsia="仿宋" w:cs="仿宋"/>
          <w:b/>
          <w:bCs/>
          <w:color w:val="auto"/>
          <w:sz w:val="24"/>
          <w:szCs w:val="24"/>
        </w:rPr>
      </w:pPr>
      <w:bookmarkStart w:id="304" w:name="_Toc40254266"/>
      <w:r>
        <w:rPr>
          <w:rFonts w:hint="eastAsia" w:ascii="仿宋" w:hAnsi="仿宋" w:eastAsia="仿宋" w:cs="仿宋"/>
          <w:b/>
          <w:bCs/>
          <w:color w:val="auto"/>
          <w:sz w:val="24"/>
          <w:szCs w:val="24"/>
        </w:rPr>
        <w:t>统计分析管理</w:t>
      </w:r>
      <w:bookmarkEnd w:id="304"/>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对各类内控风险业务和内控检查任务进行统计分析，对内控工作开展情况进行柱形图、饼图、折线图等图表可视化展示，包括内控风险点统计分析、风险预警统计分析、内控计划统计分析、内控任务统计分析、内控结果统计分析等功能。</w:t>
      </w:r>
    </w:p>
    <w:p>
      <w:pPr>
        <w:pStyle w:val="20"/>
        <w:numPr>
          <w:ilvl w:val="0"/>
          <w:numId w:val="25"/>
        </w:numPr>
        <w:spacing w:line="360" w:lineRule="auto"/>
        <w:ind w:firstLineChars="0"/>
        <w:rPr>
          <w:rFonts w:ascii="仿宋" w:hAnsi="仿宋" w:eastAsia="仿宋" w:cs="仿宋"/>
          <w:b/>
          <w:bCs/>
          <w:color w:val="auto"/>
          <w:sz w:val="24"/>
          <w:szCs w:val="24"/>
        </w:rPr>
      </w:pPr>
      <w:bookmarkStart w:id="305" w:name="_Toc40254267"/>
      <w:r>
        <w:rPr>
          <w:rFonts w:hint="eastAsia" w:ascii="仿宋" w:hAnsi="仿宋" w:eastAsia="仿宋" w:cs="仿宋"/>
          <w:b/>
          <w:bCs/>
          <w:color w:val="auto"/>
          <w:sz w:val="24"/>
          <w:szCs w:val="24"/>
        </w:rPr>
        <w:t>风险管理和报表</w:t>
      </w:r>
      <w:bookmarkEnd w:id="305"/>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提供各类风险管理报表，包括内控风险和报表、内控任务和报表、风险处置和报表、风险管理和报表、风险管理汇总和报表等。</w:t>
      </w:r>
    </w:p>
    <w:bookmarkEnd w:id="297"/>
    <w:p>
      <w:pPr>
        <w:pStyle w:val="20"/>
        <w:spacing w:line="360" w:lineRule="auto"/>
        <w:ind w:firstLine="236" w:firstLineChars="98"/>
        <w:rPr>
          <w:rFonts w:ascii="仿宋" w:hAnsi="仿宋" w:eastAsia="仿宋" w:cs="仿宋"/>
          <w:b/>
          <w:bCs/>
          <w:color w:val="auto"/>
          <w:sz w:val="24"/>
          <w:szCs w:val="24"/>
        </w:rPr>
      </w:pPr>
      <w:bookmarkStart w:id="306" w:name="_Toc40254268"/>
      <w:r>
        <w:rPr>
          <w:rFonts w:hint="eastAsia" w:ascii="仿宋" w:hAnsi="仿宋" w:eastAsia="仿宋" w:cs="仿宋"/>
          <w:b/>
          <w:bCs/>
          <w:color w:val="auto"/>
          <w:sz w:val="24"/>
          <w:szCs w:val="24"/>
        </w:rPr>
        <w:t>5.3全生命周期档案管理</w:t>
      </w:r>
      <w:bookmarkEnd w:id="306"/>
    </w:p>
    <w:p>
      <w:pPr>
        <w:pStyle w:val="20"/>
        <w:numPr>
          <w:ilvl w:val="0"/>
          <w:numId w:val="26"/>
        </w:numPr>
        <w:spacing w:line="360" w:lineRule="auto"/>
        <w:ind w:firstLineChars="0"/>
        <w:rPr>
          <w:rFonts w:ascii="仿宋" w:hAnsi="仿宋" w:eastAsia="仿宋" w:cs="仿宋"/>
          <w:b/>
          <w:bCs/>
          <w:color w:val="auto"/>
          <w:sz w:val="24"/>
          <w:szCs w:val="24"/>
        </w:rPr>
      </w:pPr>
      <w:bookmarkStart w:id="307" w:name="_Toc40254269"/>
      <w:bookmarkStart w:id="308" w:name="_Toc15679466"/>
      <w:r>
        <w:rPr>
          <w:rFonts w:hint="eastAsia" w:ascii="仿宋" w:hAnsi="仿宋" w:eastAsia="仿宋" w:cs="仿宋"/>
          <w:b/>
          <w:bCs/>
          <w:color w:val="auto"/>
          <w:sz w:val="24"/>
          <w:szCs w:val="24"/>
        </w:rPr>
        <w:t>个人健康电子档案袋</w:t>
      </w:r>
      <w:bookmarkEnd w:id="307"/>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实现对参保人在健康医疗相关业务数据的整合，形成个人健康电子档案袋，包括数据整合、调度配置管理、作业管理、档案袋查询、接口管理等功能。</w:t>
      </w:r>
    </w:p>
    <w:p>
      <w:pPr>
        <w:pStyle w:val="20"/>
        <w:spacing w:line="360" w:lineRule="auto"/>
        <w:ind w:firstLineChars="0"/>
        <w:rPr>
          <w:rFonts w:ascii="仿宋" w:hAnsi="仿宋" w:eastAsia="仿宋" w:cs="仿宋"/>
          <w:b/>
          <w:bCs/>
          <w:color w:val="auto"/>
          <w:sz w:val="24"/>
          <w:szCs w:val="24"/>
        </w:rPr>
      </w:pPr>
      <w:bookmarkStart w:id="309" w:name="_Toc40254270"/>
      <w:r>
        <w:rPr>
          <w:rFonts w:hint="eastAsia" w:ascii="仿宋" w:hAnsi="仿宋" w:eastAsia="仿宋" w:cs="仿宋"/>
          <w:b/>
          <w:bCs/>
          <w:color w:val="auto"/>
          <w:sz w:val="24"/>
          <w:szCs w:val="24"/>
        </w:rPr>
        <w:t>（2）个人健康电子画像</w:t>
      </w:r>
      <w:bookmarkEnd w:id="309"/>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通过</w:t>
      </w:r>
      <w:r>
        <w:rPr>
          <w:rFonts w:ascii="仿宋" w:hAnsi="仿宋" w:eastAsia="仿宋" w:cs="仿宋"/>
          <w:color w:val="auto"/>
          <w:spacing w:val="-9"/>
          <w:sz w:val="24"/>
        </w:rPr>
        <w:t>统一身份识别、统一用户授权管理、EMPI参保人主索引和统一</w:t>
      </w:r>
      <w:r>
        <w:rPr>
          <w:rFonts w:hint="eastAsia" w:ascii="仿宋" w:hAnsi="仿宋" w:eastAsia="仿宋" w:cs="仿宋"/>
          <w:color w:val="auto"/>
          <w:spacing w:val="-9"/>
          <w:sz w:val="24"/>
        </w:rPr>
        <w:t>参保</w:t>
      </w:r>
      <w:r>
        <w:rPr>
          <w:rFonts w:ascii="仿宋" w:hAnsi="仿宋" w:eastAsia="仿宋" w:cs="仿宋"/>
          <w:color w:val="auto"/>
          <w:spacing w:val="-9"/>
          <w:sz w:val="24"/>
        </w:rPr>
        <w:t>人视图</w:t>
      </w:r>
      <w:r>
        <w:rPr>
          <w:rFonts w:hint="eastAsia" w:ascii="仿宋" w:hAnsi="仿宋" w:eastAsia="仿宋" w:cs="仿宋"/>
          <w:color w:val="auto"/>
          <w:spacing w:val="-9"/>
          <w:sz w:val="24"/>
        </w:rPr>
        <w:t>对参保人个人健康状况的电子画像，包括调度管理、画像数据管理、标签管理、画像管理、接口管理、编码管理等功能。</w:t>
      </w:r>
    </w:p>
    <w:p>
      <w:pPr>
        <w:pStyle w:val="20"/>
        <w:spacing w:line="360" w:lineRule="auto"/>
        <w:ind w:firstLineChars="0"/>
        <w:rPr>
          <w:rFonts w:ascii="仿宋" w:hAnsi="仿宋" w:eastAsia="仿宋" w:cs="仿宋"/>
          <w:b/>
          <w:bCs/>
          <w:color w:val="auto"/>
          <w:sz w:val="24"/>
          <w:szCs w:val="24"/>
        </w:rPr>
      </w:pPr>
      <w:bookmarkStart w:id="310" w:name="_Toc40254271"/>
      <w:r>
        <w:rPr>
          <w:rFonts w:hint="eastAsia" w:ascii="仿宋" w:hAnsi="仿宋" w:eastAsia="仿宋" w:cs="仿宋"/>
          <w:b/>
          <w:bCs/>
          <w:color w:val="auto"/>
          <w:sz w:val="24"/>
          <w:szCs w:val="24"/>
        </w:rPr>
        <w:t>（3）政府监管决策</w:t>
      </w:r>
      <w:bookmarkEnd w:id="310"/>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通过对重点人群的监控、流行疾病的预警、疾病特征的分析，为政府决策提供数据支撑。</w:t>
      </w:r>
    </w:p>
    <w:p>
      <w:pPr>
        <w:pStyle w:val="20"/>
        <w:spacing w:line="360" w:lineRule="auto"/>
        <w:ind w:firstLine="236" w:firstLineChars="98"/>
        <w:rPr>
          <w:rFonts w:ascii="仿宋" w:hAnsi="仿宋" w:eastAsia="仿宋" w:cs="仿宋"/>
          <w:b/>
          <w:bCs/>
          <w:color w:val="auto"/>
          <w:sz w:val="24"/>
          <w:szCs w:val="24"/>
        </w:rPr>
      </w:pPr>
      <w:bookmarkStart w:id="311" w:name="_Toc40254272"/>
      <w:r>
        <w:rPr>
          <w:rFonts w:hint="eastAsia" w:ascii="仿宋" w:hAnsi="仿宋" w:eastAsia="仿宋" w:cs="仿宋"/>
          <w:b/>
          <w:bCs/>
          <w:color w:val="auto"/>
          <w:sz w:val="24"/>
          <w:szCs w:val="24"/>
        </w:rPr>
        <w:t>5.4医保管家</w:t>
      </w:r>
      <w:bookmarkEnd w:id="311"/>
    </w:p>
    <w:p>
      <w:pPr>
        <w:pStyle w:val="20"/>
        <w:numPr>
          <w:ilvl w:val="0"/>
          <w:numId w:val="27"/>
        </w:numPr>
        <w:spacing w:line="360" w:lineRule="auto"/>
        <w:ind w:firstLineChars="0"/>
        <w:rPr>
          <w:rFonts w:ascii="仿宋" w:hAnsi="仿宋" w:eastAsia="仿宋" w:cs="仿宋"/>
          <w:b/>
          <w:bCs/>
          <w:color w:val="auto"/>
          <w:sz w:val="24"/>
          <w:szCs w:val="24"/>
        </w:rPr>
      </w:pPr>
      <w:bookmarkStart w:id="312" w:name="_Toc40254273"/>
      <w:r>
        <w:rPr>
          <w:rFonts w:hint="eastAsia" w:ascii="仿宋" w:hAnsi="仿宋" w:eastAsia="仿宋" w:cs="仿宋"/>
          <w:b/>
          <w:bCs/>
          <w:color w:val="auto"/>
          <w:sz w:val="24"/>
          <w:szCs w:val="24"/>
        </w:rPr>
        <w:t>业务运行监测</w:t>
      </w:r>
      <w:bookmarkEnd w:id="312"/>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对业务运行过程的监测，包括参保人信用监测、参保人参保行为监测、参保人就医过程监测、参保人支付结算监测、参保人报销监测、参保人异地就医备案行为监测、参保关系异动监测、参保人自然信息监测、医保医师资格监测、医保医师处方监测、医保医师诊疗行为监测、医保医师收费监测、医保护士监测、执业药师资格监测、执业药师行为监测、执业技师监测、经办服务宣传运行监测、目录使用运行监测、参保登记管理运行监测、参保单位管理运行监测、参保人员管理运行监测、参保缴费管理运行监测、个人待遇管理运行监测、关系转移接续管理运行监测、预付金管理运行监测、异地就医人员流动监测、异地就医结算运行监测、异地就医个人支付监测、定点协议管理运行监测、医保结算管理运行监测、医疗救助管理运行监测、流水码标准执行监测、流水码赋码监测、账套分账运行监测、征缴基数调整运行监测、征缴稽核运行监测、征缴计划执行监测、基金预算运行监测、基金决算运行监测、基金应收应付运行监测、基金实收实付运行监测、管理部门工作动态数据提取和监测、政策文件数据提取和监测、医疗服务价格项目数据提取和监测、医疗服务价格标准数据提取和监测、定点医疗机构运行过程监测、定点医疗机构信息上报、价格指数运行监测、价格动态调整运行监测、价格区域运行监测、成本运行监测、价格项目收费运行监测、价格等级评定运行监测、药品和耗材资质有效期监测、药品和耗材生产企业资质证照有效期监测、药品和耗材属性监测、价格异常监测、综合价格指数与分类价格指数监测、价格与目录共享联动监测、限价运行监测、招标行为运行监测、采购异常行为监测、采购订单运行监测、配送不及时不到位监测、收货不及时不到位监测、交易结算行为监测、回款不及时不到位监测、带金销售风险监测、两票运行监测、两票核验监测、短缺上报监测、短缺处理监测、注册用户流量监测、活跃用户流量监测、认证用户运行监测、检索流量监测、咨询流量监测、商业保险服务大厅业务监测、综合柜员制运行监测、在线支付运行监测、移动支付运行监测、投诉举报监测、信访监测、行政复议监测、行政诉讼监测、WEB端渠道运行监测、APP端渠道运行监测、自助服务终端渠道运行监测、窗口渠道运行监测、服务监测、行为数据采集、公共服务质量监控、诊疗服务行为监测、结算行为监测、总额控费管理行为监测、药品和医用耗材进销存监测、药品和医用耗材采购监测、票据监测、处方监测、资格监测、履约行为监测、资格监测、履约行为监测、与医保局或商业保险公司结算监测、参保人员信用评价运行监测、执业人员信用评价运行监测、定点医疗机构信用评价运行监测、待遇政策运行监测、待遇清单动态调整运行监测等功能。</w:t>
      </w:r>
    </w:p>
    <w:p>
      <w:pPr>
        <w:pStyle w:val="20"/>
        <w:numPr>
          <w:ilvl w:val="0"/>
          <w:numId w:val="27"/>
        </w:numPr>
        <w:spacing w:line="360" w:lineRule="auto"/>
        <w:ind w:firstLineChars="0"/>
        <w:rPr>
          <w:rFonts w:ascii="仿宋" w:hAnsi="仿宋" w:eastAsia="仿宋" w:cs="仿宋"/>
          <w:b/>
          <w:bCs/>
          <w:color w:val="auto"/>
          <w:sz w:val="24"/>
          <w:szCs w:val="24"/>
        </w:rPr>
      </w:pPr>
      <w:bookmarkStart w:id="313" w:name="_Toc40254274"/>
      <w:r>
        <w:rPr>
          <w:rFonts w:hint="eastAsia" w:ascii="仿宋" w:hAnsi="仿宋" w:eastAsia="仿宋" w:cs="仿宋"/>
          <w:b/>
          <w:bCs/>
          <w:color w:val="auto"/>
          <w:sz w:val="24"/>
          <w:szCs w:val="24"/>
        </w:rPr>
        <w:t>大屏控制</w:t>
      </w:r>
      <w:bookmarkEnd w:id="313"/>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布局管理、内容管理、接入管理和显示控制等功能，主要实现大屏布局和内容显示，对接入和显示内容进行控制。接入显示不同的场景内容，经办业务场景、基金安全场景、公共服务场景、信用情况、工作流情况、大数据应用场景、以及综合展示（气象、交通、新闻、政策宣传等）。</w:t>
      </w:r>
    </w:p>
    <w:p>
      <w:pPr>
        <w:pStyle w:val="20"/>
        <w:numPr>
          <w:ilvl w:val="0"/>
          <w:numId w:val="27"/>
        </w:numPr>
        <w:spacing w:line="360" w:lineRule="auto"/>
        <w:ind w:firstLineChars="0"/>
        <w:rPr>
          <w:rFonts w:ascii="仿宋" w:hAnsi="仿宋" w:eastAsia="仿宋" w:cs="仿宋"/>
          <w:b/>
          <w:bCs/>
          <w:color w:val="auto"/>
          <w:sz w:val="24"/>
          <w:szCs w:val="24"/>
        </w:rPr>
      </w:pPr>
      <w:bookmarkStart w:id="314" w:name="_Toc40254275"/>
      <w:r>
        <w:rPr>
          <w:rFonts w:hint="eastAsia" w:ascii="仿宋" w:hAnsi="仿宋" w:eastAsia="仿宋" w:cs="仿宋"/>
          <w:b/>
          <w:bCs/>
          <w:color w:val="auto"/>
          <w:sz w:val="24"/>
          <w:szCs w:val="24"/>
        </w:rPr>
        <w:t>预警管理</w:t>
      </w:r>
      <w:bookmarkEnd w:id="314"/>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提供对预警的类别、级别、指标及处置的管理等。</w:t>
      </w:r>
    </w:p>
    <w:p>
      <w:pPr>
        <w:pStyle w:val="20"/>
        <w:numPr>
          <w:ilvl w:val="0"/>
          <w:numId w:val="27"/>
        </w:numPr>
        <w:spacing w:line="360" w:lineRule="auto"/>
        <w:ind w:firstLineChars="0"/>
        <w:rPr>
          <w:rFonts w:ascii="仿宋" w:hAnsi="仿宋" w:eastAsia="仿宋" w:cs="仿宋"/>
          <w:b/>
          <w:bCs/>
          <w:color w:val="auto"/>
          <w:sz w:val="24"/>
          <w:szCs w:val="24"/>
        </w:rPr>
      </w:pPr>
      <w:bookmarkStart w:id="315" w:name="_Toc40254276"/>
      <w:r>
        <w:rPr>
          <w:rFonts w:hint="eastAsia" w:ascii="仿宋" w:hAnsi="仿宋" w:eastAsia="仿宋" w:cs="仿宋"/>
          <w:b/>
          <w:bCs/>
          <w:color w:val="auto"/>
          <w:sz w:val="24"/>
          <w:szCs w:val="24"/>
        </w:rPr>
        <w:t>渠道管理</w:t>
      </w:r>
      <w:bookmarkEnd w:id="315"/>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实现渠道配置、控制和监测功能，渠道包含大屏（省本级大屏、公共LED屏）、移动终端、公众号、海南省政务服务大屏，PC等。</w:t>
      </w:r>
    </w:p>
    <w:p>
      <w:pPr>
        <w:pStyle w:val="20"/>
        <w:numPr>
          <w:ilvl w:val="0"/>
          <w:numId w:val="27"/>
        </w:numPr>
        <w:spacing w:line="360" w:lineRule="auto"/>
        <w:ind w:firstLineChars="0"/>
        <w:rPr>
          <w:rFonts w:ascii="仿宋" w:hAnsi="仿宋" w:eastAsia="仿宋" w:cs="仿宋"/>
          <w:b/>
          <w:bCs/>
          <w:color w:val="auto"/>
          <w:sz w:val="24"/>
          <w:szCs w:val="24"/>
        </w:rPr>
      </w:pPr>
      <w:bookmarkStart w:id="316" w:name="_Toc40254277"/>
      <w:r>
        <w:rPr>
          <w:rFonts w:hint="eastAsia" w:ascii="仿宋" w:hAnsi="仿宋" w:eastAsia="仿宋" w:cs="仿宋"/>
          <w:b/>
          <w:bCs/>
          <w:color w:val="auto"/>
          <w:sz w:val="24"/>
          <w:szCs w:val="24"/>
        </w:rPr>
        <w:t>服务监测管理</w:t>
      </w:r>
      <w:bookmarkEnd w:id="316"/>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对系统内业务组件运行和中台服务运行情况进行监测，保证服务正常运行。</w:t>
      </w:r>
    </w:p>
    <w:p>
      <w:pPr>
        <w:pStyle w:val="20"/>
        <w:numPr>
          <w:ilvl w:val="0"/>
          <w:numId w:val="27"/>
        </w:numPr>
        <w:spacing w:line="360" w:lineRule="auto"/>
        <w:ind w:firstLineChars="0"/>
        <w:rPr>
          <w:rFonts w:ascii="仿宋" w:hAnsi="仿宋" w:eastAsia="仿宋" w:cs="仿宋"/>
          <w:b/>
          <w:bCs/>
          <w:color w:val="auto"/>
          <w:sz w:val="24"/>
          <w:szCs w:val="24"/>
        </w:rPr>
      </w:pPr>
      <w:bookmarkStart w:id="317" w:name="_Toc40254278"/>
      <w:r>
        <w:rPr>
          <w:rFonts w:hint="eastAsia" w:ascii="仿宋" w:hAnsi="仿宋" w:eastAsia="仿宋" w:cs="仿宋"/>
          <w:b/>
          <w:bCs/>
          <w:color w:val="auto"/>
          <w:sz w:val="24"/>
          <w:szCs w:val="24"/>
        </w:rPr>
        <w:t>业务接入管理</w:t>
      </w:r>
      <w:bookmarkEnd w:id="317"/>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接入不同的业务模块，对不同场景下的运行情况进行展示。实时展示对医保相关人员和机构的监管情况，包括行为、画像、违规、处罚等情况；实时展示基金安全情况，包括基金收支情况、使用情况、业务财务情况以及过程中出现的违规、处罚、风险及预警；实时展示公共服务情况，对不同渠道的使用情况进行统计分析；实时展示信用情况，对医保相关人员和机构的信用情况进行展示等。定点结算情况监管，展示海南省内定点结算的的交易分布、交易重点人群、交易重点定点情况等。</w:t>
      </w:r>
    </w:p>
    <w:p>
      <w:pPr>
        <w:pStyle w:val="20"/>
        <w:spacing w:line="360" w:lineRule="auto"/>
        <w:ind w:firstLineChars="0"/>
        <w:rPr>
          <w:rFonts w:ascii="仿宋" w:hAnsi="仿宋" w:eastAsia="仿宋" w:cs="仿宋"/>
          <w:b/>
          <w:bCs/>
          <w:color w:val="auto"/>
          <w:sz w:val="24"/>
          <w:szCs w:val="24"/>
        </w:rPr>
      </w:pPr>
      <w:bookmarkStart w:id="318" w:name="_Toc40254279"/>
      <w:r>
        <w:rPr>
          <w:rFonts w:hint="eastAsia" w:ascii="仿宋" w:hAnsi="仿宋" w:eastAsia="仿宋" w:cs="仿宋"/>
          <w:b/>
          <w:bCs/>
          <w:color w:val="auto"/>
          <w:sz w:val="24"/>
          <w:szCs w:val="24"/>
        </w:rPr>
        <w:t>（7）数据管理</w:t>
      </w:r>
      <w:bookmarkEnd w:id="318"/>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实现数据采集、数据萃取、数据检索和数据发布的管理等。</w:t>
      </w:r>
    </w:p>
    <w:p>
      <w:pPr>
        <w:pStyle w:val="20"/>
        <w:numPr>
          <w:ilvl w:val="0"/>
          <w:numId w:val="28"/>
        </w:numPr>
        <w:spacing w:line="360" w:lineRule="auto"/>
        <w:ind w:firstLineChars="0"/>
        <w:rPr>
          <w:rFonts w:ascii="仿宋" w:hAnsi="仿宋" w:eastAsia="仿宋" w:cs="仿宋"/>
          <w:b/>
          <w:bCs/>
          <w:color w:val="auto"/>
          <w:sz w:val="24"/>
          <w:szCs w:val="24"/>
        </w:rPr>
      </w:pPr>
      <w:bookmarkStart w:id="319" w:name="_Toc40254280"/>
      <w:r>
        <w:rPr>
          <w:rFonts w:hint="eastAsia" w:ascii="仿宋" w:hAnsi="仿宋" w:eastAsia="仿宋" w:cs="仿宋"/>
          <w:b/>
          <w:bCs/>
          <w:color w:val="auto"/>
          <w:sz w:val="24"/>
          <w:szCs w:val="24"/>
        </w:rPr>
        <w:t>指标管理</w:t>
      </w:r>
      <w:bookmarkEnd w:id="319"/>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实现指标中间表、指标计算逻辑、指标信息的管理等。</w:t>
      </w:r>
    </w:p>
    <w:p>
      <w:pPr>
        <w:pStyle w:val="20"/>
        <w:spacing w:line="360" w:lineRule="auto"/>
        <w:ind w:firstLineChars="0"/>
        <w:rPr>
          <w:rFonts w:ascii="仿宋" w:hAnsi="仿宋" w:eastAsia="仿宋" w:cs="仿宋"/>
          <w:b/>
          <w:bCs/>
          <w:color w:val="auto"/>
          <w:sz w:val="24"/>
          <w:szCs w:val="24"/>
        </w:rPr>
      </w:pPr>
      <w:bookmarkStart w:id="320" w:name="_Toc40254281"/>
      <w:r>
        <w:rPr>
          <w:rFonts w:hint="eastAsia" w:ascii="仿宋" w:hAnsi="仿宋" w:eastAsia="仿宋" w:cs="仿宋"/>
          <w:b/>
          <w:bCs/>
          <w:color w:val="auto"/>
          <w:sz w:val="24"/>
          <w:szCs w:val="24"/>
        </w:rPr>
        <w:t>（9）日志管理</w:t>
      </w:r>
      <w:bookmarkEnd w:id="320"/>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实现对模块运行的日志进行管理。</w:t>
      </w:r>
    </w:p>
    <w:p>
      <w:pPr>
        <w:pStyle w:val="20"/>
        <w:spacing w:line="360" w:lineRule="auto"/>
        <w:ind w:firstLine="236" w:firstLineChars="98"/>
        <w:rPr>
          <w:rFonts w:ascii="仿宋" w:hAnsi="仿宋" w:eastAsia="仿宋" w:cs="仿宋"/>
          <w:b/>
          <w:bCs/>
          <w:color w:val="auto"/>
          <w:sz w:val="24"/>
          <w:szCs w:val="24"/>
        </w:rPr>
      </w:pPr>
      <w:bookmarkStart w:id="321" w:name="_Toc40254282"/>
      <w:r>
        <w:rPr>
          <w:rFonts w:hint="eastAsia" w:ascii="仿宋" w:hAnsi="仿宋" w:eastAsia="仿宋" w:cs="仿宋"/>
          <w:b/>
          <w:bCs/>
          <w:color w:val="auto"/>
          <w:sz w:val="24"/>
          <w:szCs w:val="24"/>
        </w:rPr>
        <w:t>5.5字典管理</w:t>
      </w:r>
      <w:bookmarkEnd w:id="321"/>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实现对业务字典的可视化维护管理，支持字段含义及用途的维护。</w:t>
      </w:r>
    </w:p>
    <w:p>
      <w:pPr>
        <w:pStyle w:val="20"/>
        <w:spacing w:line="360" w:lineRule="auto"/>
        <w:ind w:firstLine="236" w:firstLineChars="98"/>
        <w:rPr>
          <w:rFonts w:ascii="仿宋" w:hAnsi="仿宋" w:eastAsia="仿宋" w:cs="仿宋"/>
          <w:b/>
          <w:bCs/>
          <w:color w:val="auto"/>
          <w:sz w:val="24"/>
          <w:szCs w:val="24"/>
        </w:rPr>
      </w:pPr>
      <w:bookmarkStart w:id="322" w:name="_Toc40254283"/>
      <w:r>
        <w:rPr>
          <w:rFonts w:hint="eastAsia" w:ascii="仿宋" w:hAnsi="仿宋" w:eastAsia="仿宋" w:cs="仿宋"/>
          <w:b/>
          <w:bCs/>
          <w:color w:val="auto"/>
          <w:sz w:val="24"/>
          <w:szCs w:val="24"/>
        </w:rPr>
        <w:t>5.6综合管控统计分析</w:t>
      </w:r>
      <w:bookmarkEnd w:id="322"/>
    </w:p>
    <w:p>
      <w:pPr>
        <w:pStyle w:val="20"/>
        <w:numPr>
          <w:ilvl w:val="0"/>
          <w:numId w:val="29"/>
        </w:numPr>
        <w:spacing w:line="360" w:lineRule="auto"/>
        <w:ind w:firstLineChars="0"/>
        <w:rPr>
          <w:rFonts w:ascii="仿宋" w:hAnsi="仿宋" w:eastAsia="仿宋" w:cs="仿宋"/>
          <w:b/>
          <w:bCs/>
          <w:color w:val="auto"/>
          <w:sz w:val="24"/>
          <w:szCs w:val="24"/>
        </w:rPr>
      </w:pPr>
      <w:bookmarkStart w:id="323" w:name="_Toc40254284"/>
      <w:r>
        <w:rPr>
          <w:rFonts w:hint="eastAsia" w:ascii="仿宋" w:hAnsi="仿宋" w:eastAsia="仿宋" w:cs="仿宋"/>
          <w:b/>
          <w:bCs/>
          <w:color w:val="auto"/>
          <w:sz w:val="24"/>
          <w:szCs w:val="24"/>
        </w:rPr>
        <w:t>基金审计报表</w:t>
      </w:r>
      <w:bookmarkEnd w:id="323"/>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提供各类基金审计统计分析报表。</w:t>
      </w:r>
    </w:p>
    <w:p>
      <w:pPr>
        <w:pStyle w:val="20"/>
        <w:numPr>
          <w:ilvl w:val="0"/>
          <w:numId w:val="29"/>
        </w:numPr>
        <w:spacing w:line="360" w:lineRule="auto"/>
        <w:ind w:firstLineChars="0"/>
        <w:rPr>
          <w:rFonts w:ascii="仿宋" w:hAnsi="仿宋" w:eastAsia="仿宋" w:cs="仿宋"/>
          <w:b/>
          <w:bCs/>
          <w:color w:val="auto"/>
          <w:sz w:val="24"/>
          <w:szCs w:val="24"/>
        </w:rPr>
      </w:pPr>
      <w:bookmarkStart w:id="324" w:name="_Toc40254285"/>
      <w:r>
        <w:rPr>
          <w:rFonts w:hint="eastAsia" w:ascii="仿宋" w:hAnsi="仿宋" w:eastAsia="仿宋" w:cs="仿宋"/>
          <w:b/>
          <w:bCs/>
          <w:color w:val="auto"/>
          <w:sz w:val="24"/>
          <w:szCs w:val="24"/>
        </w:rPr>
        <w:t>预警管理统计分析和报表</w:t>
      </w:r>
      <w:bookmarkEnd w:id="324"/>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提供各类预警管理统计分析报表。</w:t>
      </w:r>
    </w:p>
    <w:p>
      <w:pPr>
        <w:pStyle w:val="20"/>
        <w:numPr>
          <w:ilvl w:val="0"/>
          <w:numId w:val="29"/>
        </w:numPr>
        <w:spacing w:line="360" w:lineRule="auto"/>
        <w:ind w:firstLineChars="0"/>
        <w:rPr>
          <w:rFonts w:ascii="仿宋" w:hAnsi="仿宋" w:eastAsia="仿宋" w:cs="仿宋"/>
          <w:b/>
          <w:bCs/>
          <w:color w:val="auto"/>
          <w:sz w:val="24"/>
          <w:szCs w:val="24"/>
        </w:rPr>
      </w:pPr>
      <w:bookmarkStart w:id="325" w:name="_Toc40254286"/>
      <w:r>
        <w:rPr>
          <w:rFonts w:hint="eastAsia" w:ascii="仿宋" w:hAnsi="仿宋" w:eastAsia="仿宋" w:cs="仿宋"/>
          <w:b/>
          <w:bCs/>
          <w:color w:val="auto"/>
          <w:sz w:val="24"/>
          <w:szCs w:val="24"/>
        </w:rPr>
        <w:t>舆情管理统计分析和报表</w:t>
      </w:r>
      <w:bookmarkEnd w:id="325"/>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提供对舆情数据的管理与统计分析，支持生成舆情相关报表。</w:t>
      </w:r>
    </w:p>
    <w:p>
      <w:pPr>
        <w:pStyle w:val="20"/>
        <w:numPr>
          <w:ilvl w:val="0"/>
          <w:numId w:val="29"/>
        </w:numPr>
        <w:spacing w:line="360" w:lineRule="auto"/>
        <w:ind w:firstLineChars="0"/>
        <w:rPr>
          <w:rFonts w:ascii="仿宋" w:hAnsi="仿宋" w:eastAsia="仿宋" w:cs="仿宋"/>
          <w:b/>
          <w:bCs/>
          <w:color w:val="auto"/>
          <w:sz w:val="24"/>
          <w:szCs w:val="24"/>
        </w:rPr>
      </w:pPr>
      <w:bookmarkStart w:id="326" w:name="_Toc40254287"/>
      <w:r>
        <w:rPr>
          <w:rFonts w:hint="eastAsia" w:ascii="仿宋" w:hAnsi="仿宋" w:eastAsia="仿宋" w:cs="仿宋"/>
          <w:b/>
          <w:bCs/>
          <w:color w:val="auto"/>
          <w:sz w:val="24"/>
          <w:szCs w:val="24"/>
        </w:rPr>
        <w:t>消息和提醒统计分析和报表</w:t>
      </w:r>
      <w:bookmarkEnd w:id="326"/>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提供各类消息和提醒统计分析报表。</w:t>
      </w:r>
    </w:p>
    <w:p>
      <w:pPr>
        <w:pStyle w:val="20"/>
        <w:numPr>
          <w:ilvl w:val="0"/>
          <w:numId w:val="29"/>
        </w:numPr>
        <w:spacing w:line="360" w:lineRule="auto"/>
        <w:ind w:firstLineChars="0"/>
        <w:rPr>
          <w:rFonts w:ascii="仿宋" w:hAnsi="仿宋" w:eastAsia="仿宋" w:cs="仿宋"/>
          <w:b/>
          <w:bCs/>
          <w:color w:val="auto"/>
          <w:sz w:val="24"/>
          <w:szCs w:val="24"/>
        </w:rPr>
      </w:pPr>
      <w:bookmarkStart w:id="327" w:name="_Toc40254288"/>
      <w:r>
        <w:rPr>
          <w:rFonts w:hint="eastAsia" w:ascii="仿宋" w:hAnsi="仿宋" w:eastAsia="仿宋" w:cs="仿宋"/>
          <w:b/>
          <w:bCs/>
          <w:color w:val="auto"/>
          <w:sz w:val="24"/>
          <w:szCs w:val="24"/>
        </w:rPr>
        <w:t>规则管理统计分析和报表</w:t>
      </w:r>
      <w:bookmarkEnd w:id="327"/>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提供各类规则管理统计分析报表。</w:t>
      </w:r>
    </w:p>
    <w:p>
      <w:pPr>
        <w:pStyle w:val="20"/>
        <w:numPr>
          <w:ilvl w:val="0"/>
          <w:numId w:val="29"/>
        </w:numPr>
        <w:spacing w:line="360" w:lineRule="auto"/>
        <w:ind w:firstLineChars="0"/>
        <w:rPr>
          <w:rFonts w:ascii="仿宋" w:hAnsi="仿宋" w:eastAsia="仿宋" w:cs="仿宋"/>
          <w:b/>
          <w:bCs/>
          <w:color w:val="auto"/>
          <w:sz w:val="24"/>
          <w:szCs w:val="24"/>
        </w:rPr>
      </w:pPr>
      <w:bookmarkStart w:id="328" w:name="_Toc40254289"/>
      <w:r>
        <w:rPr>
          <w:rFonts w:hint="eastAsia" w:ascii="仿宋" w:hAnsi="仿宋" w:eastAsia="仿宋" w:cs="仿宋"/>
          <w:b/>
          <w:bCs/>
          <w:color w:val="auto"/>
          <w:sz w:val="24"/>
          <w:szCs w:val="24"/>
        </w:rPr>
        <w:t>监测统计分析和报表</w:t>
      </w:r>
      <w:bookmarkEnd w:id="328"/>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提供各类监测类统计分析报表。</w:t>
      </w:r>
    </w:p>
    <w:p>
      <w:pPr>
        <w:pStyle w:val="20"/>
        <w:numPr>
          <w:ilvl w:val="0"/>
          <w:numId w:val="29"/>
        </w:numPr>
        <w:spacing w:line="360" w:lineRule="auto"/>
        <w:ind w:firstLineChars="0"/>
        <w:rPr>
          <w:rFonts w:ascii="仿宋" w:hAnsi="仿宋" w:eastAsia="仿宋" w:cs="仿宋"/>
          <w:b/>
          <w:bCs/>
          <w:color w:val="auto"/>
          <w:sz w:val="24"/>
          <w:szCs w:val="24"/>
        </w:rPr>
      </w:pPr>
      <w:bookmarkStart w:id="329" w:name="_Toc40254290"/>
      <w:r>
        <w:rPr>
          <w:rFonts w:hint="eastAsia" w:ascii="仿宋" w:hAnsi="仿宋" w:eastAsia="仿宋" w:cs="仿宋"/>
          <w:b/>
          <w:bCs/>
          <w:color w:val="auto"/>
          <w:sz w:val="24"/>
          <w:szCs w:val="24"/>
        </w:rPr>
        <w:t>监管统计分析和报表</w:t>
      </w:r>
      <w:bookmarkEnd w:id="329"/>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提供各类监管类统计分析报表。</w:t>
      </w:r>
    </w:p>
    <w:p>
      <w:pPr>
        <w:pStyle w:val="20"/>
        <w:numPr>
          <w:ilvl w:val="0"/>
          <w:numId w:val="29"/>
        </w:numPr>
        <w:spacing w:line="360" w:lineRule="auto"/>
        <w:ind w:firstLineChars="0"/>
        <w:rPr>
          <w:rFonts w:ascii="仿宋" w:hAnsi="仿宋" w:eastAsia="仿宋" w:cs="仿宋"/>
          <w:b/>
          <w:bCs/>
          <w:color w:val="auto"/>
          <w:sz w:val="24"/>
          <w:szCs w:val="24"/>
        </w:rPr>
      </w:pPr>
      <w:bookmarkStart w:id="330" w:name="_Toc40254291"/>
      <w:r>
        <w:rPr>
          <w:rFonts w:hint="eastAsia" w:ascii="仿宋" w:hAnsi="仿宋" w:eastAsia="仿宋" w:cs="仿宋"/>
          <w:b/>
          <w:bCs/>
          <w:color w:val="auto"/>
          <w:sz w:val="24"/>
          <w:szCs w:val="24"/>
        </w:rPr>
        <w:t>价格调整</w:t>
      </w:r>
      <w:bookmarkEnd w:id="330"/>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实现药品和医用耗材价格调整的动态管理，包括即时调整、日常调整、定期调整、价格联动、</w:t>
      </w:r>
      <w:r>
        <w:rPr>
          <w:rFonts w:ascii="仿宋" w:hAnsi="仿宋" w:eastAsia="仿宋" w:cs="仿宋"/>
          <w:color w:val="auto"/>
          <w:spacing w:val="-9"/>
          <w:sz w:val="24"/>
        </w:rPr>
        <w:t>新增价格</w:t>
      </w:r>
      <w:r>
        <w:rPr>
          <w:rFonts w:hint="eastAsia" w:ascii="仿宋" w:hAnsi="仿宋" w:eastAsia="仿宋" w:cs="仿宋"/>
          <w:color w:val="auto"/>
          <w:spacing w:val="-9"/>
          <w:sz w:val="24"/>
        </w:rPr>
        <w:t>等功能</w:t>
      </w:r>
    </w:p>
    <w:p>
      <w:pPr>
        <w:pStyle w:val="20"/>
        <w:numPr>
          <w:ilvl w:val="0"/>
          <w:numId w:val="29"/>
        </w:numPr>
        <w:spacing w:line="360" w:lineRule="auto"/>
        <w:ind w:firstLineChars="0"/>
        <w:rPr>
          <w:rFonts w:ascii="仿宋" w:hAnsi="仿宋" w:eastAsia="仿宋" w:cs="仿宋"/>
          <w:b/>
          <w:bCs/>
          <w:color w:val="auto"/>
          <w:sz w:val="24"/>
          <w:szCs w:val="24"/>
        </w:rPr>
      </w:pPr>
      <w:bookmarkStart w:id="331" w:name="_Toc40254292"/>
      <w:r>
        <w:rPr>
          <w:rFonts w:hint="eastAsia" w:ascii="仿宋" w:hAnsi="仿宋" w:eastAsia="仿宋" w:cs="仿宋"/>
          <w:b/>
          <w:bCs/>
          <w:color w:val="auto"/>
          <w:sz w:val="24"/>
          <w:szCs w:val="24"/>
        </w:rPr>
        <w:t>价格公开</w:t>
      </w:r>
      <w:bookmarkEnd w:id="331"/>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提供价格公开功能，可对价格信息进行公开公示。</w:t>
      </w:r>
    </w:p>
    <w:p>
      <w:pPr>
        <w:pStyle w:val="20"/>
        <w:numPr>
          <w:ilvl w:val="0"/>
          <w:numId w:val="29"/>
        </w:numPr>
        <w:spacing w:line="360" w:lineRule="auto"/>
        <w:ind w:firstLineChars="0"/>
        <w:rPr>
          <w:rFonts w:ascii="仿宋" w:hAnsi="仿宋" w:eastAsia="仿宋" w:cs="仿宋"/>
          <w:b/>
          <w:bCs/>
          <w:color w:val="auto"/>
          <w:sz w:val="24"/>
          <w:szCs w:val="24"/>
        </w:rPr>
      </w:pPr>
      <w:bookmarkStart w:id="332" w:name="_Toc40254293"/>
      <w:r>
        <w:rPr>
          <w:rFonts w:hint="eastAsia" w:ascii="仿宋" w:hAnsi="仿宋" w:eastAsia="仿宋" w:cs="仿宋"/>
          <w:b/>
          <w:bCs/>
          <w:color w:val="auto"/>
          <w:sz w:val="24"/>
          <w:szCs w:val="24"/>
        </w:rPr>
        <w:t>抽查事项清单管理</w:t>
      </w:r>
      <w:bookmarkEnd w:id="332"/>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提供抽查事项清单管理功能，可对抽查事项清单进行维护。</w:t>
      </w:r>
    </w:p>
    <w:p>
      <w:pPr>
        <w:pStyle w:val="20"/>
        <w:numPr>
          <w:ilvl w:val="0"/>
          <w:numId w:val="29"/>
        </w:numPr>
        <w:spacing w:line="360" w:lineRule="auto"/>
        <w:ind w:firstLineChars="0"/>
        <w:rPr>
          <w:rFonts w:ascii="仿宋" w:hAnsi="仿宋" w:eastAsia="仿宋" w:cs="仿宋"/>
          <w:b/>
          <w:bCs/>
          <w:color w:val="auto"/>
          <w:sz w:val="24"/>
          <w:szCs w:val="24"/>
        </w:rPr>
      </w:pPr>
      <w:bookmarkStart w:id="333" w:name="_Toc40254294"/>
      <w:r>
        <w:rPr>
          <w:rFonts w:hint="eastAsia" w:ascii="仿宋" w:hAnsi="仿宋" w:eastAsia="仿宋" w:cs="仿宋"/>
          <w:b/>
          <w:bCs/>
          <w:color w:val="auto"/>
          <w:sz w:val="24"/>
          <w:szCs w:val="24"/>
        </w:rPr>
        <w:t>检查对象名录库管理</w:t>
      </w:r>
      <w:bookmarkEnd w:id="333"/>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提供检查对象名录库管理功能，可对检查对象名录库进行维护。</w:t>
      </w:r>
    </w:p>
    <w:p>
      <w:pPr>
        <w:pStyle w:val="20"/>
        <w:spacing w:line="360" w:lineRule="auto"/>
        <w:ind w:firstLineChars="0"/>
        <w:rPr>
          <w:rFonts w:ascii="仿宋" w:hAnsi="仿宋" w:eastAsia="仿宋" w:cs="仿宋"/>
          <w:b/>
          <w:bCs/>
          <w:color w:val="auto"/>
          <w:sz w:val="24"/>
          <w:szCs w:val="24"/>
        </w:rPr>
      </w:pPr>
      <w:bookmarkStart w:id="334" w:name="_Toc40254295"/>
      <w:r>
        <w:rPr>
          <w:rFonts w:hint="eastAsia" w:ascii="仿宋" w:hAnsi="仿宋" w:eastAsia="仿宋" w:cs="仿宋"/>
          <w:b/>
          <w:bCs/>
          <w:color w:val="auto"/>
          <w:sz w:val="24"/>
          <w:szCs w:val="24"/>
        </w:rPr>
        <w:t>（12）执法检查人员名录库管理</w:t>
      </w:r>
      <w:bookmarkEnd w:id="334"/>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提供执法检查人员名录库管理功能，可对执法检查人员名录库进行维护。</w:t>
      </w:r>
    </w:p>
    <w:p>
      <w:pPr>
        <w:pStyle w:val="20"/>
        <w:numPr>
          <w:ilvl w:val="0"/>
          <w:numId w:val="30"/>
        </w:numPr>
        <w:spacing w:line="360" w:lineRule="auto"/>
        <w:ind w:firstLineChars="0"/>
        <w:rPr>
          <w:rFonts w:ascii="仿宋" w:hAnsi="仿宋" w:eastAsia="仿宋" w:cs="仿宋"/>
          <w:b/>
          <w:bCs/>
          <w:color w:val="auto"/>
          <w:sz w:val="24"/>
          <w:szCs w:val="24"/>
        </w:rPr>
      </w:pPr>
      <w:bookmarkStart w:id="335" w:name="_Toc40254296"/>
      <w:r>
        <w:rPr>
          <w:rFonts w:hint="eastAsia" w:ascii="仿宋" w:hAnsi="仿宋" w:eastAsia="仿宋" w:cs="仿宋"/>
          <w:b/>
          <w:bCs/>
          <w:color w:val="auto"/>
          <w:sz w:val="24"/>
          <w:szCs w:val="24"/>
        </w:rPr>
        <w:t>抽查工作细则管理</w:t>
      </w:r>
      <w:bookmarkEnd w:id="335"/>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提供抽查工作细则管理功能，可对抽查工作细则进行维护。</w:t>
      </w:r>
    </w:p>
    <w:p>
      <w:pPr>
        <w:pStyle w:val="20"/>
        <w:numPr>
          <w:ilvl w:val="0"/>
          <w:numId w:val="30"/>
        </w:numPr>
        <w:spacing w:line="360" w:lineRule="auto"/>
        <w:ind w:firstLineChars="0"/>
        <w:rPr>
          <w:rFonts w:ascii="仿宋" w:hAnsi="仿宋" w:eastAsia="仿宋" w:cs="仿宋"/>
          <w:b/>
          <w:bCs/>
          <w:color w:val="auto"/>
          <w:sz w:val="24"/>
          <w:szCs w:val="24"/>
        </w:rPr>
      </w:pPr>
      <w:bookmarkStart w:id="336" w:name="_Toc40254297"/>
      <w:r>
        <w:rPr>
          <w:rFonts w:hint="eastAsia" w:ascii="仿宋" w:hAnsi="仿宋" w:eastAsia="仿宋" w:cs="仿宋"/>
          <w:b/>
          <w:bCs/>
          <w:color w:val="auto"/>
          <w:sz w:val="24"/>
          <w:szCs w:val="24"/>
        </w:rPr>
        <w:t>监管工作专栏</w:t>
      </w:r>
      <w:bookmarkEnd w:id="336"/>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提供监管工作专栏管理，包括抽查依据、抽查主体、抽查事项、抽查方式、抽查程序、抽查结果等管理功能。</w:t>
      </w:r>
    </w:p>
    <w:p>
      <w:pPr>
        <w:pStyle w:val="20"/>
        <w:numPr>
          <w:ilvl w:val="0"/>
          <w:numId w:val="30"/>
        </w:numPr>
        <w:spacing w:line="360" w:lineRule="auto"/>
        <w:ind w:firstLineChars="0"/>
        <w:rPr>
          <w:rFonts w:ascii="仿宋" w:hAnsi="仿宋" w:eastAsia="仿宋" w:cs="仿宋"/>
          <w:b/>
          <w:bCs/>
          <w:color w:val="auto"/>
          <w:sz w:val="24"/>
          <w:szCs w:val="24"/>
        </w:rPr>
      </w:pPr>
      <w:bookmarkStart w:id="337" w:name="_Toc40254298"/>
      <w:r>
        <w:rPr>
          <w:rFonts w:hint="eastAsia" w:ascii="仿宋" w:hAnsi="仿宋" w:eastAsia="仿宋" w:cs="仿宋"/>
          <w:b/>
          <w:bCs/>
          <w:color w:val="auto"/>
          <w:sz w:val="24"/>
          <w:szCs w:val="24"/>
        </w:rPr>
        <w:t>招采环节分析</w:t>
      </w:r>
      <w:bookmarkEnd w:id="337"/>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提供根据招采环节分析数据自动生成招采环节分析报表。</w:t>
      </w:r>
    </w:p>
    <w:p>
      <w:pPr>
        <w:pStyle w:val="20"/>
        <w:numPr>
          <w:ilvl w:val="0"/>
          <w:numId w:val="30"/>
        </w:numPr>
        <w:spacing w:line="360" w:lineRule="auto"/>
        <w:ind w:firstLineChars="0"/>
        <w:rPr>
          <w:rFonts w:ascii="仿宋" w:hAnsi="仿宋" w:eastAsia="仿宋" w:cs="仿宋"/>
          <w:b/>
          <w:bCs/>
          <w:color w:val="auto"/>
          <w:sz w:val="24"/>
          <w:szCs w:val="24"/>
        </w:rPr>
      </w:pPr>
      <w:bookmarkStart w:id="338" w:name="_Toc40254299"/>
      <w:r>
        <w:rPr>
          <w:rFonts w:hint="eastAsia" w:ascii="仿宋" w:hAnsi="仿宋" w:eastAsia="仿宋" w:cs="仿宋"/>
          <w:b/>
          <w:bCs/>
          <w:color w:val="auto"/>
          <w:sz w:val="24"/>
          <w:szCs w:val="24"/>
        </w:rPr>
        <w:t>价格分析</w:t>
      </w:r>
      <w:bookmarkEnd w:id="338"/>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提供根据价格分析数据自动生成价格分析报表。</w:t>
      </w:r>
    </w:p>
    <w:p>
      <w:pPr>
        <w:pStyle w:val="20"/>
        <w:numPr>
          <w:ilvl w:val="0"/>
          <w:numId w:val="30"/>
        </w:numPr>
        <w:spacing w:line="360" w:lineRule="auto"/>
        <w:ind w:firstLineChars="0"/>
        <w:rPr>
          <w:rFonts w:ascii="仿宋" w:hAnsi="仿宋" w:eastAsia="仿宋" w:cs="仿宋"/>
          <w:b/>
          <w:bCs/>
          <w:color w:val="auto"/>
          <w:sz w:val="24"/>
          <w:szCs w:val="24"/>
        </w:rPr>
      </w:pPr>
      <w:bookmarkStart w:id="339" w:name="_Toc40254300"/>
      <w:r>
        <w:rPr>
          <w:rFonts w:hint="eastAsia" w:ascii="仿宋" w:hAnsi="仿宋" w:eastAsia="仿宋" w:cs="仿宋"/>
          <w:b/>
          <w:bCs/>
          <w:color w:val="auto"/>
          <w:sz w:val="24"/>
          <w:szCs w:val="24"/>
        </w:rPr>
        <w:t>专题分析</w:t>
      </w:r>
      <w:bookmarkEnd w:id="339"/>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提供根据专题分析数据自动生成专题分析报表。</w:t>
      </w:r>
    </w:p>
    <w:p>
      <w:pPr>
        <w:pStyle w:val="20"/>
        <w:numPr>
          <w:ilvl w:val="0"/>
          <w:numId w:val="30"/>
        </w:numPr>
        <w:spacing w:line="360" w:lineRule="auto"/>
        <w:ind w:firstLineChars="0"/>
        <w:rPr>
          <w:rFonts w:ascii="仿宋" w:hAnsi="仿宋" w:eastAsia="仿宋" w:cs="仿宋"/>
          <w:b/>
          <w:bCs/>
          <w:color w:val="auto"/>
          <w:sz w:val="24"/>
          <w:szCs w:val="24"/>
        </w:rPr>
      </w:pPr>
      <w:bookmarkStart w:id="340" w:name="_Toc40254301"/>
      <w:r>
        <w:rPr>
          <w:rFonts w:hint="eastAsia" w:ascii="仿宋" w:hAnsi="仿宋" w:eastAsia="仿宋" w:cs="仿宋"/>
          <w:b/>
          <w:bCs/>
          <w:color w:val="auto"/>
          <w:sz w:val="24"/>
          <w:szCs w:val="24"/>
        </w:rPr>
        <w:t>药品耗材短缺分析</w:t>
      </w:r>
      <w:bookmarkEnd w:id="340"/>
    </w:p>
    <w:p>
      <w:pPr>
        <w:pStyle w:val="9"/>
        <w:spacing w:line="360" w:lineRule="auto"/>
        <w:ind w:right="318" w:firstLine="444" w:firstLineChars="200"/>
        <w:rPr>
          <w:rFonts w:ascii="仿宋" w:hAnsi="仿宋" w:eastAsia="仿宋" w:cs="仿宋"/>
          <w:color w:val="auto"/>
          <w:spacing w:val="-9"/>
          <w:sz w:val="24"/>
        </w:rPr>
      </w:pPr>
      <w:r>
        <w:rPr>
          <w:rFonts w:hint="eastAsia" w:ascii="仿宋" w:hAnsi="仿宋" w:eastAsia="仿宋" w:cs="仿宋"/>
          <w:color w:val="auto"/>
          <w:spacing w:val="-9"/>
          <w:sz w:val="24"/>
        </w:rPr>
        <w:t>提供根据药品耗材短缺分析数据自动生成药品耗材短缺分析报表。</w:t>
      </w:r>
    </w:p>
    <w:bookmarkEnd w:id="308"/>
    <w:p>
      <w:pPr>
        <w:widowControl/>
        <w:spacing w:line="360" w:lineRule="auto"/>
        <w:jc w:val="left"/>
        <w:rPr>
          <w:rFonts w:ascii="仿宋" w:hAnsi="仿宋" w:eastAsia="仿宋" w:cs="仿宋"/>
          <w:b/>
          <w:bCs/>
          <w:color w:val="auto"/>
          <w:sz w:val="24"/>
        </w:rPr>
      </w:pPr>
      <w:bookmarkStart w:id="341" w:name="_Toc40254302"/>
      <w:r>
        <w:rPr>
          <w:rFonts w:hint="eastAsia" w:ascii="仿宋" w:hAnsi="仿宋" w:eastAsia="仿宋" w:cs="仿宋"/>
          <w:b/>
          <w:bCs/>
          <w:color w:val="auto"/>
          <w:sz w:val="24"/>
        </w:rPr>
        <w:t>6.软件安全要求</w:t>
      </w:r>
      <w:bookmarkEnd w:id="341"/>
    </w:p>
    <w:p>
      <w:pPr>
        <w:pStyle w:val="18"/>
        <w:ind w:firstLineChars="0"/>
        <w:rPr>
          <w:rFonts w:ascii="仿宋" w:hAnsi="仿宋" w:eastAsia="仿宋" w:cs="仿宋"/>
          <w:color w:val="auto"/>
          <w:sz w:val="24"/>
        </w:rPr>
      </w:pPr>
      <w:r>
        <w:rPr>
          <w:rFonts w:hint="eastAsia" w:ascii="仿宋" w:hAnsi="仿宋" w:eastAsia="仿宋" w:cs="仿宋"/>
          <w:color w:val="auto"/>
          <w:sz w:val="24"/>
        </w:rPr>
        <w:t>中标单位须严格按照国家医疗保障局《医保信息系统安全开发规范》要求组织系统开发和实施，并符合《信息安全技术网络安全等级保护基本要求》（GB/T 22239一2019）三级安全要求。</w:t>
      </w:r>
    </w:p>
    <w:p>
      <w:pPr>
        <w:pStyle w:val="18"/>
        <w:ind w:firstLineChars="0"/>
        <w:rPr>
          <w:rFonts w:ascii="仿宋" w:hAnsi="仿宋" w:eastAsia="仿宋" w:cs="仿宋"/>
          <w:color w:val="auto"/>
          <w:sz w:val="24"/>
        </w:rPr>
      </w:pPr>
      <w:r>
        <w:rPr>
          <w:rFonts w:hint="eastAsia" w:ascii="仿宋" w:hAnsi="仿宋" w:eastAsia="仿宋" w:cs="仿宋"/>
          <w:color w:val="auto"/>
          <w:sz w:val="24"/>
        </w:rPr>
        <w:t>中标单位所开发的系统须符合《信息系统密码应用基本要求》。</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系统上线前，应按照招标方要求进行源代码安全扫描，并对发现的漏洞进行修复。</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投标方应提供详细的安全设计方案并详细说明在应用安全和数据安全方面采取的安全的措施。</w:t>
      </w:r>
    </w:p>
    <w:p>
      <w:pPr>
        <w:widowControl/>
        <w:spacing w:line="360" w:lineRule="auto"/>
        <w:jc w:val="left"/>
        <w:rPr>
          <w:rFonts w:ascii="仿宋" w:hAnsi="仿宋" w:eastAsia="仿宋" w:cs="仿宋"/>
          <w:b/>
          <w:bCs/>
          <w:color w:val="auto"/>
          <w:sz w:val="24"/>
        </w:rPr>
      </w:pPr>
      <w:bookmarkStart w:id="342" w:name="_Toc40254303"/>
      <w:r>
        <w:rPr>
          <w:rFonts w:hint="eastAsia" w:ascii="仿宋" w:hAnsi="仿宋" w:eastAsia="仿宋" w:cs="仿宋"/>
          <w:b/>
          <w:bCs/>
          <w:color w:val="auto"/>
          <w:sz w:val="24"/>
        </w:rPr>
        <w:t>7.软件性能要求</w:t>
      </w:r>
      <w:bookmarkEnd w:id="342"/>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（1）系统支持访问的总用户数大于600 人。</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（2）系统支持的并发数大于1100次/分。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 xml:space="preserve">（3）在稳定性上，系统要求全年稳定连续运行，稳定性不小于 99.999%； </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（4）系统要求交互类业务平均响应 时间不大于1秒，查询类业务平均响应时间不大于2秒，交易接口类单条记录平均响应时间不大于1秒、多条记录（100条）平均响应时间不大于3秒。</w:t>
      </w:r>
    </w:p>
    <w:p>
      <w:pPr>
        <w:widowControl/>
        <w:spacing w:line="360" w:lineRule="auto"/>
        <w:jc w:val="left"/>
        <w:rPr>
          <w:rFonts w:ascii="仿宋" w:hAnsi="仿宋" w:eastAsia="仿宋" w:cs="仿宋"/>
          <w:b/>
          <w:bCs/>
          <w:color w:val="auto"/>
          <w:sz w:val="24"/>
        </w:rPr>
      </w:pPr>
      <w:bookmarkStart w:id="343" w:name="_Toc40254304"/>
      <w:r>
        <w:rPr>
          <w:rFonts w:hint="eastAsia" w:ascii="仿宋" w:hAnsi="仿宋" w:eastAsia="仿宋" w:cs="仿宋"/>
          <w:b/>
          <w:bCs/>
          <w:color w:val="auto"/>
          <w:sz w:val="24"/>
        </w:rPr>
        <w:t>8.软件技术要求</w:t>
      </w:r>
      <w:bookmarkEnd w:id="343"/>
    </w:p>
    <w:p>
      <w:pPr>
        <w:pStyle w:val="20"/>
        <w:spacing w:line="360" w:lineRule="auto"/>
        <w:ind w:firstLineChars="0"/>
        <w:rPr>
          <w:rFonts w:ascii="仿宋" w:hAnsi="仿宋" w:eastAsia="仿宋" w:cs="仿宋"/>
          <w:b/>
          <w:bCs/>
          <w:color w:val="auto"/>
          <w:sz w:val="24"/>
          <w:szCs w:val="24"/>
        </w:rPr>
      </w:pPr>
      <w:bookmarkStart w:id="344" w:name="_Toc40254305"/>
      <w:r>
        <w:rPr>
          <w:rFonts w:hint="eastAsia" w:ascii="仿宋" w:hAnsi="仿宋" w:eastAsia="仿宋" w:cs="仿宋"/>
          <w:b/>
          <w:bCs/>
          <w:color w:val="auto"/>
          <w:sz w:val="24"/>
          <w:szCs w:val="24"/>
        </w:rPr>
        <w:t>8.1总体技术要求</w:t>
      </w:r>
      <w:bookmarkEnd w:id="344"/>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产品应该是企业级的解决方案，支持可分布的、可伸缩的体系结构。支持部署在主流的操作系统（Linux）和硬件平台上，支持B/S 结构，支持云计算技术架构。</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投标方提供的软件应该基于国家局下发的业务中台进行开发，支持对业务中台服务调用。</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投标方提供的软件必须是模块化设计，并且保证任何软件模块的维护和更新都不影响其它软件模块，软件具有容错能力。</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投标方提供的软件应具有自身故障监视和诊断能力，即软件能及时发现故障并发出告警。</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投标方提供的软件在不同时期软件版本应能向下兼容，软件版本易于升级，且在升级的过程中不影响业务的性能与运行。</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投标方应承诺在供货时提供最新版本的软件，但该软件必须是经过测试正式推出，其可靠性、稳定性经过严格验证。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本项目运维期内，软件版本升级时，中标单位应承诺免费更新软件版本，并提供相应的新版本软件功能说明书及修改说明书。</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投标方提供的应用软件要求具有较强的容错功能。</w:t>
      </w:r>
    </w:p>
    <w:p>
      <w:pPr>
        <w:pStyle w:val="20"/>
        <w:spacing w:line="360" w:lineRule="auto"/>
        <w:ind w:firstLine="354" w:firstLineChars="147"/>
        <w:rPr>
          <w:rFonts w:ascii="仿宋" w:hAnsi="仿宋" w:eastAsia="仿宋" w:cs="仿宋"/>
          <w:b/>
          <w:bCs/>
          <w:color w:val="auto"/>
          <w:sz w:val="24"/>
          <w:szCs w:val="24"/>
        </w:rPr>
      </w:pPr>
      <w:bookmarkStart w:id="345" w:name="_Toc40254306"/>
      <w:r>
        <w:rPr>
          <w:rFonts w:hint="eastAsia" w:ascii="仿宋" w:hAnsi="仿宋" w:eastAsia="仿宋" w:cs="仿宋"/>
          <w:b/>
          <w:bCs/>
          <w:color w:val="auto"/>
          <w:sz w:val="24"/>
          <w:szCs w:val="24"/>
        </w:rPr>
        <w:t>8.2应用软件性能要求</w:t>
      </w:r>
      <w:bookmarkEnd w:id="345"/>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（1）应用软件系统的各个软件功能模块应满足本文相关功能要求，并且适应今后的业务增长和变化，随时可以按功能需要进行修改和维护。</w:t>
      </w:r>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（2）应用软件应采用通用软件开发平台进行开发，有很强的灵活性和扩展性，在今后开展新业务时可通过对参数等的简单更改迅速方便地实现，具有良好的适应能力。</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 应用软件应采用友好的图形化窗口的用户操作界面，可操作性强，而且操作界面应力求简洁、直观，具有全中文界面，有向导性功能，支持工作台化管理，有利于简化操作，并提高操作效率。在考虑简化用户的操作的同时，应允许操作人员必要时做一些人工干预。</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 应用软件应具备一套完备的数据管理系统和进程调度系统，以保证系统的安全可靠和整个系统的正常运转</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 应用软件还应采用参数驱动的设计思想，在应用软件中，凡是不能确定的因素，应做到参数化，以达到通过对参数的设置就可适应不同的情况及不同时期的应用要求，并具备多用户和多任务操作能力。</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 每个应用的功能由一个应用模块完成，应用模块之间应减少耦合度；应用模块与系统之间采用开放的应用接口（API）进行通信；开发人员可灵活开发新的应用模块，并可在不需对原有系统进行重新编译的前提下，动态加载到系统使用。</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（7） 应用软件必须可制作打包安装盘（包），具有自动安装功能以及网络 远程安装功能。</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（8） 应用软件要遵循易操作性、健壮性、实用性、高效性和安全性的原则。</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（9） 灵活设计和详细规划系统操作权限，支持功能级、数据级权限控制，可按原子级业务、业务组件、业务流程分配系统操作权限；支持角色管理，个性化角色工作台展示业务组件、业务图表。</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（10） 应用软件应具有完整、严谨的操作权限管理机制和日志记录，确保系统的安全性和业务的可稽核性；系统采用业务回退机制，加强业务的可逆性。</w:t>
      </w:r>
    </w:p>
    <w:p>
      <w:pPr>
        <w:pStyle w:val="20"/>
        <w:spacing w:line="360" w:lineRule="auto"/>
        <w:ind w:firstLineChars="0"/>
        <w:rPr>
          <w:rFonts w:ascii="仿宋" w:hAnsi="仿宋" w:eastAsia="仿宋" w:cs="仿宋"/>
          <w:b/>
          <w:bCs/>
          <w:color w:val="auto"/>
          <w:sz w:val="24"/>
          <w:szCs w:val="24"/>
        </w:rPr>
      </w:pPr>
      <w:bookmarkStart w:id="346" w:name="_Toc40254307"/>
      <w:r>
        <w:rPr>
          <w:rFonts w:hint="eastAsia" w:ascii="仿宋" w:hAnsi="仿宋" w:eastAsia="仿宋" w:cs="仿宋"/>
          <w:b/>
          <w:bCs/>
          <w:color w:val="auto"/>
          <w:sz w:val="24"/>
          <w:szCs w:val="24"/>
        </w:rPr>
        <w:t>8.3应用软件说明要求</w:t>
      </w:r>
      <w:bookmarkEnd w:id="346"/>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 投标方产品应支持当前主流X86服务器和主流操作系统（Linux），支持虚拟化，支持容器（docker），支持主流云服务等。</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 投标方产品应支持当前主流数据库、中间件及云数据库。并且支持国产数据库及中间件。</w:t>
      </w:r>
    </w:p>
    <w:p>
      <w:pPr>
        <w:pStyle w:val="20"/>
        <w:spacing w:line="360" w:lineRule="auto"/>
        <w:ind w:firstLineChars="0"/>
        <w:rPr>
          <w:rFonts w:ascii="仿宋" w:hAnsi="仿宋" w:eastAsia="仿宋" w:cs="仿宋"/>
          <w:b/>
          <w:bCs/>
          <w:color w:val="auto"/>
          <w:sz w:val="24"/>
          <w:szCs w:val="24"/>
        </w:rPr>
      </w:pPr>
      <w:bookmarkStart w:id="347" w:name="_Toc40254308"/>
      <w:r>
        <w:rPr>
          <w:rFonts w:hint="eastAsia" w:ascii="仿宋" w:hAnsi="仿宋" w:eastAsia="仿宋" w:cs="仿宋"/>
          <w:b/>
          <w:bCs/>
          <w:color w:val="auto"/>
          <w:sz w:val="24"/>
          <w:szCs w:val="24"/>
        </w:rPr>
        <w:t>8.4中标单位第三方软件技术要求</w:t>
      </w:r>
      <w:bookmarkEnd w:id="347"/>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 中标单位原则上须使用招标方所提供的第三方软件，如遇特殊情况，需使用其他第三方软件，在征得招标方同意后，由中标单位自行解决。</w:t>
      </w:r>
    </w:p>
    <w:p>
      <w:pPr>
        <w:widowControl/>
        <w:spacing w:line="360" w:lineRule="auto"/>
        <w:jc w:val="left"/>
        <w:rPr>
          <w:rFonts w:ascii="仿宋" w:hAnsi="仿宋" w:eastAsia="仿宋" w:cs="仿宋"/>
          <w:b/>
          <w:bCs/>
          <w:color w:val="auto"/>
          <w:sz w:val="24"/>
        </w:rPr>
      </w:pPr>
      <w:bookmarkStart w:id="348" w:name="_Toc40254309"/>
      <w:r>
        <w:rPr>
          <w:rFonts w:hint="eastAsia" w:ascii="仿宋" w:hAnsi="仿宋" w:eastAsia="仿宋" w:cs="仿宋"/>
          <w:b/>
          <w:bCs/>
          <w:color w:val="auto"/>
          <w:sz w:val="24"/>
        </w:rPr>
        <w:t>9.服务要求</w:t>
      </w:r>
      <w:bookmarkEnd w:id="348"/>
    </w:p>
    <w:p>
      <w:pPr>
        <w:pStyle w:val="20"/>
        <w:spacing w:line="360" w:lineRule="auto"/>
        <w:ind w:firstLineChars="0"/>
        <w:rPr>
          <w:rFonts w:ascii="仿宋" w:hAnsi="仿宋" w:eastAsia="仿宋" w:cs="仿宋"/>
          <w:b/>
          <w:bCs/>
          <w:color w:val="auto"/>
          <w:sz w:val="24"/>
          <w:szCs w:val="24"/>
        </w:rPr>
      </w:pPr>
      <w:bookmarkStart w:id="349" w:name="_Toc27900673"/>
      <w:bookmarkStart w:id="350" w:name="_Toc40254310"/>
      <w:r>
        <w:rPr>
          <w:rFonts w:hint="eastAsia" w:ascii="仿宋" w:hAnsi="仿宋" w:eastAsia="仿宋" w:cs="仿宋"/>
          <w:b/>
          <w:bCs/>
          <w:color w:val="auto"/>
          <w:sz w:val="24"/>
          <w:szCs w:val="24"/>
        </w:rPr>
        <w:t>9.1集成要求</w:t>
      </w:r>
      <w:bookmarkEnd w:id="349"/>
      <w:bookmarkEnd w:id="350"/>
    </w:p>
    <w:p>
      <w:pPr>
        <w:tabs>
          <w:tab w:val="left" w:pos="1301"/>
        </w:tabs>
        <w:autoSpaceDE w:val="0"/>
        <w:autoSpaceDN w:val="0"/>
        <w:spacing w:line="360" w:lineRule="auto"/>
        <w:ind w:left="220" w:right="315" w:firstLine="480"/>
        <w:rPr>
          <w:rFonts w:ascii="仿宋" w:hAnsi="仿宋" w:eastAsia="仿宋" w:cs="仿宋"/>
          <w:color w:val="auto"/>
          <w:kern w:val="0"/>
          <w:sz w:val="24"/>
          <w:lang w:val="zh-CN" w:bidi="zh-CN"/>
        </w:rPr>
      </w:pPr>
      <w:bookmarkStart w:id="351" w:name="_Hlk36112695"/>
      <w:r>
        <w:rPr>
          <w:rFonts w:hint="eastAsia" w:ascii="仿宋" w:hAnsi="仿宋" w:eastAsia="仿宋" w:cs="仿宋"/>
          <w:color w:val="auto"/>
          <w:kern w:val="0"/>
          <w:sz w:val="24"/>
          <w:lang w:val="zh-CN" w:bidi="zh-CN"/>
        </w:rPr>
        <w:t>中标单位应配合软件集成商进行医保综合管控系统的集成工作，包括相关软件部署，系统软件上线运行以及与其他系统的互联等。</w:t>
      </w:r>
    </w:p>
    <w:bookmarkEnd w:id="351"/>
    <w:p>
      <w:pPr>
        <w:widowControl/>
        <w:spacing w:line="360" w:lineRule="auto"/>
        <w:ind w:firstLine="361" w:firstLineChars="150"/>
        <w:jc w:val="left"/>
        <w:rPr>
          <w:rFonts w:ascii="仿宋" w:hAnsi="仿宋" w:eastAsia="仿宋" w:cs="仿宋"/>
          <w:b/>
          <w:bCs/>
          <w:color w:val="auto"/>
          <w:sz w:val="24"/>
        </w:rPr>
      </w:pPr>
      <w:bookmarkStart w:id="352" w:name="_Toc27900674"/>
      <w:bookmarkStart w:id="353" w:name="_Toc40254311"/>
      <w:r>
        <w:rPr>
          <w:rFonts w:hint="eastAsia" w:ascii="仿宋" w:hAnsi="仿宋" w:eastAsia="仿宋" w:cs="仿宋"/>
          <w:b/>
          <w:color w:val="auto"/>
          <w:kern w:val="0"/>
          <w:sz w:val="24"/>
          <w:lang w:val="zh-CN" w:bidi="zh-CN"/>
        </w:rPr>
        <w:t>9.2</w:t>
      </w:r>
      <w:r>
        <w:rPr>
          <w:rFonts w:hint="eastAsia" w:ascii="仿宋" w:hAnsi="仿宋" w:eastAsia="仿宋" w:cs="仿宋"/>
          <w:b/>
          <w:bCs/>
          <w:color w:val="auto"/>
          <w:sz w:val="24"/>
        </w:rPr>
        <w:t>投标方项目管理要求</w:t>
      </w:r>
      <w:bookmarkEnd w:id="352"/>
      <w:bookmarkEnd w:id="353"/>
    </w:p>
    <w:p>
      <w:pPr>
        <w:pStyle w:val="19"/>
        <w:ind w:firstLine="480"/>
        <w:rPr>
          <w:rFonts w:ascii="仿宋" w:hAnsi="仿宋" w:eastAsia="仿宋" w:cs="仿宋"/>
          <w:color w:val="auto"/>
          <w:sz w:val="24"/>
          <w:szCs w:val="24"/>
        </w:rPr>
      </w:pPr>
      <w:bookmarkStart w:id="354" w:name="_Hlk36112763"/>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需提供本次工程建设的项目管理方案，本包投入技术人员不少于30人，包括项目人员名单（中标单位安排的项目人员必须固定，若有替换，必须与招标方协商，未经甲方同意变动人员的，甲方有权终止项目）及角色分工、项目实施计划、项目变更管理方案以及项目风险管理方案等。投标方应承诺提供现场实施服务。</w:t>
      </w:r>
    </w:p>
    <w:p>
      <w:pPr>
        <w:pStyle w:val="19"/>
        <w:ind w:firstLine="0" w:firstLineChars="0"/>
        <w:rPr>
          <w:rFonts w:ascii="仿宋" w:hAnsi="仿宋" w:eastAsia="仿宋" w:cs="仿宋"/>
          <w:color w:val="auto"/>
          <w:sz w:val="24"/>
          <w:szCs w:val="24"/>
        </w:rPr>
      </w:pPr>
      <w:r>
        <w:rPr>
          <w:rFonts w:hint="eastAsia" w:ascii="仿宋" w:hAnsi="仿宋" w:eastAsia="仿宋" w:cs="仿宋"/>
          <w:color w:val="auto"/>
          <w:sz w:val="24"/>
          <w:szCs w:val="24"/>
        </w:rPr>
        <w:t>基本要求如下：</w:t>
      </w:r>
    </w:p>
    <w:p>
      <w:pPr>
        <w:numPr>
          <w:ilvl w:val="0"/>
          <w:numId w:val="31"/>
        </w:numPr>
        <w:autoSpaceDE w:val="0"/>
        <w:autoSpaceDN w:val="0"/>
        <w:spacing w:line="360" w:lineRule="auto"/>
        <w:ind w:right="163"/>
        <w:jc w:val="left"/>
        <w:rPr>
          <w:rFonts w:ascii="仿宋" w:hAnsi="仿宋" w:eastAsia="仿宋" w:cs="仿宋"/>
          <w:color w:val="auto"/>
          <w:spacing w:val="-4"/>
          <w:kern w:val="0"/>
          <w:sz w:val="24"/>
          <w:lang w:val="zh-CN" w:bidi="zh-CN"/>
        </w:rPr>
      </w:pPr>
      <w:r>
        <w:rPr>
          <w:rFonts w:hint="eastAsia" w:ascii="仿宋" w:hAnsi="仿宋" w:eastAsia="仿宋" w:cs="仿宋"/>
          <w:color w:val="auto"/>
          <w:spacing w:val="-4"/>
          <w:kern w:val="0"/>
          <w:sz w:val="24"/>
          <w:lang w:val="zh-CN" w:bidi="zh-CN"/>
        </w:rPr>
        <w:t>项目经理</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具有5 年以上的信息化规划和建设管理经验，具有信息化总体规划能力，具备省级及以上医疗、医保或医药相关行业规划建设经验，对医疗、医保或医药领域信息化有深入理解，有良好的沟通能力、耐性和综合素质。</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中标单位参与的项目经理负责对</w:t>
      </w:r>
      <w:r>
        <w:rPr>
          <w:rFonts w:hint="eastAsia" w:ascii="仿宋" w:hAnsi="仿宋" w:eastAsia="仿宋" w:cs="仿宋"/>
          <w:color w:val="auto"/>
          <w:sz w:val="24"/>
          <w:szCs w:val="24"/>
          <w:lang w:val="zh-CN" w:bidi="zh-CN"/>
        </w:rPr>
        <w:t>医保综合管控系统</w:t>
      </w:r>
      <w:r>
        <w:rPr>
          <w:rFonts w:hint="eastAsia" w:ascii="仿宋" w:hAnsi="仿宋" w:eastAsia="仿宋" w:cs="仿宋"/>
          <w:color w:val="auto"/>
          <w:sz w:val="24"/>
          <w:szCs w:val="24"/>
        </w:rPr>
        <w:t>项目建设的管理工作。</w:t>
      </w:r>
    </w:p>
    <w:p>
      <w:pPr>
        <w:autoSpaceDE w:val="0"/>
        <w:autoSpaceDN w:val="0"/>
        <w:spacing w:line="360" w:lineRule="auto"/>
        <w:ind w:right="163"/>
        <w:jc w:val="left"/>
        <w:rPr>
          <w:rFonts w:ascii="仿宋" w:hAnsi="仿宋" w:eastAsia="仿宋" w:cs="仿宋"/>
          <w:color w:val="auto"/>
          <w:spacing w:val="-4"/>
          <w:kern w:val="0"/>
          <w:sz w:val="24"/>
          <w:lang w:val="zh-CN" w:bidi="zh-CN"/>
        </w:rPr>
      </w:pPr>
      <w:r>
        <w:rPr>
          <w:rFonts w:hint="eastAsia" w:ascii="仿宋" w:hAnsi="仿宋" w:eastAsia="仿宋" w:cs="仿宋"/>
          <w:color w:val="auto"/>
          <w:spacing w:val="-4"/>
          <w:kern w:val="0"/>
          <w:sz w:val="24"/>
          <w:lang w:val="zh-CN" w:bidi="zh-CN"/>
        </w:rPr>
        <w:t>（2）需求分析阶段</w:t>
      </w:r>
    </w:p>
    <w:p>
      <w:pPr>
        <w:tabs>
          <w:tab w:val="left" w:pos="1301"/>
        </w:tabs>
        <w:autoSpaceDE w:val="0"/>
        <w:autoSpaceDN w:val="0"/>
        <w:spacing w:line="360" w:lineRule="auto"/>
        <w:ind w:right="318"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中标单位需与海南省医疗保障局等相关部门相关人员充分沟通，掌握本项目的需求。</w:t>
      </w:r>
    </w:p>
    <w:p>
      <w:pPr>
        <w:spacing w:line="360" w:lineRule="auto"/>
        <w:rPr>
          <w:rFonts w:ascii="仿宋" w:hAnsi="仿宋" w:eastAsia="仿宋" w:cs="仿宋"/>
          <w:color w:val="auto"/>
          <w:sz w:val="24"/>
        </w:rPr>
      </w:pPr>
      <w:r>
        <w:rPr>
          <w:rFonts w:hint="eastAsia" w:ascii="仿宋" w:hAnsi="仿宋" w:eastAsia="仿宋" w:cs="仿宋"/>
          <w:color w:val="auto"/>
          <w:sz w:val="24"/>
        </w:rPr>
        <w:t>要求：</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中标单位参与人员数量，总数不少于10人。</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中标单位至少需提交的文档：业务需求调研报告、应用系统需求分析规格说明书。</w:t>
      </w:r>
    </w:p>
    <w:p>
      <w:pPr>
        <w:autoSpaceDE w:val="0"/>
        <w:autoSpaceDN w:val="0"/>
        <w:spacing w:line="360" w:lineRule="auto"/>
        <w:jc w:val="left"/>
        <w:rPr>
          <w:rFonts w:ascii="仿宋" w:hAnsi="仿宋" w:eastAsia="仿宋" w:cs="仿宋"/>
          <w:color w:val="auto"/>
          <w:spacing w:val="-4"/>
          <w:kern w:val="0"/>
          <w:sz w:val="24"/>
          <w:lang w:val="zh-CN" w:bidi="zh-CN"/>
        </w:rPr>
      </w:pPr>
      <w:r>
        <w:rPr>
          <w:rFonts w:hint="eastAsia" w:ascii="仿宋" w:hAnsi="仿宋" w:eastAsia="仿宋" w:cs="仿宋"/>
          <w:color w:val="auto"/>
          <w:spacing w:val="-4"/>
          <w:kern w:val="0"/>
          <w:sz w:val="24"/>
          <w:lang w:val="zh-CN" w:bidi="zh-CN"/>
        </w:rPr>
        <w:t>（3）系统设计研发阶段</w:t>
      </w:r>
    </w:p>
    <w:p>
      <w:pPr>
        <w:spacing w:line="360" w:lineRule="auto"/>
        <w:rPr>
          <w:rFonts w:ascii="仿宋" w:hAnsi="仿宋" w:eastAsia="仿宋" w:cs="仿宋"/>
          <w:color w:val="auto"/>
          <w:sz w:val="24"/>
        </w:rPr>
      </w:pPr>
      <w:r>
        <w:rPr>
          <w:rFonts w:hint="eastAsia" w:ascii="仿宋" w:hAnsi="仿宋" w:eastAsia="仿宋" w:cs="仿宋"/>
          <w:color w:val="auto"/>
          <w:sz w:val="24"/>
        </w:rPr>
        <w:t>要求：</w:t>
      </w:r>
    </w:p>
    <w:p>
      <w:pPr>
        <w:pStyle w:val="19"/>
        <w:numPr>
          <w:ilvl w:val="0"/>
          <w:numId w:val="32"/>
        </w:numPr>
        <w:ind w:left="0" w:firstLine="480"/>
        <w:rPr>
          <w:rFonts w:ascii="仿宋" w:hAnsi="仿宋" w:eastAsia="仿宋" w:cs="仿宋"/>
          <w:color w:val="auto"/>
          <w:sz w:val="24"/>
          <w:szCs w:val="24"/>
        </w:rPr>
      </w:pPr>
      <w:r>
        <w:rPr>
          <w:rFonts w:hint="eastAsia" w:ascii="仿宋" w:hAnsi="仿宋" w:eastAsia="仿宋" w:cs="仿宋"/>
          <w:color w:val="auto"/>
          <w:sz w:val="24"/>
          <w:szCs w:val="24"/>
        </w:rPr>
        <w:t>中标单位参与人员数量，总数不少于20人。</w:t>
      </w:r>
    </w:p>
    <w:p>
      <w:pPr>
        <w:numPr>
          <w:ilvl w:val="0"/>
          <w:numId w:val="32"/>
        </w:numPr>
        <w:spacing w:line="360" w:lineRule="auto"/>
        <w:ind w:left="0" w:firstLine="480" w:firstLineChars="200"/>
        <w:rPr>
          <w:rFonts w:ascii="仿宋" w:hAnsi="仿宋" w:eastAsia="仿宋" w:cs="仿宋"/>
          <w:color w:val="auto"/>
          <w:sz w:val="24"/>
        </w:rPr>
      </w:pPr>
      <w:r>
        <w:rPr>
          <w:rFonts w:hint="eastAsia" w:ascii="仿宋" w:hAnsi="仿宋" w:eastAsia="仿宋" w:cs="仿宋"/>
          <w:color w:val="auto"/>
          <w:sz w:val="24"/>
        </w:rPr>
        <w:t>中标单位至少需提交的文档：系统架构设计说明书，系统详细设计说明书，数据库设计说明书，各软件功能模块、流程、数据、接口模块的详细说明及内部测试报告。</w:t>
      </w:r>
    </w:p>
    <w:p>
      <w:pPr>
        <w:spacing w:line="360" w:lineRule="auto"/>
        <w:rPr>
          <w:rFonts w:ascii="仿宋" w:hAnsi="仿宋" w:eastAsia="仿宋" w:cs="仿宋"/>
          <w:color w:val="auto"/>
          <w:sz w:val="24"/>
        </w:rPr>
      </w:pPr>
      <w:r>
        <w:rPr>
          <w:rFonts w:hint="eastAsia" w:ascii="仿宋" w:hAnsi="仿宋" w:eastAsia="仿宋" w:cs="仿宋"/>
          <w:color w:val="auto"/>
          <w:spacing w:val="-4"/>
          <w:kern w:val="0"/>
          <w:sz w:val="24"/>
          <w:lang w:val="zh-CN" w:bidi="zh-CN"/>
        </w:rPr>
        <w:t>（4）系统测试阶段</w:t>
      </w:r>
    </w:p>
    <w:p>
      <w:pPr>
        <w:spacing w:line="360" w:lineRule="auto"/>
        <w:rPr>
          <w:rFonts w:ascii="仿宋" w:hAnsi="仿宋" w:eastAsia="仿宋" w:cs="仿宋"/>
          <w:color w:val="auto"/>
          <w:sz w:val="24"/>
        </w:rPr>
      </w:pPr>
      <w:r>
        <w:rPr>
          <w:rFonts w:hint="eastAsia" w:ascii="仿宋" w:hAnsi="仿宋" w:eastAsia="仿宋" w:cs="仿宋"/>
          <w:color w:val="auto"/>
          <w:sz w:val="24"/>
        </w:rPr>
        <w:t>要求：</w:t>
      </w:r>
    </w:p>
    <w:p>
      <w:pPr>
        <w:numPr>
          <w:ilvl w:val="0"/>
          <w:numId w:val="33"/>
        </w:numPr>
        <w:spacing w:line="360" w:lineRule="auto"/>
        <w:ind w:left="0" w:firstLine="397"/>
        <w:rPr>
          <w:rFonts w:ascii="仿宋" w:hAnsi="仿宋" w:eastAsia="仿宋" w:cs="仿宋"/>
          <w:color w:val="auto"/>
          <w:sz w:val="24"/>
        </w:rPr>
      </w:pPr>
      <w:r>
        <w:rPr>
          <w:rFonts w:hint="eastAsia" w:ascii="仿宋" w:hAnsi="仿宋" w:eastAsia="仿宋" w:cs="仿宋"/>
          <w:color w:val="auto"/>
          <w:sz w:val="24"/>
        </w:rPr>
        <w:t>中标单位参与人员数量，总数不少于5人。</w:t>
      </w:r>
    </w:p>
    <w:p>
      <w:pPr>
        <w:numPr>
          <w:ilvl w:val="0"/>
          <w:numId w:val="33"/>
        </w:numPr>
        <w:spacing w:line="360" w:lineRule="auto"/>
        <w:ind w:left="0" w:firstLine="397"/>
        <w:rPr>
          <w:rFonts w:ascii="仿宋" w:hAnsi="仿宋" w:eastAsia="仿宋" w:cs="仿宋"/>
          <w:color w:val="auto"/>
          <w:sz w:val="24"/>
        </w:rPr>
      </w:pPr>
      <w:r>
        <w:rPr>
          <w:rFonts w:hint="eastAsia" w:ascii="仿宋" w:hAnsi="仿宋" w:eastAsia="仿宋" w:cs="仿宋"/>
          <w:color w:val="auto"/>
          <w:sz w:val="24"/>
        </w:rPr>
        <w:t>中标单位至少需提交的文档：测试方案、测试过程文档、系统整体测试报告。</w:t>
      </w:r>
    </w:p>
    <w:p>
      <w:pPr>
        <w:autoSpaceDE w:val="0"/>
        <w:autoSpaceDN w:val="0"/>
        <w:spacing w:line="360" w:lineRule="auto"/>
        <w:ind w:right="305"/>
        <w:jc w:val="left"/>
        <w:rPr>
          <w:rFonts w:ascii="仿宋" w:hAnsi="仿宋" w:eastAsia="仿宋" w:cs="仿宋"/>
          <w:color w:val="auto"/>
          <w:spacing w:val="-4"/>
          <w:kern w:val="0"/>
          <w:sz w:val="24"/>
          <w:lang w:val="zh-CN" w:bidi="zh-CN"/>
        </w:rPr>
      </w:pPr>
      <w:r>
        <w:rPr>
          <w:rFonts w:hint="eastAsia" w:ascii="仿宋" w:hAnsi="仿宋" w:eastAsia="仿宋" w:cs="仿宋"/>
          <w:color w:val="auto"/>
          <w:spacing w:val="-4"/>
          <w:kern w:val="0"/>
          <w:sz w:val="24"/>
          <w:lang w:val="zh-CN" w:bidi="zh-CN"/>
        </w:rPr>
        <w:t>（5）系统实施阶段</w:t>
      </w:r>
    </w:p>
    <w:p>
      <w:pPr>
        <w:spacing w:line="360" w:lineRule="auto"/>
        <w:rPr>
          <w:rFonts w:ascii="仿宋" w:hAnsi="仿宋" w:eastAsia="仿宋" w:cs="仿宋"/>
          <w:color w:val="auto"/>
          <w:sz w:val="24"/>
        </w:rPr>
      </w:pPr>
      <w:r>
        <w:rPr>
          <w:rFonts w:hint="eastAsia" w:ascii="仿宋" w:hAnsi="仿宋" w:eastAsia="仿宋" w:cs="仿宋"/>
          <w:color w:val="auto"/>
          <w:sz w:val="24"/>
        </w:rPr>
        <w:t>要求：</w:t>
      </w:r>
    </w:p>
    <w:p>
      <w:pPr>
        <w:numPr>
          <w:ilvl w:val="0"/>
          <w:numId w:val="34"/>
        </w:numPr>
        <w:spacing w:line="360" w:lineRule="auto"/>
        <w:rPr>
          <w:rFonts w:ascii="仿宋" w:hAnsi="仿宋" w:eastAsia="仿宋" w:cs="仿宋"/>
          <w:color w:val="auto"/>
          <w:sz w:val="24"/>
        </w:rPr>
      </w:pPr>
      <w:r>
        <w:rPr>
          <w:rFonts w:hint="eastAsia" w:ascii="仿宋" w:hAnsi="仿宋" w:eastAsia="仿宋" w:cs="仿宋"/>
          <w:color w:val="auto"/>
          <w:sz w:val="24"/>
        </w:rPr>
        <w:t>中标单位参与人员数量，总数不少于20人。</w:t>
      </w:r>
    </w:p>
    <w:p>
      <w:pPr>
        <w:numPr>
          <w:ilvl w:val="0"/>
          <w:numId w:val="34"/>
        </w:numPr>
        <w:spacing w:line="360" w:lineRule="auto"/>
        <w:rPr>
          <w:rFonts w:ascii="仿宋" w:hAnsi="仿宋" w:eastAsia="仿宋" w:cs="仿宋"/>
          <w:color w:val="auto"/>
          <w:sz w:val="24"/>
        </w:rPr>
      </w:pPr>
      <w:r>
        <w:rPr>
          <w:rFonts w:hint="eastAsia" w:ascii="仿宋" w:hAnsi="仿宋" w:eastAsia="仿宋" w:cs="仿宋"/>
          <w:color w:val="auto"/>
          <w:sz w:val="24"/>
        </w:rPr>
        <w:t>中标单位至少需提交的文档：系统实施计划、过程文档、试运行报告。</w:t>
      </w:r>
    </w:p>
    <w:p>
      <w:pPr>
        <w:autoSpaceDE w:val="0"/>
        <w:autoSpaceDN w:val="0"/>
        <w:spacing w:line="360" w:lineRule="auto"/>
        <w:ind w:right="305"/>
        <w:jc w:val="left"/>
        <w:rPr>
          <w:rFonts w:ascii="仿宋" w:hAnsi="仿宋" w:eastAsia="仿宋" w:cs="仿宋"/>
          <w:color w:val="auto"/>
          <w:spacing w:val="-4"/>
          <w:kern w:val="0"/>
          <w:sz w:val="24"/>
          <w:lang w:val="zh-CN" w:bidi="zh-CN"/>
        </w:rPr>
      </w:pPr>
      <w:r>
        <w:rPr>
          <w:rFonts w:hint="eastAsia" w:ascii="仿宋" w:hAnsi="仿宋" w:eastAsia="仿宋" w:cs="仿宋"/>
          <w:color w:val="auto"/>
          <w:spacing w:val="-4"/>
          <w:kern w:val="0"/>
          <w:sz w:val="24"/>
          <w:lang w:val="zh-CN" w:bidi="zh-CN"/>
        </w:rPr>
        <w:t>（6）驻场服务</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本项目运维期内需提供至少10名本项目专职长期驻场工程师，驻场工程师工作量不额外计费，驻场工程师具备本系统进行修改、 调整能力，并按客户要求调整本系统（包括驻场工程师工作量内的新需求）。</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人员要求：驻场负责人</w:t>
      </w:r>
      <w:r>
        <w:rPr>
          <w:rFonts w:hint="eastAsia" w:ascii="仿宋" w:hAnsi="仿宋" w:eastAsia="仿宋" w:cs="仿宋"/>
          <w:color w:val="auto"/>
          <w:kern w:val="0"/>
          <w:sz w:val="24"/>
          <w:szCs w:val="24"/>
        </w:rPr>
        <w:t>具有</w:t>
      </w:r>
      <w:r>
        <w:rPr>
          <w:rFonts w:ascii="仿宋" w:hAnsi="仿宋" w:eastAsia="仿宋" w:cs="仿宋"/>
          <w:bCs w:val="0"/>
          <w:color w:val="auto"/>
          <w:kern w:val="0"/>
          <w:sz w:val="24"/>
          <w:szCs w:val="24"/>
        </w:rPr>
        <w:t>一定医保信息平台开发建设实践经验</w:t>
      </w:r>
      <w:r>
        <w:rPr>
          <w:rFonts w:hint="eastAsia" w:ascii="仿宋" w:hAnsi="仿宋" w:eastAsia="仿宋" w:cs="仿宋"/>
          <w:bCs w:val="0"/>
          <w:color w:val="auto"/>
          <w:kern w:val="0"/>
          <w:sz w:val="24"/>
        </w:rPr>
        <w:t>且具备</w:t>
      </w:r>
      <w:r>
        <w:rPr>
          <w:rFonts w:hint="eastAsia" w:ascii="仿宋" w:hAnsi="仿宋" w:eastAsia="仿宋" w:cs="仿宋"/>
          <w:color w:val="auto"/>
          <w:kern w:val="0"/>
          <w:sz w:val="24"/>
          <w:szCs w:val="24"/>
        </w:rPr>
        <w:t>5</w:t>
      </w:r>
      <w:r>
        <w:rPr>
          <w:rFonts w:hint="eastAsia" w:ascii="仿宋" w:hAnsi="仿宋" w:eastAsia="仿宋" w:cs="仿宋"/>
          <w:color w:val="auto"/>
          <w:sz w:val="24"/>
          <w:szCs w:val="24"/>
        </w:rPr>
        <w:t>以上的政府相关领域信息化研发经验，具备省级及以上政府相关行业建设经验，对政府相关领域信息化有深入理解，有良好的沟通能力、 耐性和综合素质。</w:t>
      </w:r>
    </w:p>
    <w:p>
      <w:pPr>
        <w:spacing w:line="360" w:lineRule="auto"/>
        <w:rPr>
          <w:rFonts w:ascii="仿宋" w:hAnsi="仿宋" w:eastAsia="仿宋" w:cs="仿宋"/>
          <w:color w:val="auto"/>
          <w:spacing w:val="-4"/>
          <w:kern w:val="0"/>
          <w:sz w:val="24"/>
          <w:lang w:val="zh-CN" w:bidi="zh-CN"/>
        </w:rPr>
      </w:pPr>
      <w:r>
        <w:rPr>
          <w:rFonts w:hint="eastAsia" w:ascii="仿宋" w:hAnsi="仿宋" w:eastAsia="仿宋" w:cs="仿宋"/>
          <w:color w:val="auto"/>
          <w:spacing w:val="-4"/>
          <w:kern w:val="0"/>
          <w:sz w:val="24"/>
          <w:lang w:val="zh-CN" w:bidi="zh-CN"/>
        </w:rPr>
        <w:t>（7）系统优化服务</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本项目运维期内至少每半年进行一次系统性数据梳理和整体优化，确保数据管理效率。</w:t>
      </w:r>
    </w:p>
    <w:p>
      <w:pPr>
        <w:autoSpaceDE w:val="0"/>
        <w:autoSpaceDN w:val="0"/>
        <w:spacing w:line="360" w:lineRule="auto"/>
        <w:ind w:right="305"/>
        <w:jc w:val="left"/>
        <w:rPr>
          <w:rFonts w:ascii="仿宋" w:hAnsi="仿宋" w:eastAsia="仿宋" w:cs="仿宋"/>
          <w:color w:val="auto"/>
          <w:spacing w:val="-4"/>
          <w:kern w:val="0"/>
          <w:sz w:val="24"/>
          <w:lang w:val="zh-CN" w:bidi="zh-CN"/>
        </w:rPr>
      </w:pPr>
      <w:r>
        <w:rPr>
          <w:rFonts w:hint="eastAsia" w:ascii="仿宋" w:hAnsi="仿宋" w:eastAsia="仿宋" w:cs="仿宋"/>
          <w:color w:val="auto"/>
          <w:spacing w:val="-4"/>
          <w:kern w:val="0"/>
          <w:sz w:val="24"/>
          <w:lang w:val="zh-CN" w:bidi="zh-CN"/>
        </w:rPr>
        <w:t>（8）保密内容</w:t>
      </w:r>
    </w:p>
    <w:p>
      <w:pPr>
        <w:pStyle w:val="19"/>
        <w:ind w:firstLine="480"/>
        <w:rPr>
          <w:rFonts w:ascii="仿宋" w:hAnsi="仿宋" w:eastAsia="仿宋" w:cs="仿宋"/>
          <w:color w:val="auto"/>
          <w:sz w:val="24"/>
          <w:szCs w:val="24"/>
        </w:rPr>
      </w:pPr>
      <w:r>
        <w:rPr>
          <w:rFonts w:hint="eastAsia" w:ascii="仿宋" w:hAnsi="仿宋" w:eastAsia="仿宋" w:cs="仿宋"/>
          <w:color w:val="auto"/>
          <w:kern w:val="0"/>
          <w:sz w:val="24"/>
          <w:szCs w:val="24"/>
        </w:rPr>
        <w:t>投标方</w:t>
      </w:r>
      <w:r>
        <w:rPr>
          <w:rFonts w:hint="eastAsia" w:ascii="仿宋" w:hAnsi="仿宋" w:eastAsia="仿宋" w:cs="仿宋"/>
          <w:color w:val="auto"/>
          <w:sz w:val="24"/>
          <w:szCs w:val="24"/>
        </w:rPr>
        <w:t>需在投标文件中明确保密承诺，本项目中数据（包含原始数据和衍生数据）全部为招标方所有，全部列入保密范围，中标单位不得未经用户许可的情况下导出、分析以及移作他用。</w:t>
      </w:r>
    </w:p>
    <w:p>
      <w:pPr>
        <w:autoSpaceDE w:val="0"/>
        <w:autoSpaceDN w:val="0"/>
        <w:spacing w:line="360" w:lineRule="auto"/>
        <w:ind w:right="305"/>
        <w:jc w:val="left"/>
        <w:rPr>
          <w:rFonts w:ascii="仿宋" w:hAnsi="仿宋" w:eastAsia="仿宋" w:cs="仿宋"/>
          <w:color w:val="auto"/>
          <w:spacing w:val="-4"/>
          <w:kern w:val="0"/>
          <w:sz w:val="24"/>
          <w:lang w:val="zh-CN" w:bidi="zh-CN"/>
        </w:rPr>
      </w:pPr>
      <w:r>
        <w:rPr>
          <w:rFonts w:hint="eastAsia" w:ascii="仿宋" w:hAnsi="仿宋" w:eastAsia="仿宋" w:cs="仿宋"/>
          <w:color w:val="auto"/>
          <w:spacing w:val="-4"/>
          <w:kern w:val="0"/>
          <w:sz w:val="24"/>
          <w:lang w:val="zh-CN" w:bidi="zh-CN"/>
        </w:rPr>
        <w:t>（9）源代码和产权要求</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投标方需在投标文件中明确，本项目中的全部源代码（不包含既有知识产权类和工具）和知识产权全部为招标方所有，中标单位需在合作期间及合作终止后5年内，在招标方提出要求的3天内无条件提供本项目源代码。</w:t>
      </w:r>
    </w:p>
    <w:bookmarkEnd w:id="354"/>
    <w:p>
      <w:pPr>
        <w:widowControl/>
        <w:spacing w:line="360" w:lineRule="auto"/>
        <w:jc w:val="left"/>
        <w:rPr>
          <w:rFonts w:ascii="仿宋" w:hAnsi="仿宋" w:eastAsia="仿宋" w:cs="仿宋"/>
          <w:b/>
          <w:bCs/>
          <w:color w:val="auto"/>
          <w:sz w:val="24"/>
        </w:rPr>
      </w:pPr>
      <w:bookmarkStart w:id="355" w:name="_Toc40254312"/>
      <w:bookmarkStart w:id="356" w:name="_Toc27900675"/>
      <w:r>
        <w:rPr>
          <w:rFonts w:hint="eastAsia" w:ascii="仿宋" w:hAnsi="仿宋" w:eastAsia="仿宋" w:cs="仿宋"/>
          <w:b/>
          <w:bCs/>
          <w:color w:val="auto"/>
          <w:sz w:val="24"/>
        </w:rPr>
        <w:t>10．培训要求</w:t>
      </w:r>
      <w:bookmarkEnd w:id="355"/>
      <w:bookmarkEnd w:id="356"/>
      <w:bookmarkStart w:id="357" w:name="_Hlk36112849"/>
    </w:p>
    <w:p>
      <w:pPr>
        <w:widowControl/>
        <w:spacing w:line="360" w:lineRule="auto"/>
        <w:ind w:firstLine="464" w:firstLineChars="200"/>
        <w:jc w:val="left"/>
        <w:rPr>
          <w:rFonts w:ascii="仿宋" w:hAnsi="仿宋" w:eastAsia="仿宋" w:cs="仿宋"/>
          <w:color w:val="auto"/>
          <w:spacing w:val="-4"/>
          <w:kern w:val="0"/>
          <w:sz w:val="24"/>
          <w:lang w:val="zh-CN" w:bidi="zh-CN"/>
        </w:rPr>
      </w:pPr>
      <w:r>
        <w:rPr>
          <w:rFonts w:hint="eastAsia" w:ascii="仿宋" w:hAnsi="仿宋" w:eastAsia="仿宋" w:cs="仿宋"/>
          <w:color w:val="auto"/>
          <w:spacing w:val="-4"/>
          <w:kern w:val="0"/>
          <w:sz w:val="24"/>
          <w:lang w:val="zh-CN" w:bidi="zh-CN"/>
        </w:rPr>
        <w:t>10.1对项目相关其它中标单位人员的培训</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与本项目有关联的其它系统中标单位，对其相关人员进行系统培训。</w:t>
      </w:r>
    </w:p>
    <w:p>
      <w:pPr>
        <w:autoSpaceDE w:val="0"/>
        <w:autoSpaceDN w:val="0"/>
        <w:spacing w:line="360" w:lineRule="auto"/>
        <w:ind w:right="305" w:firstLine="464" w:firstLineChars="200"/>
        <w:jc w:val="left"/>
        <w:rPr>
          <w:rFonts w:ascii="仿宋" w:hAnsi="仿宋" w:eastAsia="仿宋" w:cs="仿宋"/>
          <w:color w:val="auto"/>
          <w:spacing w:val="-4"/>
          <w:kern w:val="0"/>
          <w:sz w:val="24"/>
          <w:lang w:val="zh-CN" w:bidi="zh-CN"/>
        </w:rPr>
      </w:pPr>
      <w:r>
        <w:rPr>
          <w:rFonts w:hint="eastAsia" w:ascii="仿宋" w:hAnsi="仿宋" w:eastAsia="仿宋" w:cs="仿宋"/>
          <w:color w:val="auto"/>
          <w:spacing w:val="-4"/>
          <w:kern w:val="0"/>
          <w:sz w:val="24"/>
          <w:lang w:val="zh-CN" w:bidi="zh-CN"/>
        </w:rPr>
        <w:t>10.1对应用部门各级系统应用人员的培训</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使之能够了解信息系统的建设思想、主要功能和操作规程，能够熟练应用这一系统辅助开展工作，并能结合实际工作需要提出各种改进意见。根据人员对系统的使用特点不同，对应用人员的培训分为两个层次：</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（1）对领导培训的主要目的是使有关主管领导对系统有一定的了解，同时能够应用系统进行决策、指挥工作；</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（2）对其他应用人员的培训，主要使他们在各业务环境下能够很好地利用系统完成相应的专业工作，提高工作效率，提高信息的准确性和全面性。</w:t>
      </w:r>
    </w:p>
    <w:p>
      <w:pPr>
        <w:autoSpaceDE w:val="0"/>
        <w:autoSpaceDN w:val="0"/>
        <w:spacing w:line="360" w:lineRule="auto"/>
        <w:ind w:right="306" w:firstLine="464" w:firstLineChars="200"/>
        <w:jc w:val="left"/>
        <w:rPr>
          <w:rFonts w:ascii="仿宋" w:hAnsi="仿宋" w:eastAsia="仿宋" w:cs="仿宋"/>
          <w:color w:val="auto"/>
          <w:spacing w:val="-4"/>
          <w:kern w:val="0"/>
          <w:sz w:val="24"/>
          <w:lang w:val="zh-CN" w:bidi="zh-CN"/>
        </w:rPr>
      </w:pPr>
      <w:r>
        <w:rPr>
          <w:rFonts w:hint="eastAsia" w:ascii="仿宋" w:hAnsi="仿宋" w:eastAsia="仿宋" w:cs="仿宋"/>
          <w:color w:val="auto"/>
          <w:spacing w:val="-4"/>
          <w:kern w:val="0"/>
          <w:sz w:val="24"/>
          <w:lang w:val="zh-CN" w:bidi="zh-CN"/>
        </w:rPr>
        <w:t>10.3系统运行维护人员的培训</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运维人员培训主要包括以下几个方面：系统整体知识培训、业务系统培训等。通过培训使项目运维队伍能够充分了解本项目。</w:t>
      </w:r>
    </w:p>
    <w:bookmarkEnd w:id="357"/>
    <w:p>
      <w:pPr>
        <w:widowControl/>
        <w:spacing w:line="360" w:lineRule="auto"/>
        <w:jc w:val="left"/>
        <w:rPr>
          <w:rFonts w:ascii="仿宋" w:hAnsi="仿宋" w:eastAsia="仿宋" w:cs="仿宋"/>
          <w:b/>
          <w:bCs/>
          <w:color w:val="auto"/>
          <w:sz w:val="24"/>
        </w:rPr>
      </w:pPr>
      <w:bookmarkStart w:id="358" w:name="_Toc40254313"/>
      <w:bookmarkStart w:id="359" w:name="_Toc27900676"/>
      <w:r>
        <w:rPr>
          <w:rFonts w:hint="eastAsia" w:ascii="仿宋" w:hAnsi="仿宋" w:eastAsia="仿宋" w:cs="仿宋"/>
          <w:b/>
          <w:bCs/>
          <w:color w:val="auto"/>
          <w:sz w:val="24"/>
        </w:rPr>
        <w:t>11.维护及技术支持要求</w:t>
      </w:r>
      <w:bookmarkEnd w:id="358"/>
      <w:bookmarkEnd w:id="359"/>
    </w:p>
    <w:p>
      <w:pPr>
        <w:numPr>
          <w:ilvl w:val="0"/>
          <w:numId w:val="35"/>
        </w:numPr>
        <w:spacing w:line="360" w:lineRule="auto"/>
        <w:ind w:left="0" w:firstLine="397"/>
        <w:rPr>
          <w:rFonts w:ascii="仿宋" w:hAnsi="仿宋" w:eastAsia="仿宋" w:cs="仿宋"/>
          <w:color w:val="auto"/>
          <w:sz w:val="24"/>
        </w:rPr>
      </w:pPr>
      <w:r>
        <w:rPr>
          <w:rFonts w:hint="eastAsia" w:ascii="仿宋" w:hAnsi="仿宋" w:eastAsia="仿宋" w:cs="仿宋"/>
          <w:color w:val="auto"/>
          <w:sz w:val="24"/>
        </w:rPr>
        <w:t>针对所有软件，中标单位应提供项目终验合格后2年的免费运维服务。</w:t>
      </w:r>
    </w:p>
    <w:p>
      <w:pPr>
        <w:numPr>
          <w:ilvl w:val="0"/>
          <w:numId w:val="35"/>
        </w:numPr>
        <w:spacing w:line="360" w:lineRule="auto"/>
        <w:ind w:left="0" w:firstLine="397"/>
        <w:rPr>
          <w:rFonts w:ascii="仿宋" w:hAnsi="仿宋" w:eastAsia="仿宋" w:cs="仿宋"/>
          <w:color w:val="auto"/>
          <w:sz w:val="24"/>
        </w:rPr>
      </w:pPr>
      <w:r>
        <w:rPr>
          <w:rFonts w:hint="eastAsia" w:ascii="仿宋" w:hAnsi="仿宋" w:eastAsia="仿宋" w:cs="仿宋"/>
          <w:color w:val="auto"/>
          <w:sz w:val="24"/>
        </w:rPr>
        <w:t>在软件维保期内，中标单位应提供灵活、多样的通信手段（包括但不限于场地、设备及人员、专用服务电话），提供7*24小时的响应服务，保证在任何时候招标方人员都能及时找到中标单位的服务人员。如遇驻场人员无法解决的问题或招标方认为需要，中标单位的技术人员应在12小时内赶到现场支持。</w:t>
      </w:r>
    </w:p>
    <w:p>
      <w:pPr>
        <w:numPr>
          <w:ilvl w:val="0"/>
          <w:numId w:val="35"/>
        </w:numPr>
        <w:spacing w:line="360" w:lineRule="auto"/>
        <w:ind w:left="0" w:firstLine="397"/>
        <w:rPr>
          <w:rFonts w:ascii="仿宋" w:hAnsi="仿宋" w:eastAsia="仿宋" w:cs="仿宋"/>
          <w:color w:val="auto"/>
          <w:sz w:val="24"/>
        </w:rPr>
      </w:pPr>
      <w:r>
        <w:rPr>
          <w:rFonts w:hint="eastAsia" w:ascii="仿宋" w:hAnsi="仿宋" w:eastAsia="仿宋" w:cs="仿宋"/>
          <w:color w:val="auto"/>
          <w:sz w:val="24"/>
        </w:rPr>
        <w:t>所供软件出现问题时，其响应时间不超过15分钟，一般故障处理时间不大于2小时；特殊情况下，故障修复时间不大于12小时。</w:t>
      </w:r>
    </w:p>
    <w:p>
      <w:pPr>
        <w:numPr>
          <w:ilvl w:val="0"/>
          <w:numId w:val="35"/>
        </w:numPr>
        <w:spacing w:line="360" w:lineRule="auto"/>
        <w:ind w:left="0" w:firstLine="397"/>
        <w:rPr>
          <w:rFonts w:ascii="仿宋" w:hAnsi="仿宋" w:eastAsia="仿宋" w:cs="仿宋"/>
          <w:color w:val="auto"/>
          <w:sz w:val="24"/>
        </w:rPr>
      </w:pPr>
      <w:r>
        <w:rPr>
          <w:rFonts w:hint="eastAsia" w:ascii="仿宋" w:hAnsi="仿宋" w:eastAsia="仿宋" w:cs="仿宋"/>
          <w:color w:val="auto"/>
          <w:sz w:val="24"/>
        </w:rPr>
        <w:t>中标单位应提供排除故障响应的具体流程。</w:t>
      </w:r>
    </w:p>
    <w:p>
      <w:pPr>
        <w:numPr>
          <w:ilvl w:val="0"/>
          <w:numId w:val="35"/>
        </w:numPr>
        <w:spacing w:line="360" w:lineRule="auto"/>
        <w:ind w:left="0" w:firstLine="397"/>
        <w:rPr>
          <w:rFonts w:ascii="仿宋" w:hAnsi="仿宋" w:eastAsia="仿宋" w:cs="仿宋"/>
          <w:color w:val="auto"/>
          <w:sz w:val="24"/>
        </w:rPr>
      </w:pPr>
      <w:r>
        <w:rPr>
          <w:rFonts w:hint="eastAsia" w:ascii="仿宋" w:hAnsi="仿宋" w:eastAsia="仿宋" w:cs="仿宋"/>
          <w:color w:val="auto"/>
          <w:sz w:val="24"/>
        </w:rPr>
        <w:t>中标单位应在项目方案中说明技术指导和技术支持的范围和程度，中标单位应提供技术服务流程，技术服务内容和价格清单，若维保期内与期外不同，则应分别列出。</w:t>
      </w:r>
      <w:bookmarkStart w:id="360" w:name="_Toc40254314"/>
      <w:bookmarkStart w:id="361" w:name="_Toc27900677"/>
      <w:bookmarkStart w:id="362" w:name="_Toc27900678"/>
    </w:p>
    <w:p>
      <w:pPr>
        <w:spacing w:line="360" w:lineRule="auto"/>
        <w:rPr>
          <w:rFonts w:ascii="仿宋" w:hAnsi="仿宋" w:eastAsia="仿宋" w:cs="仿宋"/>
          <w:b/>
          <w:bCs/>
          <w:color w:val="auto"/>
          <w:sz w:val="24"/>
        </w:rPr>
      </w:pPr>
      <w:r>
        <w:rPr>
          <w:rFonts w:hint="eastAsia" w:ascii="仿宋" w:hAnsi="仿宋" w:eastAsia="仿宋" w:cs="仿宋"/>
          <w:b/>
          <w:bCs/>
          <w:color w:val="auto"/>
          <w:sz w:val="24"/>
        </w:rPr>
        <w:t>12.技术文件要求</w:t>
      </w:r>
      <w:bookmarkEnd w:id="360"/>
      <w:bookmarkEnd w:id="361"/>
    </w:p>
    <w:p>
      <w:pPr>
        <w:pStyle w:val="19"/>
        <w:ind w:firstLine="480"/>
        <w:rPr>
          <w:rFonts w:ascii="仿宋" w:hAnsi="仿宋" w:eastAsia="仿宋" w:cs="仿宋"/>
          <w:color w:val="auto"/>
          <w:sz w:val="24"/>
          <w:szCs w:val="24"/>
        </w:rPr>
      </w:pPr>
      <w:bookmarkStart w:id="363" w:name="_Hlk36112914"/>
      <w:r>
        <w:rPr>
          <w:rFonts w:hint="eastAsia" w:ascii="仿宋" w:hAnsi="仿宋" w:eastAsia="仿宋" w:cs="仿宋"/>
          <w:color w:val="auto"/>
          <w:sz w:val="24"/>
          <w:szCs w:val="24"/>
        </w:rPr>
        <w:t>中标单位提供的书面技术资料必须能够满足确保系统正常运行所需的管理、运营、验收及维护的全套文件。中标单位提供的技术文件必须包括但不限于：</w:t>
      </w:r>
    </w:p>
    <w:p>
      <w:pPr>
        <w:numPr>
          <w:ilvl w:val="1"/>
          <w:numId w:val="36"/>
        </w:numPr>
        <w:spacing w:line="360" w:lineRule="auto"/>
        <w:rPr>
          <w:rFonts w:ascii="仿宋" w:hAnsi="仿宋" w:eastAsia="仿宋" w:cs="仿宋"/>
          <w:color w:val="auto"/>
          <w:sz w:val="24"/>
        </w:rPr>
      </w:pPr>
      <w:r>
        <w:rPr>
          <w:rFonts w:hint="eastAsia" w:ascii="仿宋" w:hAnsi="仿宋" w:eastAsia="仿宋" w:cs="仿宋"/>
          <w:color w:val="auto"/>
          <w:sz w:val="24"/>
        </w:rPr>
        <w:t>系统说明文件</w:t>
      </w:r>
    </w:p>
    <w:p>
      <w:pPr>
        <w:numPr>
          <w:ilvl w:val="1"/>
          <w:numId w:val="36"/>
        </w:numPr>
        <w:spacing w:line="360" w:lineRule="auto"/>
        <w:rPr>
          <w:rFonts w:ascii="仿宋" w:hAnsi="仿宋" w:eastAsia="仿宋" w:cs="仿宋"/>
          <w:color w:val="auto"/>
          <w:sz w:val="24"/>
        </w:rPr>
      </w:pPr>
      <w:r>
        <w:rPr>
          <w:rFonts w:hint="eastAsia" w:ascii="仿宋" w:hAnsi="仿宋" w:eastAsia="仿宋" w:cs="仿宋"/>
          <w:color w:val="auto"/>
          <w:sz w:val="24"/>
        </w:rPr>
        <w:t>技术手册（安装、操作、维护、故障排除、培训文档等）</w:t>
      </w:r>
    </w:p>
    <w:p>
      <w:pPr>
        <w:numPr>
          <w:ilvl w:val="1"/>
          <w:numId w:val="36"/>
        </w:numPr>
        <w:spacing w:line="360" w:lineRule="auto"/>
        <w:rPr>
          <w:rFonts w:ascii="仿宋" w:hAnsi="仿宋" w:eastAsia="仿宋" w:cs="仿宋"/>
          <w:color w:val="auto"/>
          <w:sz w:val="24"/>
        </w:rPr>
      </w:pPr>
      <w:r>
        <w:rPr>
          <w:rFonts w:hint="eastAsia" w:ascii="仿宋" w:hAnsi="仿宋" w:eastAsia="仿宋" w:cs="仿宋"/>
          <w:color w:val="auto"/>
          <w:sz w:val="24"/>
        </w:rPr>
        <w:t>详细的工程日志</w:t>
      </w:r>
    </w:p>
    <w:p>
      <w:pPr>
        <w:numPr>
          <w:ilvl w:val="1"/>
          <w:numId w:val="36"/>
        </w:numPr>
        <w:spacing w:line="360" w:lineRule="auto"/>
        <w:rPr>
          <w:rFonts w:ascii="仿宋" w:hAnsi="仿宋" w:eastAsia="仿宋" w:cs="仿宋"/>
          <w:color w:val="auto"/>
          <w:sz w:val="24"/>
        </w:rPr>
      </w:pPr>
      <w:r>
        <w:rPr>
          <w:rFonts w:hint="eastAsia" w:ascii="仿宋" w:hAnsi="仿宋" w:eastAsia="仿宋" w:cs="仿宋"/>
          <w:color w:val="auto"/>
          <w:sz w:val="24"/>
        </w:rPr>
        <w:t>系统完整文档</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其中，（1）、（2）项必须在安装调测前提供，（3）必须在工程实施过程中随时提供，并在工程实施后1 个月内汇总移交。所有的文档必须包括书面和电子两种形式。（4）在工程完成初验后，厂家提供完整的技术文档。</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请投标方在项目方案中列出提供的书面技术资料详细清单。</w:t>
      </w:r>
    </w:p>
    <w:bookmarkEnd w:id="363"/>
    <w:p>
      <w:pPr>
        <w:spacing w:line="360" w:lineRule="auto"/>
        <w:rPr>
          <w:rFonts w:ascii="仿宋" w:hAnsi="仿宋" w:eastAsia="仿宋" w:cs="仿宋"/>
          <w:b/>
          <w:bCs/>
          <w:color w:val="auto"/>
          <w:sz w:val="24"/>
        </w:rPr>
      </w:pPr>
      <w:bookmarkStart w:id="364" w:name="_Toc40254315"/>
      <w:r>
        <w:rPr>
          <w:rFonts w:hint="eastAsia" w:ascii="仿宋" w:hAnsi="仿宋" w:eastAsia="仿宋" w:cs="仿宋"/>
          <w:b/>
          <w:bCs/>
          <w:color w:val="auto"/>
          <w:sz w:val="24"/>
        </w:rPr>
        <w:t>13.项目协作要求</w:t>
      </w:r>
      <w:bookmarkEnd w:id="362"/>
      <w:bookmarkEnd w:id="364"/>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中标单位须配合其它相关子系统中标单位。</w:t>
      </w:r>
    </w:p>
    <w:p>
      <w:pPr>
        <w:spacing w:line="360" w:lineRule="auto"/>
        <w:rPr>
          <w:rFonts w:ascii="仿宋" w:hAnsi="仿宋" w:eastAsia="仿宋" w:cs="仿宋"/>
          <w:b/>
          <w:bCs/>
          <w:color w:val="auto"/>
          <w:sz w:val="24"/>
        </w:rPr>
      </w:pPr>
      <w:bookmarkStart w:id="365" w:name="_Toc40254316"/>
      <w:r>
        <w:rPr>
          <w:rFonts w:hint="eastAsia" w:ascii="仿宋" w:hAnsi="仿宋" w:eastAsia="仿宋" w:cs="仿宋"/>
          <w:b/>
          <w:bCs/>
          <w:color w:val="auto"/>
          <w:sz w:val="24"/>
        </w:rPr>
        <w:t>14.项目计划要求</w:t>
      </w:r>
      <w:bookmarkEnd w:id="365"/>
    </w:p>
    <w:p>
      <w:pPr>
        <w:pStyle w:val="18"/>
        <w:rPr>
          <w:rFonts w:ascii="仿宋" w:hAnsi="仿宋" w:eastAsia="仿宋" w:cs="仿宋"/>
          <w:color w:val="auto"/>
          <w:sz w:val="24"/>
        </w:rPr>
      </w:pPr>
      <w:r>
        <w:rPr>
          <w:rFonts w:hint="eastAsia" w:ascii="仿宋" w:hAnsi="仿宋" w:eastAsia="仿宋" w:cs="仿宋"/>
          <w:color w:val="auto"/>
          <w:sz w:val="24"/>
        </w:rPr>
        <w:t>服务期限：签订合同之日起至2021年</w:t>
      </w:r>
      <w:r>
        <w:rPr>
          <w:rFonts w:hint="eastAsia" w:ascii="仿宋" w:hAnsi="仿宋" w:eastAsia="仿宋" w:cs="仿宋"/>
          <w:color w:val="auto"/>
          <w:sz w:val="24"/>
          <w:lang w:val="en-US"/>
        </w:rPr>
        <w:t>6</w:t>
      </w:r>
      <w:r>
        <w:rPr>
          <w:rFonts w:hint="eastAsia" w:ascii="仿宋" w:hAnsi="仿宋" w:eastAsia="仿宋" w:cs="仿宋"/>
          <w:color w:val="auto"/>
          <w:sz w:val="24"/>
        </w:rPr>
        <w:t>底前完成系统初验，进入试运行，试运行期至少3个月，2021年底前完成系统终验。</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在工程实施全过程中，招标方有对工程质量进行监督控制的职责和权利，中标单位应按照项目管理要求进行严格的质量控制，并制定详细合理的沟通计划，至少包括周报、月报和项目例会，应确保双方能及时了解所需的信息。</w:t>
      </w:r>
    </w:p>
    <w:p>
      <w:pPr>
        <w:pStyle w:val="20"/>
        <w:spacing w:line="360" w:lineRule="auto"/>
        <w:ind w:firstLine="0" w:firstLineChars="0"/>
        <w:rPr>
          <w:rFonts w:ascii="仿宋" w:hAnsi="仿宋" w:eastAsia="仿宋" w:cs="仿宋"/>
          <w:b/>
          <w:bCs/>
          <w:color w:val="auto"/>
          <w:sz w:val="24"/>
          <w:szCs w:val="24"/>
        </w:rPr>
      </w:pPr>
      <w:bookmarkStart w:id="366" w:name="_Toc3985023"/>
      <w:bookmarkStart w:id="367" w:name="_Toc3998128"/>
      <w:r>
        <w:rPr>
          <w:rFonts w:hint="eastAsia" w:ascii="仿宋" w:hAnsi="仿宋" w:eastAsia="仿宋" w:cs="仿宋"/>
          <w:b/>
          <w:bCs/>
          <w:color w:val="auto"/>
          <w:sz w:val="24"/>
          <w:szCs w:val="24"/>
        </w:rPr>
        <w:t>15.保密要求</w:t>
      </w:r>
      <w:bookmarkEnd w:id="366"/>
      <w:bookmarkEnd w:id="367"/>
    </w:p>
    <w:p>
      <w:pPr>
        <w:snapToGrid w:val="0"/>
        <w:spacing w:line="360" w:lineRule="auto"/>
        <w:ind w:firstLine="480"/>
        <w:contextualSpacing/>
        <w:rPr>
          <w:rFonts w:ascii="仿宋" w:hAnsi="仿宋" w:eastAsia="仿宋" w:cs="仿宋"/>
          <w:color w:val="auto"/>
          <w:sz w:val="24"/>
        </w:rPr>
      </w:pPr>
      <w:r>
        <w:rPr>
          <w:rFonts w:hint="eastAsia" w:ascii="仿宋" w:hAnsi="仿宋" w:eastAsia="仿宋" w:cs="仿宋"/>
          <w:color w:val="auto"/>
          <w:sz w:val="24"/>
        </w:rPr>
        <w:t>中标单位(含项目组所有成员)必须对项目技术文件以及由招标人提供的所有内部资料、技术文档、数据和信息予以保密。中标单位必须与招标人签订保密协议并严格遵守，未经招标人书面许可，中标单位不得以任何形式向第三方透露本项目标书以及本项目的任何内容。</w:t>
      </w:r>
    </w:p>
    <w:p>
      <w:pPr>
        <w:pStyle w:val="20"/>
        <w:spacing w:line="360" w:lineRule="auto"/>
        <w:ind w:firstLine="0" w:firstLineChars="0"/>
        <w:rPr>
          <w:rFonts w:ascii="仿宋" w:hAnsi="仿宋" w:eastAsia="仿宋" w:cs="仿宋"/>
          <w:b/>
          <w:bCs/>
          <w:color w:val="auto"/>
          <w:sz w:val="24"/>
          <w:szCs w:val="24"/>
        </w:rPr>
      </w:pPr>
      <w:bookmarkStart w:id="368" w:name="_Toc40254317"/>
      <w:r>
        <w:rPr>
          <w:rFonts w:hint="eastAsia" w:ascii="仿宋" w:hAnsi="仿宋" w:eastAsia="仿宋" w:cs="仿宋"/>
          <w:b/>
          <w:bCs/>
          <w:color w:val="auto"/>
          <w:sz w:val="24"/>
          <w:szCs w:val="24"/>
        </w:rPr>
        <w:t>16.项目验收标准与要求</w:t>
      </w:r>
      <w:bookmarkEnd w:id="368"/>
    </w:p>
    <w:p>
      <w:pPr>
        <w:spacing w:line="360" w:lineRule="auto"/>
        <w:ind w:firstLine="480"/>
        <w:rPr>
          <w:rFonts w:ascii="仿宋" w:hAnsi="仿宋" w:eastAsia="仿宋" w:cs="仿宋"/>
          <w:b/>
          <w:color w:val="auto"/>
          <w:sz w:val="24"/>
        </w:rPr>
      </w:pPr>
      <w:r>
        <w:rPr>
          <w:rFonts w:hint="eastAsia" w:ascii="仿宋" w:hAnsi="仿宋" w:eastAsia="仿宋" w:cs="仿宋"/>
          <w:b/>
          <w:color w:val="auto"/>
          <w:sz w:val="24"/>
        </w:rPr>
        <w:t>16.1验收总体要求</w:t>
      </w:r>
    </w:p>
    <w:p>
      <w:pPr>
        <w:snapToGrid w:val="0"/>
        <w:spacing w:line="360" w:lineRule="auto"/>
        <w:ind w:firstLine="480"/>
        <w:contextualSpacing/>
        <w:rPr>
          <w:rFonts w:ascii="仿宋" w:hAnsi="仿宋" w:eastAsia="仿宋" w:cs="仿宋"/>
          <w:color w:val="auto"/>
          <w:sz w:val="24"/>
        </w:rPr>
      </w:pPr>
      <w:r>
        <w:rPr>
          <w:rFonts w:hint="eastAsia" w:ascii="仿宋" w:hAnsi="仿宋" w:eastAsia="仿宋" w:cs="仿宋"/>
          <w:color w:val="auto"/>
          <w:sz w:val="24"/>
        </w:rPr>
        <w:t>本项目上线完成后，启动项目验收工作。项目验收标准：按照国家医疗保障局和海南省医疗保障局要求，协同其他业务系统，满足采购人提出的业务需求。如果项目未完成验收前，由于相关政策导致业务发生变化进行升级或调整，中标单位应按照最新政策和最新技术标准方案完成本项建设。</w:t>
      </w:r>
    </w:p>
    <w:p>
      <w:pPr>
        <w:snapToGrid w:val="0"/>
        <w:spacing w:line="360" w:lineRule="auto"/>
        <w:ind w:firstLine="480"/>
        <w:contextualSpacing/>
        <w:rPr>
          <w:rFonts w:ascii="仿宋" w:hAnsi="仿宋" w:eastAsia="仿宋" w:cs="仿宋"/>
          <w:color w:val="auto"/>
          <w:sz w:val="24"/>
        </w:rPr>
      </w:pPr>
      <w:r>
        <w:rPr>
          <w:rFonts w:hint="eastAsia" w:ascii="仿宋" w:hAnsi="仿宋" w:eastAsia="仿宋" w:cs="仿宋"/>
          <w:color w:val="auto"/>
          <w:sz w:val="24"/>
        </w:rPr>
        <w:t>由海南省医疗保障局统一组织，招标人与相关人员组成验收小组完成验收，双方根据最终验收情况，编写最终验收报告。中标单位应完成项目验收资料的准备。</w:t>
      </w:r>
    </w:p>
    <w:p>
      <w:pPr>
        <w:snapToGrid w:val="0"/>
        <w:spacing w:line="360" w:lineRule="auto"/>
        <w:ind w:firstLine="480"/>
        <w:contextualSpacing/>
        <w:rPr>
          <w:rFonts w:ascii="仿宋" w:hAnsi="仿宋" w:eastAsia="仿宋" w:cs="仿宋"/>
          <w:color w:val="auto"/>
          <w:sz w:val="24"/>
        </w:rPr>
      </w:pPr>
      <w:r>
        <w:rPr>
          <w:rFonts w:hint="eastAsia" w:ascii="仿宋" w:hAnsi="仿宋" w:eastAsia="仿宋" w:cs="仿宋"/>
          <w:color w:val="auto"/>
          <w:sz w:val="24"/>
        </w:rPr>
        <w:t>在服务过程中出现性能指标或功能上不符合标书和合同要求时，由中标单位负责解决，招标人有拒绝验收的权利并保留索赔权利。</w:t>
      </w:r>
    </w:p>
    <w:p>
      <w:pPr>
        <w:snapToGrid w:val="0"/>
        <w:spacing w:line="360" w:lineRule="auto"/>
        <w:ind w:firstLine="480"/>
        <w:contextualSpacing/>
        <w:rPr>
          <w:rFonts w:ascii="仿宋" w:hAnsi="仿宋" w:eastAsia="仿宋" w:cs="仿宋"/>
          <w:color w:val="auto"/>
          <w:sz w:val="24"/>
        </w:rPr>
      </w:pPr>
      <w:r>
        <w:rPr>
          <w:rFonts w:hint="eastAsia" w:ascii="仿宋" w:hAnsi="仿宋" w:eastAsia="仿宋" w:cs="仿宋"/>
          <w:color w:val="auto"/>
          <w:sz w:val="24"/>
        </w:rPr>
        <w:t>本项目的实施过程中将产生大量的技术及管理文档，中标单位应协助招标人，负责建立、维护、交接项目实施过程中产生的各类文档，确保项目文档的内容体现本项目的实施过程，并确保项目文档的完整性和准确性。</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投标人按照要求提交全部文档，通过验收，视为本项工作完成。</w:t>
      </w:r>
    </w:p>
    <w:p>
      <w:pPr>
        <w:spacing w:line="360" w:lineRule="auto"/>
        <w:ind w:firstLine="200"/>
        <w:rPr>
          <w:rFonts w:ascii="仿宋" w:hAnsi="仿宋" w:eastAsia="仿宋" w:cs="仿宋"/>
          <w:b/>
          <w:color w:val="auto"/>
          <w:sz w:val="24"/>
        </w:rPr>
      </w:pPr>
      <w:r>
        <w:rPr>
          <w:rFonts w:hint="eastAsia" w:ascii="仿宋" w:hAnsi="仿宋" w:eastAsia="仿宋" w:cs="仿宋"/>
          <w:b/>
          <w:color w:val="auto"/>
          <w:sz w:val="24"/>
        </w:rPr>
        <w:t>（1）验收组织</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项目验收分为初验和终验，都由招标方组织进行。</w:t>
      </w:r>
    </w:p>
    <w:p>
      <w:pPr>
        <w:spacing w:line="360" w:lineRule="auto"/>
        <w:ind w:firstLine="236" w:firstLineChars="98"/>
        <w:rPr>
          <w:rFonts w:ascii="仿宋" w:hAnsi="仿宋" w:eastAsia="仿宋" w:cs="仿宋"/>
          <w:b/>
          <w:color w:val="auto"/>
          <w:sz w:val="24"/>
        </w:rPr>
      </w:pPr>
      <w:r>
        <w:rPr>
          <w:rFonts w:hint="eastAsia" w:ascii="仿宋" w:hAnsi="仿宋" w:eastAsia="仿宋" w:cs="仿宋"/>
          <w:b/>
          <w:color w:val="auto"/>
          <w:sz w:val="24"/>
        </w:rPr>
        <w:t>（2）初验流程</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1）招标方依据相关批复文件、招标采购文件、合同，对项目的工程、技术、财务和档案等进行验收，形成验收报告。</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2）项目初验后进入试运行，试运行期至少3个月。</w:t>
      </w:r>
    </w:p>
    <w:p>
      <w:pPr>
        <w:spacing w:line="360" w:lineRule="auto"/>
        <w:ind w:firstLine="200"/>
        <w:rPr>
          <w:rFonts w:ascii="仿宋" w:hAnsi="仿宋" w:eastAsia="仿宋" w:cs="仿宋"/>
          <w:b/>
          <w:color w:val="auto"/>
          <w:sz w:val="24"/>
        </w:rPr>
      </w:pPr>
      <w:r>
        <w:rPr>
          <w:rFonts w:hint="eastAsia" w:ascii="仿宋" w:hAnsi="仿宋" w:eastAsia="仿宋" w:cs="仿宋"/>
          <w:b/>
          <w:color w:val="auto"/>
          <w:sz w:val="24"/>
        </w:rPr>
        <w:t>（3）终验流程</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招标方组织成立验收组，负责开展终验的先期基础性工作，重点检查项目建设、设计、监理、施工、招标采购、档案资料、预（概）算执行和财务决算等情况，提出验收评价意见和建议。</w:t>
      </w:r>
    </w:p>
    <w:p>
      <w:pPr>
        <w:spacing w:line="360" w:lineRule="auto"/>
        <w:ind w:firstLine="200"/>
        <w:rPr>
          <w:rFonts w:ascii="仿宋" w:hAnsi="仿宋" w:eastAsia="仿宋" w:cs="仿宋"/>
          <w:b/>
          <w:color w:val="auto"/>
          <w:sz w:val="24"/>
        </w:rPr>
      </w:pPr>
      <w:r>
        <w:rPr>
          <w:rFonts w:hint="eastAsia" w:ascii="仿宋" w:hAnsi="仿宋" w:eastAsia="仿宋" w:cs="仿宋"/>
          <w:b/>
          <w:color w:val="auto"/>
          <w:sz w:val="24"/>
        </w:rPr>
        <w:t>（4）验收内容</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1）审查项目的建设目标、规模、内容、质量及资金使用等情况。</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2）审核项目形成的资产情况。</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3）评价项目交付使用情况。</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4）检查项目建设单位执行国家法律、法规情况。</w:t>
      </w:r>
    </w:p>
    <w:p>
      <w:pPr>
        <w:spacing w:line="360" w:lineRule="auto"/>
        <w:ind w:firstLine="200"/>
        <w:rPr>
          <w:rFonts w:ascii="仿宋" w:hAnsi="仿宋" w:eastAsia="仿宋" w:cs="仿宋"/>
          <w:b/>
          <w:color w:val="auto"/>
          <w:sz w:val="24"/>
        </w:rPr>
      </w:pPr>
      <w:r>
        <w:rPr>
          <w:rFonts w:hint="eastAsia" w:ascii="仿宋" w:hAnsi="仿宋" w:eastAsia="仿宋" w:cs="仿宋"/>
          <w:b/>
          <w:color w:val="auto"/>
          <w:sz w:val="24"/>
        </w:rPr>
        <w:t>（5）验收相关材料</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中标单位须负责整理并提供以下验收材料，包括但不限于：项目实施方案、项目合同、项目建设总结、项目招标相关文档、项目建设相关文档、初步验收报告、软件测试报告、安全测评报告等。</w:t>
      </w:r>
    </w:p>
    <w:p>
      <w:pPr>
        <w:pStyle w:val="20"/>
        <w:spacing w:line="360" w:lineRule="auto"/>
        <w:ind w:firstLine="0" w:firstLineChars="0"/>
        <w:rPr>
          <w:rFonts w:ascii="仿宋" w:hAnsi="仿宋" w:eastAsia="仿宋" w:cs="仿宋"/>
          <w:b/>
          <w:bCs/>
          <w:color w:val="auto"/>
          <w:sz w:val="24"/>
          <w:szCs w:val="24"/>
        </w:rPr>
      </w:pPr>
      <w:r>
        <w:rPr>
          <w:rFonts w:hint="eastAsia" w:ascii="仿宋" w:hAnsi="仿宋" w:eastAsia="仿宋" w:cs="仿宋"/>
          <w:b/>
          <w:bCs/>
          <w:color w:val="auto"/>
          <w:sz w:val="24"/>
          <w:szCs w:val="24"/>
        </w:rPr>
        <w:t>17.其它要求</w:t>
      </w:r>
    </w:p>
    <w:p>
      <w:pPr>
        <w:numPr>
          <w:ilvl w:val="0"/>
          <w:numId w:val="37"/>
        </w:numPr>
        <w:tabs>
          <w:tab w:val="left" w:pos="1301"/>
        </w:tabs>
        <w:autoSpaceDE w:val="0"/>
        <w:autoSpaceDN w:val="0"/>
        <w:spacing w:line="360" w:lineRule="auto"/>
        <w:ind w:left="480" w:right="317" w:firstLine="220"/>
        <w:rPr>
          <w:rFonts w:ascii="仿宋" w:hAnsi="仿宋" w:eastAsia="仿宋" w:cs="仿宋"/>
          <w:color w:val="auto"/>
          <w:spacing w:val="-10"/>
          <w:sz w:val="24"/>
        </w:rPr>
      </w:pPr>
      <w:r>
        <w:rPr>
          <w:rFonts w:hint="eastAsia" w:ascii="仿宋" w:hAnsi="仿宋" w:eastAsia="仿宋" w:cs="仿宋"/>
          <w:color w:val="auto"/>
          <w:spacing w:val="-10"/>
          <w:sz w:val="24"/>
        </w:rPr>
        <w:t>投标方承诺：如投标单位在海南省无分公司或办事处，须承诺中标后在海南省注册分公司或办事处，办公地址须在海南省医疗保障局周边半径2公里范围内。</w:t>
      </w:r>
    </w:p>
    <w:p>
      <w:pPr>
        <w:numPr>
          <w:ilvl w:val="0"/>
          <w:numId w:val="37"/>
        </w:numPr>
        <w:tabs>
          <w:tab w:val="left" w:pos="1301"/>
        </w:tabs>
        <w:autoSpaceDE w:val="0"/>
        <w:autoSpaceDN w:val="0"/>
        <w:spacing w:line="360" w:lineRule="auto"/>
        <w:ind w:left="480" w:right="317" w:firstLine="220"/>
        <w:rPr>
          <w:rFonts w:ascii="仿宋" w:hAnsi="仿宋" w:eastAsia="仿宋" w:cs="仿宋"/>
          <w:color w:val="auto"/>
          <w:spacing w:val="-10"/>
          <w:sz w:val="24"/>
        </w:rPr>
      </w:pPr>
      <w:r>
        <w:rPr>
          <w:rFonts w:hint="eastAsia" w:ascii="仿宋" w:hAnsi="仿宋" w:eastAsia="仿宋" w:cs="仿宋"/>
          <w:color w:val="auto"/>
          <w:spacing w:val="-10"/>
          <w:sz w:val="24"/>
        </w:rPr>
        <w:t>投标方承诺中标后根据招标方要求,提供35台移动设备。</w:t>
      </w:r>
    </w:p>
    <w:p>
      <w:pPr>
        <w:numPr>
          <w:ilvl w:val="0"/>
          <w:numId w:val="37"/>
        </w:numPr>
        <w:tabs>
          <w:tab w:val="left" w:pos="1301"/>
        </w:tabs>
        <w:autoSpaceDE w:val="0"/>
        <w:autoSpaceDN w:val="0"/>
        <w:spacing w:line="360" w:lineRule="auto"/>
        <w:ind w:left="480" w:right="317" w:firstLine="220"/>
        <w:rPr>
          <w:rFonts w:ascii="仿宋" w:hAnsi="仿宋" w:eastAsia="仿宋" w:cs="仿宋"/>
          <w:color w:val="auto"/>
          <w:sz w:val="24"/>
        </w:rPr>
      </w:pPr>
      <w:r>
        <w:rPr>
          <w:rFonts w:hint="eastAsia" w:ascii="仿宋" w:hAnsi="仿宋" w:eastAsia="仿宋" w:cs="仿宋"/>
          <w:color w:val="auto"/>
          <w:spacing w:val="-1"/>
          <w:sz w:val="24"/>
        </w:rPr>
        <w:t>当招标方有新需求，而本文又未包括或与本文不符时，则应符合招标</w:t>
      </w:r>
      <w:r>
        <w:rPr>
          <w:rFonts w:hint="eastAsia" w:ascii="仿宋" w:hAnsi="仿宋" w:eastAsia="仿宋" w:cs="仿宋"/>
          <w:color w:val="auto"/>
          <w:spacing w:val="-10"/>
          <w:sz w:val="24"/>
        </w:rPr>
        <w:t>方新需求；对于招标方尚未有标准的，而本文又未提及的部分，中标单位提出其标</w:t>
      </w:r>
      <w:r>
        <w:rPr>
          <w:rFonts w:hint="eastAsia" w:ascii="仿宋" w:hAnsi="仿宋" w:eastAsia="仿宋" w:cs="仿宋"/>
          <w:color w:val="auto"/>
          <w:sz w:val="24"/>
        </w:rPr>
        <w:t>准，留待双方认可后执行。</w:t>
      </w:r>
    </w:p>
    <w:p>
      <w:pPr>
        <w:numPr>
          <w:ilvl w:val="0"/>
          <w:numId w:val="37"/>
        </w:numPr>
        <w:tabs>
          <w:tab w:val="left" w:pos="1301"/>
        </w:tabs>
        <w:autoSpaceDE w:val="0"/>
        <w:autoSpaceDN w:val="0"/>
        <w:spacing w:line="360" w:lineRule="auto"/>
        <w:ind w:left="480" w:right="317" w:firstLine="220"/>
        <w:rPr>
          <w:rFonts w:ascii="仿宋" w:hAnsi="仿宋" w:eastAsia="仿宋" w:cs="仿宋"/>
          <w:color w:val="auto"/>
          <w:spacing w:val="-10"/>
          <w:sz w:val="24"/>
        </w:rPr>
      </w:pPr>
      <w:r>
        <w:rPr>
          <w:rFonts w:hint="eastAsia" w:ascii="仿宋" w:hAnsi="仿宋" w:eastAsia="仿宋" w:cs="仿宋"/>
          <w:color w:val="auto"/>
          <w:spacing w:val="-10"/>
          <w:sz w:val="24"/>
        </w:rPr>
        <w:t>中标单位应确保其技术建议的可行性以及所提供服务和产品的完整性，若出现由于中标单位所提供的服务和产品不全面而导致系统功能无法实现或不能完全实现，由中标单位及时无偿补足，并负全部责任。</w:t>
      </w:r>
    </w:p>
    <w:p>
      <w:pPr>
        <w:numPr>
          <w:ilvl w:val="0"/>
          <w:numId w:val="37"/>
        </w:numPr>
        <w:tabs>
          <w:tab w:val="left" w:pos="1301"/>
        </w:tabs>
        <w:autoSpaceDE w:val="0"/>
        <w:autoSpaceDN w:val="0"/>
        <w:spacing w:line="360" w:lineRule="auto"/>
        <w:ind w:left="480" w:right="317" w:firstLine="220"/>
        <w:rPr>
          <w:rFonts w:ascii="仿宋" w:hAnsi="仿宋" w:eastAsia="仿宋" w:cs="仿宋"/>
          <w:color w:val="auto"/>
          <w:spacing w:val="-10"/>
          <w:sz w:val="24"/>
        </w:rPr>
      </w:pPr>
      <w:r>
        <w:rPr>
          <w:rFonts w:hint="eastAsia" w:ascii="仿宋" w:hAnsi="仿宋" w:eastAsia="仿宋" w:cs="仿宋"/>
          <w:color w:val="auto"/>
          <w:spacing w:val="-10"/>
          <w:sz w:val="24"/>
        </w:rPr>
        <w:t>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numPr>
          <w:ilvl w:val="0"/>
          <w:numId w:val="37"/>
        </w:numPr>
        <w:tabs>
          <w:tab w:val="left" w:pos="1301"/>
        </w:tabs>
        <w:autoSpaceDE w:val="0"/>
        <w:autoSpaceDN w:val="0"/>
        <w:spacing w:line="360" w:lineRule="auto"/>
        <w:ind w:left="480" w:right="317" w:firstLine="220"/>
        <w:rPr>
          <w:rFonts w:ascii="仿宋" w:hAnsi="仿宋" w:eastAsia="仿宋" w:cs="仿宋"/>
          <w:color w:val="auto"/>
          <w:spacing w:val="-10"/>
          <w:sz w:val="24"/>
        </w:rPr>
      </w:pPr>
      <w:r>
        <w:rPr>
          <w:rFonts w:hint="eastAsia" w:ascii="仿宋" w:hAnsi="仿宋" w:eastAsia="仿宋" w:cs="仿宋"/>
          <w:color w:val="auto"/>
          <w:spacing w:val="-10"/>
          <w:sz w:val="24"/>
        </w:rPr>
        <w:t>投标方承诺承担驻场工程师就餐和相关差旅费用，并提供驻场工程师办公电脑、打印机等设备。</w:t>
      </w:r>
    </w:p>
    <w:p>
      <w:pPr>
        <w:numPr>
          <w:ilvl w:val="0"/>
          <w:numId w:val="37"/>
        </w:numPr>
        <w:tabs>
          <w:tab w:val="left" w:pos="1301"/>
        </w:tabs>
        <w:autoSpaceDE w:val="0"/>
        <w:autoSpaceDN w:val="0"/>
        <w:spacing w:line="360" w:lineRule="auto"/>
        <w:ind w:left="480" w:right="317" w:firstLine="220"/>
        <w:rPr>
          <w:rFonts w:ascii="仿宋" w:hAnsi="仿宋" w:eastAsia="仿宋" w:cs="仿宋"/>
          <w:color w:val="auto"/>
          <w:spacing w:val="-10"/>
          <w:sz w:val="24"/>
        </w:rPr>
      </w:pPr>
      <w:r>
        <w:rPr>
          <w:rFonts w:hint="eastAsia" w:ascii="仿宋" w:hAnsi="仿宋" w:eastAsia="仿宋" w:cs="仿宋"/>
          <w:color w:val="auto"/>
          <w:spacing w:val="-10"/>
          <w:sz w:val="24"/>
        </w:rPr>
        <w:t>投标方承诺本项目合作终止后1年内，无条件配合招标方进行数据迁移、数据字典提供、数据结构提供、对相关实现方式讲解。</w:t>
      </w:r>
    </w:p>
    <w:p>
      <w:pPr>
        <w:numPr>
          <w:ilvl w:val="0"/>
          <w:numId w:val="37"/>
        </w:numPr>
        <w:tabs>
          <w:tab w:val="left" w:pos="1301"/>
        </w:tabs>
        <w:autoSpaceDE w:val="0"/>
        <w:autoSpaceDN w:val="0"/>
        <w:spacing w:line="360" w:lineRule="auto"/>
        <w:ind w:left="480" w:right="317" w:firstLine="220"/>
        <w:rPr>
          <w:rFonts w:ascii="仿宋" w:hAnsi="仿宋" w:eastAsia="仿宋" w:cs="仿宋"/>
          <w:color w:val="auto"/>
          <w:spacing w:val="-10"/>
          <w:sz w:val="24"/>
        </w:rPr>
      </w:pPr>
      <w:r>
        <w:rPr>
          <w:rFonts w:hint="eastAsia" w:ascii="仿宋" w:hAnsi="仿宋" w:eastAsia="仿宋" w:cs="仿宋"/>
          <w:color w:val="auto"/>
          <w:spacing w:val="-10"/>
          <w:sz w:val="24"/>
        </w:rPr>
        <w:t>本项目建设内容、需求若有变化，与本文不符的，则按照招标方与投标方友好协商修订为准。</w:t>
      </w:r>
    </w:p>
    <w:p>
      <w:pPr>
        <w:widowControl/>
        <w:spacing w:line="360" w:lineRule="auto"/>
        <w:jc w:val="left"/>
        <w:rPr>
          <w:rFonts w:ascii="仿宋" w:hAnsi="仿宋" w:eastAsia="仿宋" w:cs="仿宋"/>
          <w:color w:val="auto"/>
          <w:sz w:val="24"/>
        </w:rPr>
      </w:pPr>
    </w:p>
    <w:p>
      <w:pPr>
        <w:spacing w:line="360" w:lineRule="auto"/>
        <w:rPr>
          <w:rFonts w:ascii="仿宋" w:hAnsi="仿宋" w:eastAsia="仿宋" w:cs="仿宋"/>
          <w:color w:val="auto"/>
          <w:sz w:val="24"/>
        </w:rPr>
        <w:sectPr>
          <w:pgSz w:w="11906" w:h="16838"/>
          <w:pgMar w:top="1440" w:right="1800" w:bottom="1440" w:left="1800" w:header="851" w:footer="992" w:gutter="0"/>
          <w:cols w:space="425" w:num="1"/>
          <w:docGrid w:type="lines" w:linePitch="312" w:charSpace="0"/>
        </w:sectPr>
      </w:pPr>
    </w:p>
    <w:p>
      <w:pPr>
        <w:keepNext/>
        <w:keepLines/>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5包智慧决策子系统</w:t>
      </w:r>
    </w:p>
    <w:p>
      <w:pPr>
        <w:spacing w:line="360" w:lineRule="auto"/>
        <w:rPr>
          <w:rFonts w:ascii="仿宋" w:hAnsi="仿宋" w:eastAsia="仿宋" w:cs="仿宋"/>
          <w:b/>
          <w:color w:val="auto"/>
          <w:sz w:val="24"/>
        </w:rPr>
      </w:pPr>
      <w:bookmarkStart w:id="369" w:name="_Toc40898657"/>
      <w:r>
        <w:rPr>
          <w:rFonts w:hint="eastAsia" w:ascii="仿宋" w:hAnsi="仿宋" w:eastAsia="仿宋" w:cs="仿宋"/>
          <w:b/>
          <w:color w:val="auto"/>
          <w:sz w:val="24"/>
        </w:rPr>
        <w:t>1.项目概述</w:t>
      </w:r>
      <w:bookmarkEnd w:id="369"/>
    </w:p>
    <w:p>
      <w:pPr>
        <w:spacing w:line="360" w:lineRule="auto"/>
        <w:ind w:firstLine="482" w:firstLineChars="200"/>
        <w:rPr>
          <w:rFonts w:ascii="仿宋" w:hAnsi="仿宋" w:eastAsia="仿宋" w:cs="仿宋"/>
          <w:b/>
          <w:color w:val="auto"/>
          <w:sz w:val="24"/>
        </w:rPr>
      </w:pPr>
      <w:bookmarkStart w:id="370" w:name="_Toc34686756"/>
      <w:bookmarkStart w:id="371" w:name="_Toc40898658"/>
      <w:bookmarkStart w:id="372" w:name="_Toc27901201"/>
      <w:bookmarkStart w:id="373" w:name="_Toc27044637"/>
      <w:r>
        <w:rPr>
          <w:rFonts w:hint="eastAsia" w:ascii="仿宋" w:hAnsi="仿宋" w:eastAsia="仿宋" w:cs="仿宋"/>
          <w:b/>
          <w:color w:val="auto"/>
          <w:sz w:val="24"/>
        </w:rPr>
        <w:t>1.1项目背景</w:t>
      </w:r>
      <w:bookmarkEnd w:id="370"/>
      <w:bookmarkEnd w:id="371"/>
      <w:bookmarkEnd w:id="372"/>
      <w:bookmarkEnd w:id="373"/>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习近平新时代中国特色社会主义思想为指导，全面贯彻党的十九大、十九届二中三中全会精神和2019年全国“两会”精神，认真落实全国医疗保障工作会议座谈会精神，严格遵循《国家医疗保障局医疗保障信息化工作指导意见》及《医疗保障信息平台建设指南》，坚持“千方百计保基本、始终做到可持续、回应社会解民忧、敢于担当推改革”，以医保为龙头带动“三医联动”改革，以信息化建设为抓手推动医保覆盖与医保控费，积极融入医疗保障信息化全国“一盘棋”格局，为逐步构建起全国医保便捷可及“大服务”、规范高效“大经办”、智能精准“大治理”、融合共享“大协作”、在线可用“大数据”、安全可靠“大支撑”信息化支撑体系添枝加叶。</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针对海南地区人口经济发展差异和老龄化严重的社会问题及农垦职工医疗保险基金缺口等历史遗留问题，本项目按照国家医保局标准全国统一、数据两级集中、平台分级部署、网络全面覆盖的医疗保障信息化建设要求，注重顶层设计、统一业务标准、打造基础平台、做好数据汇集、强化协同共享、增强网络安全。依托国家平台与海南省平台之间的协作联通，使用国家下达的中台服务，贯彻表层应用能用即用，国家系统中未设计的表层应用，采用国家统一的中台进行组装的整体思路，建设海南省统一的医疗保障信息平台，实现医保全省统筹统收统支“九统一”的重点工作任务，即： 统一行政管理和稽查执法，统一医保发展规划，统一医保基金收缴，统一医保待遇政策，统一医保支付范围，统一医保基金管理，统一医保经办规程，统一医保定点机构，统一医保信息系统。进一步完善医疗保障制度体系，提升医疗保障基金监管，强化医保支付、深化医药服务价格改革、优化医疗保障管理服务水平，探索常住外籍人员医疗保障办法。发挥信息化对医疗保障事业的支撑作用。解决群众反映强烈的突出问题，不断提高人民群众医疗保障获利感、幸福感和安全感，助力提高医改整体效能同时促进海南自由贸易试验区快速建设和实施健康中国战略。</w:t>
      </w:r>
    </w:p>
    <w:p>
      <w:pPr>
        <w:pStyle w:val="21"/>
        <w:ind w:firstLine="420" w:firstLineChars="0"/>
        <w:rPr>
          <w:rFonts w:ascii="仿宋" w:hAnsi="仿宋" w:eastAsia="仿宋" w:cs="仿宋"/>
          <w:color w:val="auto"/>
          <w:sz w:val="24"/>
          <w:szCs w:val="24"/>
        </w:rPr>
      </w:pPr>
      <w:r>
        <w:rPr>
          <w:rFonts w:hint="eastAsia" w:ascii="仿宋" w:hAnsi="仿宋" w:eastAsia="仿宋" w:cs="仿宋"/>
          <w:color w:val="auto"/>
          <w:sz w:val="24"/>
          <w:szCs w:val="24"/>
        </w:rPr>
        <w:t>智慧决策子系统分为宏观决策大数据应用和信用评价管理。宏观决策大数据应用通过汇聚内外部系统的数据和信息，提供宏观决策分析大数据能力，支持各级领导动态化掌握全省医保制度运行情况，提供政策实施效果评估、政策效果仿真模拟与中长期趋势预测功能，涵盖宏观经济决策分析、宏观环境因素分析、宏观政策决策分析、大数据精算分析等方面，形成数据分析产品，分场景展示，支持各级领导开展管理和决策工作。信用评价管理是针对参保单位、医保定点医疗机构及其行政管理人员、各类参保人员、药品生产和流通企业等建立全国统一的信用评价机制，对于违规、欺诈骗保及药品生产和流通企业租借证照、虚假交易、伪造记录、非法渠道购销药品、商业贿赂、价格欺诈、价格垄断以及伪造、虚开发票等违法违规行为发布到公共服务系统上，规范医疗保障资金的生态环境。</w:t>
      </w:r>
    </w:p>
    <w:p>
      <w:pPr>
        <w:spacing w:line="360" w:lineRule="auto"/>
        <w:rPr>
          <w:rFonts w:ascii="仿宋" w:hAnsi="仿宋" w:eastAsia="仿宋" w:cs="仿宋"/>
          <w:b/>
          <w:color w:val="auto"/>
          <w:sz w:val="24"/>
        </w:rPr>
      </w:pPr>
      <w:bookmarkStart w:id="374" w:name="_Toc34686757"/>
      <w:bookmarkStart w:id="375" w:name="_Toc27044638"/>
      <w:bookmarkStart w:id="376" w:name="_Toc40898659"/>
      <w:bookmarkStart w:id="377" w:name="_Toc27901202"/>
      <w:r>
        <w:rPr>
          <w:rFonts w:hint="eastAsia" w:ascii="仿宋" w:hAnsi="仿宋" w:eastAsia="仿宋" w:cs="仿宋"/>
          <w:b/>
          <w:color w:val="auto"/>
          <w:sz w:val="24"/>
        </w:rPr>
        <w:t>2.项目建设原则</w:t>
      </w:r>
      <w:bookmarkEnd w:id="374"/>
      <w:bookmarkEnd w:id="375"/>
      <w:bookmarkEnd w:id="376"/>
      <w:bookmarkEnd w:id="377"/>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海南省医疗保障局医疗保障信息平台二期建设工程项目应明确目标，找准方向，把握重点，规范有序开展工作。在项目建设过程中，贯彻使用全国统一的标准规范体系和中台服务，依托全国统一的技术体系和架构建设海南省全新的医疗保障信息平台，要着重把握好以下建设原则：</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（1）统筹规划，分步推进</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为避免信息孤岛、重复建设等现象，海南省医疗保障局医疗保障信息平台二期建设工程需进行“自上而下”的顶层规划设计，进行合理有序布局；通过“统一领导、统一规划、统一部署、统一标准”的统筹指导建设，集约管理，节约投资。同时，遵循“自下而上”的项目操作原则，立足现行管理体制与制度建设，打好基础，确立方向，稳步推进，均衡发展，实现项目落地，并为下一步制度完善、管理提升留有空间。</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（2）需求导向、务求实效</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医保各部门间信息共享与业务协同作为原始需求驱动，进行医保基础平台的规划建设。再以此为基础，逐步拓展数据资源与数据资源服务能力，进一步进行医保大数据分析挖掘等高级应用，完善与丰富贴近实战的大数据应用服务，从而形成良性循环，并尽快体现出阶段性效果。</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（3）统一协同，资源共享</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统一管理、统一规划，就必须有一套统一的标准规范作为基础支撑。标准与规范应向上符合国家的标准与规范，向下规范医保行业业务范围内大数据建设与应用。遵循统一的标准，各相关职能部门根据权限的不同，共享信息资源。同时，各级医保管理部门共同参与，既能保障数据同步，也有利于实现信息共享和协同工作，实现资源的集约化管理。</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（4）整合共享，协作高效</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突破区域、部门之间的界限和体制性障碍，充分整合基础设施资源和智能终端获取的信息资源，通过医疗保障信息平台建设推进跨部门、跨领域的信息化协同共享，增强医疗保障的效率和决策能力，同时有效满足公众信息需求，提升医保资源的利用效率。</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（5）统一标准，开放接口</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通过明确和开放医疗信息平台的接口与标准，为后期其他相关行业的数据接入提供标准接口，最大限度地实现医保与政府、职能部门、医院、企业、百姓的信息对接。</w:t>
      </w:r>
    </w:p>
    <w:p>
      <w:pPr>
        <w:spacing w:line="360" w:lineRule="auto"/>
        <w:rPr>
          <w:rFonts w:ascii="仿宋" w:hAnsi="仿宋" w:eastAsia="仿宋" w:cs="仿宋"/>
          <w:b/>
          <w:color w:val="auto"/>
          <w:sz w:val="24"/>
        </w:rPr>
      </w:pPr>
      <w:bookmarkStart w:id="378" w:name="_Toc27044639"/>
      <w:bookmarkStart w:id="379" w:name="_Toc34686758"/>
      <w:bookmarkStart w:id="380" w:name="_Toc40898660"/>
      <w:bookmarkStart w:id="381" w:name="_Toc27901203"/>
      <w:r>
        <w:rPr>
          <w:rFonts w:hint="eastAsia" w:ascii="仿宋" w:hAnsi="仿宋" w:eastAsia="仿宋" w:cs="仿宋"/>
          <w:b/>
          <w:color w:val="auto"/>
          <w:sz w:val="24"/>
        </w:rPr>
        <w:t>3.建设目标</w:t>
      </w:r>
      <w:bookmarkEnd w:id="378"/>
      <w:bookmarkEnd w:id="379"/>
      <w:bookmarkEnd w:id="380"/>
      <w:bookmarkEnd w:id="381"/>
    </w:p>
    <w:p>
      <w:pPr>
        <w:pStyle w:val="21"/>
        <w:ind w:firstLine="420" w:firstLineChars="0"/>
        <w:rPr>
          <w:rFonts w:ascii="仿宋" w:hAnsi="仿宋" w:eastAsia="仿宋" w:cs="仿宋"/>
          <w:color w:val="auto"/>
          <w:sz w:val="24"/>
          <w:szCs w:val="24"/>
        </w:rPr>
      </w:pPr>
      <w:r>
        <w:rPr>
          <w:rFonts w:hint="eastAsia" w:ascii="仿宋" w:hAnsi="仿宋" w:eastAsia="仿宋" w:cs="仿宋"/>
          <w:color w:val="auto"/>
          <w:sz w:val="24"/>
          <w:szCs w:val="24"/>
        </w:rPr>
        <w:t>海南省智慧决策子系统分为宏观决策大数据应用和信用评价管理。宏观决策大数据应用通过汇聚内外部系统的数据和信息，提供宏观决策分析大数据能力，支持各级领导动态化掌握。</w:t>
      </w:r>
    </w:p>
    <w:p>
      <w:pPr>
        <w:pStyle w:val="21"/>
        <w:ind w:firstLine="420" w:firstLineChars="0"/>
        <w:rPr>
          <w:rFonts w:ascii="仿宋" w:hAnsi="仿宋" w:eastAsia="仿宋" w:cs="仿宋"/>
          <w:color w:val="auto"/>
          <w:sz w:val="24"/>
          <w:szCs w:val="24"/>
        </w:rPr>
      </w:pPr>
      <w:r>
        <w:rPr>
          <w:rFonts w:hint="eastAsia" w:ascii="仿宋" w:hAnsi="仿宋" w:eastAsia="仿宋" w:cs="仿宋"/>
          <w:color w:val="auto"/>
          <w:sz w:val="24"/>
          <w:szCs w:val="24"/>
        </w:rPr>
        <w:t>充分利用大数据技术在数据治理、模拟运行、趋势预测、风险预警、精确推算与辅助决策方面的优势，全面支撑对使用基金违规行为、基金运行风险、医疗服务价格监测与动态调整、药品与耗材使用情况、重大政策调整、舆情监测方面的监控与决策，形成数据分析产品，分场景展示。信用评价管理模块拓宽线索获取渠道，规范工作经办管理，丰富证据收集方式，支持针对薄弱环节开展专项治理，持续深入打击欺诈骗保，配合诚信体系的建设，健全完善“黑名单”和个人惩戒制度。</w:t>
      </w:r>
    </w:p>
    <w:p>
      <w:pPr>
        <w:spacing w:line="360" w:lineRule="auto"/>
        <w:rPr>
          <w:rFonts w:ascii="仿宋" w:hAnsi="仿宋" w:eastAsia="仿宋" w:cs="仿宋"/>
          <w:b/>
          <w:color w:val="auto"/>
          <w:sz w:val="24"/>
        </w:rPr>
      </w:pPr>
      <w:bookmarkStart w:id="382" w:name="_Toc40898661"/>
      <w:bookmarkStart w:id="383" w:name="_Toc34686759"/>
      <w:bookmarkStart w:id="384" w:name="_Toc27044640"/>
      <w:bookmarkStart w:id="385" w:name="_Toc27901204"/>
      <w:r>
        <w:rPr>
          <w:rFonts w:hint="eastAsia" w:ascii="仿宋" w:hAnsi="仿宋" w:eastAsia="仿宋" w:cs="仿宋"/>
          <w:b/>
          <w:color w:val="auto"/>
          <w:sz w:val="24"/>
        </w:rPr>
        <w:t>4.系统定位</w:t>
      </w:r>
      <w:bookmarkEnd w:id="382"/>
      <w:bookmarkEnd w:id="383"/>
      <w:bookmarkEnd w:id="384"/>
      <w:bookmarkEnd w:id="385"/>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海南省医疗保障信息平台严格遵照国家医疗保障信息平台建设指南的相关约束与要求，依照国家医疗保障信息平台的统一设计原则，贯彻使用全国统一的标准规范体系和中台服务，依托全国统一的技术体系和架构建设海南全新的医疗保障信息平台。</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平台总体架构划分为公共服务区和核心业务区，其中核心业务区分为生产区、交换区和大数据区。</w:t>
      </w:r>
    </w:p>
    <w:p>
      <w:pPr>
        <w:pStyle w:val="9"/>
        <w:spacing w:line="360" w:lineRule="auto"/>
        <w:rPr>
          <w:rFonts w:ascii="仿宋" w:hAnsi="仿宋" w:eastAsia="仿宋" w:cs="仿宋"/>
          <w:color w:val="auto"/>
          <w:sz w:val="24"/>
        </w:rPr>
      </w:pPr>
      <w:r>
        <w:rPr>
          <w:rFonts w:hint="eastAsia" w:ascii="仿宋" w:hAnsi="仿宋" w:eastAsia="仿宋" w:cs="仿宋"/>
          <w:color w:val="auto"/>
          <w:sz w:val="24"/>
          <w:lang w:val="en-US" w:bidi="ar-SA"/>
        </w:rPr>
        <w:drawing>
          <wp:inline distT="0" distB="0" distL="114300" distR="114300">
            <wp:extent cx="5228590" cy="2847975"/>
            <wp:effectExtent l="0" t="0" r="1016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tretch>
                      <a:fillRect/>
                    </a:stretch>
                  </pic:blipFill>
                  <pic:spPr>
                    <a:xfrm>
                      <a:off x="0" y="0"/>
                      <a:ext cx="5228590" cy="2847975"/>
                    </a:xfrm>
                    <a:prstGeom prst="rect">
                      <a:avLst/>
                    </a:prstGeom>
                    <a:noFill/>
                    <a:ln>
                      <a:noFill/>
                    </a:ln>
                  </pic:spPr>
                </pic:pic>
              </a:graphicData>
            </a:graphic>
          </wp:inline>
        </w:drawing>
      </w:r>
    </w:p>
    <w:p>
      <w:pPr>
        <w:autoSpaceDE w:val="0"/>
        <w:autoSpaceDN w:val="0"/>
        <w:spacing w:line="360" w:lineRule="auto"/>
        <w:ind w:firstLine="480" w:firstLineChars="200"/>
        <w:jc w:val="center"/>
        <w:rPr>
          <w:rFonts w:ascii="仿宋" w:hAnsi="仿宋" w:eastAsia="仿宋" w:cs="仿宋"/>
          <w:color w:val="auto"/>
          <w:sz w:val="24"/>
        </w:rPr>
      </w:pPr>
      <w:r>
        <w:rPr>
          <w:rFonts w:hint="eastAsia" w:ascii="仿宋" w:hAnsi="仿宋" w:eastAsia="仿宋" w:cs="仿宋"/>
          <w:color w:val="auto"/>
          <w:sz w:val="24"/>
        </w:rPr>
        <w:t>图：海南省医疗保障信息平台总体架构图</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本文涉及的智慧决策子系统作为医疗保障信息平台的组成部分。</w:t>
      </w:r>
    </w:p>
    <w:p>
      <w:pPr>
        <w:spacing w:line="360" w:lineRule="auto"/>
        <w:rPr>
          <w:rFonts w:ascii="仿宋" w:hAnsi="仿宋" w:eastAsia="仿宋" w:cs="仿宋"/>
          <w:b/>
          <w:color w:val="auto"/>
          <w:sz w:val="24"/>
        </w:rPr>
      </w:pPr>
      <w:bookmarkStart w:id="386" w:name="_Toc40898662"/>
      <w:bookmarkStart w:id="387" w:name="_Toc34686760"/>
      <w:bookmarkStart w:id="388" w:name="_Toc27044641"/>
      <w:bookmarkStart w:id="389" w:name="_Toc27901205"/>
      <w:r>
        <w:rPr>
          <w:rFonts w:hint="eastAsia" w:ascii="仿宋" w:hAnsi="仿宋" w:eastAsia="仿宋" w:cs="仿宋"/>
          <w:b/>
          <w:color w:val="auto"/>
          <w:sz w:val="24"/>
        </w:rPr>
        <w:t>5.技术架构要求</w:t>
      </w:r>
      <w:bookmarkEnd w:id="386"/>
      <w:bookmarkEnd w:id="387"/>
      <w:bookmarkEnd w:id="388"/>
      <w:bookmarkEnd w:id="389"/>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海南省医疗保障信息平台需要支撑1500余万用户的高并发访问和实时交易需求，并且需要考虑将来的医保改革的进一步深化的各项新需求，系统需要具备支撑高并发和实时交易的能力，同时能够灵活扩展，所以整个系统按照云化、分层架构设计。</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所有业务应用系统都必须基于医疗保障应用框架（Healthcare Security Application Framework，简称：HSAF）开发。HSAF框架采用分布式云架构，封装核心云支撑服务适配接口，用于实现云产品解耦设计。HSAF适配层基于HSAF 的适配技术，将应用层依赖的分布式技术与具体厂商的分布式技术进行适配，实现应用层可以适配多家厂商的分布式技术。</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（1）基础层：建设在云化基础设施上，以云虚拟机、多租户数据库、云存储、负载均衡及专有网络为底层，最大程度的利用了云计算横向扩展的能力；</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中间件层：作为应用的支撑平台，提供应用所需要的基础能力，其中包括分布式应用及管理能力，集成接入点能力，异步服务的能力，缓存的能力，分布式数据库的能力等，这些中间件提供的能力可以很好的支撑应用应对高并发和实时交易的场景；</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（3）后端服务：在基础设施和中间件之上进行构建，使用了众多开源高效的组件如依赖注入和反向控制框架Spring，持久层框架MyBatis，以及加密、定时任务，日志等框架；</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前端服务：采用先进的前端技术H5、VUE等，并采用前后端分离的开发方式，将前端展示与后端服务进行解耦，为用户提供更好的体验；而前端和后端的协议，本项目兼容HTTP、RPC、WEBSERVICE等各种主流的通讯协议，为后续扩展做了很好的准备。</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项目周边的技术也采用了业界比较成熟的架构，代码版本管控工具可与代码构建框架构建和持续集成平台无缝衔接，达到快速开发、快速构建、快速集成的效果。整个服务平台也采用云计算的最佳实践与规范，充分利用到云计算的分布式能力，建设更稳定和高效的服务与应用。</w:t>
      </w:r>
    </w:p>
    <w:p>
      <w:pPr>
        <w:spacing w:line="360" w:lineRule="auto"/>
        <w:rPr>
          <w:rFonts w:ascii="仿宋" w:hAnsi="仿宋" w:eastAsia="仿宋" w:cs="仿宋"/>
          <w:b/>
          <w:color w:val="auto"/>
          <w:sz w:val="24"/>
        </w:rPr>
      </w:pPr>
      <w:bookmarkStart w:id="390" w:name="_Toc27044642"/>
      <w:bookmarkStart w:id="391" w:name="_Toc40898663"/>
      <w:bookmarkStart w:id="392" w:name="_Toc27901206"/>
      <w:bookmarkStart w:id="393" w:name="_Toc34686761"/>
      <w:r>
        <w:rPr>
          <w:rFonts w:hint="eastAsia" w:ascii="仿宋" w:hAnsi="仿宋" w:eastAsia="仿宋" w:cs="仿宋"/>
          <w:b/>
          <w:color w:val="auto"/>
          <w:sz w:val="24"/>
        </w:rPr>
        <w:t>6.软件功能要求</w:t>
      </w:r>
      <w:bookmarkEnd w:id="390"/>
      <w:bookmarkEnd w:id="391"/>
      <w:bookmarkEnd w:id="392"/>
      <w:bookmarkEnd w:id="393"/>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以下章节将对各模块建设内容的具体功能需求进行描述，但并不仅限于此，投标方可以提出适合本系统的其他功能。</w:t>
      </w:r>
      <w:bookmarkStart w:id="394" w:name="_Toc40898664"/>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6.1宏观决策大数据应用功能模块要求</w:t>
      </w:r>
      <w:bookmarkEnd w:id="394"/>
      <w:bookmarkStart w:id="395" w:name="_Toc40898665"/>
    </w:p>
    <w:p>
      <w:pPr>
        <w:autoSpaceDE w:val="0"/>
        <w:autoSpaceDN w:val="0"/>
        <w:spacing w:line="360" w:lineRule="auto"/>
        <w:ind w:left="482"/>
        <w:rPr>
          <w:rFonts w:ascii="仿宋" w:hAnsi="仿宋" w:eastAsia="仿宋" w:cs="仿宋"/>
          <w:b/>
          <w:color w:val="auto"/>
          <w:sz w:val="24"/>
        </w:rPr>
      </w:pPr>
      <w:r>
        <w:rPr>
          <w:rFonts w:hint="eastAsia" w:ascii="仿宋" w:hAnsi="仿宋" w:eastAsia="仿宋" w:cs="仿宋"/>
          <w:b/>
          <w:color w:val="auto"/>
          <w:sz w:val="24"/>
        </w:rPr>
        <w:t>6.1.1决策分析</w:t>
      </w:r>
      <w:bookmarkEnd w:id="395"/>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依托大数据分析大数据分析，对决策进行记录，并分析决策效果。</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新政策预演：新政策出台前，能通过大数据挖掘建模手段，对新政策出台后对医保基金的影响进行风险评估。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历史政策执行效果分析：能对已经在执行的历史政策，对其公平性、效率性、执行效果等多方面进行综合评估分析。</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医保费率调整数据分析：针对医保的缴费费率调整后，对基金收入的影响进行综合评估分析。 </w:t>
      </w:r>
      <w:bookmarkStart w:id="396" w:name="_Toc40898666"/>
    </w:p>
    <w:p>
      <w:pPr>
        <w:spacing w:line="360" w:lineRule="auto"/>
        <w:ind w:firstLine="480"/>
        <w:rPr>
          <w:rFonts w:ascii="仿宋" w:hAnsi="仿宋" w:eastAsia="仿宋" w:cs="仿宋"/>
          <w:b/>
          <w:color w:val="auto"/>
          <w:sz w:val="24"/>
        </w:rPr>
      </w:pPr>
      <w:r>
        <w:rPr>
          <w:rFonts w:hint="eastAsia" w:ascii="仿宋" w:hAnsi="仿宋" w:eastAsia="仿宋" w:cs="仿宋"/>
          <w:b/>
          <w:color w:val="auto"/>
          <w:sz w:val="24"/>
        </w:rPr>
        <w:t>6.1.2辅助预测</w:t>
      </w:r>
      <w:bookmarkEnd w:id="396"/>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利用大数据分析，进行辅助预测，帮助决策领导层梳理思路，有效提高管理服务能力。</w:t>
      </w:r>
    </w:p>
    <w:p>
      <w:pPr>
        <w:spacing w:line="360" w:lineRule="auto"/>
        <w:ind w:firstLine="480"/>
        <w:rPr>
          <w:rFonts w:ascii="仿宋" w:hAnsi="仿宋" w:eastAsia="仿宋" w:cs="仿宋"/>
          <w:b/>
          <w:color w:val="auto"/>
          <w:sz w:val="24"/>
        </w:rPr>
      </w:pPr>
      <w:bookmarkStart w:id="397" w:name="_Toc40898667"/>
      <w:r>
        <w:rPr>
          <w:rFonts w:hint="eastAsia" w:ascii="仿宋" w:hAnsi="仿宋" w:eastAsia="仿宋" w:cs="仿宋"/>
          <w:b/>
          <w:color w:val="auto"/>
          <w:sz w:val="24"/>
        </w:rPr>
        <w:t>6.1.3宏观政策分析</w:t>
      </w:r>
      <w:bookmarkEnd w:id="397"/>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支付方式政策调整分析：建立一套支付方式政策调整模拟器，为决策者对不同支付方式的应用与调整做出评估。其主要包括支付方式内容及参数管理、宏观经济相关参数、医疗服务水平权重、支付方式应用数据管理、支付方式调整模拟器、支付方式调整分析等。基于疾病谱情况和疾病费用分布情况，结合其他实行多元复合支付方式地区的经验，测算支付方式调整方案对当地医疗费用支出、医保基金支出和人群保障效果的影响，为支付方式调整方案提供量化测算依据。</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异地就医政策调整分析：建立一套异地就医政策调整模拟器，利用大数据分析，对就医趋势、费用趋势、运行情况、政策调整模拟预测和基金使用效率全面了解，制定长期的评估规划与短期目标任务，对医疗保障异地就医宏观决策、运行效率和管理服务能力给予有力的支撑。</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异地就医制度运行评估分析：利用大数据分析，对就医趋势、费用趋势、运行情况、政策调整模拟预测和基金使用效率全面了解，制定长期的评估规划与短期目标任务，对医疗保障异地就医宏观决策、运行效率和管理服务能力给予有力的支撑。</w:t>
      </w:r>
    </w:p>
    <w:p>
      <w:pPr>
        <w:spacing w:line="360" w:lineRule="auto"/>
        <w:ind w:firstLine="480"/>
        <w:rPr>
          <w:rFonts w:ascii="仿宋" w:hAnsi="仿宋" w:eastAsia="仿宋" w:cs="仿宋"/>
          <w:b/>
          <w:color w:val="auto"/>
          <w:sz w:val="24"/>
        </w:rPr>
      </w:pPr>
      <w:bookmarkStart w:id="398" w:name="_Toc40898668"/>
      <w:r>
        <w:rPr>
          <w:rFonts w:hint="eastAsia" w:ascii="仿宋" w:hAnsi="仿宋" w:eastAsia="仿宋" w:cs="仿宋"/>
          <w:b/>
          <w:color w:val="auto"/>
          <w:sz w:val="24"/>
        </w:rPr>
        <w:t>6.1.4宏观经济分析</w:t>
      </w:r>
      <w:bookmarkEnd w:id="398"/>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大数据分析，对经济发展与医保基金公平性及可持续性的关系进行统计和辅助决策；对经济发展与医保收支的相关性及趋势进行分析，辅助医保决策；人口老龄化对医保基金可持续性影响进行分析，辅助医保决策。</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经济发展与医保基金公平性及可持续性分析：建立公平性及可持续性分析指标体系，依托大数据服务宏观经济数据及医保基金征缴数据，以及大数据服务的数据分析加工能力，以多重维度分析全省各个地区宏观经济指标与医保基金之间的关联关系，进而衡量在不同地区之间、相同地区之内不同险种之间，相同险种不同收入人群之间的公平性及其带来的医保可持续性。其主要包括指标体系定义与管理、公平性及可持续性模型及参数管理、风险预警模型管理、风险处理跟踪等模块。</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经济发展与医保支出的相关性及趋势分析：建立相应的预测模型，分析医保支出的宏观经济影响因素，并对医保基金的支出做出相应的趋势预测。针对各地区不同的经济影响因素，为政策制定者宏观的预测未来基金的走向做出准确的判断。其主要包括医保支出及经济指标数据库，相关性及趋势预测模型、趋势预测模拟等模块。</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人口老龄化与医保基金可持续性分析：分析人口老龄化对医保基金收支平衡影响，是研究医保基金可持续发展的重要内容。人口老龄化数据可以来自于国家统计局和医保业务数据，通过自动提取和手工录入结合方式获取。人口老龄化分析内容应包括老龄化人口占比变化对基金收入的影响，老年人发病率、疾病谱变化及医疗费用构成、疾病疗效及预后评估、疾病再入院率、疾病终末期费用合理性、老年人预期寿命、区域性气候环境与疾病对死亡年龄影响等众多因素对基金支出的影响。分析系统包括老龄化影响因子模型建立及维护，模拟仿真各种因子变化时对医保基金收支产生的变化，借助人工智能技术和知识图谱技术，自动分析并生成医保基金可持续性发展评估报告等功能。</w:t>
      </w:r>
    </w:p>
    <w:p>
      <w:pPr>
        <w:spacing w:line="360" w:lineRule="auto"/>
        <w:ind w:firstLine="480"/>
        <w:rPr>
          <w:rFonts w:ascii="仿宋" w:hAnsi="仿宋" w:eastAsia="仿宋" w:cs="仿宋"/>
          <w:b/>
          <w:color w:val="auto"/>
          <w:sz w:val="24"/>
        </w:rPr>
      </w:pPr>
      <w:bookmarkStart w:id="399" w:name="_Toc40898669"/>
      <w:r>
        <w:rPr>
          <w:rFonts w:hint="eastAsia" w:ascii="仿宋" w:hAnsi="仿宋" w:eastAsia="仿宋" w:cs="仿宋"/>
          <w:b/>
          <w:color w:val="auto"/>
          <w:sz w:val="24"/>
        </w:rPr>
        <w:t>6.1.5宏观社会分析</w:t>
      </w:r>
      <w:bookmarkEnd w:id="399"/>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基金风险防控大数据分析：建立医保基金风险预防及管控的平台，其主要分为筹资风险和支出风险两个方面。筹资是开展医保服务的经济基础。影响医保基金筹资的因素很多，包括宏观经济因素、政策因素，人文环境等，这些因素都会对医保基金筹资带来重大影响。通过整合医保业务数据、国家统计局数据、医疗数据及网络公众数据等，建立医保筹资风险因子模型，对医保基金筹措过程中的各种风险因子进行分析，模拟和仿真各种因子的影响，为医保宏观政策的决策提供评估和支持。医保支付是参保人享受医疗保障的直接体现。随着多元复合式医保支付方式改革的推进，医保支付由按项目付费向按病种、按人头付费为主的付费模式转变，由此而产生了新的医保基金风险。研究和分析不同的医保支付方式，以及影响医保支付的各种因素，包括各种病种的分组及支付标准、疾病的治疗质量评估及预后、点数法总额控制、医疗服务资源构成及供给能力、医疗服务差异化、不同疾病治疗方案及医疗新技术、各种医保控费手段和措施、医疗服务及耗材药品的价格等，通过采集不同行业、领域内的数据，以医保支付政策和医保支付数据为核心，建立医保支付风险因子模型，利用大数据技术分析各个因子对医保基金支出的影响，从而为医保支付政策调整和决策提供依据。</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疗资源可用性可及性与医保基金使用合理性分析：建立医疗资源与医保基金使用的宏观监测与分析平台，并以此为基础，分析医疗资源的分配对医保基金使用的影响及各地区的合理性，进而为未来医保基金提升统筹层次奠定决策的基础。其主要包括医疗资源与医保基金指标体系定义与管理、合理性分析模型及参数管理、统筹区合并模拟器等模块。</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流行病学对医保管理影响因素分析：建立全省范围内针对重大疾病及主要慢性病的疾病监测系统。其主要包括针对各个疾病在不同市县、不同人群上的发病率、患病率、死亡率、疾病负担的研究。通过流行病及疾病负担的研究，为决策者提供有效地分配医疗医药医保资源的工具，提升资源分配的合理性及提高资源的使用效率，其主要模块包括但不限于流行病分析与管理、疾病负担分析与管理两大模块。</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自然环境因素对疾病及医保基金影响分析：建立全省范围内主要自然环境因素对重大疾病发病率死亡率及其疾病负担的监测和影响分析系统。根据全球及国内主要的环境监测网，结合医保数据里面对疾病的监测，分析不同自然环境因素，如PM2.5、PM10等，对不同疾病、不同地域、不同人群的影响因素、程度及其疾病负担，为决策者提供有效地工具了解自然环境对疾病和医保的影响。其主要模块包括自然环境数据收集及管理模块，流行病及疾病负担数据接口模块，自然环境与疾病影响分析模块等。</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人口流动对异地就医的影响分析：建立全省流动人口对医疗资源使用率及分配合理性的分析系统。在城镇化加速的前提下，如何有效的分配使用全省的医疗医药医保资源以及如何对未来的投入资源进行合理的规划，为决策者提供有效的依据，是此系统的核心功能。其主要模块包括人口流动以及异地就医数据收集及管理模块，人口流动及异地就医数据分析模块，核心算法开发及管理模块，分析结果展示模块等。</w:t>
      </w:r>
    </w:p>
    <w:p>
      <w:pPr>
        <w:spacing w:line="360" w:lineRule="auto"/>
        <w:ind w:firstLine="480"/>
        <w:rPr>
          <w:rFonts w:ascii="仿宋" w:hAnsi="仿宋" w:eastAsia="仿宋" w:cs="仿宋"/>
          <w:b/>
          <w:color w:val="auto"/>
          <w:sz w:val="24"/>
        </w:rPr>
      </w:pPr>
      <w:bookmarkStart w:id="400" w:name="_Toc40898670"/>
      <w:r>
        <w:rPr>
          <w:rFonts w:hint="eastAsia" w:ascii="仿宋" w:hAnsi="仿宋" w:eastAsia="仿宋" w:cs="仿宋"/>
          <w:b/>
          <w:color w:val="auto"/>
          <w:sz w:val="24"/>
        </w:rPr>
        <w:t>6.1.6宏观技术分析</w:t>
      </w:r>
      <w:bookmarkEnd w:id="400"/>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通过大数据分析，对人工智能、生物特征识别、AI、5G、区块链等技术在医疗保障领域的应用效果进行统计和辅助决策；预测各类技术在各区域使用后的成效，辅助医保决策。</w:t>
      </w:r>
      <w:bookmarkStart w:id="401" w:name="_Toc40898671"/>
    </w:p>
    <w:p>
      <w:pPr>
        <w:spacing w:line="360" w:lineRule="auto"/>
        <w:ind w:firstLine="480"/>
        <w:rPr>
          <w:rFonts w:ascii="仿宋" w:hAnsi="仿宋" w:eastAsia="仿宋" w:cs="仿宋"/>
          <w:b/>
          <w:color w:val="auto"/>
          <w:sz w:val="24"/>
        </w:rPr>
      </w:pPr>
      <w:r>
        <w:rPr>
          <w:rFonts w:hint="eastAsia" w:ascii="仿宋" w:hAnsi="仿宋" w:eastAsia="仿宋" w:cs="仿宋"/>
          <w:b/>
          <w:color w:val="auto"/>
          <w:sz w:val="24"/>
        </w:rPr>
        <w:t>6.1.7政策模拟仿真分析</w:t>
      </w:r>
      <w:bookmarkEnd w:id="401"/>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基于大数据技术，对政策模拟仿真运行情况进行分析。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（1）决策人员发起政策模拟分析结果管理请求，打开政策模拟分析结果管理页面；</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（2）决策人员在政策模拟分析结果管理页面提交分析结果后通过服务事项控制逻辑调用政策模拟分析结果管理业务逻辑执行政策模拟分析结果管理；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（3）调用分析结果数据管理管理分析结果并返回分析结果管理信息，将政策模拟分析结果管理信息存储至分析结果数据管理的相应数据库表中并返回存储结果；</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（4）通过政策模拟分析结果管理业务逻辑更新管理信息，将政策模拟分析结果管理信息反馈到政策模拟分析结果管理页面供决策人员查看。</w:t>
      </w:r>
      <w:bookmarkStart w:id="402" w:name="_Toc40898672"/>
    </w:p>
    <w:p>
      <w:pPr>
        <w:spacing w:line="360" w:lineRule="auto"/>
        <w:ind w:firstLine="480"/>
        <w:rPr>
          <w:rFonts w:ascii="仿宋" w:hAnsi="仿宋" w:eastAsia="仿宋" w:cs="仿宋"/>
          <w:b/>
          <w:color w:val="auto"/>
          <w:sz w:val="24"/>
        </w:rPr>
      </w:pPr>
      <w:r>
        <w:rPr>
          <w:rFonts w:hint="eastAsia" w:ascii="仿宋" w:hAnsi="仿宋" w:eastAsia="仿宋" w:cs="仿宋"/>
          <w:b/>
          <w:color w:val="auto"/>
          <w:sz w:val="24"/>
        </w:rPr>
        <w:t>6.1.8指数计算分析</w:t>
      </w:r>
      <w:bookmarkEnd w:id="402"/>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（1）指数计算分析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基于大数据技术，对各类指数进行计算分析。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包括医疗保障各项业务运行指数、业务监管指数、业务办理指数、满意度指数、网络咨询及舆情指数、各类对象业务轨迹指数等基础指数。</w:t>
      </w:r>
    </w:p>
    <w:p>
      <w:pPr>
        <w:spacing w:line="360" w:lineRule="auto"/>
        <w:ind w:firstLine="480"/>
        <w:rPr>
          <w:rFonts w:ascii="仿宋" w:hAnsi="仿宋" w:eastAsia="仿宋" w:cs="仿宋"/>
          <w:b/>
          <w:color w:val="auto"/>
          <w:sz w:val="24"/>
        </w:rPr>
      </w:pPr>
      <w:bookmarkStart w:id="403" w:name="_Toc40898673"/>
      <w:r>
        <w:rPr>
          <w:rFonts w:hint="eastAsia" w:ascii="仿宋" w:hAnsi="仿宋" w:eastAsia="仿宋" w:cs="仿宋"/>
          <w:b/>
          <w:color w:val="auto"/>
          <w:sz w:val="24"/>
        </w:rPr>
        <w:t>6.1.9指标动态调整模拟</w:t>
      </w:r>
      <w:bookmarkEnd w:id="403"/>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（1）指标动态调整模拟</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指标能客观体现医保各类业务和管理效果，指标设定后，需要进行动态管理和调整，确保实时有效的反应当前业务状况。基于大数据技术，通过计算机对医保系列指标进行仿真模拟，测算指标阈值设定是否合理，是否需进行调整，建立起对指标的动态管理机制。</w:t>
      </w:r>
    </w:p>
    <w:p>
      <w:pPr>
        <w:spacing w:line="360" w:lineRule="auto"/>
        <w:ind w:firstLine="480"/>
        <w:rPr>
          <w:rFonts w:ascii="仿宋" w:hAnsi="仿宋" w:eastAsia="仿宋" w:cs="仿宋"/>
          <w:b/>
          <w:color w:val="auto"/>
          <w:sz w:val="24"/>
        </w:rPr>
      </w:pPr>
      <w:bookmarkStart w:id="404" w:name="_Toc40898674"/>
      <w:r>
        <w:rPr>
          <w:rFonts w:hint="eastAsia" w:ascii="仿宋" w:hAnsi="仿宋" w:eastAsia="仿宋" w:cs="仿宋"/>
          <w:b/>
          <w:color w:val="auto"/>
          <w:sz w:val="24"/>
        </w:rPr>
        <w:t>6.1.10精算分析</w:t>
      </w:r>
      <w:bookmarkEnd w:id="404"/>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（1）精算分析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引入云计算和大数据分析等技术手段，建设海南省医疗保障精算大数据分析模型，提升医保精算的精确性，对全省各地基金收入、支出、结余和隐形债务预测结果进行汇总分析，对可能发生的基金支付风险跟踪分析，为政策的制定和完善提供数据依据，防范和化解医保基金运行风险，保障医疗保障制度平稳运行，促进医疗保障事业健康可持续发展。</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大病保险分析：通过对大病保险整体运行情况的分析，对收支的变动趋势及变动原因进行深度分析，把握大病医保制度运行的客观情况及未来基金的变化趋势；分析大病保险筹资的不同方案对基本医保基金运行的影响；大病保险与基本医保的平衡和相关性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评估大病保险的运行情况，通过对大病医保收支的变动趋势及变动原因进行深度分析，可以帮助医保管理机构把握大病医保制度运行的客观情况及未来基金的变化趋势，使管理者做到“心中有数”，为后续政策制定或调整提供方向性依据。对统筹层级更高的医保部门，通过对下属各统筹地区大病保险运行情况的评估和比较，可以快速了解不同地区大病保险政策以及基金运行结果上的差异，为后续有针对性的政策制定提供方向性建议；</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大病保险可持续筹资评估分析，大病保险筹资的不同方案对居民基本医保基金运行的影响：各统筹地区普遍需要在调整大病医保筹资方案时，测算其对基本医保基金运行的稳定性和可持续性的影响。需对部分特殊人群的待遇保障采用倾斜政策，例如：取消封顶线、降低起付线，提高报销比例等，需要测算其对基金运行带来的额外压力，以及政策倾斜预期带来的保障效果的提升，为政策决策制定提供量化依据。</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基金全面预算绩效分析：运用大数据精算模型，多方面评价预算及基金运行情况，为全面预算绩效管理提供量化指标支持数据，协助绩效指标的制定与评价；分析基金预算与实际执行情况差异，追溯实际执行情况中的异常行为，识别差异化医疗机构，在决算中剔除异常诊疗行为影响，提供基金决算的合理建议，避免医疗资源浪费。运用大数据精算模型，对基金预算总额制定、基金预算总额划拨分配提供模型预测、量化拆解等功能，为预算总额制定提供合理量化支持数据，充分考虑统筹地区的人口分配及医疗资源分配现状，为基金总额分配至定点医疗机构提供合理化分配建议。在年度决算中，利用大数据精算分析模型，分析基金预算与实际执行情况差异，追溯实际执行情况中的异常行为，识别差异化医疗机构，在决算中剔除异常诊疗行为影响，提供基金决算的合理建议，避免医疗资源浪费。</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合理控费方式分析：通过大数据的分析和挖掘，力求找到整体费用控制和制约不合理费用发生的“平衡点”，满足参保人员的就医需求，保障医药服务机构的健康发展。</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药品、耗材和服务设施使用分析：利用大数据对药品、耗材和服务设施使用情况进行分析，对药品耗材产品使用概率及原因分析、不同厂商同类产品使用分布、不同厂商同类产品市场占有率、区域性特定产品供应充足率、同类产品竞争烈度、市场热点和冷门市场分析、同类产品阶段性价格评估、医疗机构用药习惯、区域内民众用药习惯、个人背景诊疗用药习惯等进行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医疗服务能力的大数据分析：利用大数据，在常规的医疗服务能力支撑基础上，实现疾病及治疗相关情况分析，诊疗辅助及医务人员医疗行为分析、医疗行为参考及临床路径应用等内容。</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自助健康服务分析：利用大数据分析，对参保人群提供身体疾病的提前感知和预防。提供个人健康画像及风险疾病评估和提醒、自助健康评估及建议、地域疾病风险提醒、依据症状查询患病种概率、流行性大范围疾病用药参考、孕产期及特定疾病治疗期间节点风险评估、行业职业人群疾病谱及患特定病种概率和预防指导、依据病情及地理位置的就诊医院推荐、医院服务质量评估、特定疾病复查提醒等智能服务能力。</w:t>
      </w:r>
    </w:p>
    <w:p>
      <w:pPr>
        <w:spacing w:line="360" w:lineRule="auto"/>
        <w:ind w:firstLine="480"/>
        <w:rPr>
          <w:rFonts w:ascii="仿宋" w:hAnsi="仿宋" w:eastAsia="仿宋" w:cs="仿宋"/>
          <w:b/>
          <w:color w:val="auto"/>
          <w:sz w:val="24"/>
        </w:rPr>
      </w:pPr>
      <w:bookmarkStart w:id="405" w:name="_Toc40898675"/>
      <w:r>
        <w:rPr>
          <w:rFonts w:hint="eastAsia" w:ascii="仿宋" w:hAnsi="仿宋" w:eastAsia="仿宋" w:cs="仿宋"/>
          <w:b/>
          <w:color w:val="auto"/>
          <w:sz w:val="24"/>
        </w:rPr>
        <w:t>6.1.11知识应用</w:t>
      </w:r>
      <w:bookmarkEnd w:id="405"/>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（1）知识应用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提供相关分析知识应用，帮助提高宏观大数据决策的效能。</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利用海量的医疗保障数据资源，构建医保知识库（主要为治疗费用、基础疾病与诊疗项目关系），并对外提供检索服务。</w:t>
      </w:r>
    </w:p>
    <w:p>
      <w:pPr>
        <w:spacing w:line="360" w:lineRule="auto"/>
        <w:ind w:firstLine="480"/>
        <w:rPr>
          <w:rFonts w:ascii="仿宋" w:hAnsi="仿宋" w:eastAsia="仿宋" w:cs="仿宋"/>
          <w:b/>
          <w:color w:val="auto"/>
          <w:sz w:val="24"/>
        </w:rPr>
      </w:pPr>
      <w:bookmarkStart w:id="406" w:name="_Toc40898676"/>
      <w:r>
        <w:rPr>
          <w:rFonts w:hint="eastAsia" w:ascii="仿宋" w:hAnsi="仿宋" w:eastAsia="仿宋" w:cs="仿宋"/>
          <w:b/>
          <w:color w:val="auto"/>
          <w:sz w:val="24"/>
        </w:rPr>
        <w:t>6.1.12数据场景分析</w:t>
      </w:r>
      <w:bookmarkEnd w:id="406"/>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（1）智慧监管分析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通过对数据场景进行专业分析，提供智慧监管的分析服务，为决策人员提供精准丰富的信息，支持决策管理工作。</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（2）信用评价分析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通过对数据场景进行专业分析，提供信用评价的分析服务，为决策人员提供精准丰富的信息，支持决策管理工作。</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（3）公共服务分析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通过对数据场景进行专业分析，提供公共服务的分析服务，为决策人员提供精准丰富的信息，支持决策管理工作。</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（4）经办服务分析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通过对数据场景进行专业分析，提供经办服务的分析服务，为决策人员提供精准丰富的信息，支持决策管理工作。</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（5）综合管理分析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通过对数据场景进行专业分析，提供综合管理的分析服务，为决策人员提供精准丰富的信息，支持决策管理工作。</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（6）运行监测分析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通过对数据场景进行专业分析，提供运行监测的分析服务，为决策人员提供精准丰富的信息，支持决策管理工作。</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（7）基金安全分析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通过对数据场景进行专业分析，提供基金安全的分析服务，为决策人员提供精准丰富的信息，支持决策管理工作。</w:t>
      </w:r>
    </w:p>
    <w:p>
      <w:pPr>
        <w:adjustRightInd w:val="0"/>
        <w:spacing w:line="360" w:lineRule="auto"/>
        <w:ind w:left="480"/>
        <w:rPr>
          <w:rFonts w:ascii="仿宋" w:hAnsi="仿宋" w:eastAsia="仿宋" w:cs="仿宋"/>
          <w:color w:val="auto"/>
          <w:sz w:val="24"/>
        </w:rPr>
      </w:pPr>
      <w:r>
        <w:rPr>
          <w:rFonts w:hint="eastAsia" w:ascii="仿宋" w:hAnsi="仿宋" w:eastAsia="仿宋" w:cs="仿宋"/>
          <w:color w:val="auto"/>
          <w:sz w:val="24"/>
        </w:rPr>
        <w:t>（8）药品和耗材分析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通过对数据场景进行专业分析，提供药品和耗材的分析服务，为决策人员提供精准丰富的信息，支持决策管理工作。</w:t>
      </w:r>
    </w:p>
    <w:p>
      <w:pPr>
        <w:adjustRightInd w:val="0"/>
        <w:spacing w:line="360" w:lineRule="auto"/>
        <w:ind w:left="480"/>
        <w:rPr>
          <w:rFonts w:ascii="仿宋" w:hAnsi="仿宋" w:eastAsia="仿宋" w:cs="仿宋"/>
          <w:color w:val="auto"/>
          <w:sz w:val="24"/>
        </w:rPr>
      </w:pPr>
      <w:r>
        <w:rPr>
          <w:rFonts w:hint="eastAsia" w:ascii="仿宋" w:hAnsi="仿宋" w:eastAsia="仿宋" w:cs="仿宋"/>
          <w:color w:val="auto"/>
          <w:sz w:val="24"/>
        </w:rPr>
        <w:t>（9）医药价格分析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通过对数据场景进行专业分析，提供医药价格的分析服务，为决策人员提供精准丰富的信息，支持决策管理工作。</w:t>
      </w:r>
    </w:p>
    <w:p>
      <w:pPr>
        <w:adjustRightIn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（10）医疗服务价格分析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通过对数据场景进行专业分析，提供医疗服务价格的分析服务，为决策人员提供精准丰富的信息，支持决策管理工作。</w:t>
      </w:r>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（11）医疗救助分析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实现对医疗救助的分析，包含但不限于医疗救助政策分析、医疗救助人群特征分析、医疗救助人群费用分析等功能。</w:t>
      </w:r>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（12）长期护理分析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基于对历史经验数据的分析，预测未来失能人口和长期护理费用，预测未来长期护理市场的需求，为拟定长期护理保险待遇标准提供量化分析支持；进而，根据拟实施的待遇标准，测算与待遇标准相匹配的筹资标准，为支持开展长期护理保险提供量化测算支持。</w:t>
      </w:r>
    </w:p>
    <w:p>
      <w:pPr>
        <w:spacing w:line="360" w:lineRule="auto"/>
        <w:ind w:firstLine="480"/>
        <w:rPr>
          <w:rFonts w:ascii="仿宋" w:hAnsi="仿宋" w:eastAsia="仿宋" w:cs="仿宋"/>
          <w:b/>
          <w:color w:val="auto"/>
          <w:sz w:val="24"/>
        </w:rPr>
      </w:pPr>
      <w:bookmarkStart w:id="407" w:name="_Toc40898677"/>
      <w:r>
        <w:rPr>
          <w:rFonts w:hint="eastAsia" w:ascii="仿宋" w:hAnsi="仿宋" w:eastAsia="仿宋" w:cs="仿宋"/>
          <w:b/>
          <w:color w:val="auto"/>
          <w:sz w:val="24"/>
        </w:rPr>
        <w:t>6.1.13属性特征管理</w:t>
      </w:r>
      <w:bookmarkEnd w:id="407"/>
    </w:p>
    <w:p>
      <w:pPr>
        <w:spacing w:line="360" w:lineRule="auto"/>
        <w:ind w:firstLine="480"/>
        <w:rPr>
          <w:rFonts w:ascii="仿宋" w:hAnsi="仿宋" w:eastAsia="仿宋" w:cs="仿宋"/>
          <w:b/>
          <w:color w:val="auto"/>
          <w:sz w:val="24"/>
        </w:rPr>
      </w:pPr>
      <w:r>
        <w:rPr>
          <w:rFonts w:hint="eastAsia" w:ascii="仿宋" w:hAnsi="仿宋" w:eastAsia="仿宋" w:cs="仿宋"/>
          <w:color w:val="auto"/>
          <w:sz w:val="24"/>
        </w:rPr>
        <w:t>（1）属性特征精准识别</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通过预设的属性特征类目，对海量数据中的属性特征进行精准识别。</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（2）属性特征新增/变更</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可以对属性特征类目进行编辑，支持新增和变更操作。</w:t>
      </w:r>
      <w:bookmarkStart w:id="408" w:name="_Toc40898678"/>
    </w:p>
    <w:p>
      <w:pPr>
        <w:spacing w:line="360" w:lineRule="auto"/>
        <w:ind w:firstLine="480"/>
        <w:rPr>
          <w:rFonts w:ascii="仿宋" w:hAnsi="仿宋" w:eastAsia="仿宋" w:cs="仿宋"/>
          <w:b/>
          <w:color w:val="auto"/>
          <w:sz w:val="24"/>
        </w:rPr>
      </w:pPr>
      <w:r>
        <w:rPr>
          <w:rFonts w:hint="eastAsia" w:ascii="仿宋" w:hAnsi="仿宋" w:eastAsia="仿宋" w:cs="仿宋"/>
          <w:b/>
          <w:color w:val="auto"/>
          <w:sz w:val="24"/>
        </w:rPr>
        <w:t>6.1.14</w:t>
      </w:r>
      <w:r>
        <w:rPr>
          <w:rFonts w:hint="eastAsia" w:ascii="仿宋" w:hAnsi="仿宋" w:eastAsia="仿宋" w:cs="仿宋"/>
          <w:b/>
          <w:bCs/>
          <w:color w:val="auto"/>
          <w:sz w:val="24"/>
        </w:rPr>
        <w:t>影响因素管理</w:t>
      </w:r>
      <w:bookmarkEnd w:id="408"/>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（1）参保人属性因素管理（基本特征、健康状况）</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能够实现对参保人属性因素进行管理（基本特征、健康状况）的操作。</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（2）社会因素（社会网络、医疗保障形式等）</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提供对社会因素（社会网络、医疗保障形式等）的管理功能。</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 流行病学对医保管理影响因素分析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实现对流行病学对医保管理影响因素分析。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（4）自然环境因素对疾病及医保基金影响分析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实现对自然环境因素对疾病及医保基金影响分析。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（5）人口流动对异地就医的影响分析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实现对人口流动对异地就医的影响分析。</w:t>
      </w:r>
    </w:p>
    <w:p>
      <w:pPr>
        <w:spacing w:line="360" w:lineRule="auto"/>
        <w:ind w:firstLine="480"/>
        <w:rPr>
          <w:rFonts w:ascii="仿宋" w:hAnsi="仿宋" w:eastAsia="仿宋" w:cs="仿宋"/>
          <w:b/>
          <w:color w:val="auto"/>
          <w:sz w:val="24"/>
        </w:rPr>
      </w:pPr>
      <w:bookmarkStart w:id="409" w:name="_Toc40898679"/>
      <w:r>
        <w:rPr>
          <w:rFonts w:hint="eastAsia" w:ascii="仿宋" w:hAnsi="仿宋" w:eastAsia="仿宋" w:cs="仿宋"/>
          <w:b/>
          <w:color w:val="auto"/>
          <w:sz w:val="24"/>
        </w:rPr>
        <w:t>6.1.15智能标注</w:t>
      </w:r>
      <w:bookmarkEnd w:id="409"/>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（1）智能标注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通过大数据分析，提供对不同角色、不同场景、不同流程的分类标记功能。</w:t>
      </w:r>
    </w:p>
    <w:p>
      <w:pPr>
        <w:spacing w:line="360" w:lineRule="auto"/>
        <w:ind w:firstLine="480"/>
        <w:rPr>
          <w:rFonts w:ascii="仿宋" w:hAnsi="仿宋" w:eastAsia="仿宋" w:cs="仿宋"/>
          <w:b/>
          <w:color w:val="auto"/>
          <w:sz w:val="24"/>
        </w:rPr>
      </w:pPr>
      <w:bookmarkStart w:id="410" w:name="_Toc40898680"/>
      <w:r>
        <w:rPr>
          <w:rFonts w:hint="eastAsia" w:ascii="仿宋" w:hAnsi="仿宋" w:eastAsia="仿宋" w:cs="仿宋"/>
          <w:b/>
          <w:color w:val="auto"/>
          <w:sz w:val="24"/>
        </w:rPr>
        <w:t>6.1.16标签制作管理</w:t>
      </w:r>
      <w:bookmarkEnd w:id="410"/>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标签服务具有对各类数据资源打标签的功能，并实现大数据平台建立的各种标签的统计、查询和列表展示。</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基于智能标注结果，根据分析需求对所需数据进行查询进而对标记结果进行标签自动生成。</w:t>
      </w:r>
      <w:bookmarkStart w:id="411" w:name="_Toc40898681"/>
    </w:p>
    <w:p>
      <w:pPr>
        <w:spacing w:line="360" w:lineRule="auto"/>
        <w:ind w:firstLine="480"/>
        <w:rPr>
          <w:rFonts w:ascii="仿宋" w:hAnsi="仿宋" w:eastAsia="仿宋" w:cs="仿宋"/>
          <w:b/>
          <w:color w:val="auto"/>
          <w:sz w:val="24"/>
        </w:rPr>
      </w:pPr>
      <w:r>
        <w:rPr>
          <w:rFonts w:hint="eastAsia" w:ascii="仿宋" w:hAnsi="仿宋" w:eastAsia="仿宋" w:cs="仿宋"/>
          <w:b/>
          <w:color w:val="auto"/>
          <w:sz w:val="24"/>
        </w:rPr>
        <w:t>6.1.17</w:t>
      </w:r>
      <w:r>
        <w:rPr>
          <w:rFonts w:hint="eastAsia" w:ascii="仿宋" w:hAnsi="仿宋" w:eastAsia="仿宋" w:cs="仿宋"/>
          <w:b/>
          <w:bCs/>
          <w:color w:val="auto"/>
          <w:sz w:val="24"/>
        </w:rPr>
        <w:t>数据资源特征管理</w:t>
      </w:r>
      <w:bookmarkEnd w:id="411"/>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（1）数据资源特征管理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对于已分类和添加标签标记的数据进行特征采集和归纳，对所得的数据资源特征进行存档。</w:t>
      </w:r>
    </w:p>
    <w:p>
      <w:pPr>
        <w:spacing w:line="360" w:lineRule="auto"/>
        <w:ind w:firstLine="480"/>
        <w:rPr>
          <w:rFonts w:ascii="仿宋" w:hAnsi="仿宋" w:eastAsia="仿宋" w:cs="仿宋"/>
          <w:b/>
          <w:color w:val="auto"/>
          <w:sz w:val="24"/>
        </w:rPr>
      </w:pPr>
      <w:bookmarkStart w:id="412" w:name="_Toc40898682"/>
      <w:r>
        <w:rPr>
          <w:rFonts w:hint="eastAsia" w:ascii="仿宋" w:hAnsi="仿宋" w:eastAsia="仿宋" w:cs="仿宋"/>
          <w:b/>
          <w:color w:val="auto"/>
          <w:sz w:val="24"/>
        </w:rPr>
        <w:t>6.1.18 AI知识学习</w:t>
      </w:r>
      <w:bookmarkEnd w:id="412"/>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（1）神经网络训练</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借助神经网络训练技术，进行AI知识学习，提高系统提供服务的能力。</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（2）RDF知识节点管理</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借助RDF知识节点管理技术，进行AI知识学习，提高系统提供服务的能力。</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（3）知识点关联概率模型管理</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对知识点关联概率模型进行管理，为AI知识学习进行服务。</w:t>
      </w:r>
    </w:p>
    <w:p>
      <w:pPr>
        <w:spacing w:line="360" w:lineRule="auto"/>
        <w:ind w:firstLine="480"/>
        <w:rPr>
          <w:rFonts w:ascii="仿宋" w:hAnsi="仿宋" w:eastAsia="仿宋" w:cs="仿宋"/>
          <w:b/>
          <w:color w:val="auto"/>
          <w:sz w:val="24"/>
        </w:rPr>
      </w:pPr>
      <w:bookmarkStart w:id="413" w:name="_Toc40898683"/>
      <w:r>
        <w:rPr>
          <w:rFonts w:hint="eastAsia" w:ascii="仿宋" w:hAnsi="仿宋" w:eastAsia="仿宋" w:cs="仿宋"/>
          <w:b/>
          <w:color w:val="auto"/>
          <w:sz w:val="24"/>
        </w:rPr>
        <w:t>6.1.19知识图谱管理</w:t>
      </w:r>
      <w:bookmarkEnd w:id="413"/>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（1）新建知识图谱</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在知识图谱管理中，支持新建知识图谱操作。</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（2）修改知识图谱</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在知识图谱管理中，支持修改知识图谱操作。</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（3）知识图谱可视化</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令知识图谱可视化，方便管理人员依托可视化的界面进行简便高效的管理。</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（4）知识检索</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在知识图谱管理中，支持检索知识操作。</w:t>
      </w:r>
    </w:p>
    <w:p>
      <w:pPr>
        <w:spacing w:line="360" w:lineRule="auto"/>
        <w:ind w:firstLine="480"/>
        <w:rPr>
          <w:rFonts w:ascii="仿宋" w:hAnsi="仿宋" w:eastAsia="仿宋" w:cs="仿宋"/>
          <w:b/>
          <w:color w:val="auto"/>
          <w:sz w:val="24"/>
        </w:rPr>
      </w:pPr>
      <w:bookmarkStart w:id="414" w:name="_Toc40898684"/>
      <w:r>
        <w:rPr>
          <w:rFonts w:hint="eastAsia" w:ascii="仿宋" w:hAnsi="仿宋" w:eastAsia="仿宋" w:cs="仿宋"/>
          <w:b/>
          <w:color w:val="auto"/>
          <w:sz w:val="24"/>
        </w:rPr>
        <w:t>6.1.20影像数据上传/下载</w:t>
      </w:r>
      <w:bookmarkEnd w:id="414"/>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（1）影像数据上传/下载</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在系统中提供影像数据的上传和下载功能。</w:t>
      </w:r>
      <w:bookmarkStart w:id="415" w:name="_Toc40898685"/>
    </w:p>
    <w:p>
      <w:pPr>
        <w:spacing w:line="360" w:lineRule="auto"/>
        <w:ind w:firstLine="480"/>
        <w:rPr>
          <w:rFonts w:ascii="仿宋" w:hAnsi="仿宋" w:eastAsia="仿宋" w:cs="仿宋"/>
          <w:b/>
          <w:color w:val="auto"/>
          <w:sz w:val="24"/>
        </w:rPr>
      </w:pPr>
      <w:r>
        <w:rPr>
          <w:rFonts w:hint="eastAsia" w:ascii="仿宋" w:hAnsi="仿宋" w:eastAsia="仿宋" w:cs="仿宋"/>
          <w:b/>
          <w:color w:val="auto"/>
          <w:sz w:val="24"/>
        </w:rPr>
        <w:t>6.1.21</w:t>
      </w:r>
      <w:r>
        <w:rPr>
          <w:rFonts w:hint="eastAsia" w:ascii="仿宋" w:hAnsi="仿宋" w:eastAsia="仿宋" w:cs="仿宋"/>
          <w:b/>
          <w:bCs/>
          <w:color w:val="auto"/>
          <w:sz w:val="24"/>
        </w:rPr>
        <w:t>影像管理</w:t>
      </w:r>
      <w:bookmarkEnd w:id="415"/>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（1）影像新增</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在系统中提供新增影像的功能，支持对影像的新增。</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（2）影像关联</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在系统中提供影像关联的功能，可以对影像进行关联操作，便于更好的管理。</w:t>
      </w:r>
    </w:p>
    <w:p>
      <w:pPr>
        <w:spacing w:line="360" w:lineRule="auto"/>
        <w:ind w:firstLine="480"/>
        <w:rPr>
          <w:rFonts w:ascii="仿宋" w:hAnsi="仿宋" w:eastAsia="仿宋" w:cs="仿宋"/>
          <w:b/>
          <w:color w:val="auto"/>
          <w:sz w:val="24"/>
        </w:rPr>
      </w:pPr>
      <w:bookmarkStart w:id="416" w:name="_Toc40898686"/>
      <w:r>
        <w:rPr>
          <w:rFonts w:hint="eastAsia" w:ascii="仿宋" w:hAnsi="仿宋" w:eastAsia="仿宋" w:cs="仿宋"/>
          <w:b/>
          <w:color w:val="auto"/>
          <w:sz w:val="24"/>
        </w:rPr>
        <w:t>6.1.22影像分析</w:t>
      </w:r>
      <w:bookmarkEnd w:id="416"/>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（1）影像特征数据采集</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系统能够对影像特征数据进行采集，为分析工作提供基础。</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（2）影像特征数据分析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对医疗影像的分析，主要借助人工智能、数据挖掘、图像分割、特征提取技术，按照医疗影像学、医学、临床医学、临床路径等知识，对影响进行分析，其分析层面包括：</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影像健康辅助分析，识别和量化影像所涉及的病灶，了解关联患者的健康情况以及提供相应的健康建议；</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影像病理辅助分析，识别和量化影像所涉及的病理，了解医师对影像的病历判断及根据诊断情况判断医师的诊疗、收费、检查等情况是否合规合理。</w:t>
      </w:r>
      <w:bookmarkStart w:id="417" w:name="_Toc40898687"/>
    </w:p>
    <w:p>
      <w:pPr>
        <w:spacing w:line="360" w:lineRule="auto"/>
        <w:ind w:firstLine="480"/>
        <w:rPr>
          <w:rFonts w:ascii="仿宋" w:hAnsi="仿宋" w:eastAsia="仿宋" w:cs="仿宋"/>
          <w:color w:val="auto"/>
          <w:sz w:val="24"/>
        </w:rPr>
      </w:pPr>
      <w:r>
        <w:rPr>
          <w:rFonts w:hint="eastAsia" w:ascii="仿宋" w:hAnsi="仿宋" w:eastAsia="仿宋" w:cs="仿宋"/>
          <w:b/>
          <w:color w:val="auto"/>
          <w:sz w:val="24"/>
        </w:rPr>
        <w:t>6.1.23数据资产融合管理</w:t>
      </w:r>
      <w:bookmarkEnd w:id="417"/>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对智慧决策子系统采集到的所有数据，进行统一清洗、转换、融合，建立数据资产管理机制，确保融合后的数据能够快速有效被应用所使用。</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（1）生产数据源管理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数据资产融合管理提供生产数据源管理服务，对数据进行有序管理。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（2）监测数据源管理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数据资产融合管理提供监测数据源管理服务，对数据进行有序管理。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（3）监管数据源管理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数据资产融合管理提供监管数据源管理服务，对数据进行有序管理。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 标准数据源管理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数据资产融合管理提供标准数据源管理服务，对数据进行有序管理。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（5）生物特征数据源管理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数据资产融合管理提供生物特征数据源管理服务，对数据进行有序管理。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（6） 影像数据源管理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数据资产融合管理提供影像数据源管理服务，对数据进行有序管理。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（7） 知识数据源管理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数据资产融合管理提供知识数据源管理服务，对数据进行有序管理。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（8） 自然人数据源管理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数据资产融合管理提供自然人数据源管理服务，对数据进行有序管理。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（9） 经济数据源管理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数据资产融合管理提供经济数据源管理服务，对数据进行有序管理。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（10） 法人数据源管理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数据资产融合管理提供法人数据源管理服务，对数据进行有序管理。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（11）环境数据源管理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数据资产融合管理提供环境数据源管理服务，对数据进行有序管理。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（12） 采集规则配置调度管理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数据资产融合管理提供采集规则配置调度管理服务，对数据进行有序管理。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（13） 生产类元数据采集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数据资产融合管理提供生产类元数据采集服务，对数据进行有序管理。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（14） 消费类元数据采集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数据资产融合管理提供消费类元数据采集服务，对数据进行有序管理。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（15） 元数据目录管理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数据资产融合管理提供元数据目录管理服务，对数据进行有序管理。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（16） 数据对象抽取</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数据资产融合管理提供数据对象抽取服务，对数据进行有序管理。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（17） 抽取规则配置调度管理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数据资产融合管理提供抽取规则配置调度管理服务，对数据进行有序管理。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（18） 元数据发布</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数据资产融合管理提供元数据发布服务，对数据进行有序管理。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（19） 转换规则配置调度管理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数据资产融合管理提供转换规则配置调度管理服务，对数据进行有序管理。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（20） 元数据转换</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数据资产融合管理提供元数据转换服务，对数据进行有序管理。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（21） 加载规则配置调度管理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数据资产融合管理提供加载规则配置调度管理服务，对数据进行有序管理。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（22） 元数据加载管理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数据资产融合管理提供元数据加载管理服务，对数据进行有序管理。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（23）血缘分析</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数据资产融合管理提供血缘分析服务，对数据进行有序管理。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（24） 影响分析</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数据资产融合管理提供影响分析服务，对数据进行有序管理。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（25） 数据资产结构管理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数据资产融合管理提供数据资产结构管理服务，对数据进行有序管理。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（26） 数据标准化管理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数据资产融合管理提供数据标准化管理服务，对数据进行有序管理。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（27） 数据资产维度管理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数据资产融合管理提供数据资产维度管理服务，对数据进行有序管理。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（28） 数据资产指标管理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数据资产融合管理提供数据资产指标管理服务，对数据进行有序管理。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（29）数据地图</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数据资产融合管理提供数据地图服务，对数据进行有序管理。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（30）数据资产加工流程配置管理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数据资产融合管理提供数据资产加工流程配置管理服务，对数据进行有序管理。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（31）数据资产模型管理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数据资产融合管理提供数据资产模型管理服务，对数据进行有序管理。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（32）数据处理开发管理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数据资产融合管理提供数据处理开发管理服务，对数据进行有序管理。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（33） 主题数据开发管理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数据资产融合管理提供主题数据开发管理服务，对数据进行有序管理。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（34） 数据测试管理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数据资产融合管理提供数据测试管理服务，对数据进行有序管理。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（35） 数据发布管理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数据资产融合管理提供数据发布管理服务，对数据进行有序管理。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（36）质量规则配置调度管理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数据资产融合管理提供质量规则配置调度管理服务，对数据进行有序管理。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（37）质量问题管理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数据资产融合管理提供质量问题管理服务，对数据进行有序管理。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（38） 质量检查管理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数据资产融合管理提供质量检查管理服务，对数据进行有序管理。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（39） 数据资产多维报表管理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数据资产融合管理提供数据资产多维报表管理服务，对数据进行有序管理。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（40） 数据资产分析管理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数据资产融合管理提供数据资产分析管理服务，对数据进行有序管理。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（41） 数据资产诊断管理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数据资产融合管理提供数据资产诊断管理服务，对数据进行有序管理。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（42） 数据资产构成分析</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数据资产融合管理提供数据资产构成分析服务，对数据进行有序管理。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（43） 数据资产活性分析</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数据资产融合管理提供数据资产活性分析服务，对数据进行有序管理。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（44） 数据资产使用评估</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数据资产融合管理提供数据资产使用评估服务，对数据进行有序管理。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（45） 数据资产分布评估</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数据资产融合管理提供数据资产分布评估服务，对数据进行有序管理。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（46） 多用户接入管理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数据资产融合管理提供多用户接入管理服务，对数据进行有序管理。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（47） 数据资产开放管理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数据资产融合管理提供数据资产开放管理服务，对数据进行有序管理。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（48）数据资产脱敏管理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数据资产融合管理提供数据资产脱敏管理服务，对数据进行有序管理。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（49） 数据资产分发管理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数据资产融合管理提供数据资产分发管理服务，对数据进行有序管理。</w:t>
      </w:r>
    </w:p>
    <w:p>
      <w:pPr>
        <w:spacing w:line="360" w:lineRule="auto"/>
        <w:ind w:firstLine="480"/>
        <w:rPr>
          <w:rFonts w:ascii="仿宋" w:hAnsi="仿宋" w:eastAsia="仿宋" w:cs="仿宋"/>
          <w:b/>
          <w:color w:val="auto"/>
          <w:sz w:val="24"/>
        </w:rPr>
      </w:pPr>
      <w:bookmarkStart w:id="418" w:name="_Toc40898688"/>
      <w:r>
        <w:rPr>
          <w:rFonts w:hint="eastAsia" w:ascii="仿宋" w:hAnsi="仿宋" w:eastAsia="仿宋" w:cs="仿宋"/>
          <w:b/>
          <w:color w:val="auto"/>
          <w:sz w:val="24"/>
        </w:rPr>
        <w:t>6.1.24医保驾驶舱</w:t>
      </w:r>
      <w:bookmarkEnd w:id="418"/>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（1）决策记录</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医保驾驶舱提供决策记录功能，为领导层进行决策提供支撑和依据，提高数据精确性，从而提升判断准确性。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（2）决策模拟分析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医保驾驶舱提供决策模拟分析功能，为领导层进行决策提供支撑和依据，提高数据精确性，从而提升判断准确性。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（3）决策效果分析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医保驾驶舱提供决策效果分析功能，为领导层进行决策提供支撑和依据，提高数据精确性，从而提升判断准确性。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（4）预测分析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医保驾驶舱提供预测分析功能，为领导层进行决策提供支撑和依据，提高数据精确性，从而提升判断准确性。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（5）主题分析数据可视化</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医保驾驶舱提供主题分析数据可视化功能，为领导层进行决策提供支撑和依据，提高数据精确性，从而提升判断准确性。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（6）政策对标分析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医保驾驶舱提供政策对标分析功能，为领导层进行决策提供支撑和依据，提高数据精确性，从而提升判断准确性。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（7）保障效果比较分析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医保驾驶舱提供保障效果比较分析功能，为领导层进行决策提供支撑和依据，提高数据精确性，从而提升判断准确性。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（8）医疗资源配置规划</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医保驾驶舱提供医疗资源配置规划功能，为领导层进行决策提供支撑和依据，提高数据精确性，从而提升判断准确性。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（9）政策调整趋势预测</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医保驾驶舱提供政策调整趋势预测功能，为领导层进行决策提供支撑和依据，提高数据精确性，从而提升判断准确性。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（10）政策模拟分析结果管理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医保驾驶舱提供政策模拟分析结果管理功能，为领导层进行决策提供支撑和依据，提高数据精确性，从而提升判断准确性。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（11）中观主题数据分析结果管理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医保驾驶舱提供中观主题数据分析结果管理功能，为领导层进行决策提供支撑和依据，提高数据精确性，从而提升判断准确性。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（12）建议/策略管理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医保驾驶舱提供建议/策略管理功能，为领导层进行决策提供支撑和依据，提高数据精确性，从而提升判断准确性。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（13）待遇保障政策模拟仿真分析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医保驾驶舱提供待遇保障政策模拟仿真分析功能，为领导层进行决策提供支撑和依据，提高数据精确性，从而提升判断准确性。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（14）支付结算政策模拟仿真分析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医保驾驶舱提供支付结算政策模拟仿真分析功能，为领导层进行决策提供支撑和依据，提高数据精确性，从而提升判断准确性。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（15）医保业务政策模拟仿真分析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医保驾驶舱提供医保业务政策模拟仿真分析功能，为领导层进行决策提供支撑和依据，提高数据精确性，从而提升判断准确性。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（16）价格政策模拟仿真分析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医保驾驶舱提供价格政策模拟仿真分析功能，为领导层进行决策提供支撑和依据，提高数据精确性，从而提升判断准确性。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（17）管理政策模拟仿真分析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医保驾驶舱提供管理政策模拟仿真分析功能，为领导层进行决策提供支撑和依据，提高数据精确性，从而提升判断准确性。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（18）基金安全政策模拟仿真分析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医保驾驶舱提供基金安全政策模拟仿真分析功能，为领导层进行决策提供支撑和依据，提高数据精确性，从而提升判断准确性。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（19）综合指数分析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医保驾驶舱提供综合指数分析功能，为领导层进行决策提供支撑和依据，提高数据精确性，从而提升判断准确性。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（20）医保控费指数分析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医保驾驶舱提供医保控费指数分析功能，为领导层进行决策提供支撑和依据，提高数据精确性，从而提升判断准确性。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（21）参保缴费指数分析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医保驾驶舱提供参保缴费指数分析功能，为领导层进行决策提供支撑和依据，提高数据精确性，从而提升判断准确性。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（22）基金安全指数分析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医保驾驶舱提供基金安全指数分析功能，为领导层进行决策提供支撑和依据，提高数据精确性，从而提升判断准确性。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（23）价格指数分析(药品/耗材/医疗服务)</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医保驾驶舱提供价格指数分析(药品/耗材/医疗服务)功能，为领导层进行决策提供支撑和依据，提高数据精确性，从而提升判断准确性。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（24）政策衔接指数分析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医保驾驶舱提供政策衔接指数分析功能，为领导层进行决策提供支撑和依据，提高数据精确性，从而提升判断准确性。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（25）指数设计管理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医保驾驶舱提供指数设计管理功能，为领导层进行决策提供支撑和依据，提高数据精确性，从而提升判断准确性。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（26）指数发布管理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医保驾驶舱提供指数发布管理功能，为领导层进行决策提供支撑和依据，提高数据精确性，从而提升判断准确性。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（27）指标模拟分析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医保驾驶舱提供指标模拟分析功能，为领导层进行决策提供支撑和依据，提高数据精确性，从而提升判断准确性。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（28）指标发布</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医保驾驶舱提供指标发布功能，为领导层进行决策提供支撑和依据，提高数据精确性，从而提升判断准确性。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（29）专题指标分析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医保驾驶舱提供专题指标分析功能，为领导层进行决策提供支撑和依据，提高数据精确性，从而提升判断准确性。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（30）基金运行趋势预测分析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医保驾驶舱提供基金运行趋势预测分析功能，为领导层进行决策提供支撑和依据，提高数据精确性，从而提升判断准确性。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（31）基金风险识别与量化分析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医保驾驶舱提供基金风险识别与量化分析功能，为领导层进行决策提供支撑和依据，提高数据精确性，从而提升判断准确性。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（32）基金预决算分析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医保驾驶舱提供基金预决算分析功能，为领导层进行决策提供支撑和依据，提高数据精确性，从而提升判断准确性。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（33）医疗机构费用分析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医保驾驶舱提供医疗机构费用分析功能，为领导层进行决策提供支撑和依据，提高数据精确性，从而提升判断准确性。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（34）参保人画像</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医保驾驶舱提供参保人画像分析功能，为领导层进行决策提供支撑和依据，提高数据精确性，从而提升判断准确性。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（35）执业人员画像</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医保驾驶舱提供执业人员画像分析功能，为领导层进行决策提供支撑和依据，提高数据精确性，从而提升判断准确性。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（36）参保单位画像</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医保驾驶舱提供参保单位画像分析功能，为领导层进行决策提供支撑和依据，提高数据精确性，从而提升判断准确性。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（37）定点医疗机构画像</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医保驾驶舱提供定点医疗机构画像分析功能，为领导层进行决策提供支撑和依据，提高数据精确性，从而提升判断准确性。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（38）生产/流通企业画像</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医保驾驶舱提供生产/流通企业画像分析功能，为领导层进行决策提供支撑和依据，提高数据精确性，从而提升判断准确性。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（39）险种画像</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医保驾驶舱提供险种画像分析功能，为领导层进行决策提供支撑和依据，提高数据精确性，从而提升判断准确性。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（40）基金画像</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医保驾驶舱提供基金画像分析功能，为领导层进行决策提供支撑和依据，提高数据精确性，从而提升判断准确性。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（41）药品画像</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医保驾驶舱提供药品画像分析功能，为领导层进行决策提供支撑和依据，提高数据精确性，从而提升判断准确性。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（42）耗材画像</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医保驾驶舱提供耗材画像分析功能，为领导层进行决策提供支撑和依据，提高数据精确性，从而提升判断准确性。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（43）属性特征精准识别</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医保驾驶舱提供属性特征精准识别功能，为领导层进行决策提供支撑和依据，提高数据精确性，从而提升判断准确性。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（44）属性特征新增/变更</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医保驾驶舱提供属性特征新增/变更功能，为领导层进行决策提供支撑和依据，提高数据精确性，从而提升判断准确性。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（45）参保人属性因素管理（基本特征、健康状况）</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医保驾驶舱提供参保人属性因素管理（基本特征、健康状况）分析功能，为领导层进行决策提供支撑和依据，提高数据精确性，从而提升判断准确性。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（46）经济因素管理（收入、家庭经济水平等）</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医保驾驶舱提供经济因素管理（收入、家庭经济水平等）分析功能，为领导层进行决策提供支撑和依据，提高数据精确性，从而提升判断准确性。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（47）社会因素（社会网络、医疗保障形式等）</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医保驾驶舱提供社会因素（社会网络、医疗保障形式等）分析功能，为领导层进行决策提供支撑和依据，提高数据精确性，从而提升判断准确性。</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（48）观念文化</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医保驾驶舱提供观念文化分析功能，为领导层进行决策提供支撑和依据，提高数据精确性，从而提升判断准确性。</w:t>
      </w:r>
      <w:bookmarkStart w:id="419" w:name="_Toc40898689"/>
      <w:bookmarkStart w:id="420" w:name="_Toc15751804"/>
      <w:bookmarkStart w:id="421" w:name="_Toc27901211"/>
    </w:p>
    <w:p>
      <w:pPr>
        <w:spacing w:line="360" w:lineRule="auto"/>
        <w:ind w:firstLine="480"/>
        <w:rPr>
          <w:rFonts w:ascii="仿宋" w:hAnsi="仿宋" w:eastAsia="仿宋" w:cs="仿宋"/>
          <w:b/>
          <w:color w:val="auto"/>
          <w:sz w:val="24"/>
        </w:rPr>
      </w:pPr>
      <w:r>
        <w:rPr>
          <w:rFonts w:hint="eastAsia" w:ascii="仿宋" w:hAnsi="仿宋" w:eastAsia="仿宋" w:cs="仿宋"/>
          <w:b/>
          <w:color w:val="auto"/>
          <w:sz w:val="24"/>
        </w:rPr>
        <w:t>6.2信用评价管理功能模块要求</w:t>
      </w:r>
      <w:bookmarkEnd w:id="419"/>
    </w:p>
    <w:p>
      <w:pPr>
        <w:spacing w:line="360" w:lineRule="auto"/>
        <w:ind w:firstLine="480"/>
        <w:rPr>
          <w:rFonts w:ascii="仿宋" w:hAnsi="仿宋" w:eastAsia="仿宋" w:cs="仿宋"/>
          <w:b/>
          <w:color w:val="auto"/>
          <w:sz w:val="24"/>
        </w:rPr>
      </w:pPr>
      <w:bookmarkStart w:id="422" w:name="_Toc40898690"/>
      <w:r>
        <w:rPr>
          <w:rFonts w:hint="eastAsia" w:ascii="仿宋" w:hAnsi="仿宋" w:eastAsia="仿宋" w:cs="仿宋"/>
          <w:b/>
          <w:color w:val="auto"/>
          <w:sz w:val="24"/>
        </w:rPr>
        <w:t>6.2.1基础信息管理</w:t>
      </w:r>
      <w:bookmarkEnd w:id="422"/>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（1）机构基础信息管理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信用评价管理系统从基础信息管理子系统同步下载定点医疗机构、参保单位、医保经办机构、药品生产企业、药品流通企业等基本信息，并提供查询功能。</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（2）个人基础信息管理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信用评价管理系统从基础信息管理子系统同步执业人员、医保工作人员、参保人员等基本信息并存档，提供本地查询功能。</w:t>
      </w:r>
    </w:p>
    <w:p>
      <w:pPr>
        <w:spacing w:line="360" w:lineRule="auto"/>
        <w:ind w:firstLine="480"/>
        <w:rPr>
          <w:rFonts w:ascii="仿宋" w:hAnsi="仿宋" w:eastAsia="仿宋" w:cs="仿宋"/>
          <w:b/>
          <w:color w:val="auto"/>
          <w:sz w:val="24"/>
        </w:rPr>
      </w:pPr>
      <w:bookmarkStart w:id="423" w:name="_Toc40898691"/>
      <w:r>
        <w:rPr>
          <w:rFonts w:hint="eastAsia" w:ascii="仿宋" w:hAnsi="仿宋" w:eastAsia="仿宋" w:cs="仿宋"/>
          <w:b/>
          <w:color w:val="auto"/>
          <w:sz w:val="24"/>
        </w:rPr>
        <w:t>6.2.2征信信息采集</w:t>
      </w:r>
      <w:bookmarkEnd w:id="423"/>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（1）定点医疗机构数据采集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省级采集定点医疗机构的征信数据，可通过手工和批量采集的方式采集数据，并将审批通过的数据上传信用管理评价系统，用于支撑信用评价管理。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1）监管人员发起定点医疗机构征信数据采集请求；</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2）通过服务事项控制业务逻辑调用定点医疗机构数据采集业务逻辑进行逻辑验证；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3)验证通过后，对采集的数据进行存储；</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4）返回保存结果。</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（2）执业人员数据采集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省级经办人员通过手工新增/修改或批量导入的方式采集执业人员的征信数据，并将审批通过的数据上传信用评价管理系统，支撑信用评价管理。</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（3）医保工作人员数据采集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省级经办人员通过手工新增/修改或批量导入的方式采集医保工作人员的征信数据，并将审批通过的数据上传信用评价管理系统，支撑信用评价管理。</w:t>
      </w:r>
    </w:p>
    <w:p>
      <w:pPr>
        <w:adjustRightIn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（4）公众数据采集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省级经办人员通过手工新增/修改或批量导入的方式采集公众人员的征信数据，并将审批通过的数据上传信用评价管理系统，支撑信用评价管理。</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（5）药品和医用耗材相关企业数据采集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省级经办人员通过手工新增/修改或批量导入的方式采集药品和医用耗材相关企业的征信数据，并将审批通过的数据上传信用评价管理系统，支撑信用评价管理。</w:t>
      </w:r>
    </w:p>
    <w:p>
      <w:pPr>
        <w:spacing w:line="360" w:lineRule="auto"/>
        <w:ind w:firstLine="480"/>
        <w:rPr>
          <w:rFonts w:ascii="仿宋" w:hAnsi="仿宋" w:eastAsia="仿宋" w:cs="仿宋"/>
          <w:b/>
          <w:color w:val="auto"/>
          <w:sz w:val="24"/>
        </w:rPr>
      </w:pPr>
      <w:bookmarkStart w:id="424" w:name="_Toc40898692"/>
      <w:r>
        <w:rPr>
          <w:rFonts w:hint="eastAsia" w:ascii="仿宋" w:hAnsi="仿宋" w:eastAsia="仿宋" w:cs="仿宋"/>
          <w:b/>
          <w:color w:val="auto"/>
          <w:sz w:val="24"/>
        </w:rPr>
        <w:t>6.2.3业务风险管理</w:t>
      </w:r>
      <w:bookmarkEnd w:id="424"/>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(1)风险检查点设置</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设定风险检查点，包括风险名称、风险描述、风险因素、风险类型、风险等级、风险防控措施、风险防控责任人等信息。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1)监管人员发起风险检查点设置请求；</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2)通过服务事项控制业务逻辑调用风险检查点设置业务逻辑进行逻辑验证；</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3)验证通过后，对风险检查点设置结果进行存储；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4)返回保存结果。</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(2)风险检查点预警</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将高风险点业务纳入重点监控范围，当风险点业务经办数据超出预设的警戒值时，系统实时监控医保业务经办风险动态，及时发现风险事件并及时发出预警。</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（3）风险应对处置</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部门自查：将所有收集的风险点纳入医保经办事后监督范围，业务风险管理系统按月自动生成业务部门自查任务，并推送到对应业务的业务部门，按照风险管理自查要求及时进行整改。交叉检查：系统定期推送业务经办电子档案到不同地区的业务经办的同岗位的工作人员，通过大数据分析，查找不同部门业务经办标准差异，推进业务标准统一和流程优化。</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（4）大数据分析监测</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以全省医保业务的经办数据为基础，运用大数据工具对风险数据进行采集和客观分析、比对促进业务流程的优化和提升。</w:t>
      </w:r>
    </w:p>
    <w:p>
      <w:pPr>
        <w:spacing w:line="360" w:lineRule="auto"/>
        <w:ind w:firstLine="480"/>
        <w:rPr>
          <w:rFonts w:ascii="仿宋" w:hAnsi="仿宋" w:eastAsia="仿宋" w:cs="仿宋"/>
          <w:b/>
          <w:color w:val="auto"/>
          <w:sz w:val="24"/>
        </w:rPr>
      </w:pPr>
      <w:bookmarkStart w:id="425" w:name="_Toc40898693"/>
      <w:r>
        <w:rPr>
          <w:rFonts w:hint="eastAsia" w:ascii="仿宋" w:hAnsi="仿宋" w:eastAsia="仿宋" w:cs="仿宋"/>
          <w:b/>
          <w:color w:val="auto"/>
          <w:sz w:val="24"/>
        </w:rPr>
        <w:t>6.2.4征信建模</w:t>
      </w:r>
      <w:bookmarkEnd w:id="425"/>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（1）征信指标管理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征信指标管理是建立征信指标体系，对各项征信指标进行统一管理。征信指标包括个人、医保医师、定点医疗机构、药品医用耗材供应商、流通配送企业的征信数据。</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（2）征信模型管理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征信模型管理是对征信评价模型进行统一管理，包括对模型的新建、启用、停用等管理功能。</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1）监管人员发起征信模型管理请求；</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2）通过服务事项控制业务逻辑调用征信模型管理业务逻辑进行逻辑验证；</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3）验证通过后，对征信模型管理进行存储；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4）返回保存结果。</w:t>
      </w:r>
    </w:p>
    <w:p>
      <w:pPr>
        <w:spacing w:line="360" w:lineRule="auto"/>
        <w:ind w:firstLine="480"/>
        <w:rPr>
          <w:rFonts w:ascii="仿宋" w:hAnsi="仿宋" w:eastAsia="仿宋" w:cs="仿宋"/>
          <w:b/>
          <w:color w:val="auto"/>
          <w:sz w:val="24"/>
        </w:rPr>
      </w:pPr>
      <w:bookmarkStart w:id="426" w:name="_Toc40898694"/>
      <w:r>
        <w:rPr>
          <w:rFonts w:hint="eastAsia" w:ascii="仿宋" w:hAnsi="仿宋" w:eastAsia="仿宋" w:cs="仿宋"/>
          <w:b/>
          <w:color w:val="auto"/>
          <w:sz w:val="24"/>
        </w:rPr>
        <w:t>6.2.5信用评定</w:t>
      </w:r>
      <w:bookmarkEnd w:id="426"/>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（1）个体信用评定</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对个体信用等级进行评定，调用征信模型对个体信用信息进行评级评分。</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（2）机构信用评定</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对机构信用等级进行评定，调用征信模型对机构信用信息进行评级评分。</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（3）诚信档案管理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将征信分析结果与采集到的对象信息一起组建征信对象诚信档案。</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（4）信用红黑名单管理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将信用等级低的个人和机构加入信用黑名单，并在编制监督检查计划时提醒。</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（5）征信发布</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将征信信息及评价结论通过医保平台进行发布，并推送到国家信用评价平台。</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（6）差异化管理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结合各类对象的信用评级，为实行面向各类对象的差异化监管提供数据支撑服务。</w:t>
      </w:r>
    </w:p>
    <w:p>
      <w:pPr>
        <w:spacing w:line="360" w:lineRule="auto"/>
        <w:ind w:firstLine="480"/>
        <w:rPr>
          <w:rFonts w:ascii="仿宋" w:hAnsi="仿宋" w:eastAsia="仿宋" w:cs="仿宋"/>
          <w:b/>
          <w:color w:val="auto"/>
          <w:sz w:val="24"/>
        </w:rPr>
      </w:pPr>
      <w:bookmarkStart w:id="427" w:name="_Toc40898695"/>
      <w:r>
        <w:rPr>
          <w:rFonts w:hint="eastAsia" w:ascii="仿宋" w:hAnsi="仿宋" w:eastAsia="仿宋" w:cs="仿宋"/>
          <w:b/>
          <w:color w:val="auto"/>
          <w:sz w:val="24"/>
        </w:rPr>
        <w:t>6.2.6处罚信息上报</w:t>
      </w:r>
      <w:bookmarkEnd w:id="427"/>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（1）机构处罚信息上报</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对定点医疗机构进行信用评价后，如存在违规行为，则进行处罚信息上报。</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1）监管人员发机构处罚信息上报请求；</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2）通过服务事项控制业务逻辑调用机构处罚信息上报业务逻辑进行逻辑验证；</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3）验证通过后，查询机构处罚信息，结果可为null；</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4）返回查询结果，将处罚结果进行上报并返回上报结果。</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（2）个人处罚信息上报</w:t>
      </w:r>
    </w:p>
    <w:p>
      <w:pPr>
        <w:spacing w:line="360" w:lineRule="auto"/>
        <w:ind w:firstLine="480"/>
        <w:rPr>
          <w:rFonts w:ascii="仿宋" w:hAnsi="仿宋" w:eastAsia="仿宋" w:cs="仿宋"/>
          <w:b/>
          <w:color w:val="auto"/>
          <w:sz w:val="24"/>
        </w:rPr>
      </w:pPr>
      <w:r>
        <w:rPr>
          <w:rFonts w:hint="eastAsia" w:ascii="仿宋" w:hAnsi="仿宋" w:eastAsia="仿宋" w:cs="仿宋"/>
          <w:color w:val="auto"/>
          <w:sz w:val="24"/>
        </w:rPr>
        <w:t>对执业人员、医保工作人员、参保人等进行信用评价后，如存在违规行为，则进行处罚信息上报。</w:t>
      </w:r>
    </w:p>
    <w:p>
      <w:pPr>
        <w:spacing w:line="360" w:lineRule="auto"/>
        <w:ind w:firstLine="480"/>
        <w:rPr>
          <w:rFonts w:ascii="仿宋" w:hAnsi="仿宋" w:eastAsia="仿宋" w:cs="仿宋"/>
          <w:b/>
          <w:color w:val="auto"/>
          <w:sz w:val="24"/>
        </w:rPr>
      </w:pPr>
      <w:bookmarkStart w:id="428" w:name="_Toc40898696"/>
      <w:r>
        <w:rPr>
          <w:rFonts w:hint="eastAsia" w:ascii="仿宋" w:hAnsi="仿宋" w:eastAsia="仿宋" w:cs="仿宋"/>
          <w:b/>
          <w:color w:val="auto"/>
          <w:sz w:val="24"/>
        </w:rPr>
        <w:t>6.2.7通用审核管理</w:t>
      </w:r>
      <w:bookmarkEnd w:id="428"/>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（1）通用审核管理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对征信信息和评价结论进行统一审核。</w:t>
      </w:r>
      <w:bookmarkStart w:id="429" w:name="_Toc40898697"/>
    </w:p>
    <w:p>
      <w:pPr>
        <w:spacing w:line="360" w:lineRule="auto"/>
        <w:ind w:firstLine="480"/>
        <w:rPr>
          <w:rFonts w:ascii="仿宋" w:hAnsi="仿宋" w:eastAsia="仿宋" w:cs="仿宋"/>
          <w:b/>
          <w:color w:val="auto"/>
          <w:sz w:val="24"/>
        </w:rPr>
      </w:pPr>
      <w:r>
        <w:rPr>
          <w:rFonts w:hint="eastAsia" w:ascii="仿宋" w:hAnsi="仿宋" w:eastAsia="仿宋" w:cs="仿宋"/>
          <w:b/>
          <w:color w:val="auto"/>
          <w:sz w:val="24"/>
        </w:rPr>
        <w:t>6.2.8</w:t>
      </w:r>
      <w:r>
        <w:rPr>
          <w:rFonts w:hint="eastAsia" w:ascii="仿宋" w:hAnsi="仿宋" w:eastAsia="仿宋" w:cs="仿宋"/>
          <w:b/>
          <w:bCs/>
          <w:color w:val="auto"/>
          <w:sz w:val="24"/>
        </w:rPr>
        <w:t>信用信息变更</w:t>
      </w:r>
      <w:bookmarkEnd w:id="429"/>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（1）定点医疗机构信用数据变更</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根据历史征信信息的采集和分析，对定点医疗机构征信信息审核后进行变更处理。</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（2）执业人员信用数据变更</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根据历史征信信息的采集和分析，对执业人员征信信息审核后进行变更处理。</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（3）药品和医用耗材相关企业信用数据变更</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根据历史征信信息的采集和分析，对药品与医用耗材相关企业征信信息审核后进行变更处理。</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（4）参保人信用信息变更</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根据历史征信信息的采集和分析，对参保人征信信息审核后进行变更处理。</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（5）参保单位信用信息变更</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根据历史征信信息的采集和分析，对参保单位信用信息审核后进行变更处理。</w:t>
      </w:r>
    </w:p>
    <w:p>
      <w:pPr>
        <w:spacing w:line="360" w:lineRule="auto"/>
        <w:ind w:firstLine="480"/>
        <w:rPr>
          <w:rFonts w:ascii="仿宋" w:hAnsi="仿宋" w:eastAsia="仿宋" w:cs="仿宋"/>
          <w:b/>
          <w:color w:val="auto"/>
          <w:sz w:val="24"/>
        </w:rPr>
      </w:pPr>
      <w:bookmarkStart w:id="430" w:name="_Toc40898698"/>
      <w:r>
        <w:rPr>
          <w:rFonts w:hint="eastAsia" w:ascii="仿宋" w:hAnsi="仿宋" w:eastAsia="仿宋" w:cs="仿宋"/>
          <w:b/>
          <w:color w:val="auto"/>
          <w:sz w:val="24"/>
        </w:rPr>
        <w:t>6.2.9征信发布管理</w:t>
      </w:r>
      <w:bookmarkEnd w:id="430"/>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实现对征信发布管理进行管理，包含个人征信信息发布和机构征信信息发布；</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信用查询：将个人（单位）按照不同的要求进行分类展示；</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 xml:space="preserve">信用报告：将个人（单位）的各类违规、荣誉行为情况的客观展示，包括参保信息、医保各项欺诈违规信息等相关信息项； </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信用评级：包括：用人单位、人力资源服务机构、两定医疗机构的信用评级展示。</w:t>
      </w:r>
    </w:p>
    <w:p>
      <w:pPr>
        <w:spacing w:line="360" w:lineRule="auto"/>
        <w:ind w:firstLine="472" w:firstLineChars="196"/>
        <w:rPr>
          <w:rFonts w:ascii="仿宋" w:hAnsi="仿宋" w:eastAsia="仿宋" w:cs="仿宋"/>
          <w:b/>
          <w:color w:val="auto"/>
          <w:sz w:val="24"/>
        </w:rPr>
      </w:pPr>
      <w:bookmarkStart w:id="431" w:name="_Toc40898699"/>
      <w:r>
        <w:rPr>
          <w:rFonts w:hint="eastAsia" w:ascii="仿宋" w:hAnsi="仿宋" w:eastAsia="仿宋" w:cs="仿宋"/>
          <w:b/>
          <w:color w:val="auto"/>
          <w:sz w:val="24"/>
        </w:rPr>
        <w:t>6.2.10统计分析</w:t>
      </w:r>
      <w:bookmarkEnd w:id="431"/>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（1）统计分析</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按关键词(评估对象、信用等级、评估时间等)对征信对象的信用评估进行统计分析。</w:t>
      </w:r>
      <w:bookmarkEnd w:id="420"/>
      <w:bookmarkEnd w:id="421"/>
      <w:bookmarkStart w:id="432" w:name="_Toc27044672"/>
      <w:bookmarkStart w:id="433" w:name="_Toc27901238"/>
      <w:bookmarkStart w:id="434" w:name="_Toc34686803"/>
      <w:bookmarkStart w:id="435" w:name="_Toc40898700"/>
    </w:p>
    <w:p>
      <w:pPr>
        <w:spacing w:line="360" w:lineRule="auto"/>
        <w:rPr>
          <w:rFonts w:ascii="仿宋" w:hAnsi="仿宋" w:eastAsia="仿宋" w:cs="仿宋"/>
          <w:b/>
          <w:color w:val="auto"/>
          <w:sz w:val="24"/>
        </w:rPr>
      </w:pPr>
      <w:r>
        <w:rPr>
          <w:rFonts w:hint="eastAsia" w:ascii="仿宋" w:hAnsi="仿宋" w:eastAsia="仿宋" w:cs="仿宋"/>
          <w:b/>
          <w:color w:val="auto"/>
          <w:sz w:val="24"/>
        </w:rPr>
        <w:t>7.软件安全要求</w:t>
      </w:r>
      <w:bookmarkEnd w:id="432"/>
      <w:bookmarkEnd w:id="433"/>
      <w:bookmarkEnd w:id="434"/>
      <w:bookmarkEnd w:id="435"/>
    </w:p>
    <w:p>
      <w:pPr>
        <w:pStyle w:val="18"/>
        <w:ind w:firstLineChars="0"/>
        <w:rPr>
          <w:rFonts w:ascii="仿宋" w:hAnsi="仿宋" w:eastAsia="仿宋" w:cs="仿宋"/>
          <w:color w:val="auto"/>
          <w:sz w:val="24"/>
        </w:rPr>
      </w:pPr>
      <w:r>
        <w:rPr>
          <w:rFonts w:hint="eastAsia" w:ascii="仿宋" w:hAnsi="仿宋" w:eastAsia="仿宋" w:cs="仿宋"/>
          <w:color w:val="auto"/>
          <w:sz w:val="24"/>
        </w:rPr>
        <w:t>中标单位须严格按照国家医疗保障局《医保信息系统安全开发规范》要求组织系统开发和实施，并符合《信息安全技术网络安全等级保护基本要求》（GB/T 22239一2019）三级安全要求。</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中标单位所开发的系统须符合《信息系统密码应用基本要求》。</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系统上线前，应按照招标方要求进行源代码安全扫描，并对发现的漏洞进行修复。</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中标单位应提供详细的安全设计方案并详细说明在应用安全和数据安全方面采取的安全的措施。</w:t>
      </w:r>
      <w:bookmarkStart w:id="436" w:name="_Toc40898701"/>
    </w:p>
    <w:p>
      <w:pPr>
        <w:spacing w:line="360" w:lineRule="auto"/>
        <w:rPr>
          <w:rFonts w:ascii="仿宋" w:hAnsi="仿宋" w:eastAsia="仿宋" w:cs="仿宋"/>
          <w:b/>
          <w:color w:val="auto"/>
          <w:sz w:val="24"/>
        </w:rPr>
      </w:pPr>
      <w:r>
        <w:rPr>
          <w:rFonts w:hint="eastAsia" w:ascii="仿宋" w:hAnsi="仿宋" w:eastAsia="仿宋" w:cs="仿宋"/>
          <w:b/>
          <w:color w:val="auto"/>
          <w:sz w:val="24"/>
        </w:rPr>
        <w:t>8.软件性能要求</w:t>
      </w:r>
      <w:bookmarkEnd w:id="436"/>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（1）宏观决策大数据应用模块支持访问的总用户数大于1800人；信用评价模块支持访问的总用户数大于1600人。</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（2）宏观决策大数据应用模块支持的并发用户数大于50人/秒；信用评价模块支持的并发用户数大于40人/秒。</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（3）宏观决策大数据应用模块的检索性能要求：PB级数据检索要求不大于1 秒；</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（4）在稳定性上，宏观决策大数据应用模块、信用评价模块分别要求系统应该可以全年稳定连续运行率达99.999%。</w:t>
      </w:r>
      <w:bookmarkStart w:id="437" w:name="_Toc27044674"/>
      <w:bookmarkStart w:id="438" w:name="_Toc27901240"/>
      <w:bookmarkStart w:id="439" w:name="_Toc34686804"/>
      <w:bookmarkStart w:id="440" w:name="_Toc40898702"/>
    </w:p>
    <w:p>
      <w:pPr>
        <w:spacing w:line="360" w:lineRule="auto"/>
        <w:rPr>
          <w:rFonts w:ascii="仿宋" w:hAnsi="仿宋" w:eastAsia="仿宋" w:cs="仿宋"/>
          <w:b/>
          <w:color w:val="auto"/>
          <w:sz w:val="24"/>
        </w:rPr>
      </w:pPr>
      <w:r>
        <w:rPr>
          <w:rFonts w:hint="eastAsia" w:ascii="仿宋" w:hAnsi="仿宋" w:eastAsia="仿宋" w:cs="仿宋"/>
          <w:b/>
          <w:color w:val="auto"/>
          <w:sz w:val="24"/>
        </w:rPr>
        <w:t>9．软件技术要求</w:t>
      </w:r>
      <w:bookmarkEnd w:id="437"/>
      <w:bookmarkEnd w:id="438"/>
      <w:bookmarkEnd w:id="439"/>
      <w:bookmarkEnd w:id="440"/>
      <w:bookmarkStart w:id="441" w:name="_Toc40898703"/>
    </w:p>
    <w:p>
      <w:pPr>
        <w:pStyle w:val="22"/>
        <w:tabs>
          <w:tab w:val="left" w:pos="1301"/>
        </w:tabs>
        <w:autoSpaceDE w:val="0"/>
        <w:autoSpaceDN w:val="0"/>
        <w:spacing w:line="360" w:lineRule="auto"/>
        <w:ind w:left="220" w:right="315" w:firstLine="480" w:firstLineChars="0"/>
        <w:rPr>
          <w:rFonts w:ascii="仿宋" w:hAnsi="仿宋" w:eastAsia="仿宋" w:cs="仿宋"/>
          <w:b/>
          <w:bCs/>
          <w:color w:val="auto"/>
          <w:kern w:val="0"/>
          <w:sz w:val="24"/>
          <w:szCs w:val="24"/>
        </w:rPr>
      </w:pPr>
      <w:r>
        <w:rPr>
          <w:rFonts w:hint="eastAsia" w:ascii="仿宋" w:hAnsi="仿宋" w:eastAsia="仿宋" w:cs="仿宋"/>
          <w:b/>
          <w:bCs/>
          <w:color w:val="auto"/>
          <w:kern w:val="0"/>
          <w:sz w:val="24"/>
          <w:szCs w:val="24"/>
        </w:rPr>
        <w:t>9.1总体技术要求</w:t>
      </w:r>
      <w:bookmarkEnd w:id="441"/>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产品应该是企业级的解决方案，支持可分布的、可伸缩的体系结构。支持部署在主流的操作系统（Linux）和硬件平台上，支持B/S 结构，支持云计算技术架构。</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投标方提供的宏观决策与大数据应用软件应该在国家局下发的基础版本基础上依据国家规范进行本地改建、数据迁移、配套系统、外部接口对接等工作，信用评价软件应该在国家局下发基础版本上进行本地扩展、数据迁移、配套系统、外部接口对接等工作。</w:t>
      </w:r>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投标方提供的软件必须是模块化设计，并且保证任何软件模块的维护和更新都不影响其它软件模块，软件具有容错能力。</w:t>
      </w:r>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投标方提供的软件应具有自身故障监视和诊断能力，即软件能及时发现故障并发出告警。</w:t>
      </w:r>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投标方提供的软件在不同时期软件版本应能向下兼容，软件版本易于升级，且在升级的过程中不影响业务的性能与运行。</w:t>
      </w:r>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投标方应承诺在供货时提供最新版本的软件，但该软件必须是经过测试正式推出，其可靠性、稳定性经过严格验证。</w:t>
      </w:r>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本项目运维期内，软件版本升级时，中标单位应承诺免费更新软件版本，并提供相应的新版本软件功能说明书及修改说明书。</w:t>
      </w:r>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投标方提供的应用软件要求具有较强的容错功能。</w:t>
      </w:r>
    </w:p>
    <w:p>
      <w:pPr>
        <w:pStyle w:val="22"/>
        <w:tabs>
          <w:tab w:val="left" w:pos="1301"/>
        </w:tabs>
        <w:autoSpaceDE w:val="0"/>
        <w:autoSpaceDN w:val="0"/>
        <w:spacing w:line="360" w:lineRule="auto"/>
        <w:ind w:left="220" w:right="315" w:firstLine="480" w:firstLineChars="0"/>
        <w:rPr>
          <w:rFonts w:ascii="仿宋" w:hAnsi="仿宋" w:eastAsia="仿宋" w:cs="仿宋"/>
          <w:b/>
          <w:bCs/>
          <w:color w:val="auto"/>
          <w:kern w:val="0"/>
          <w:sz w:val="24"/>
          <w:szCs w:val="24"/>
        </w:rPr>
      </w:pPr>
      <w:bookmarkStart w:id="442" w:name="_Toc40898704"/>
      <w:r>
        <w:rPr>
          <w:rFonts w:hint="eastAsia" w:ascii="仿宋" w:hAnsi="仿宋" w:eastAsia="仿宋" w:cs="仿宋"/>
          <w:b/>
          <w:bCs/>
          <w:color w:val="auto"/>
          <w:kern w:val="0"/>
          <w:sz w:val="24"/>
          <w:szCs w:val="24"/>
        </w:rPr>
        <w:t>9.2应用软件性能要求</w:t>
      </w:r>
      <w:bookmarkEnd w:id="442"/>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应用软件系统的各个软件功能模块应满足本文相关功能要求。应用软件必须能够切实满足系统监控管理的需求，并且适应今后的业务增长和变化，随时可以按功能需要进行修改和维护。</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应用软件应采用通用软件开发平台进行开发，有很强的灵活性和扩展性，在今后开展新业务时可通过对参数等的简单更改迅速方便地实现，具有良好的适应能力。</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应用软件应采用友好的图形化窗口的用户操作界面，可操作性强，而且操作界面应力求简洁、直观，具有全中文界面，有向导性功能，支持工作台化管理，有利于简化操作，并提高操作效率。在考虑简化用户的操作的同时，应允许操作人员必要时做一些人工干预。</w:t>
      </w:r>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应用软件应具备一套完备的数据管理系统和进程调度系统，以保证系统的安全可靠和整个系统的正常运转</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应用软件还应采用参数驱动的设计思想，在应用软件中，凡是不能确定的因素，应做到参数化，以达到通过对参数的设置就可适应不同的情况及不同时期的应用要求，并具备多用户和多任务操作能力。</w:t>
      </w:r>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每个应用的功能由一个应用模块完成，应用模块之间应减少耦合度；应用模块与系统之间采用开放的应用接口（API）进行通信；开发人员可灵活开发新的应用模块，并可在不需对原有系统进行重新编译的前提下，动态加载到系统使用。</w:t>
      </w:r>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应用软件必须可制作打包安装盘（包），具有自动安装功能以及网络 远程安装功能。</w:t>
      </w:r>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应用软件要遵循易操作性、健壮性、实用性、高效性和安全性的原则。</w:t>
      </w:r>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灵活设计和详细规划系统操作权限，支持功能级、数据级权限控制，可按原子级业务、业务组件、业务流程分配系统操作权限；支持角色管理，个性化角色工作台展示业务组件、业务图表。</w:t>
      </w:r>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应用软件应具有完整、严谨的操作权限管理机制和日志记录，确保系统的安全性和业务的可稽核性；系统采用业务回退机制，加强业务的可逆性。</w:t>
      </w:r>
    </w:p>
    <w:p>
      <w:pPr>
        <w:pStyle w:val="22"/>
        <w:tabs>
          <w:tab w:val="left" w:pos="1301"/>
        </w:tabs>
        <w:autoSpaceDE w:val="0"/>
        <w:autoSpaceDN w:val="0"/>
        <w:spacing w:line="360" w:lineRule="auto"/>
        <w:ind w:left="220" w:right="315" w:firstLine="480" w:firstLineChars="0"/>
        <w:rPr>
          <w:rFonts w:ascii="仿宋" w:hAnsi="仿宋" w:eastAsia="仿宋" w:cs="仿宋"/>
          <w:b/>
          <w:bCs/>
          <w:color w:val="auto"/>
          <w:kern w:val="0"/>
          <w:sz w:val="24"/>
          <w:szCs w:val="24"/>
        </w:rPr>
      </w:pPr>
      <w:bookmarkStart w:id="443" w:name="_Toc40898705"/>
      <w:r>
        <w:rPr>
          <w:rFonts w:hint="eastAsia" w:ascii="仿宋" w:hAnsi="仿宋" w:eastAsia="仿宋" w:cs="仿宋"/>
          <w:b/>
          <w:bCs/>
          <w:color w:val="auto"/>
          <w:kern w:val="0"/>
          <w:sz w:val="24"/>
          <w:szCs w:val="24"/>
        </w:rPr>
        <w:t>9.3应用软件说明要求</w:t>
      </w:r>
      <w:bookmarkEnd w:id="443"/>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投标方产品应支持当前主流X86服务器和主流操作系统（Linux），支持虚拟化，支持容器（docker），支持主流云服务等。</w:t>
      </w:r>
    </w:p>
    <w:p>
      <w:pPr>
        <w:spacing w:line="360" w:lineRule="auto"/>
        <w:ind w:firstLine="480" w:firstLineChars="20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投标方产品应支持当前主流数据库、中间件及云数据库。数据库应支持两种，其中包含一种国产数据库。</w:t>
      </w:r>
      <w:bookmarkStart w:id="444" w:name="_Toc40898706"/>
    </w:p>
    <w:p>
      <w:pPr>
        <w:pStyle w:val="22"/>
        <w:autoSpaceDE w:val="0"/>
        <w:autoSpaceDN w:val="0"/>
        <w:spacing w:line="360" w:lineRule="auto"/>
        <w:ind w:right="315" w:firstLine="658" w:firstLineChars="273"/>
        <w:rPr>
          <w:rFonts w:ascii="仿宋" w:hAnsi="仿宋" w:eastAsia="仿宋" w:cs="仿宋"/>
          <w:b/>
          <w:bCs/>
          <w:color w:val="auto"/>
          <w:kern w:val="0"/>
          <w:sz w:val="24"/>
          <w:szCs w:val="24"/>
        </w:rPr>
      </w:pPr>
      <w:r>
        <w:rPr>
          <w:rFonts w:hint="eastAsia" w:ascii="仿宋" w:hAnsi="仿宋" w:eastAsia="仿宋" w:cs="仿宋"/>
          <w:b/>
          <w:bCs/>
          <w:color w:val="auto"/>
          <w:kern w:val="0"/>
          <w:sz w:val="24"/>
          <w:szCs w:val="24"/>
        </w:rPr>
        <w:t>9.4中标单位第三方软件技术要求</w:t>
      </w:r>
      <w:bookmarkEnd w:id="444"/>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中标单位原则上须使用招标方所提供的第三方软件，如遇特殊情况，需使用其他第三方软件，在征得招标方同意后，由中标单位自行解决。</w:t>
      </w:r>
      <w:bookmarkStart w:id="445" w:name="_Toc27901245"/>
      <w:bookmarkStart w:id="446" w:name="_Toc27044679"/>
      <w:bookmarkStart w:id="447" w:name="_Toc34686805"/>
      <w:bookmarkStart w:id="448" w:name="_Toc40898707"/>
    </w:p>
    <w:p>
      <w:pPr>
        <w:spacing w:line="360" w:lineRule="auto"/>
        <w:rPr>
          <w:rFonts w:ascii="仿宋" w:hAnsi="仿宋" w:eastAsia="仿宋" w:cs="仿宋"/>
          <w:b/>
          <w:color w:val="auto"/>
          <w:sz w:val="24"/>
        </w:rPr>
      </w:pPr>
      <w:r>
        <w:rPr>
          <w:rFonts w:hint="eastAsia" w:ascii="仿宋" w:hAnsi="仿宋" w:eastAsia="仿宋" w:cs="仿宋"/>
          <w:b/>
          <w:color w:val="auto"/>
          <w:sz w:val="24"/>
        </w:rPr>
        <w:t>10.服务要求</w:t>
      </w:r>
      <w:bookmarkEnd w:id="445"/>
      <w:bookmarkEnd w:id="446"/>
      <w:bookmarkEnd w:id="447"/>
      <w:bookmarkEnd w:id="448"/>
      <w:bookmarkStart w:id="449" w:name="_Toc27044680"/>
      <w:bookmarkStart w:id="450" w:name="_Toc27901246"/>
      <w:bookmarkStart w:id="451" w:name="_Toc34686806"/>
      <w:bookmarkStart w:id="452" w:name="_Toc40898708"/>
    </w:p>
    <w:p>
      <w:pPr>
        <w:pStyle w:val="22"/>
        <w:tabs>
          <w:tab w:val="left" w:pos="1301"/>
        </w:tabs>
        <w:autoSpaceDE w:val="0"/>
        <w:autoSpaceDN w:val="0"/>
        <w:spacing w:line="360" w:lineRule="auto"/>
        <w:ind w:left="220" w:right="315" w:firstLine="480" w:firstLineChars="0"/>
        <w:rPr>
          <w:rFonts w:ascii="仿宋" w:hAnsi="仿宋" w:eastAsia="仿宋" w:cs="仿宋"/>
          <w:b/>
          <w:bCs/>
          <w:color w:val="auto"/>
          <w:kern w:val="0"/>
          <w:sz w:val="24"/>
          <w:szCs w:val="24"/>
        </w:rPr>
      </w:pPr>
      <w:r>
        <w:rPr>
          <w:rFonts w:hint="eastAsia" w:ascii="仿宋" w:hAnsi="仿宋" w:eastAsia="仿宋" w:cs="仿宋"/>
          <w:b/>
          <w:bCs/>
          <w:color w:val="auto"/>
          <w:kern w:val="0"/>
          <w:sz w:val="24"/>
          <w:szCs w:val="24"/>
        </w:rPr>
        <w:t>10.1集成要求</w:t>
      </w:r>
      <w:bookmarkEnd w:id="449"/>
      <w:bookmarkEnd w:id="450"/>
      <w:bookmarkEnd w:id="451"/>
      <w:bookmarkEnd w:id="452"/>
    </w:p>
    <w:p>
      <w:pPr>
        <w:pStyle w:val="22"/>
        <w:tabs>
          <w:tab w:val="left" w:pos="1301"/>
        </w:tabs>
        <w:autoSpaceDE w:val="0"/>
        <w:autoSpaceDN w:val="0"/>
        <w:spacing w:line="360" w:lineRule="auto"/>
        <w:ind w:left="220" w:right="315" w:firstLine="480" w:firstLineChars="0"/>
        <w:rPr>
          <w:rFonts w:ascii="仿宋" w:hAnsi="仿宋" w:eastAsia="仿宋" w:cs="仿宋"/>
          <w:b/>
          <w:bCs/>
          <w:color w:val="auto"/>
          <w:kern w:val="0"/>
          <w:sz w:val="24"/>
          <w:szCs w:val="24"/>
        </w:rPr>
      </w:pPr>
      <w:r>
        <w:rPr>
          <w:rFonts w:hint="eastAsia" w:ascii="仿宋" w:hAnsi="仿宋" w:eastAsia="仿宋" w:cs="仿宋"/>
          <w:color w:val="auto"/>
          <w:kern w:val="0"/>
          <w:sz w:val="24"/>
          <w:szCs w:val="24"/>
          <w:lang w:val="zh-CN" w:bidi="zh-CN"/>
        </w:rPr>
        <w:t>中标单位应配合招标方及系统集成商完成智慧决策子系统的集成工作，包括相关软件部署，系统软件上线运行以及与其他子系统的互联等。</w:t>
      </w:r>
    </w:p>
    <w:p>
      <w:pPr>
        <w:pStyle w:val="22"/>
        <w:tabs>
          <w:tab w:val="left" w:pos="1301"/>
        </w:tabs>
        <w:autoSpaceDE w:val="0"/>
        <w:autoSpaceDN w:val="0"/>
        <w:spacing w:line="360" w:lineRule="auto"/>
        <w:ind w:left="220" w:right="315" w:firstLine="480" w:firstLineChars="0"/>
        <w:rPr>
          <w:rFonts w:ascii="仿宋" w:hAnsi="仿宋" w:eastAsia="仿宋" w:cs="仿宋"/>
          <w:b/>
          <w:bCs/>
          <w:color w:val="auto"/>
          <w:kern w:val="0"/>
          <w:sz w:val="24"/>
          <w:szCs w:val="24"/>
        </w:rPr>
      </w:pPr>
      <w:bookmarkStart w:id="453" w:name="_Toc27044681"/>
      <w:bookmarkStart w:id="454" w:name="_Toc27901247"/>
      <w:bookmarkStart w:id="455" w:name="_Toc34686807"/>
      <w:bookmarkStart w:id="456" w:name="_Toc40898709"/>
      <w:r>
        <w:rPr>
          <w:rFonts w:hint="eastAsia" w:ascii="仿宋" w:hAnsi="仿宋" w:eastAsia="仿宋" w:cs="仿宋"/>
          <w:b/>
          <w:bCs/>
          <w:color w:val="auto"/>
          <w:kern w:val="0"/>
          <w:sz w:val="24"/>
          <w:szCs w:val="24"/>
        </w:rPr>
        <w:t>10.2投标方项目管理要求</w:t>
      </w:r>
      <w:bookmarkEnd w:id="453"/>
      <w:bookmarkEnd w:id="454"/>
      <w:bookmarkEnd w:id="455"/>
      <w:bookmarkEnd w:id="456"/>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中标单位需提供本次工程建设的项目管理方案以及现场实施和本地化运维服务方案。本包投入技术人员不少于35人，且保证项目建设期间至少15人提供驻场服务，须提供人员名单（中标单位安排的项目驻场人员必须固定，若有替换，必须与招标方协商，未经甲方同意，人员变动扣除项目1%/人，人员超过总人数10%，甲方有权终止项目）。基本要求如下：</w:t>
      </w:r>
    </w:p>
    <w:p>
      <w:pPr>
        <w:pStyle w:val="22"/>
        <w:autoSpaceDE w:val="0"/>
        <w:autoSpaceDN w:val="0"/>
        <w:spacing w:line="360" w:lineRule="auto"/>
        <w:ind w:right="163"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（1）项目经理</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须配备项目经理1名。项目经理须具备项目管理能力、软件设计、开发能力以及信息化安全领域的相关能力和资质，并在项目开展的过程中，全程参与项目各阶段的管理工作。</w:t>
      </w:r>
    </w:p>
    <w:p>
      <w:pPr>
        <w:pStyle w:val="22"/>
        <w:autoSpaceDE w:val="0"/>
        <w:autoSpaceDN w:val="0"/>
        <w:spacing w:line="360" w:lineRule="auto"/>
        <w:ind w:right="305"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（2）需求分析阶段</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参与人员数量，总数不少于 10人。</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至少需提交的文档：业务需求调研报告、应用系统需求分析规格说明书。</w:t>
      </w:r>
    </w:p>
    <w:p>
      <w:pPr>
        <w:pStyle w:val="22"/>
        <w:autoSpaceDE w:val="0"/>
        <w:autoSpaceDN w:val="0"/>
        <w:spacing w:line="360" w:lineRule="auto"/>
        <w:ind w:right="305"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（3）系统设计研发阶段</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参与人员数量，总数不少于 10人。</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至少需提交的文档：系统架构设计说明书，系统详细设计说明书，数据库设计说明书，各软件功能模块、流程、数据、接口模块的详细说明及内部测试报告。</w:t>
      </w:r>
    </w:p>
    <w:p>
      <w:pPr>
        <w:pStyle w:val="22"/>
        <w:autoSpaceDE w:val="0"/>
        <w:autoSpaceDN w:val="0"/>
        <w:spacing w:line="360" w:lineRule="auto"/>
        <w:ind w:right="305"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（4）系统测试阶段</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参与人员数量，总数不少于10人。</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至少需提交的文档：测试方案、测试过程文档、系统整体测试报告。</w:t>
      </w:r>
    </w:p>
    <w:p>
      <w:pPr>
        <w:pStyle w:val="22"/>
        <w:autoSpaceDE w:val="0"/>
        <w:autoSpaceDN w:val="0"/>
        <w:spacing w:line="360" w:lineRule="auto"/>
        <w:ind w:right="305"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（5）系统实施阶段</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参与人员数量，总数不少于10人。</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至少需提交的文档：系统实施计划、过程文档、试运行报告。</w:t>
      </w:r>
    </w:p>
    <w:p>
      <w:pPr>
        <w:pStyle w:val="22"/>
        <w:autoSpaceDE w:val="0"/>
        <w:autoSpaceDN w:val="0"/>
        <w:spacing w:line="360" w:lineRule="auto"/>
        <w:ind w:right="305" w:firstLineChars="0"/>
        <w:jc w:val="left"/>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（6）系统免费运维阶段</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 xml:space="preserve">参与人员数量，总数不少于8人。参与人员须对项目的需求、设计及实施过程有全面的了解，免费运维阶段须根据需求及时响应。 </w:t>
      </w:r>
      <w:bookmarkStart w:id="457" w:name="_Toc27044682"/>
      <w:bookmarkStart w:id="458" w:name="_Toc27901248"/>
      <w:bookmarkStart w:id="459" w:name="_Toc34686808"/>
      <w:bookmarkStart w:id="460" w:name="_Toc40898710"/>
    </w:p>
    <w:p>
      <w:pPr>
        <w:spacing w:line="360" w:lineRule="auto"/>
        <w:rPr>
          <w:rFonts w:ascii="仿宋" w:hAnsi="仿宋" w:eastAsia="仿宋" w:cs="仿宋"/>
          <w:b/>
          <w:color w:val="auto"/>
          <w:sz w:val="24"/>
        </w:rPr>
      </w:pPr>
      <w:r>
        <w:rPr>
          <w:rFonts w:hint="eastAsia" w:ascii="仿宋" w:hAnsi="仿宋" w:eastAsia="仿宋" w:cs="仿宋"/>
          <w:b/>
          <w:color w:val="auto"/>
          <w:sz w:val="24"/>
        </w:rPr>
        <w:t>11．培训要求</w:t>
      </w:r>
      <w:bookmarkEnd w:id="457"/>
      <w:bookmarkEnd w:id="458"/>
      <w:bookmarkEnd w:id="459"/>
      <w:bookmarkEnd w:id="460"/>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（1）对项目相关其它中标单位人员的培训</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与本项目有关联的其它系统中标单位，对其相关人员进行系统培训。</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（2）对应用部门各级系统应用人员的培训</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使之能够了解信息系统的建设思想、主要功能和操作规程，能够熟练应用这一系统辅助开展工作，并能结合实际工作需要提出各种改进意见。根据人员对系统的使用特点不同，对应用人员的培训分为两个层次：</w:t>
      </w:r>
    </w:p>
    <w:p>
      <w:pPr>
        <w:pStyle w:val="19"/>
        <w:ind w:firstLine="720" w:firstLineChars="300"/>
        <w:rPr>
          <w:rFonts w:ascii="仿宋" w:hAnsi="仿宋" w:eastAsia="仿宋" w:cs="仿宋"/>
          <w:color w:val="auto"/>
          <w:sz w:val="24"/>
          <w:szCs w:val="24"/>
        </w:rPr>
      </w:pPr>
      <w:r>
        <w:rPr>
          <w:rFonts w:hint="eastAsia" w:ascii="仿宋" w:hAnsi="仿宋" w:eastAsia="仿宋" w:cs="仿宋"/>
          <w:color w:val="auto"/>
          <w:sz w:val="24"/>
          <w:szCs w:val="24"/>
        </w:rPr>
        <w:t>1）对领导培训的主要目的是使有关主管领导对系统有一定的了解，同时能够应用系统进行决策、指挥工作；</w:t>
      </w:r>
    </w:p>
    <w:p>
      <w:pPr>
        <w:pStyle w:val="19"/>
        <w:ind w:firstLine="720" w:firstLineChars="300"/>
        <w:rPr>
          <w:rFonts w:ascii="仿宋" w:hAnsi="仿宋" w:eastAsia="仿宋" w:cs="仿宋"/>
          <w:color w:val="auto"/>
          <w:sz w:val="24"/>
          <w:szCs w:val="24"/>
        </w:rPr>
      </w:pPr>
      <w:r>
        <w:rPr>
          <w:rFonts w:hint="eastAsia" w:ascii="仿宋" w:hAnsi="仿宋" w:eastAsia="仿宋" w:cs="仿宋"/>
          <w:color w:val="auto"/>
          <w:sz w:val="24"/>
          <w:szCs w:val="24"/>
        </w:rPr>
        <w:t>2）对其他应用人员的培训，主要使他们在各业务环境下能够很好地利用系统完成相应的专业工作，提高工作效率，提高信息的准确性和全面性。</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（3）系统运行维护人员的培训</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运维人员培训主要包括以下几个方面：系统整体知识培训、业务系统培训等。通过培训使项目运维队伍能够充分了解本项目。</w:t>
      </w:r>
    </w:p>
    <w:p>
      <w:pPr>
        <w:spacing w:line="360" w:lineRule="auto"/>
        <w:rPr>
          <w:rFonts w:ascii="仿宋" w:hAnsi="仿宋" w:eastAsia="仿宋" w:cs="仿宋"/>
          <w:b/>
          <w:color w:val="auto"/>
          <w:sz w:val="24"/>
        </w:rPr>
      </w:pPr>
      <w:bookmarkStart w:id="461" w:name="_Toc27044683"/>
      <w:bookmarkStart w:id="462" w:name="_Toc27901249"/>
      <w:bookmarkStart w:id="463" w:name="_Toc34686809"/>
      <w:bookmarkStart w:id="464" w:name="_Toc40898711"/>
      <w:r>
        <w:rPr>
          <w:rFonts w:hint="eastAsia" w:ascii="仿宋" w:hAnsi="仿宋" w:eastAsia="仿宋" w:cs="仿宋"/>
          <w:b/>
          <w:color w:val="auto"/>
          <w:sz w:val="24"/>
        </w:rPr>
        <w:t>12.维护及技术支持要求</w:t>
      </w:r>
      <w:bookmarkEnd w:id="461"/>
      <w:bookmarkEnd w:id="462"/>
      <w:bookmarkEnd w:id="463"/>
      <w:bookmarkEnd w:id="464"/>
    </w:p>
    <w:p>
      <w:pPr>
        <w:pStyle w:val="22"/>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针对所有软件，中标单位应提供项目终验合格后2 年的免费运维服务。</w:t>
      </w:r>
    </w:p>
    <w:p>
      <w:pPr>
        <w:pStyle w:val="22"/>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在软件维保期内，中标单位应提供灵活、多样的通信手段（包括但不限于场地、设备及人员、专用服务电话），提供7*24 小时的响应服务，保证在任何时候招标方人员都能及时找到中标单位的服务人员。如遇驻场人员无法解决的问题或招标方认为需要，中标单位的技术人员应在12 小时内赶到现场支持。</w:t>
      </w:r>
    </w:p>
    <w:p>
      <w:pPr>
        <w:pStyle w:val="22"/>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所供软件出现问题时，其响应时间不超过15 分钟，一般故障处理时间不大于2 小时；特殊情况下，故障修复时间不大于12小时。</w:t>
      </w:r>
    </w:p>
    <w:p>
      <w:pPr>
        <w:pStyle w:val="22"/>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中标单位应提供排除故障响应的具体流程。</w:t>
      </w:r>
    </w:p>
    <w:p>
      <w:pPr>
        <w:pStyle w:val="22"/>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中标单位应在项目方案中说明技术指导和技术支持的范围和程度，中标单位应提供技术服务流程，技术服务内容和价格清单，若维保期内与期外不同，则应分别列出。</w:t>
      </w:r>
    </w:p>
    <w:p>
      <w:pPr>
        <w:spacing w:line="360" w:lineRule="auto"/>
        <w:rPr>
          <w:rFonts w:ascii="仿宋" w:hAnsi="仿宋" w:eastAsia="仿宋" w:cs="仿宋"/>
          <w:b/>
          <w:color w:val="auto"/>
          <w:sz w:val="24"/>
        </w:rPr>
      </w:pPr>
      <w:bookmarkStart w:id="465" w:name="_Toc27044684"/>
      <w:bookmarkStart w:id="466" w:name="_Toc27901250"/>
      <w:bookmarkStart w:id="467" w:name="_Toc34686810"/>
      <w:bookmarkStart w:id="468" w:name="_Toc40898712"/>
      <w:r>
        <w:rPr>
          <w:rFonts w:hint="eastAsia" w:ascii="仿宋" w:hAnsi="仿宋" w:eastAsia="仿宋" w:cs="仿宋"/>
          <w:b/>
          <w:color w:val="auto"/>
          <w:sz w:val="24"/>
        </w:rPr>
        <w:t>13．技术文件要求</w:t>
      </w:r>
      <w:bookmarkEnd w:id="465"/>
      <w:bookmarkEnd w:id="466"/>
      <w:bookmarkEnd w:id="467"/>
      <w:bookmarkEnd w:id="468"/>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中标单位提供的书面技术资料必须能够满足确保系统正常运行所需的管理、运营、验收及维护的全套文件。中标单位提供的技术文件必须包括但不限于：</w:t>
      </w:r>
    </w:p>
    <w:p>
      <w:pPr>
        <w:pStyle w:val="22"/>
        <w:numPr>
          <w:ilvl w:val="1"/>
          <w:numId w:val="38"/>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系统说明文件</w:t>
      </w:r>
    </w:p>
    <w:p>
      <w:pPr>
        <w:pStyle w:val="22"/>
        <w:numPr>
          <w:ilvl w:val="1"/>
          <w:numId w:val="38"/>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技术手册（安装、操作、维护、故障排除、培训文档等）</w:t>
      </w:r>
    </w:p>
    <w:p>
      <w:pPr>
        <w:pStyle w:val="22"/>
        <w:numPr>
          <w:ilvl w:val="1"/>
          <w:numId w:val="38"/>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详细的工程日志</w:t>
      </w:r>
    </w:p>
    <w:p>
      <w:pPr>
        <w:pStyle w:val="22"/>
        <w:numPr>
          <w:ilvl w:val="1"/>
          <w:numId w:val="38"/>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系统完整文档</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其中，（1）、（2）项必须在安装调测前提供，（3）必须在工程实施过程中随时提供，并在工程实施后1 个月内汇总移交。所有的文档必须包括书面和电子两种形式。（4）在工程完成初验后，厂家提供完整的技术文档。</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请投标方在项目方案中列出提供的书面技术资料详细清单。</w:t>
      </w:r>
    </w:p>
    <w:p>
      <w:pPr>
        <w:spacing w:line="360" w:lineRule="auto"/>
        <w:rPr>
          <w:rFonts w:ascii="仿宋" w:hAnsi="仿宋" w:eastAsia="仿宋" w:cs="仿宋"/>
          <w:b/>
          <w:color w:val="auto"/>
          <w:sz w:val="24"/>
        </w:rPr>
      </w:pPr>
      <w:bookmarkStart w:id="469" w:name="_Toc34686811"/>
      <w:bookmarkStart w:id="470" w:name="_Toc40898713"/>
      <w:bookmarkStart w:id="471" w:name="_Toc27901251"/>
      <w:r>
        <w:rPr>
          <w:rFonts w:hint="eastAsia" w:ascii="仿宋" w:hAnsi="仿宋" w:eastAsia="仿宋" w:cs="仿宋"/>
          <w:b/>
          <w:color w:val="auto"/>
          <w:sz w:val="24"/>
        </w:rPr>
        <w:t>14.项目协作要求</w:t>
      </w:r>
      <w:bookmarkEnd w:id="469"/>
      <w:bookmarkEnd w:id="470"/>
      <w:bookmarkEnd w:id="471"/>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中标单位须配合其它相关子系统中标单位。</w:t>
      </w:r>
    </w:p>
    <w:p>
      <w:pPr>
        <w:spacing w:line="360" w:lineRule="auto"/>
        <w:rPr>
          <w:rFonts w:ascii="仿宋" w:hAnsi="仿宋" w:eastAsia="仿宋" w:cs="仿宋"/>
          <w:b/>
          <w:color w:val="auto"/>
          <w:sz w:val="24"/>
        </w:rPr>
      </w:pPr>
      <w:bookmarkStart w:id="472" w:name="_Toc40898714"/>
      <w:bookmarkStart w:id="473" w:name="_Toc27901252"/>
      <w:bookmarkStart w:id="474" w:name="_Toc34686819"/>
      <w:bookmarkStart w:id="475" w:name="_Toc27044685"/>
      <w:r>
        <w:rPr>
          <w:rFonts w:hint="eastAsia" w:ascii="仿宋" w:hAnsi="仿宋" w:eastAsia="仿宋" w:cs="仿宋"/>
          <w:b/>
          <w:color w:val="auto"/>
          <w:sz w:val="24"/>
        </w:rPr>
        <w:t>15.项目计划要求</w:t>
      </w:r>
      <w:bookmarkEnd w:id="472"/>
      <w:bookmarkEnd w:id="473"/>
      <w:bookmarkEnd w:id="474"/>
      <w:bookmarkEnd w:id="475"/>
    </w:p>
    <w:p>
      <w:pPr>
        <w:pStyle w:val="18"/>
        <w:rPr>
          <w:rFonts w:ascii="仿宋" w:hAnsi="仿宋" w:eastAsia="仿宋" w:cs="仿宋"/>
          <w:color w:val="auto"/>
          <w:sz w:val="24"/>
        </w:rPr>
      </w:pPr>
      <w:r>
        <w:rPr>
          <w:rFonts w:hint="eastAsia" w:ascii="仿宋" w:hAnsi="仿宋" w:eastAsia="仿宋" w:cs="仿宋"/>
          <w:color w:val="auto"/>
          <w:sz w:val="24"/>
        </w:rPr>
        <w:t>服务期限：签订合同之日起至2021年</w:t>
      </w:r>
      <w:r>
        <w:rPr>
          <w:rFonts w:hint="eastAsia" w:ascii="仿宋" w:hAnsi="仿宋" w:eastAsia="仿宋" w:cs="仿宋"/>
          <w:color w:val="auto"/>
          <w:sz w:val="24"/>
          <w:lang w:val="en-US"/>
        </w:rPr>
        <w:t>6</w:t>
      </w:r>
      <w:r>
        <w:rPr>
          <w:rFonts w:hint="eastAsia" w:ascii="仿宋" w:hAnsi="仿宋" w:eastAsia="仿宋" w:cs="仿宋"/>
          <w:color w:val="auto"/>
          <w:sz w:val="24"/>
        </w:rPr>
        <w:t>底前完成系统初验，进入试运行，试运行期至少3个月，2021年底前完成系统终验。</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在工程实施全过程中，招</w:t>
      </w:r>
      <w:r>
        <w:rPr>
          <w:rFonts w:hint="eastAsia" w:ascii="仿宋" w:hAnsi="仿宋" w:eastAsia="仿宋" w:cs="仿宋"/>
          <w:bCs w:val="0"/>
          <w:color w:val="auto"/>
          <w:sz w:val="24"/>
          <w:szCs w:val="24"/>
        </w:rPr>
        <w:t>标</w:t>
      </w:r>
      <w:r>
        <w:rPr>
          <w:rFonts w:hint="eastAsia" w:ascii="仿宋" w:hAnsi="仿宋" w:eastAsia="仿宋" w:cs="仿宋"/>
          <w:color w:val="auto"/>
          <w:sz w:val="24"/>
          <w:szCs w:val="24"/>
        </w:rPr>
        <w:t>方有对工程质量进行监督控制的职责和权利，中标单位应按照项目管理要求进行严格的质量控制，并制定详细合理的沟通计划，至少包括周报、月报和项目例会，应确保双方能及时了解所需的信息。</w:t>
      </w:r>
    </w:p>
    <w:p>
      <w:pPr>
        <w:spacing w:line="360" w:lineRule="auto"/>
        <w:rPr>
          <w:rFonts w:ascii="仿宋" w:hAnsi="仿宋" w:eastAsia="仿宋" w:cs="仿宋"/>
          <w:b/>
          <w:color w:val="auto"/>
          <w:sz w:val="24"/>
        </w:rPr>
      </w:pPr>
      <w:bookmarkStart w:id="476" w:name="_Toc40898715"/>
      <w:r>
        <w:rPr>
          <w:rFonts w:hint="eastAsia" w:ascii="仿宋" w:hAnsi="仿宋" w:eastAsia="仿宋" w:cs="仿宋"/>
          <w:b/>
          <w:color w:val="auto"/>
          <w:sz w:val="24"/>
        </w:rPr>
        <w:t>16.保密要求</w:t>
      </w:r>
      <w:bookmarkEnd w:id="476"/>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中标单位(含项目组所有成员)必须对项目技术文件以及由招标人提供的所有内部资料、技术文档、数据和信息予以保密。中标单位必须与招标人签订保密协议并严格遵守，未经招标人书面许可，中标单位不得以任何形式向第三方透露本项目标书以及本项目的任何内容。</w:t>
      </w:r>
    </w:p>
    <w:p>
      <w:pPr>
        <w:spacing w:line="360" w:lineRule="auto"/>
        <w:rPr>
          <w:rFonts w:ascii="仿宋" w:hAnsi="仿宋" w:eastAsia="仿宋" w:cs="仿宋"/>
          <w:b/>
          <w:color w:val="auto"/>
          <w:sz w:val="24"/>
        </w:rPr>
      </w:pPr>
      <w:bookmarkStart w:id="477" w:name="_Toc34686820"/>
      <w:bookmarkStart w:id="478" w:name="_Toc40898716"/>
      <w:bookmarkStart w:id="479" w:name="_Toc27044686"/>
      <w:bookmarkStart w:id="480" w:name="_Toc27901253"/>
      <w:r>
        <w:rPr>
          <w:rFonts w:hint="eastAsia" w:ascii="仿宋" w:hAnsi="仿宋" w:eastAsia="仿宋" w:cs="仿宋"/>
          <w:b/>
          <w:color w:val="auto"/>
          <w:sz w:val="24"/>
        </w:rPr>
        <w:t>17.项目验收标准与要求</w:t>
      </w:r>
      <w:bookmarkEnd w:id="477"/>
      <w:bookmarkEnd w:id="478"/>
      <w:bookmarkEnd w:id="479"/>
      <w:bookmarkEnd w:id="480"/>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17.1验收总体要求</w:t>
      </w:r>
    </w:p>
    <w:p>
      <w:pPr>
        <w:spacing w:line="360" w:lineRule="auto"/>
        <w:ind w:firstLine="480" w:firstLineChars="200"/>
        <w:rPr>
          <w:rFonts w:ascii="仿宋" w:hAnsi="仿宋" w:eastAsia="仿宋" w:cs="仿宋"/>
          <w:b/>
          <w:color w:val="auto"/>
          <w:sz w:val="24"/>
        </w:rPr>
      </w:pPr>
      <w:r>
        <w:rPr>
          <w:rFonts w:hint="eastAsia" w:ascii="仿宋" w:hAnsi="仿宋" w:eastAsia="仿宋" w:cs="仿宋"/>
          <w:color w:val="auto"/>
          <w:kern w:val="0"/>
          <w:sz w:val="24"/>
          <w:lang w:val="zh-CN" w:bidi="zh-CN"/>
        </w:rPr>
        <w:t>项目验收标准：按照国家医疗保障局和海南省医疗保障局要求，协同其他业务子系统，满足采购人提出的业务需求。如果项目未完成验收前，由于相关政策导致业务发生变化进行升级或调整，中标单位应按照最新政策和最新技术标准方案完成本项建设。</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由海南省医疗保障局统一组织，招标人与相关人员组成验收小组完成验收。双方根据最终验收情况，编写最终验收报告。中标单位应完成项目验收资料的准备。</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在服务过程中出现性能指标或功能上不符合标书和合同要求时，由中标单位负责解决，招标人有拒绝验收的权利并保留索赔权利。</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本项目的实施过程中将产生大量的技术及管理文档，中标单位应协助招标人，负责建立、维护、交接项目实施过程中产生的各类文档，确保项目文档的内容体现本项目的实施过程，并确保项目文档的完整性和准确性。</w:t>
      </w:r>
    </w:p>
    <w:p>
      <w:pPr>
        <w:spacing w:line="360" w:lineRule="auto"/>
        <w:ind w:left="359" w:leftChars="171" w:firstLine="480" w:firstLineChars="200"/>
        <w:rPr>
          <w:rFonts w:ascii="仿宋" w:hAnsi="仿宋" w:eastAsia="仿宋" w:cs="仿宋"/>
          <w:color w:val="auto"/>
          <w:sz w:val="24"/>
        </w:rPr>
      </w:pPr>
      <w:r>
        <w:rPr>
          <w:rFonts w:hint="eastAsia" w:ascii="仿宋" w:hAnsi="仿宋" w:eastAsia="仿宋" w:cs="仿宋"/>
          <w:color w:val="auto"/>
          <w:sz w:val="24"/>
        </w:rPr>
        <w:t>投标人按照要求提交全部文档，通过验收，视为本项工作完成。</w:t>
      </w:r>
    </w:p>
    <w:p>
      <w:pPr>
        <w:spacing w:line="360" w:lineRule="auto"/>
        <w:rPr>
          <w:rFonts w:ascii="仿宋" w:hAnsi="仿宋" w:eastAsia="仿宋" w:cs="仿宋"/>
          <w:color w:val="auto"/>
          <w:sz w:val="24"/>
        </w:rPr>
      </w:pPr>
      <w:r>
        <w:rPr>
          <w:rFonts w:hint="eastAsia" w:ascii="仿宋" w:hAnsi="仿宋" w:eastAsia="仿宋" w:cs="仿宋"/>
          <w:color w:val="auto"/>
          <w:sz w:val="24"/>
        </w:rPr>
        <w:t>（1）验收组织</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项目验收分为初验和终验，都由招标方组织进行。</w:t>
      </w:r>
    </w:p>
    <w:p>
      <w:pPr>
        <w:spacing w:line="360" w:lineRule="auto"/>
        <w:rPr>
          <w:rFonts w:ascii="仿宋" w:hAnsi="仿宋" w:eastAsia="仿宋" w:cs="仿宋"/>
          <w:color w:val="auto"/>
          <w:sz w:val="24"/>
        </w:rPr>
      </w:pPr>
      <w:r>
        <w:rPr>
          <w:rFonts w:hint="eastAsia" w:ascii="仿宋" w:hAnsi="仿宋" w:eastAsia="仿宋" w:cs="仿宋"/>
          <w:color w:val="auto"/>
          <w:sz w:val="24"/>
        </w:rPr>
        <w:t>（2）初验流程</w:t>
      </w:r>
    </w:p>
    <w:p>
      <w:pPr>
        <w:pStyle w:val="22"/>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1）招标方依据相关批复文件、招标采购文件、合同，对项目的工程、技术、财务和档案等进行验收，形成验收报告。</w:t>
      </w:r>
    </w:p>
    <w:p>
      <w:pPr>
        <w:pStyle w:val="22"/>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2）项目初验后进入试运行，试运行期至少3 个月。</w:t>
      </w:r>
    </w:p>
    <w:p>
      <w:pPr>
        <w:spacing w:line="360" w:lineRule="auto"/>
        <w:rPr>
          <w:rFonts w:ascii="仿宋" w:hAnsi="仿宋" w:eastAsia="仿宋" w:cs="仿宋"/>
          <w:color w:val="auto"/>
          <w:sz w:val="24"/>
        </w:rPr>
      </w:pPr>
      <w:r>
        <w:rPr>
          <w:rFonts w:hint="eastAsia" w:ascii="仿宋" w:hAnsi="仿宋" w:eastAsia="仿宋" w:cs="仿宋"/>
          <w:color w:val="auto"/>
          <w:sz w:val="24"/>
        </w:rPr>
        <w:t>（3）终验流程</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招标方组织成立验收组，负责开展终验的先期基础性工作，重点检查项目建设、设计、监理、施工、招标采购、档案资料、预（概）算执行和财务决算等情况，提出验收评价意见和建议。</w:t>
      </w:r>
    </w:p>
    <w:p>
      <w:pPr>
        <w:spacing w:line="360" w:lineRule="auto"/>
        <w:rPr>
          <w:rFonts w:ascii="仿宋" w:hAnsi="仿宋" w:eastAsia="仿宋" w:cs="仿宋"/>
          <w:color w:val="auto"/>
          <w:sz w:val="24"/>
        </w:rPr>
      </w:pPr>
      <w:r>
        <w:rPr>
          <w:rFonts w:hint="eastAsia" w:ascii="仿宋" w:hAnsi="仿宋" w:eastAsia="仿宋" w:cs="仿宋"/>
          <w:color w:val="auto"/>
          <w:sz w:val="24"/>
        </w:rPr>
        <w:t>（4）验收内容</w:t>
      </w:r>
    </w:p>
    <w:p>
      <w:pPr>
        <w:pStyle w:val="22"/>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1）审查项目的建设目标、规模、内容、质量及资金使用等情况。</w:t>
      </w:r>
    </w:p>
    <w:p>
      <w:pPr>
        <w:pStyle w:val="22"/>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2）审核项目形成的资产情况。</w:t>
      </w:r>
    </w:p>
    <w:p>
      <w:pPr>
        <w:pStyle w:val="22"/>
        <w:numPr>
          <w:ilvl w:val="0"/>
          <w:numId w:val="39"/>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评价项目交付使用情况。</w:t>
      </w:r>
    </w:p>
    <w:p>
      <w:pPr>
        <w:pStyle w:val="22"/>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4）检查项目建设单位执行国家法律、法规情况。</w:t>
      </w:r>
    </w:p>
    <w:p>
      <w:pPr>
        <w:spacing w:line="360" w:lineRule="auto"/>
        <w:rPr>
          <w:rFonts w:ascii="仿宋" w:hAnsi="仿宋" w:eastAsia="仿宋" w:cs="仿宋"/>
          <w:color w:val="auto"/>
          <w:sz w:val="24"/>
        </w:rPr>
      </w:pPr>
      <w:r>
        <w:rPr>
          <w:rFonts w:hint="eastAsia" w:ascii="仿宋" w:hAnsi="仿宋" w:eastAsia="仿宋" w:cs="仿宋"/>
          <w:color w:val="auto"/>
          <w:sz w:val="24"/>
        </w:rPr>
        <w:t>（5）验收相关材料</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中标单位须负责整理并提供以下验收材料，包括但不限于：项目实施方案、项目合同、项目建设总结、项目建设相关文档、初步验收报告、软件测试报告等。</w:t>
      </w:r>
    </w:p>
    <w:p>
      <w:pPr>
        <w:spacing w:line="360" w:lineRule="auto"/>
        <w:rPr>
          <w:rFonts w:ascii="仿宋" w:hAnsi="仿宋" w:eastAsia="仿宋" w:cs="仿宋"/>
          <w:b/>
          <w:color w:val="auto"/>
          <w:sz w:val="24"/>
        </w:rPr>
      </w:pPr>
      <w:bookmarkStart w:id="481" w:name="_Toc34686821"/>
      <w:bookmarkStart w:id="482" w:name="_Toc40898717"/>
      <w:bookmarkStart w:id="483" w:name="_Toc27901254"/>
      <w:bookmarkStart w:id="484" w:name="_Toc27044687"/>
      <w:r>
        <w:rPr>
          <w:rFonts w:hint="eastAsia" w:ascii="仿宋" w:hAnsi="仿宋" w:eastAsia="仿宋" w:cs="仿宋"/>
          <w:b/>
          <w:color w:val="auto"/>
          <w:sz w:val="24"/>
        </w:rPr>
        <w:t>18.其它要求</w:t>
      </w:r>
      <w:bookmarkEnd w:id="481"/>
      <w:bookmarkEnd w:id="482"/>
      <w:bookmarkEnd w:id="483"/>
      <w:bookmarkEnd w:id="484"/>
    </w:p>
    <w:p>
      <w:pPr>
        <w:tabs>
          <w:tab w:val="left" w:pos="1301"/>
        </w:tabs>
        <w:autoSpaceDE w:val="0"/>
        <w:autoSpaceDN w:val="0"/>
        <w:spacing w:line="360" w:lineRule="auto"/>
        <w:ind w:right="318" w:firstLine="550" w:firstLineChars="250"/>
        <w:rPr>
          <w:rFonts w:ascii="仿宋" w:hAnsi="仿宋" w:eastAsia="仿宋" w:cs="仿宋"/>
          <w:color w:val="auto"/>
          <w:spacing w:val="-10"/>
          <w:sz w:val="24"/>
        </w:rPr>
      </w:pPr>
      <w:r>
        <w:rPr>
          <w:rFonts w:hint="eastAsia" w:ascii="仿宋" w:hAnsi="仿宋" w:eastAsia="仿宋" w:cs="仿宋"/>
          <w:color w:val="auto"/>
          <w:spacing w:val="-10"/>
          <w:sz w:val="24"/>
        </w:rPr>
        <w:t>（1）投标方承诺：如投标单位在海南省无分公司或办事处，须承诺中标后在海南省注册分公司或办事处，办公地址须在海南省医疗保障局周边半径2公里范围内。</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（2）当招标方有新需求，而本文又未包括或与本文不符时，则应符合招标方新需求；对于招标方尚未有标准的，而本文又未提及的部分，中标单位提出其标准，留待双方认可后执行。</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（3）中标单位应确保其技术建议的可行性以及所提供服务和产品的完整性，若出现由于中标单位所提供的服务和产品不全面而导致系统功能无法实现或不能完全实现，由中标单位及时无偿补足，并负全部责任。</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4）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（5）投标方承诺承担驻场工程师就餐和相关差旅费用，并提供驻场工程师办公电脑、打印机等设备。</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（6）投标方承诺本项目合作终止后1年内，无条件配合招标方进行数据迁移、数据字典提供、数据结构提供、对相关实现方式讲解。</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（7）本项目建设内容、需求若有变化，与本文不符的，则按照招标方与投标方友好协商修订为准。</w:t>
      </w:r>
    </w:p>
    <w:p>
      <w:pPr>
        <w:spacing w:line="360" w:lineRule="auto"/>
        <w:rPr>
          <w:rFonts w:ascii="仿宋" w:hAnsi="仿宋" w:eastAsia="仿宋" w:cs="仿宋"/>
          <w:color w:val="auto"/>
          <w:sz w:val="24"/>
        </w:rPr>
      </w:pPr>
    </w:p>
    <w:p>
      <w:pPr>
        <w:spacing w:line="360" w:lineRule="auto"/>
        <w:rPr>
          <w:rFonts w:ascii="仿宋" w:hAnsi="仿宋" w:eastAsia="仿宋" w:cs="仿宋"/>
          <w:color w:val="auto"/>
          <w:sz w:val="24"/>
        </w:rPr>
        <w:sectPr>
          <w:pgSz w:w="11906" w:h="16838"/>
          <w:pgMar w:top="1440" w:right="1800" w:bottom="1440" w:left="1800" w:header="851" w:footer="992" w:gutter="0"/>
          <w:cols w:space="425" w:num="1"/>
          <w:docGrid w:type="lines" w:linePitch="312" w:charSpace="0"/>
        </w:sectPr>
      </w:pPr>
    </w:p>
    <w:p>
      <w:pPr>
        <w:keepNext/>
        <w:keepLines/>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6包公共服务子系统</w:t>
      </w:r>
    </w:p>
    <w:p>
      <w:pPr>
        <w:widowControl/>
        <w:spacing w:line="360" w:lineRule="auto"/>
        <w:rPr>
          <w:rFonts w:ascii="仿宋" w:hAnsi="仿宋" w:eastAsia="仿宋" w:cs="仿宋"/>
          <w:b/>
          <w:color w:val="auto"/>
          <w:sz w:val="24"/>
        </w:rPr>
      </w:pPr>
      <w:r>
        <w:rPr>
          <w:rFonts w:hint="eastAsia" w:ascii="仿宋" w:hAnsi="仿宋" w:eastAsia="仿宋" w:cs="仿宋"/>
          <w:b/>
          <w:color w:val="auto"/>
          <w:sz w:val="24"/>
        </w:rPr>
        <w:t>1.项目概述</w:t>
      </w:r>
    </w:p>
    <w:p>
      <w:pPr>
        <w:spacing w:line="360" w:lineRule="auto"/>
        <w:ind w:firstLine="482" w:firstLineChars="200"/>
        <w:rPr>
          <w:rFonts w:ascii="仿宋" w:hAnsi="仿宋" w:eastAsia="仿宋" w:cs="仿宋"/>
          <w:b/>
          <w:color w:val="auto"/>
          <w:sz w:val="24"/>
        </w:rPr>
      </w:pPr>
      <w:bookmarkStart w:id="485" w:name="_Toc40898767"/>
      <w:r>
        <w:rPr>
          <w:rFonts w:hint="eastAsia" w:ascii="仿宋" w:hAnsi="仿宋" w:eastAsia="仿宋" w:cs="仿宋"/>
          <w:b/>
          <w:color w:val="auto"/>
          <w:sz w:val="24"/>
        </w:rPr>
        <w:t>1.1项目背景</w:t>
      </w:r>
      <w:bookmarkEnd w:id="485"/>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习近平新时代中国特色社会主义思想为指导，全面贯彻党的十九大、十九届二中三中全会精神和2019年全国“两会”精神，认真落实全国医疗保障工作会议座谈会精神，严格遵循《国家医疗保障局医疗保障信息化工作指导意见》及《医疗保障信息平台建设指南》，坚持“千方百计保基本、始终做到可持续、回应社会解民忧、敢于担当推改革”，以医保为龙头带动“三医联动”改革，以信息化建设为抓手推动医保覆盖与医保控费，积极融入医疗保障信息化全国“一盘棋”格局，为逐步构建起全国医保便捷可及“大服务”、规范高效“大经办”、智能精准“大治理”、融合共享“大协作”、在线可用“大数据”、安全可靠“大支撑”信息化支撑体系添枝加叶。</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针对海南地区人口经济发展差异和老龄化严重的社会问题及农垦职工医疗保险基金缺口等历史遗留问题，本项目按照国家医保局标准全国统一、数据两级集中、平台分级部署、网络全面覆盖的医疗保障信息化建设要求，注重顶层设计、统一业务标准、打造基础平台、做好数据汇集、强化协同共享、增强网络安全。依托国家平台与海南省平台之间的协作联通，使用国家下达的中台服务，贯彻表层应用能用即用，国家系统中未设计的表层应用，采用国家统一的中台进行组装的整体思路，建设海南省统一的医疗保障信息平台，实现医保全省统筹统收统支“九统一”的重点工作任务，即： 统一行政管理和稽查执法，统一医保发展规划，统一医保基金收缴，统一医保待遇政策，统一医保支付范围，统一医保基金管理，统一医保经办规程，统一医保定点机构，统一医保信息系统。进一步完善医疗保障制度体系，提升医疗保障基金监管，强化医保支付、深化医药服务价格改革、优化医疗保障管理服务水平，探索常住外籍人员医疗保障办法。发挥信息化对医疗保障事业的支撑作用。解决群众反映强烈的突出问题，不断提高人民群众医疗保障获利感、幸福感和安全感，助力提高医改整体效能同时促进海南自由贸易试验区快速建设和实施健康中国战略。</w:t>
      </w:r>
    </w:p>
    <w:p>
      <w:pPr>
        <w:pStyle w:val="21"/>
        <w:ind w:firstLine="420" w:firstLineChars="0"/>
        <w:jc w:val="both"/>
        <w:rPr>
          <w:rFonts w:ascii="仿宋" w:hAnsi="仿宋" w:eastAsia="仿宋" w:cs="仿宋"/>
          <w:color w:val="auto"/>
          <w:sz w:val="24"/>
          <w:szCs w:val="24"/>
        </w:rPr>
      </w:pPr>
      <w:r>
        <w:rPr>
          <w:rFonts w:hint="eastAsia" w:ascii="仿宋" w:hAnsi="仿宋" w:eastAsia="仿宋" w:cs="仿宋"/>
          <w:color w:val="auto"/>
          <w:sz w:val="24"/>
          <w:szCs w:val="24"/>
        </w:rPr>
        <w:t>公共服务模块面向海南省参保人、参保单位和医药企业等，通过窗口、大厅、网上办事大厅、APP、自助服务一体机等服务渠道，提供参保、信息变更、信息查询、社会监督、信访服务等业务。海南省公共服务业务要求按照“公平、公正、公开”的原则，使全体公民既能公平，又可及地获得大致均等的基本公共服务，同时要求以标准化手段优化资源配置、规范服务流程、提升服务质量、明确权责关系、创新治理方式，确保基本公共服务覆盖全民、均等享有，使人民获得感、幸福感、安全感更加充实、更有保障、更可持续。</w:t>
      </w:r>
    </w:p>
    <w:p>
      <w:pPr>
        <w:widowControl/>
        <w:spacing w:line="360" w:lineRule="auto"/>
        <w:rPr>
          <w:rFonts w:ascii="仿宋" w:hAnsi="仿宋" w:eastAsia="仿宋" w:cs="仿宋"/>
          <w:b/>
          <w:color w:val="auto"/>
          <w:sz w:val="24"/>
        </w:rPr>
      </w:pPr>
      <w:bookmarkStart w:id="486" w:name="_Toc40898768"/>
      <w:r>
        <w:rPr>
          <w:rFonts w:hint="eastAsia" w:ascii="仿宋" w:hAnsi="仿宋" w:eastAsia="仿宋" w:cs="仿宋"/>
          <w:b/>
          <w:color w:val="auto"/>
          <w:sz w:val="24"/>
        </w:rPr>
        <w:t>2.项目建设原则</w:t>
      </w:r>
      <w:bookmarkEnd w:id="486"/>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海南省医疗保障局医疗保障信息平台二期建设工程项目应明确目标，找准方向，把握重点，规范有序开展工作。在项目建设过程中，贯彻使用全国统一的标准规范体系和中台服务，依托全国统一的技术体系和架构建设海南省全新的医疗保障信息平台，要着重把握好以下建设原则：</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（1）统筹规划，分步推进</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为避免信息孤岛、重复建设等现象，海南省医疗保障局医疗保障信息平台二期建设工程需进行“自上而下”的顶层规划设计，进行合理有序布局；通过“统一领导、统一规划、统一部署、统一标准”的统筹指导建设，集约管理，节约投资。同时，遵循“自下而上”的项目操作原则，立足现行管理体制与制度建设，打好基础，确立方向，稳步推进，均衡发展，实现项目落地，并为下一步制度完善、管理提升留有空间。</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（2）需求导向、务求实效</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医保各部门间信息共享与业务协同作为原始需求驱动，进行医保基础平台的规划建设。再以此为基础，逐步拓展数据资源与数据资源服务能力，进一步进行医保大数据分析挖掘等高级应用，完善与丰富贴近实战的大数据应用服务，从而形成良性循环，并尽快体现出阶段性效果。</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（3）统一协同，资源共享</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统一管理、统一规划，就必须有一套统一的标准规范作为基础支撑。标准与规范应向上符合国家的标准与规范，向下规范医保行业业务范围内大数据建设与应用。遵循统一的标准，各相关职能部门根据权限的不同，共享信息资源。同时，各级医保管理部门共同参与，既能保障数据同步，也有利于实现信息共享和协同工作，实现资源的集约化管理。</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（4）整合共享，协作高效</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突破区域、部门之间的界限和体制性障碍，充分整合基础设施资源和智能终端获取的信息资源，通过医疗保障信息平台建设推进跨部门、跨领域的信息化协同共享，增强医疗保障的效率和决策能力，同时有效满足公众信息需求，提升医保资源的利用效率。</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（5）统一标准，开放接口</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通过明确和开放医疗信息平台的接口与标准，为后期其他相关行业的数据接入提供标准接口，最大限度地实现医保与政府、职能部门、医院、企业、百姓的信息对接。</w:t>
      </w:r>
    </w:p>
    <w:p>
      <w:pPr>
        <w:widowControl/>
        <w:spacing w:line="360" w:lineRule="auto"/>
        <w:rPr>
          <w:rFonts w:ascii="仿宋" w:hAnsi="仿宋" w:eastAsia="仿宋" w:cs="仿宋"/>
          <w:b/>
          <w:color w:val="auto"/>
          <w:sz w:val="24"/>
        </w:rPr>
      </w:pPr>
      <w:bookmarkStart w:id="487" w:name="_Toc40898769"/>
      <w:r>
        <w:rPr>
          <w:rFonts w:hint="eastAsia" w:ascii="仿宋" w:hAnsi="仿宋" w:eastAsia="仿宋" w:cs="仿宋"/>
          <w:b/>
          <w:color w:val="auto"/>
          <w:sz w:val="24"/>
        </w:rPr>
        <w:t>3.建设目标</w:t>
      </w:r>
      <w:bookmarkEnd w:id="487"/>
    </w:p>
    <w:p>
      <w:pPr>
        <w:pStyle w:val="21"/>
        <w:ind w:firstLine="420" w:firstLineChars="0"/>
        <w:jc w:val="both"/>
        <w:rPr>
          <w:rFonts w:ascii="仿宋" w:hAnsi="仿宋" w:eastAsia="仿宋" w:cs="仿宋"/>
          <w:color w:val="auto"/>
          <w:sz w:val="24"/>
          <w:szCs w:val="24"/>
        </w:rPr>
      </w:pPr>
      <w:r>
        <w:rPr>
          <w:rFonts w:hint="eastAsia" w:ascii="仿宋" w:hAnsi="仿宋" w:eastAsia="仿宋" w:cs="仿宋"/>
          <w:color w:val="auto"/>
          <w:sz w:val="24"/>
          <w:szCs w:val="24"/>
        </w:rPr>
        <w:t>公共服务模块面向海南省参保人、参保单位和医药企业等，通过窗口、大厅、网上办事大厅、APP、自助服务一体机等服务渠道，提供参保、信息变更、信息查询、社会监督、信访服务等业务。海南省公共服务业务要求按照“公平、公正、公开”的原则，使全体公民既能公平，又可及地获得大致均等的基本公共服务，同时要求以标准化手段优化资源配置、规范服务流程、提升服务质量、明确权责关系、创新治理方式，确保基本公共服务覆盖全民、均等享有，使人民获得感、幸福感、安全感更加充实、更有保障、更可持续。</w:t>
      </w:r>
    </w:p>
    <w:p>
      <w:pPr>
        <w:widowControl/>
        <w:spacing w:line="360" w:lineRule="auto"/>
        <w:rPr>
          <w:rFonts w:ascii="仿宋" w:hAnsi="仿宋" w:eastAsia="仿宋" w:cs="仿宋"/>
          <w:b/>
          <w:color w:val="auto"/>
          <w:sz w:val="24"/>
        </w:rPr>
      </w:pPr>
      <w:bookmarkStart w:id="488" w:name="_Toc40898770"/>
      <w:r>
        <w:rPr>
          <w:rFonts w:hint="eastAsia" w:ascii="仿宋" w:hAnsi="仿宋" w:eastAsia="仿宋" w:cs="仿宋"/>
          <w:b/>
          <w:color w:val="auto"/>
          <w:sz w:val="24"/>
        </w:rPr>
        <w:t>4.系统定位</w:t>
      </w:r>
      <w:bookmarkEnd w:id="488"/>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海南省医疗保障信息平台严格遵照国家医疗保障信息平台建设指南的相关约束与要求，依照国家医疗保障信息平台的统一设计原则，贯彻使用全国统一的标准规范体系和中台服务，依托全国统一的技术体系和架构建设海南全新的医疗保障信息平台。</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平台总体架构划分为公共服务区和核心业务区，其中核心业务区分为生产区、交换区和大数据区。</w:t>
      </w:r>
    </w:p>
    <w:p>
      <w:pPr>
        <w:pStyle w:val="9"/>
        <w:spacing w:line="360" w:lineRule="auto"/>
        <w:jc w:val="both"/>
        <w:rPr>
          <w:rFonts w:ascii="仿宋" w:hAnsi="仿宋" w:eastAsia="仿宋" w:cs="仿宋"/>
          <w:color w:val="auto"/>
          <w:sz w:val="24"/>
        </w:rPr>
      </w:pPr>
      <w:r>
        <w:rPr>
          <w:rFonts w:hint="eastAsia" w:ascii="仿宋" w:hAnsi="仿宋" w:eastAsia="仿宋" w:cs="仿宋"/>
          <w:color w:val="auto"/>
          <w:sz w:val="24"/>
          <w:lang w:val="en-US" w:bidi="ar-SA"/>
        </w:rPr>
        <w:drawing>
          <wp:inline distT="0" distB="0" distL="114300" distR="114300">
            <wp:extent cx="5228590" cy="2847975"/>
            <wp:effectExtent l="0" t="0" r="1016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
                    <a:stretch>
                      <a:fillRect/>
                    </a:stretch>
                  </pic:blipFill>
                  <pic:spPr>
                    <a:xfrm>
                      <a:off x="0" y="0"/>
                      <a:ext cx="5228590" cy="2847975"/>
                    </a:xfrm>
                    <a:prstGeom prst="rect">
                      <a:avLst/>
                    </a:prstGeom>
                    <a:noFill/>
                    <a:ln>
                      <a:noFill/>
                    </a:ln>
                  </pic:spPr>
                </pic:pic>
              </a:graphicData>
            </a:graphic>
          </wp:inline>
        </w:drawing>
      </w:r>
    </w:p>
    <w:p>
      <w:pPr>
        <w:autoSpaceDE w:val="0"/>
        <w:autoSpaceDN w:val="0"/>
        <w:spacing w:line="360" w:lineRule="auto"/>
        <w:ind w:firstLine="482" w:firstLineChars="200"/>
        <w:jc w:val="center"/>
        <w:rPr>
          <w:rFonts w:ascii="仿宋" w:hAnsi="仿宋" w:eastAsia="仿宋" w:cs="仿宋"/>
          <w:b/>
          <w:color w:val="auto"/>
          <w:sz w:val="24"/>
        </w:rPr>
      </w:pPr>
      <w:r>
        <w:rPr>
          <w:rFonts w:hint="eastAsia" w:ascii="仿宋" w:hAnsi="仿宋" w:eastAsia="仿宋" w:cs="仿宋"/>
          <w:b/>
          <w:color w:val="auto"/>
          <w:sz w:val="24"/>
        </w:rPr>
        <w:t>图：海南省医疗保障信息平台总体架构图</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本文涉及的公共服务模块作为医疗保障信息平台公共服务子系统的组成部分。</w:t>
      </w:r>
    </w:p>
    <w:p>
      <w:pPr>
        <w:widowControl/>
        <w:spacing w:line="360" w:lineRule="auto"/>
        <w:rPr>
          <w:rFonts w:ascii="仿宋" w:hAnsi="仿宋" w:eastAsia="仿宋" w:cs="仿宋"/>
          <w:b/>
          <w:color w:val="auto"/>
          <w:sz w:val="24"/>
        </w:rPr>
      </w:pPr>
      <w:bookmarkStart w:id="489" w:name="_Toc40898771"/>
      <w:r>
        <w:rPr>
          <w:rFonts w:hint="eastAsia" w:ascii="仿宋" w:hAnsi="仿宋" w:eastAsia="仿宋" w:cs="仿宋"/>
          <w:b/>
          <w:color w:val="auto"/>
          <w:sz w:val="24"/>
        </w:rPr>
        <w:t>5.技术架构要求</w:t>
      </w:r>
      <w:bookmarkEnd w:id="489"/>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海南省医疗保障信息平台需要支撑1500余万用户的高并发访问和实时交易需求，并且需要考虑将来的医保改革的进一步深化的各项新需求，系统需要具备支撑高并发和实时交易的能力，同时能够灵活扩展，所以整个系统按照云化、分层架构设计。</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所有业务应用系统都必须基于医疗保障应用框架（Healthcare Security Application Framework，简称：HSAF）开发。HSAF框架采用分布式云架构，封装核心云支撑服务适配接口，用于实现云产品解耦设计。HSAF适配层基于HSAF 的适配技术，将应用层依赖的分布式技术与具体厂商的分布式技术进行适配，实现应用层可以适配多家厂商的分布式技术。</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（1）基础层：建设在云化基础设施上，以云虚拟机、多租户数据库、云存储、负载均衡及专有网络为底层，最大程度的利用了云计算横向扩展的能力；</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中间件层：作为应用的支撑平台，提供应用所需要的基础能力，其中包括分布式应用及管理能力，集成接入点能力，异步服务的能力，缓存的能力，分布式数据库的能力等，这些中间件提供的能力可以很好的支撑应用应对高并发和实时交易的场景；</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（3）后端服务：在基础设施和中间件之上进行构建，使用了众多开源高效的组件如依赖注入和反向控制框架Spring，持久层框架MyBatis，以及加密、定时任务，日志等框架；</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前端服务：采用先进的前端技术H5、VUE等，并采用前后端分离的开发方式，将前端展示与后端服务进行解耦，为用户提供更好的体验；而前端和后端的协议，本项目兼容HTTP、RPC、WEBSERVICE等各种主流的通讯协议，为后续扩展做了很好的准备。</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项目周边的技术也采用了业界比较成熟的架构，代码版本管控工具可与代码构建框架构建和持续集成平台无缝衔接，达到快速开发、快速构建、快速集成的效果。整个服务平台也采用云计算的最佳实践与规范，充分利用到云计算的分布式能力，建设更稳定和高效的服务与应用。</w:t>
      </w:r>
    </w:p>
    <w:p>
      <w:pPr>
        <w:widowControl/>
        <w:spacing w:line="360" w:lineRule="auto"/>
        <w:rPr>
          <w:rFonts w:ascii="仿宋" w:hAnsi="仿宋" w:eastAsia="仿宋" w:cs="仿宋"/>
          <w:b/>
          <w:color w:val="auto"/>
          <w:sz w:val="24"/>
        </w:rPr>
      </w:pPr>
      <w:bookmarkStart w:id="490" w:name="_Toc40898772"/>
      <w:r>
        <w:rPr>
          <w:rFonts w:hint="eastAsia" w:ascii="仿宋" w:hAnsi="仿宋" w:eastAsia="仿宋" w:cs="仿宋"/>
          <w:b/>
          <w:color w:val="auto"/>
          <w:sz w:val="24"/>
        </w:rPr>
        <w:t>6.软件功能要求</w:t>
      </w:r>
      <w:bookmarkEnd w:id="490"/>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以下章节将对各模块建设内容的具体功能需求进行描述，但并不仅限于此，投标方可以提出适合本系统的其他功能。</w:t>
      </w:r>
    </w:p>
    <w:p>
      <w:pPr>
        <w:spacing w:line="360" w:lineRule="auto"/>
        <w:ind w:firstLine="482" w:firstLineChars="200"/>
        <w:rPr>
          <w:rFonts w:ascii="仿宋" w:hAnsi="仿宋" w:eastAsia="仿宋" w:cs="仿宋"/>
          <w:b/>
          <w:color w:val="auto"/>
          <w:sz w:val="24"/>
        </w:rPr>
      </w:pPr>
      <w:bookmarkStart w:id="491" w:name="_Toc40898773"/>
      <w:r>
        <w:rPr>
          <w:rFonts w:hint="eastAsia" w:ascii="仿宋" w:hAnsi="仿宋" w:eastAsia="仿宋" w:cs="仿宋"/>
          <w:b/>
          <w:color w:val="auto"/>
          <w:sz w:val="24"/>
        </w:rPr>
        <w:t>6.1公共服务</w:t>
      </w:r>
      <w:bookmarkEnd w:id="491"/>
    </w:p>
    <w:p>
      <w:pPr>
        <w:spacing w:line="360" w:lineRule="auto"/>
        <w:ind w:firstLine="482" w:firstLineChars="200"/>
        <w:rPr>
          <w:rFonts w:ascii="仿宋" w:hAnsi="仿宋" w:eastAsia="仿宋" w:cs="仿宋"/>
          <w:b/>
          <w:color w:val="auto"/>
          <w:sz w:val="24"/>
        </w:rPr>
      </w:pPr>
      <w:bookmarkStart w:id="492" w:name="_Toc40898774"/>
      <w:r>
        <w:rPr>
          <w:rFonts w:hint="eastAsia" w:ascii="仿宋" w:hAnsi="仿宋" w:eastAsia="仿宋" w:cs="仿宋"/>
          <w:b/>
          <w:color w:val="auto"/>
          <w:sz w:val="24"/>
        </w:rPr>
        <w:t>6.1.1渠道服务</w:t>
      </w:r>
      <w:bookmarkEnd w:id="492"/>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提供不同渠道的公共服务入口，包括：移动APP、网厅、短信、微信/小程序、自助终端等。</w:t>
      </w:r>
    </w:p>
    <w:p>
      <w:pPr>
        <w:spacing w:line="360" w:lineRule="auto"/>
        <w:ind w:firstLine="482" w:firstLineChars="200"/>
        <w:rPr>
          <w:rFonts w:ascii="仿宋" w:hAnsi="仿宋" w:eastAsia="仿宋" w:cs="仿宋"/>
          <w:b/>
          <w:color w:val="auto"/>
          <w:sz w:val="24"/>
        </w:rPr>
      </w:pPr>
      <w:bookmarkStart w:id="493" w:name="_Toc40898775"/>
      <w:r>
        <w:rPr>
          <w:rFonts w:hint="eastAsia" w:ascii="仿宋" w:hAnsi="仿宋" w:eastAsia="仿宋" w:cs="仿宋"/>
          <w:b/>
          <w:color w:val="auto"/>
          <w:sz w:val="24"/>
        </w:rPr>
        <w:t>6.1.2移动支付</w:t>
      </w:r>
      <w:bookmarkEnd w:id="493"/>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（1）医疗定点机构接入管理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对定点医疗机构接入信息进行管理，对接入结构数据、信息共享内容进行管理。</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（2）支付sdk授权管理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对移动支付SDK权限进行授权管理，可对SDK授权、下载使用等进行管控。</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（3）支付渠道授权管理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对移动支付渠道进行授权管控，获得授权的支付渠道可在医保移动支付中使用。</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（4）支付渠道管理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对医保移动支付渠道进行管理，包括对移动支付渠道的新增、审核、变更等操作。</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（5）移动应用授权管理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对移动支付相关的应用进行授权管理，可进行授权，解除等操作。</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（6）医保移动支付服务</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提供医保移动支付相关服务，移动支付账单，移动支付密码管理等内容。</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（7）电子对账单服务</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针对医保移动支付提供电子对账单服务，可定时或即时进行电子对账单查询及明细查询等。</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（8）风控数据采集管理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针对医保移动支付相关的风控数据进行采集，可设定数据采集相关参数。</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（9）安全风控管理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针对医保移动支付安全风控进行管理，提供移动支付安全风控管理内容。</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（10）移动支付冲正服务</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针对医保移动支付过程或结束后产生的退款、取消等情况，支持对支付记录信息进行冲正，退款或取消完成后系统自动对相关数据进行冲正操作。</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（11）移动支付收银台</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提供移动支付收银台模块，可通过收银台模块进行移动支付收款等操作。</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（12）二维码支付服务</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针对医保移动支付，用户可使用二维码进行支付操作，支付时出示付款二维码进行扫描支付。</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（13）移动支付权限管理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对医保移动支付权限进行管理，可对移动支付权限进行修改、停用、启用等。</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（14）移动支付密码管理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对移动支付的支付密码进行管理，可对密码进行初始化设置、找回等操作。</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（15）移动定位服务</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针对医保移动支付过程中可对支付过程的所在地进行定位并上传至服务器存储记录。</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（16）聚合支付服务</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针对医保各类涉及支付业务进行聚合处理，使医保支付服务可支持多项支付服务。</w:t>
      </w:r>
    </w:p>
    <w:p>
      <w:pPr>
        <w:spacing w:line="360" w:lineRule="auto"/>
        <w:ind w:firstLine="482" w:firstLineChars="200"/>
        <w:rPr>
          <w:rFonts w:ascii="仿宋" w:hAnsi="仿宋" w:eastAsia="仿宋" w:cs="仿宋"/>
          <w:b/>
          <w:color w:val="auto"/>
          <w:sz w:val="24"/>
        </w:rPr>
      </w:pPr>
      <w:bookmarkStart w:id="494" w:name="_Toc40898776"/>
      <w:r>
        <w:rPr>
          <w:rFonts w:hint="eastAsia" w:ascii="仿宋" w:hAnsi="仿宋" w:eastAsia="仿宋" w:cs="仿宋"/>
          <w:b/>
          <w:color w:val="auto"/>
          <w:sz w:val="24"/>
        </w:rPr>
        <w:t>6.1.3医保电子凭证管理</w:t>
      </w:r>
      <w:bookmarkEnd w:id="494"/>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（1）定点机构接入管理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对医保定点机构对接进行管理，可对定点医药机构对接信息进行管理。</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（2）电子凭证sdk授权管理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针对医保电子凭证SDK授权信息进行管理，可授权或取消授权。</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（3）医保电子凭证渠道注册</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提供医保电子凭证渠道注册功能，无电子凭证的用户可通过注册进行申领电子凭证。</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（4）医保电子凭证渠道维护</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对医保电子凭证使用渠道进行维护，可设置渠道是否启用等信息。</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（5）医保电子凭证领取管理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对领取医保电子凭证进行管理，可对凭证信息进行领取确认。</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（6）医保电子凭证二维码管理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对医保电子凭证二维码信息进行管理，确认二维码所包含的信息等。</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（7）医保电子凭证识读终端管理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对可以识别读取医保电子凭证的终端进行管理、认证，非登记认证的设备无法用于医保电子凭证信息读取。</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（8）医保电子凭证密码管理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提供个人医保电子凭证密码管理，可对电子凭证设置使用密码，密码注销、修改等操作。</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（9）医保电子凭证运行监测中心</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针对医保电子凭证运行情况进行整体监测，针对电子凭证运行过程中各类问题、异常情况等进行自动告警、记录等。</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（10）电子凭证token管理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对医保电子凭证token进行管理，可对访问接口进行授权管理。</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（11）身份授权查询服务</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针对电子凭证管理提供身份授权查询服务，可通过该服务查询身份授权信息等。</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（12）多码融合服务</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医保电子凭证可融合多种服务信息，实现一码多用，并与海南“健康一码通”、“一卡通”、“椰城市民云”打通。</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（13）移动定位服务</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针对电子凭证使用过程进行定位，获取用户位置信息并进行记录。</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（14）家庭成员服务</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电子凭证支持申请添加家庭用户，上传家庭成员信息并通过审核后，家庭成员可使用该电子凭证。</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(15)安全风控管理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对电子凭证使用、管理过程中风险进行管控，可设置风控点或发起风险询问等。</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(16)移动支付支撑服务</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提供移动支付支撑服务，为医保电子凭证、移动支付提供系统支撑。</w:t>
      </w:r>
    </w:p>
    <w:p>
      <w:pPr>
        <w:spacing w:line="360" w:lineRule="auto"/>
        <w:ind w:firstLine="482" w:firstLineChars="200"/>
        <w:rPr>
          <w:rFonts w:ascii="仿宋" w:hAnsi="仿宋" w:eastAsia="仿宋" w:cs="仿宋"/>
          <w:b/>
          <w:color w:val="auto"/>
          <w:sz w:val="24"/>
        </w:rPr>
      </w:pPr>
      <w:bookmarkStart w:id="495" w:name="_Toc40898777"/>
      <w:r>
        <w:rPr>
          <w:rFonts w:hint="eastAsia" w:ascii="仿宋" w:hAnsi="仿宋" w:eastAsia="仿宋" w:cs="仿宋"/>
          <w:b/>
          <w:color w:val="auto"/>
          <w:sz w:val="24"/>
        </w:rPr>
        <w:t>6.1.4 CMS内容管理</w:t>
      </w:r>
      <w:bookmarkEnd w:id="495"/>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医保局经办人员在系统管理页面选择CMS管理，对系统的CMS进行管理，页面通过服务事项控制逻辑调取CMS管理业务逻辑和业务中台的CMS中心服务完成相关管理并在数据库中保存相关数据。</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（1）内容管理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提供CMS内容管理功能，可在后台对CMS内容信息进行编辑、提交等操作。</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（2）内容审核</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针对内容管理提交的发布内容信息进行审核，审核通过后可进行内容发布。</w:t>
      </w:r>
    </w:p>
    <w:p>
      <w:pPr>
        <w:numPr>
          <w:ilvl w:val="0"/>
          <w:numId w:val="40"/>
        </w:numPr>
        <w:adjustRightInd w:val="0"/>
        <w:spacing w:line="360" w:lineRule="auto"/>
        <w:textAlignment w:val="baseline"/>
        <w:rPr>
          <w:rFonts w:ascii="仿宋" w:hAnsi="仿宋" w:eastAsia="仿宋" w:cs="仿宋"/>
          <w:color w:val="auto"/>
          <w:kern w:val="0"/>
          <w:sz w:val="24"/>
        </w:rPr>
      </w:pPr>
      <w:r>
        <w:rPr>
          <w:rFonts w:hint="eastAsia" w:ascii="仿宋" w:hAnsi="仿宋" w:eastAsia="仿宋" w:cs="仿宋"/>
          <w:color w:val="auto"/>
          <w:kern w:val="0"/>
          <w:sz w:val="24"/>
        </w:rPr>
        <w:t>内容模板管理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提供CMS内容模板管理，用户新建CMS内容时可调用模板信息，或在模板管理中新建模板后调用。</w:t>
      </w:r>
    </w:p>
    <w:p>
      <w:pPr>
        <w:numPr>
          <w:ilvl w:val="0"/>
          <w:numId w:val="40"/>
        </w:numPr>
        <w:adjustRightInd w:val="0"/>
        <w:spacing w:line="360" w:lineRule="auto"/>
        <w:textAlignment w:val="baseline"/>
        <w:rPr>
          <w:rFonts w:ascii="仿宋" w:hAnsi="仿宋" w:eastAsia="仿宋" w:cs="仿宋"/>
          <w:color w:val="auto"/>
          <w:kern w:val="0"/>
          <w:sz w:val="24"/>
        </w:rPr>
      </w:pPr>
      <w:r>
        <w:rPr>
          <w:rFonts w:hint="eastAsia" w:ascii="仿宋" w:hAnsi="仿宋" w:eastAsia="仿宋" w:cs="仿宋"/>
          <w:color w:val="auto"/>
          <w:kern w:val="0"/>
          <w:sz w:val="24"/>
        </w:rPr>
        <w:t>内容发布</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已审核通过的内容信息可在此进行发布操作，信息发布后用户可在网站或APP内查看相关信息。</w:t>
      </w:r>
    </w:p>
    <w:p>
      <w:pPr>
        <w:numPr>
          <w:ilvl w:val="0"/>
          <w:numId w:val="40"/>
        </w:numPr>
        <w:adjustRightInd w:val="0"/>
        <w:spacing w:line="360" w:lineRule="auto"/>
        <w:textAlignment w:val="baseline"/>
        <w:rPr>
          <w:rFonts w:ascii="仿宋" w:hAnsi="仿宋" w:eastAsia="仿宋" w:cs="仿宋"/>
          <w:color w:val="auto"/>
          <w:kern w:val="0"/>
          <w:sz w:val="24"/>
        </w:rPr>
      </w:pPr>
      <w:r>
        <w:rPr>
          <w:rFonts w:hint="eastAsia" w:ascii="仿宋" w:hAnsi="仿宋" w:eastAsia="仿宋" w:cs="仿宋"/>
          <w:color w:val="auto"/>
          <w:kern w:val="0"/>
          <w:sz w:val="24"/>
        </w:rPr>
        <w:t>内容下架</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针对已发布的内容信息，操作人员可进行下架处理。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（6）栏目管理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针对网站栏目信息，可通过栏目管理进行管理，对栏目信息进行调整、新增、变更等。</w:t>
      </w:r>
    </w:p>
    <w:p>
      <w:pPr>
        <w:numPr>
          <w:ilvl w:val="0"/>
          <w:numId w:val="40"/>
        </w:numPr>
        <w:adjustRightInd w:val="0"/>
        <w:spacing w:line="360" w:lineRule="auto"/>
        <w:textAlignment w:val="baseline"/>
        <w:rPr>
          <w:rFonts w:ascii="仿宋" w:hAnsi="仿宋" w:eastAsia="仿宋" w:cs="仿宋"/>
          <w:color w:val="auto"/>
          <w:kern w:val="0"/>
          <w:sz w:val="24"/>
        </w:rPr>
      </w:pPr>
      <w:r>
        <w:rPr>
          <w:rFonts w:hint="eastAsia" w:ascii="仿宋" w:hAnsi="仿宋" w:eastAsia="仿宋" w:cs="仿宋"/>
          <w:color w:val="auto"/>
          <w:kern w:val="0"/>
          <w:sz w:val="24"/>
        </w:rPr>
        <w:t>内容检索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系统提供内容检索功能，针对草稿、未发布、已发布等内容进行检索。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（8）展现通道配置</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可通过展现通道配置对内容展示的渠道进行配置。</w:t>
      </w:r>
    </w:p>
    <w:p>
      <w:pPr>
        <w:spacing w:line="360" w:lineRule="auto"/>
        <w:ind w:firstLine="482" w:firstLineChars="200"/>
        <w:rPr>
          <w:rFonts w:ascii="仿宋" w:hAnsi="仿宋" w:eastAsia="仿宋" w:cs="仿宋"/>
          <w:b/>
          <w:color w:val="auto"/>
          <w:sz w:val="24"/>
        </w:rPr>
      </w:pPr>
      <w:bookmarkStart w:id="496" w:name="_Toc40898778"/>
      <w:r>
        <w:rPr>
          <w:rFonts w:hint="eastAsia" w:ascii="仿宋" w:hAnsi="仿宋" w:eastAsia="仿宋" w:cs="仿宋"/>
          <w:b/>
          <w:color w:val="auto"/>
          <w:sz w:val="24"/>
        </w:rPr>
        <w:t>6.1.5知识库管理</w:t>
      </w:r>
      <w:bookmarkEnd w:id="496"/>
    </w:p>
    <w:p>
      <w:pPr>
        <w:ind w:firstLine="444" w:firstLineChars="200"/>
        <w:rPr>
          <w:rFonts w:ascii="仿宋" w:hAnsi="仿宋" w:eastAsia="仿宋" w:cs="仿宋"/>
          <w:color w:val="auto"/>
          <w:spacing w:val="-9"/>
          <w:sz w:val="24"/>
          <w:lang w:val="zh-CN" w:bidi="zh-CN"/>
        </w:rPr>
      </w:pPr>
      <w:r>
        <w:rPr>
          <w:rFonts w:hint="eastAsia" w:ascii="仿宋" w:hAnsi="仿宋" w:eastAsia="仿宋" w:cs="仿宋"/>
          <w:color w:val="auto"/>
          <w:spacing w:val="-9"/>
          <w:sz w:val="24"/>
          <w:lang w:val="zh-CN" w:bidi="zh-CN"/>
        </w:rPr>
        <w:t>知识库</w:t>
      </w:r>
      <w:r>
        <w:rPr>
          <w:rFonts w:ascii="仿宋" w:hAnsi="仿宋" w:eastAsia="仿宋" w:cs="仿宋"/>
          <w:color w:val="auto"/>
          <w:spacing w:val="-9"/>
          <w:sz w:val="24"/>
          <w:lang w:val="zh-CN" w:bidi="zh-CN"/>
        </w:rPr>
        <w:t>参照的上位标准以国家</w:t>
      </w:r>
      <w:r>
        <w:rPr>
          <w:rFonts w:hint="eastAsia" w:ascii="仿宋" w:hAnsi="仿宋" w:eastAsia="仿宋" w:cs="仿宋"/>
          <w:color w:val="auto"/>
          <w:spacing w:val="-9"/>
          <w:sz w:val="24"/>
          <w:lang w:val="zh-CN" w:bidi="zh-CN"/>
        </w:rPr>
        <w:t>标准</w:t>
      </w:r>
      <w:r>
        <w:rPr>
          <w:rFonts w:ascii="仿宋" w:hAnsi="仿宋" w:eastAsia="仿宋" w:cs="仿宋"/>
          <w:color w:val="auto"/>
          <w:spacing w:val="-9"/>
          <w:sz w:val="24"/>
          <w:lang w:val="zh-CN" w:bidi="zh-CN"/>
        </w:rPr>
        <w:t>优先，其次地方标准和行业标准</w:t>
      </w:r>
      <w:r>
        <w:rPr>
          <w:rFonts w:hint="eastAsia" w:ascii="仿宋" w:hAnsi="仿宋" w:eastAsia="仿宋" w:cs="仿宋"/>
          <w:color w:val="auto"/>
          <w:spacing w:val="-9"/>
          <w:sz w:val="24"/>
          <w:lang w:val="zh-CN" w:bidi="zh-CN"/>
        </w:rPr>
        <w:t>。</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（1）知识库管理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针对医保相关知识提供知识库管理功能，可在知识库内进行知识增加、修改、删除、查询等操作。</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（2）索引管理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系统提供索引管理，用户可根据不同索引进行快速查找医保知识信息</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（3）全文检索服务</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系统提供全文检索服务，用户可利用关键字与医保知识库内容进行匹配，检索全文信息进行查找。</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（4）医保词汇管理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系统提供词条管理功能，用户可创建或收录医保相关词汇及相关说明信息。</w:t>
      </w:r>
    </w:p>
    <w:p>
      <w:pPr>
        <w:spacing w:line="360" w:lineRule="auto"/>
        <w:ind w:firstLine="482" w:firstLineChars="200"/>
        <w:rPr>
          <w:rFonts w:ascii="仿宋" w:hAnsi="仿宋" w:eastAsia="仿宋" w:cs="仿宋"/>
          <w:b/>
          <w:color w:val="auto"/>
          <w:sz w:val="24"/>
        </w:rPr>
      </w:pPr>
      <w:bookmarkStart w:id="497" w:name="_Toc40898779"/>
      <w:r>
        <w:rPr>
          <w:rFonts w:hint="eastAsia" w:ascii="仿宋" w:hAnsi="仿宋" w:eastAsia="仿宋" w:cs="仿宋"/>
          <w:b/>
          <w:color w:val="auto"/>
          <w:sz w:val="24"/>
        </w:rPr>
        <w:t>6.1.6二维码管理</w:t>
      </w:r>
      <w:bookmarkEnd w:id="497"/>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（1）二维码数据管理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提供二维码数据的新增和变更等功能。</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（2）二维码识别</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提供二维码展示和识别功能。</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（3）医保APP二维码管理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提供医保APP二维码的新增和展示功能，支持扫码下载医保APP和升级APP。</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（4）海南省医保微信公众账号二维码</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提供海南省医保微信公众账号二维码的展示功能，支持扫码关注公众号。</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（5）海南省医保支付二维码</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提供海南省医保支付二维码的展示功能，关联电子社保卡和电子健康码支持扫码支付。</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（6）电子身份凭证二维码</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支持认证和读取电子身份凭证二维码功能，扫描二维码读取电子身份凭证的个人信息。</w:t>
      </w:r>
    </w:p>
    <w:p>
      <w:pPr>
        <w:spacing w:line="360" w:lineRule="auto"/>
        <w:ind w:firstLine="482" w:firstLineChars="200"/>
        <w:rPr>
          <w:rFonts w:ascii="仿宋" w:hAnsi="仿宋" w:eastAsia="仿宋" w:cs="仿宋"/>
          <w:b/>
          <w:color w:val="auto"/>
          <w:sz w:val="24"/>
        </w:rPr>
      </w:pPr>
      <w:bookmarkStart w:id="498" w:name="_Toc40898780"/>
      <w:r>
        <w:rPr>
          <w:rFonts w:hint="eastAsia" w:ascii="仿宋" w:hAnsi="仿宋" w:eastAsia="仿宋" w:cs="仿宋"/>
          <w:b/>
          <w:color w:val="auto"/>
          <w:sz w:val="24"/>
        </w:rPr>
        <w:t>6.1.7用户管理</w:t>
      </w:r>
      <w:bookmarkEnd w:id="498"/>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（1）公众用户注册</w:t>
      </w:r>
    </w:p>
    <w:p>
      <w:pPr>
        <w:adjustRightInd w:val="0"/>
        <w:spacing w:line="360" w:lineRule="auto"/>
        <w:ind w:left="193" w:leftChars="92" w:firstLine="556" w:firstLineChars="232"/>
        <w:textAlignment w:val="baseline"/>
        <w:rPr>
          <w:rFonts w:ascii="仿宋" w:hAnsi="仿宋" w:eastAsia="仿宋" w:cs="仿宋"/>
          <w:color w:val="auto"/>
          <w:kern w:val="0"/>
          <w:sz w:val="24"/>
        </w:rPr>
      </w:pPr>
      <w:r>
        <w:rPr>
          <w:rFonts w:hint="eastAsia" w:ascii="仿宋" w:hAnsi="仿宋" w:eastAsia="仿宋" w:cs="仿宋"/>
          <w:color w:val="auto"/>
          <w:kern w:val="0"/>
          <w:sz w:val="24"/>
        </w:rPr>
        <w:t>提供参保人、非参保人、医保行业专家等进行身份注册。</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（2）单位用户注册</w:t>
      </w:r>
    </w:p>
    <w:p>
      <w:pPr>
        <w:adjustRightInd w:val="0"/>
        <w:spacing w:line="360" w:lineRule="auto"/>
        <w:ind w:left="193" w:leftChars="92" w:firstLine="556" w:firstLineChars="232"/>
        <w:textAlignment w:val="baseline"/>
        <w:rPr>
          <w:rFonts w:ascii="仿宋" w:hAnsi="仿宋" w:eastAsia="仿宋" w:cs="仿宋"/>
          <w:color w:val="auto"/>
          <w:kern w:val="0"/>
          <w:sz w:val="24"/>
        </w:rPr>
      </w:pPr>
      <w:r>
        <w:rPr>
          <w:rFonts w:hint="eastAsia" w:ascii="仿宋" w:hAnsi="仿宋" w:eastAsia="仿宋" w:cs="仿宋"/>
          <w:color w:val="auto"/>
          <w:kern w:val="0"/>
          <w:sz w:val="24"/>
        </w:rPr>
        <w:t>包括单位/生产流通企业注册以及单位/生产流通企业用户注册的功能。</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（3）定点医疗机构用户注册</w:t>
      </w:r>
    </w:p>
    <w:p>
      <w:pPr>
        <w:adjustRightInd w:val="0"/>
        <w:spacing w:line="360" w:lineRule="auto"/>
        <w:ind w:left="193" w:leftChars="92" w:firstLine="556" w:firstLineChars="232"/>
        <w:textAlignment w:val="baseline"/>
        <w:rPr>
          <w:rFonts w:ascii="仿宋" w:hAnsi="仿宋" w:eastAsia="仿宋" w:cs="仿宋"/>
          <w:color w:val="auto"/>
          <w:kern w:val="0"/>
          <w:sz w:val="24"/>
        </w:rPr>
      </w:pPr>
      <w:r>
        <w:rPr>
          <w:rFonts w:hint="eastAsia" w:ascii="仿宋" w:hAnsi="仿宋" w:eastAsia="仿宋" w:cs="仿宋"/>
          <w:color w:val="auto"/>
          <w:kern w:val="0"/>
          <w:sz w:val="24"/>
        </w:rPr>
        <w:t>包括定点医疗机构注册以及定点医疗机构用户注册的功能。</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（4）代办机构用户注册</w:t>
      </w:r>
    </w:p>
    <w:p>
      <w:pPr>
        <w:adjustRightInd w:val="0"/>
        <w:spacing w:line="360" w:lineRule="auto"/>
        <w:ind w:left="193" w:leftChars="92" w:firstLine="556" w:firstLineChars="232"/>
        <w:textAlignment w:val="baseline"/>
        <w:rPr>
          <w:rFonts w:ascii="仿宋" w:hAnsi="仿宋" w:eastAsia="仿宋" w:cs="仿宋"/>
          <w:color w:val="auto"/>
          <w:kern w:val="0"/>
          <w:sz w:val="24"/>
        </w:rPr>
      </w:pPr>
      <w:r>
        <w:rPr>
          <w:rFonts w:hint="eastAsia" w:ascii="仿宋" w:hAnsi="仿宋" w:eastAsia="仿宋" w:cs="仿宋"/>
          <w:color w:val="auto"/>
          <w:kern w:val="0"/>
          <w:sz w:val="24"/>
        </w:rPr>
        <w:t>包括代办机构注册以及代办机构用户注册的功能。</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（5）商业保险公司用户注册</w:t>
      </w:r>
    </w:p>
    <w:p>
      <w:pPr>
        <w:adjustRightInd w:val="0"/>
        <w:spacing w:line="360" w:lineRule="auto"/>
        <w:ind w:left="193" w:leftChars="92" w:firstLine="556" w:firstLineChars="232"/>
        <w:textAlignment w:val="baseline"/>
        <w:rPr>
          <w:rFonts w:ascii="仿宋" w:hAnsi="仿宋" w:eastAsia="仿宋" w:cs="仿宋"/>
          <w:color w:val="auto"/>
          <w:kern w:val="0"/>
          <w:sz w:val="24"/>
        </w:rPr>
      </w:pPr>
      <w:r>
        <w:rPr>
          <w:rFonts w:hint="eastAsia" w:ascii="仿宋" w:hAnsi="仿宋" w:eastAsia="仿宋" w:cs="仿宋"/>
          <w:color w:val="auto"/>
          <w:kern w:val="0"/>
          <w:sz w:val="24"/>
        </w:rPr>
        <w:t>包括商业保险公司注册以及商业保险公司用户注册的功能。</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（6）照护机构用户注册</w:t>
      </w:r>
    </w:p>
    <w:p>
      <w:pPr>
        <w:adjustRightInd w:val="0"/>
        <w:spacing w:line="360" w:lineRule="auto"/>
        <w:ind w:left="193" w:leftChars="92" w:firstLine="556" w:firstLineChars="232"/>
        <w:textAlignment w:val="baseline"/>
        <w:rPr>
          <w:rFonts w:ascii="仿宋" w:hAnsi="仿宋" w:eastAsia="仿宋" w:cs="仿宋"/>
          <w:color w:val="auto"/>
          <w:kern w:val="0"/>
          <w:sz w:val="24"/>
        </w:rPr>
      </w:pPr>
      <w:r>
        <w:rPr>
          <w:rFonts w:hint="eastAsia" w:ascii="仿宋" w:hAnsi="仿宋" w:eastAsia="仿宋" w:cs="仿宋"/>
          <w:color w:val="auto"/>
          <w:kern w:val="0"/>
          <w:sz w:val="24"/>
        </w:rPr>
        <w:t>包括照护机构用户注册的功能。</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（7）用户生物特征采集及算法</w:t>
      </w:r>
    </w:p>
    <w:p>
      <w:pPr>
        <w:adjustRightInd w:val="0"/>
        <w:spacing w:line="360" w:lineRule="auto"/>
        <w:ind w:left="193" w:leftChars="92" w:firstLine="556" w:firstLineChars="232"/>
        <w:textAlignment w:val="baseline"/>
        <w:rPr>
          <w:rFonts w:ascii="仿宋" w:hAnsi="仿宋" w:eastAsia="仿宋" w:cs="仿宋"/>
          <w:color w:val="auto"/>
          <w:kern w:val="0"/>
          <w:sz w:val="24"/>
        </w:rPr>
      </w:pPr>
      <w:r>
        <w:rPr>
          <w:rFonts w:hint="eastAsia" w:ascii="仿宋" w:hAnsi="仿宋" w:eastAsia="仿宋" w:cs="仿宋"/>
          <w:color w:val="auto"/>
          <w:kern w:val="0"/>
          <w:sz w:val="24"/>
        </w:rPr>
        <w:t>对用户的人脸特征数据、指纹特征数据等进行采集及算法。</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（8）登录</w:t>
      </w:r>
    </w:p>
    <w:p>
      <w:pPr>
        <w:adjustRightInd w:val="0"/>
        <w:spacing w:line="360" w:lineRule="auto"/>
        <w:ind w:left="193" w:leftChars="92" w:firstLine="556" w:firstLineChars="232"/>
        <w:textAlignment w:val="baseline"/>
        <w:rPr>
          <w:rFonts w:ascii="仿宋" w:hAnsi="仿宋" w:eastAsia="仿宋" w:cs="仿宋"/>
          <w:color w:val="auto"/>
          <w:kern w:val="0"/>
          <w:sz w:val="24"/>
        </w:rPr>
      </w:pPr>
      <w:r>
        <w:rPr>
          <w:rFonts w:hint="eastAsia" w:ascii="仿宋" w:hAnsi="仿宋" w:eastAsia="仿宋" w:cs="仿宋"/>
          <w:color w:val="auto"/>
          <w:kern w:val="0"/>
          <w:sz w:val="24"/>
        </w:rPr>
        <w:t>提供公众、单位、生产、流通企业、定点医疗机构、代办机构、商业保险公司用户，以及经办人员登录的功能。</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（9）用户基本信息管理</w:t>
      </w:r>
    </w:p>
    <w:p>
      <w:pPr>
        <w:adjustRightInd w:val="0"/>
        <w:spacing w:line="360" w:lineRule="auto"/>
        <w:ind w:left="193" w:leftChars="92" w:firstLine="556" w:firstLineChars="232"/>
        <w:textAlignment w:val="baseline"/>
        <w:rPr>
          <w:rFonts w:ascii="仿宋" w:hAnsi="仿宋" w:eastAsia="仿宋" w:cs="仿宋"/>
          <w:color w:val="auto"/>
          <w:kern w:val="0"/>
          <w:sz w:val="24"/>
        </w:rPr>
      </w:pPr>
      <w:r>
        <w:rPr>
          <w:rFonts w:hint="eastAsia" w:ascii="仿宋" w:hAnsi="仿宋" w:eastAsia="仿宋" w:cs="仿宋"/>
          <w:color w:val="auto"/>
          <w:kern w:val="0"/>
          <w:sz w:val="24"/>
        </w:rPr>
        <w:t>提供用户信息管理（昵称、手机号、家庭成员）、用户身份证管理、用户电子身份凭证管理、用户生物信息管理、用户口令管理、用户数字证书管理、密码找回等功能。</w:t>
      </w:r>
    </w:p>
    <w:p>
      <w:pPr>
        <w:numPr>
          <w:ilvl w:val="2"/>
          <w:numId w:val="41"/>
        </w:numPr>
        <w:spacing w:line="360" w:lineRule="auto"/>
        <w:rPr>
          <w:rFonts w:ascii="仿宋" w:hAnsi="仿宋" w:eastAsia="仿宋" w:cs="仿宋"/>
          <w:b/>
          <w:color w:val="auto"/>
          <w:sz w:val="24"/>
        </w:rPr>
      </w:pPr>
      <w:bookmarkStart w:id="499" w:name="_Toc40898781"/>
      <w:r>
        <w:rPr>
          <w:rFonts w:hint="eastAsia" w:ascii="仿宋" w:hAnsi="仿宋" w:eastAsia="仿宋" w:cs="仿宋"/>
          <w:b/>
          <w:color w:val="auto"/>
          <w:sz w:val="24"/>
        </w:rPr>
        <w:t>AAA管理</w:t>
      </w:r>
      <w:bookmarkEnd w:id="499"/>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（1）统一账户管理</w:t>
      </w:r>
    </w:p>
    <w:p>
      <w:pPr>
        <w:adjustRightInd w:val="0"/>
        <w:spacing w:line="360" w:lineRule="auto"/>
        <w:ind w:left="193" w:leftChars="92" w:firstLine="556" w:firstLineChars="232"/>
        <w:textAlignment w:val="baseline"/>
        <w:rPr>
          <w:rFonts w:ascii="仿宋" w:hAnsi="仿宋" w:eastAsia="仿宋" w:cs="仿宋"/>
          <w:color w:val="auto"/>
          <w:kern w:val="0"/>
          <w:sz w:val="24"/>
        </w:rPr>
      </w:pPr>
      <w:r>
        <w:rPr>
          <w:rFonts w:hint="eastAsia" w:ascii="仿宋" w:hAnsi="仿宋" w:eastAsia="仿宋" w:cs="仿宋"/>
          <w:color w:val="auto"/>
          <w:kern w:val="0"/>
          <w:sz w:val="24"/>
        </w:rPr>
        <w:t>对注册、登录用户的账户进行统一管理。</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（2）统一实名认证管理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ab/>
      </w:r>
      <w:r>
        <w:rPr>
          <w:rFonts w:hint="eastAsia" w:ascii="仿宋" w:hAnsi="仿宋" w:eastAsia="仿宋" w:cs="仿宋"/>
          <w:color w:val="auto"/>
          <w:kern w:val="0"/>
          <w:sz w:val="24"/>
        </w:rPr>
        <w:t>提供口令认证、电子身份凭证认证、身份证认证、生物识别认证、数字证书认证、短信认证、组合认证等功能。</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（3）统一鉴权管理</w:t>
      </w:r>
    </w:p>
    <w:p>
      <w:pPr>
        <w:adjustRightInd w:val="0"/>
        <w:spacing w:line="360" w:lineRule="auto"/>
        <w:ind w:left="193" w:leftChars="92" w:firstLine="556" w:firstLineChars="232"/>
        <w:textAlignment w:val="baseline"/>
        <w:rPr>
          <w:rFonts w:ascii="仿宋" w:hAnsi="仿宋" w:eastAsia="仿宋" w:cs="仿宋"/>
          <w:color w:val="auto"/>
          <w:kern w:val="0"/>
          <w:sz w:val="24"/>
        </w:rPr>
      </w:pPr>
      <w:r>
        <w:rPr>
          <w:rFonts w:hint="eastAsia" w:ascii="仿宋" w:hAnsi="仿宋" w:eastAsia="仿宋" w:cs="仿宋"/>
          <w:color w:val="auto"/>
          <w:kern w:val="0"/>
          <w:sz w:val="24"/>
        </w:rPr>
        <w:t>通过调用统一身份识别提供的身份信息与角色和权限管理提供的权限信息相比对，实现对于需要访问处理的业务和数据的鉴权。</w:t>
      </w:r>
    </w:p>
    <w:p>
      <w:pPr>
        <w:numPr>
          <w:ilvl w:val="2"/>
          <w:numId w:val="41"/>
        </w:numPr>
        <w:spacing w:line="360" w:lineRule="auto"/>
        <w:rPr>
          <w:rFonts w:ascii="仿宋" w:hAnsi="仿宋" w:eastAsia="仿宋" w:cs="仿宋"/>
          <w:b/>
          <w:color w:val="auto"/>
          <w:sz w:val="24"/>
        </w:rPr>
      </w:pPr>
      <w:bookmarkStart w:id="500" w:name="_Toc40898782"/>
      <w:r>
        <w:rPr>
          <w:rFonts w:hint="eastAsia" w:ascii="仿宋" w:hAnsi="仿宋" w:eastAsia="仿宋" w:cs="仿宋"/>
          <w:b/>
          <w:color w:val="auto"/>
          <w:sz w:val="24"/>
        </w:rPr>
        <w:t>角色管理</w:t>
      </w:r>
      <w:bookmarkEnd w:id="500"/>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（1）用户角色管理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对独立个人用户提供个人用户角色管理功能。</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（2）家庭角色管理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对符合家庭条件用户提供家庭用户角色管理功能。</w:t>
      </w:r>
    </w:p>
    <w:p>
      <w:pPr>
        <w:numPr>
          <w:ilvl w:val="2"/>
          <w:numId w:val="41"/>
        </w:numPr>
        <w:spacing w:line="360" w:lineRule="auto"/>
        <w:rPr>
          <w:rFonts w:ascii="仿宋" w:hAnsi="仿宋" w:eastAsia="仿宋" w:cs="仿宋"/>
          <w:b/>
          <w:color w:val="auto"/>
          <w:sz w:val="24"/>
        </w:rPr>
      </w:pPr>
      <w:bookmarkStart w:id="501" w:name="_Toc40898783"/>
      <w:r>
        <w:rPr>
          <w:rFonts w:hint="eastAsia" w:ascii="仿宋" w:hAnsi="仿宋" w:eastAsia="仿宋" w:cs="仿宋"/>
          <w:b/>
          <w:color w:val="auto"/>
          <w:sz w:val="24"/>
        </w:rPr>
        <w:t>权限管理</w:t>
      </w:r>
      <w:bookmarkEnd w:id="501"/>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（1）业务权限管理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系统提供针对业务模块权限管理功能。</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（2）数据权限管理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提供针对数据内容权限管理功能。</w:t>
      </w:r>
    </w:p>
    <w:p>
      <w:pPr>
        <w:numPr>
          <w:ilvl w:val="2"/>
          <w:numId w:val="41"/>
        </w:numPr>
        <w:spacing w:line="360" w:lineRule="auto"/>
        <w:rPr>
          <w:rFonts w:ascii="仿宋" w:hAnsi="仿宋" w:eastAsia="仿宋" w:cs="仿宋"/>
          <w:b/>
          <w:color w:val="auto"/>
          <w:sz w:val="24"/>
        </w:rPr>
      </w:pPr>
      <w:bookmarkStart w:id="502" w:name="_Toc40898784"/>
      <w:r>
        <w:rPr>
          <w:rFonts w:hint="eastAsia" w:ascii="仿宋" w:hAnsi="仿宋" w:eastAsia="仿宋" w:cs="仿宋"/>
          <w:b/>
          <w:color w:val="auto"/>
          <w:sz w:val="24"/>
        </w:rPr>
        <w:t>商业保险服务大厅</w:t>
      </w:r>
      <w:bookmarkEnd w:id="502"/>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（1）商业保险管理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对商业保险新增、商业保险变更进行管理。</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（2）商业保险公司管理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对商业保险公司新增和商业保险公司变更进行管理。</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（3）商业保险参保关系管理</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对商业保险参保/退保和商业保险理赔进行管理。</w:t>
      </w:r>
    </w:p>
    <w:p>
      <w:pPr>
        <w:spacing w:line="360" w:lineRule="auto"/>
        <w:ind w:firstLine="482" w:firstLineChars="200"/>
        <w:rPr>
          <w:rFonts w:ascii="仿宋" w:hAnsi="仿宋" w:eastAsia="仿宋" w:cs="仿宋"/>
          <w:b/>
          <w:color w:val="auto"/>
          <w:sz w:val="24"/>
        </w:rPr>
      </w:pPr>
      <w:bookmarkStart w:id="503" w:name="_Toc40898785"/>
      <w:r>
        <w:rPr>
          <w:rFonts w:hint="eastAsia" w:ascii="仿宋" w:hAnsi="仿宋" w:eastAsia="仿宋" w:cs="仿宋"/>
          <w:b/>
          <w:color w:val="auto"/>
          <w:sz w:val="24"/>
        </w:rPr>
        <w:t>6.1.12参保单位服务</w:t>
      </w:r>
      <w:bookmarkEnd w:id="503"/>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（1）单位参保登记</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为单位办理参保登记业务。</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1）申请人在单位参保登记申请页面发起单位参保登记申请请求并在页面上提交相关信息和材料；</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2）申请页面上接收申请人提交的信息和资料通过服务事项控制逻辑调用单位参保登记业务逻辑执行单位参保登记；</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3）单位参保登记申请业务逻辑调用中台服务单位服务中心的单位参保登记服务和业务网关，查询是否已有该单位的参保信息，如果查询到相关数据则说明可以上网登记信息无需重复提交申请，业务逻辑直接返回开户成功信息，如果未查询到相关信息则被告知不能办理的原因；</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4）对于成功提交的申请在保存到相应数据库后，通过业务网关将其发送给经办管理子系统进行相应处理，并等待处理结果；</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5）经办管理子系统将单位参保登记的处理结果通过业务网关发给单位参保登记业务逻辑，由其更新状态，并将处理结果反馈到单位参保登记页面供申请人查看。</w:t>
      </w:r>
    </w:p>
    <w:p>
      <w:pPr>
        <w:adjustRightInd w:val="0"/>
        <w:spacing w:line="360" w:lineRule="auto"/>
        <w:ind w:firstLine="360" w:firstLineChars="150"/>
        <w:textAlignment w:val="baseline"/>
        <w:rPr>
          <w:rFonts w:ascii="仿宋" w:hAnsi="仿宋" w:eastAsia="仿宋" w:cs="仿宋"/>
          <w:color w:val="auto"/>
          <w:kern w:val="0"/>
          <w:sz w:val="24"/>
        </w:rPr>
      </w:pPr>
      <w:r>
        <w:rPr>
          <w:rFonts w:hint="eastAsia" w:ascii="仿宋" w:hAnsi="仿宋" w:eastAsia="仿宋" w:cs="仿宋"/>
          <w:color w:val="auto"/>
          <w:kern w:val="0"/>
          <w:sz w:val="24"/>
        </w:rPr>
        <w:t>（2）参保单位注销</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单位注销后，办理参保注销业务。</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1）申请人在参保单位注销页面发起参保单位注销申请请求并在页面上提交相关信息和材料；</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2）申请页面上接收申请人提交的信息和资料通过服务事项控制逻辑调用参保单位注销业务逻辑执行参保单位注销；</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3）单位参保单位注销业务逻辑调用中台服务单位服务中心的参保单位注销服务和业务网关，查询材料是否合格，如果合格则直接办理参保单位社会保险注销手续，业务逻辑直接返回注销成功提示，如果未查询到相关信息则被告知不能办理的原因；</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4）对于成功提交的申请在保存到相应数据库后，通过业务网关将其发送给经办管理子系统进行相应处理，并等待处理结果；</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⑤经办管理子系统将参保单位注销的处理结果通过业务网关发给参保单位注销业务逻辑，由其更新状态，并将处理结果反馈到参保单位注销页面供申请人查看。</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（3）职工参保登记</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为单位职工办理参保登记业务。</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（4）单位信息变更</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单位信息变更后，可以直接修改信息，需要审核的，经过审核后变更成功。</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（5）退休申请</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职工退休后，提交退休申请。</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（6）缴费申报与变更</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单位进行缴费申报和变更。</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（7）参保人员增减申报</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单位人事变动，需要进行参保人远增减的申报业务。</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（8）延缴申报</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需要延迟缴费的可以进行申报。</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（9）补缴申报</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若未及时缴费，可以进行补缴申报。</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（10）单位参保证明查询打印</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输入单位信息查询参保信息并打印。</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（11）单位缴费查询打印</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输入相关信息查询打印查询结果。</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（12）单位退费</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若单位多缴费用或者缴费基数进行调整，则申请退费。</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（13）业务报表查询和打印</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查询相关业务信息并进行打印。</w:t>
      </w:r>
    </w:p>
    <w:p>
      <w:pPr>
        <w:spacing w:line="360" w:lineRule="auto"/>
        <w:ind w:firstLine="482" w:firstLineChars="200"/>
        <w:rPr>
          <w:rFonts w:ascii="仿宋" w:hAnsi="仿宋" w:eastAsia="仿宋" w:cs="仿宋"/>
          <w:b/>
          <w:color w:val="auto"/>
          <w:sz w:val="24"/>
        </w:rPr>
      </w:pPr>
      <w:bookmarkStart w:id="504" w:name="_Toc40898786"/>
      <w:r>
        <w:rPr>
          <w:rFonts w:hint="eastAsia" w:ascii="仿宋" w:hAnsi="仿宋" w:eastAsia="仿宋" w:cs="仿宋"/>
          <w:b/>
          <w:color w:val="auto"/>
          <w:sz w:val="24"/>
        </w:rPr>
        <w:t>6.1.13个人服务</w:t>
      </w:r>
      <w:bookmarkEnd w:id="504"/>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（1）城乡居民参保登记</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提供城乡居民参保登记渠道，并提供该项服务进度查询，最终反馈结果。</w:t>
      </w:r>
    </w:p>
    <w:p>
      <w:pPr>
        <w:keepNext/>
        <w:adjustRightInd w:val="0"/>
        <w:spacing w:line="360" w:lineRule="auto"/>
        <w:textAlignment w:val="baseline"/>
        <w:rPr>
          <w:rFonts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5763895" cy="6009640"/>
            <wp:effectExtent l="0" t="0" r="825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5"/>
                    <a:stretch>
                      <a:fillRect/>
                    </a:stretch>
                  </pic:blipFill>
                  <pic:spPr>
                    <a:xfrm>
                      <a:off x="0" y="0"/>
                      <a:ext cx="5763895" cy="6009640"/>
                    </a:xfrm>
                    <a:prstGeom prst="rect">
                      <a:avLst/>
                    </a:prstGeom>
                    <a:noFill/>
                    <a:ln>
                      <a:noFill/>
                    </a:ln>
                  </pic:spPr>
                </pic:pic>
              </a:graphicData>
            </a:graphic>
          </wp:inline>
        </w:drawing>
      </w:r>
    </w:p>
    <w:p>
      <w:pPr>
        <w:adjustRightInd w:val="0"/>
        <w:spacing w:line="360" w:lineRule="auto"/>
        <w:ind w:firstLine="482" w:firstLineChars="200"/>
        <w:jc w:val="center"/>
        <w:textAlignment w:val="baseline"/>
        <w:rPr>
          <w:rFonts w:ascii="仿宋" w:hAnsi="仿宋" w:eastAsia="仿宋" w:cs="仿宋"/>
          <w:b/>
          <w:color w:val="auto"/>
          <w:kern w:val="0"/>
          <w:sz w:val="24"/>
        </w:rPr>
      </w:pPr>
      <w:r>
        <w:rPr>
          <w:rFonts w:hint="eastAsia" w:ascii="仿宋" w:hAnsi="仿宋" w:eastAsia="仿宋" w:cs="仿宋"/>
          <w:b/>
          <w:color w:val="auto"/>
          <w:kern w:val="0"/>
          <w:sz w:val="24"/>
        </w:rPr>
        <w:t>城乡居民参保登记时序图</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居民参保申请系统功能描述：</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1）居民用户在个人网厅办事页面选择居民参保发起参保申请，并提交相关材料；</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2）申请页面接收用户提交的材料后通过服务事项控制逻辑调用居民参保申请业务逻辑执行居民参保申请；</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居民参保申请业务逻辑调用业务中台个人服务中心的居民参保申请服务和业务网关，查询核心业务区是否已有该居民的参保信息，如果查询到相关数据则说明申请人已经成为了参保人无需重复提交申请，业务逻辑直接返回重复申请相关提示结果，如果未查询到相关信息则说明申请人还未成为参保人，业务逻辑返回申请提交成功提示；</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4）对于成功提交的申请在保存到相应数据库后，通过业务网关将其发送给经办管理子系统进行相应处理，并等待处理结果；</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5）经办管理子系统将申请的处理结果通过业务网关发送给关键信息变更业务逻辑，由其更新申请状态，并将相应结果反馈到信息提示页面供申请人查看。</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（2）个人基本信息变更</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个人信息发生变更需要进行信息变更。</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（3）个人敏感信息变更</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个人敏感发生变更需要进行信息变更。</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（4）个人权益记录查询打印</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权益记录查询及打印。</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（5）个人缴费记录查询打印</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缴费记录信息查询和打印。</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（6）参保缴费信息查询与核验</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个人参保缴费信息查询。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（7）个人待遇资格申报</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根据个人情况，申请相应的医疗待遇。</w:t>
      </w:r>
    </w:p>
    <w:p>
      <w:pPr>
        <w:keepNext/>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5763260" cy="7624445"/>
            <wp:effectExtent l="0" t="0" r="8890" b="146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6"/>
                    <a:stretch>
                      <a:fillRect/>
                    </a:stretch>
                  </pic:blipFill>
                  <pic:spPr>
                    <a:xfrm>
                      <a:off x="0" y="0"/>
                      <a:ext cx="5763260" cy="7624445"/>
                    </a:xfrm>
                    <a:prstGeom prst="rect">
                      <a:avLst/>
                    </a:prstGeom>
                    <a:noFill/>
                    <a:ln>
                      <a:noFill/>
                    </a:ln>
                  </pic:spPr>
                </pic:pic>
              </a:graphicData>
            </a:graphic>
          </wp:inline>
        </w:drawing>
      </w:r>
    </w:p>
    <w:p>
      <w:pPr>
        <w:adjustRightInd w:val="0"/>
        <w:spacing w:line="360" w:lineRule="auto"/>
        <w:ind w:firstLine="602" w:firstLineChars="250"/>
        <w:jc w:val="center"/>
        <w:textAlignment w:val="baseline"/>
        <w:rPr>
          <w:rFonts w:ascii="仿宋" w:hAnsi="仿宋" w:eastAsia="仿宋" w:cs="仿宋"/>
          <w:b/>
          <w:color w:val="auto"/>
          <w:kern w:val="0"/>
          <w:sz w:val="24"/>
        </w:rPr>
      </w:pPr>
      <w:r>
        <w:rPr>
          <w:rFonts w:hint="eastAsia" w:ascii="仿宋" w:hAnsi="仿宋" w:eastAsia="仿宋" w:cs="仿宋"/>
          <w:b/>
          <w:color w:val="auto"/>
          <w:kern w:val="0"/>
          <w:sz w:val="24"/>
        </w:rPr>
        <w:t>个人待遇资格申报时序图</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个人待遇资格申报系统功能描述：</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1）已成为参保人的用户在个人网厅办事页面选择个人待遇资格申报发起申请，并提交相关材料；</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2）申请页面接收用户提交的材料后通过服务事项控制逻辑调用个人待遇资格申报业务逻辑执行个人待遇资格申报；</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个人待遇资格申报业务逻辑调用业务网关，查询核心业务区是否已有该人员所申报的待遇资格信息，如果查询到相关数据则说明申请人已经成成功申请了该待遇无需重复提交申请，业务逻辑直接返回重复申请相关提示结果，如果未查询到相关信息则说明申请人还未成功申请该待遇，业务逻辑返回申请提交成功提示；</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4）对于成功提交的申请在保存到相应数据库后，通过业务网关将其发送给经办管理子系统进行相应处理，并等待处理结果；</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5）经办管理子系统将申请的处理结果通过业务网关发送给关键信息变更业务逻辑，由其更新申请状态，并将相应结果反馈到信息提示页面供申请人查看。</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（8）异地就医网上查询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提供业务渠道，并提供该项服务进度查询，最终反馈结果。</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（9）异地就医经办</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查询异地就医信息等。</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（10）电子发票打印管理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打印个人的电子票据。</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（11）个人参保登记（灵活就业人员）</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为灵活就业人员提参保登记业务。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灵活就业人员参保申请系统功能描述：</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1）灵活就业人员用户在个人网厅办事页面选择灵活就业人员参保发起参保申请，并提交相关材料；</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2）申请页面接收用户提交的材料后通过服务事项控制逻辑调用灵活就业人员参保申请业务逻辑执行灵活就业人员参保申请；</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灵活就业人员参保申请业务逻辑调用业务中台个人服务中心的灵活就业人员参保申请服务和业务网关，查询核心业务区是否已有该人员的参保信息，如果查询到相关数据则说明申请人已经成为了参保人无需重复提交申请，业务逻辑直接返回重复申请相关提示结果，如果未查询到相关信息则说明申请人还未成为参保人，业务逻辑返回申请提交成功提示；</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4）对于成功提交的申请在保存到相应数据库后，通过业务网关将其发送给经办管理子系统进行相应处理，并等待处理结果；</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5）经办管理子系统将申请的处理结果通过业务网关发送给关键信息变更业务逻辑，由其更新申请状态，并将相应结果反馈到信息提示页面供申请人查看。</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（12）个人注销（死亡/移民）</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当个人死亡或者移民，需要将个人参保信息注销。</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（13）灵活就业人员转移接续</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灵活就业人员个人参保信息发生转移，需要和之前的参保信息接续。</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（14）灵活就业人员缴费申报和变更</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灵活就业人员缴费的申报和变更。</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（15）灵活就业人员退费/补缴（季度内）</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在季度内，发生多缴或者少缴，需进行退费补缴。</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（16）灵活就业人员退休申请</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灵活就业人员退休时进行退休申请。</w:t>
      </w:r>
    </w:p>
    <w:p>
      <w:pPr>
        <w:spacing w:line="360" w:lineRule="auto"/>
        <w:ind w:firstLine="482" w:firstLineChars="200"/>
        <w:rPr>
          <w:rFonts w:ascii="仿宋" w:hAnsi="仿宋" w:eastAsia="仿宋" w:cs="仿宋"/>
          <w:b/>
          <w:color w:val="auto"/>
          <w:sz w:val="24"/>
        </w:rPr>
      </w:pPr>
      <w:bookmarkStart w:id="505" w:name="_Toc40898787"/>
      <w:r>
        <w:rPr>
          <w:rFonts w:hint="eastAsia" w:ascii="仿宋" w:hAnsi="仿宋" w:eastAsia="仿宋" w:cs="仿宋"/>
          <w:b/>
          <w:color w:val="auto"/>
          <w:sz w:val="24"/>
        </w:rPr>
        <w:t>6.1.14基层服务</w:t>
      </w:r>
      <w:bookmarkEnd w:id="505"/>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（1）医疗即时结算</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通过医保电子凭证就诊，生成缴费信息，系统进行待遇计算。</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（2）转诊转院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异地转诊人员须向就医地定点医疗机构提出申请，并办理就医备案手续。</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（3）结算对账</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基层机构可通过相关渠道对结算费用的明细进行对账。</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（4）查询统计及报表打印</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通过报表的形式展示用户的查询结果，并可以进行打印。</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（5）电子凭证密码修改</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基层用户可输入信息，系统认证身份后进行电子凭证密码的修改。</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（6）特殊审批申报</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可以通过系统进行特殊事项的申报，后台进行审批后给用户返回审批结果。</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（7）目录对照</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下载医保标准目录至本地，进行目录对照并展示对照结果。</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（8）医保数据申报</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申报医保数据包括医保基础数据、药品和医用器材生产和配送企业机构信息数据、药品和医用耗材价格数据、参保人员数据、执业人员数据、经办人员数据、经办机构数据、医疗机构数据等。</w:t>
      </w:r>
    </w:p>
    <w:p>
      <w:pPr>
        <w:spacing w:line="360" w:lineRule="auto"/>
        <w:ind w:firstLine="482" w:firstLineChars="200"/>
        <w:rPr>
          <w:rFonts w:ascii="仿宋" w:hAnsi="仿宋" w:eastAsia="仿宋" w:cs="仿宋"/>
          <w:b/>
          <w:color w:val="auto"/>
          <w:sz w:val="24"/>
        </w:rPr>
      </w:pPr>
      <w:bookmarkStart w:id="506" w:name="_Toc40898788"/>
      <w:r>
        <w:rPr>
          <w:rFonts w:hint="eastAsia" w:ascii="仿宋" w:hAnsi="仿宋" w:eastAsia="仿宋" w:cs="仿宋"/>
          <w:b/>
          <w:color w:val="auto"/>
          <w:sz w:val="24"/>
        </w:rPr>
        <w:t>6.1.15医保处方基层医疗机构流转服务</w:t>
      </w:r>
      <w:bookmarkEnd w:id="506"/>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（1）</w:t>
      </w:r>
      <w:r>
        <w:rPr>
          <w:rFonts w:hint="eastAsia" w:ascii="仿宋" w:hAnsi="仿宋" w:eastAsia="仿宋" w:cs="仿宋"/>
          <w:bCs/>
          <w:color w:val="auto"/>
          <w:kern w:val="0"/>
          <w:sz w:val="24"/>
        </w:rPr>
        <w:t>医保外购处方上传</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对于在医院就诊后有外购需求的患者，由看诊医生完成外购处方的上传及备案。</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（2）</w:t>
      </w:r>
      <w:r>
        <w:rPr>
          <w:rFonts w:hint="eastAsia" w:ascii="仿宋" w:hAnsi="仿宋" w:eastAsia="仿宋" w:cs="仿宋"/>
          <w:bCs/>
          <w:color w:val="auto"/>
          <w:kern w:val="0"/>
          <w:sz w:val="24"/>
        </w:rPr>
        <w:t>处方撤销</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对于已上传但未结算的外购处方，看诊医生可发起外购处方撤销。</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（3）</w:t>
      </w:r>
      <w:r>
        <w:rPr>
          <w:rFonts w:hint="eastAsia" w:ascii="仿宋" w:hAnsi="仿宋" w:eastAsia="仿宋" w:cs="仿宋"/>
          <w:bCs/>
          <w:color w:val="auto"/>
          <w:kern w:val="0"/>
          <w:sz w:val="24"/>
        </w:rPr>
        <w:t>医保外购处方下载</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患者从医疗保障信息平台处确认并下载外购处方，平台自动校验处方真实性，调用电子凭证中心接口获取患者电子凭证，关联到处方，作为医保结算依据。</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（4）</w:t>
      </w:r>
      <w:r>
        <w:rPr>
          <w:rFonts w:hint="eastAsia" w:ascii="仿宋" w:hAnsi="仿宋" w:eastAsia="仿宋" w:cs="仿宋"/>
          <w:bCs/>
          <w:color w:val="auto"/>
          <w:kern w:val="0"/>
          <w:sz w:val="24"/>
        </w:rPr>
        <w:t>获取患者电子凭证</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根据处方中患者信息，调用电子凭证中心接口获取患者电子凭证。</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（5）</w:t>
      </w:r>
      <w:r>
        <w:rPr>
          <w:rFonts w:hint="eastAsia" w:ascii="仿宋" w:hAnsi="仿宋" w:eastAsia="仿宋" w:cs="仿宋"/>
          <w:bCs/>
          <w:color w:val="auto"/>
          <w:kern w:val="0"/>
          <w:sz w:val="24"/>
        </w:rPr>
        <w:t>处方数据初始化</w:t>
      </w:r>
    </w:p>
    <w:p>
      <w:pPr>
        <w:adjustRightInd w:val="0"/>
        <w:spacing w:line="360" w:lineRule="auto"/>
        <w:ind w:firstLine="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处方关联患者电子凭证，绑定追溯码，设置处方状态为初始化状态。</w:t>
      </w:r>
    </w:p>
    <w:p>
      <w:pPr>
        <w:adjustRightInd w:val="0"/>
        <w:spacing w:line="360" w:lineRule="auto"/>
        <w:ind w:firstLine="556" w:firstLineChars="232"/>
        <w:textAlignment w:val="baseline"/>
        <w:rPr>
          <w:rFonts w:ascii="仿宋" w:hAnsi="仿宋" w:eastAsia="仿宋" w:cs="仿宋"/>
          <w:bCs/>
          <w:color w:val="auto"/>
          <w:kern w:val="0"/>
          <w:sz w:val="24"/>
        </w:rPr>
      </w:pPr>
      <w:r>
        <w:rPr>
          <w:rFonts w:hint="eastAsia" w:ascii="仿宋" w:hAnsi="仿宋" w:eastAsia="仿宋" w:cs="仿宋"/>
          <w:color w:val="auto"/>
          <w:kern w:val="0"/>
          <w:sz w:val="24"/>
        </w:rPr>
        <w:t>（6）</w:t>
      </w:r>
      <w:r>
        <w:rPr>
          <w:rFonts w:hint="eastAsia" w:ascii="仿宋" w:hAnsi="仿宋" w:eastAsia="仿宋" w:cs="仿宋"/>
          <w:bCs/>
          <w:color w:val="auto"/>
          <w:kern w:val="0"/>
          <w:sz w:val="24"/>
        </w:rPr>
        <w:t>智能推荐</w:t>
      </w:r>
    </w:p>
    <w:p>
      <w:pPr>
        <w:adjustRightInd w:val="0"/>
        <w:spacing w:line="360" w:lineRule="auto"/>
        <w:ind w:firstLine="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根据GIS服务及患者的地理位置、处方信息智能推荐离患者最近且最实惠的定点医疗机构，推荐的医疗机构按距离从近到远，价格从低到高排序。</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（7）</w:t>
      </w:r>
      <w:r>
        <w:rPr>
          <w:rFonts w:hint="eastAsia" w:ascii="仿宋" w:hAnsi="仿宋" w:eastAsia="仿宋" w:cs="仿宋"/>
          <w:bCs/>
          <w:color w:val="auto"/>
          <w:kern w:val="0"/>
          <w:sz w:val="24"/>
        </w:rPr>
        <w:t>选择外购定点医疗机构</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患者从智能推荐的定点医疗机构选择一家，也可切换当前位置进行定位查询定点医疗机构，从中选择一家进行处方药购买。</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（8）</w:t>
      </w:r>
      <w:r>
        <w:rPr>
          <w:rFonts w:hint="eastAsia" w:ascii="仿宋" w:hAnsi="仿宋" w:eastAsia="仿宋" w:cs="仿宋"/>
          <w:bCs/>
          <w:color w:val="auto"/>
          <w:kern w:val="0"/>
          <w:sz w:val="24"/>
        </w:rPr>
        <w:t>匹配处方</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患者选择定点医疗机构，自动匹配医疗机构的药品目录。</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（9）</w:t>
      </w:r>
      <w:r>
        <w:rPr>
          <w:rFonts w:hint="eastAsia" w:ascii="仿宋" w:hAnsi="仿宋" w:eastAsia="仿宋" w:cs="仿宋"/>
          <w:bCs/>
          <w:color w:val="auto"/>
          <w:kern w:val="0"/>
          <w:sz w:val="24"/>
        </w:rPr>
        <w:t>处方药品预结算</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根据患者选择的定点医疗机构，显示当前处方在此机构的价格，并调用医保结算接口生成的预结算价格。</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（10）</w:t>
      </w:r>
      <w:r>
        <w:rPr>
          <w:rFonts w:hint="eastAsia" w:ascii="仿宋" w:hAnsi="仿宋" w:eastAsia="仿宋" w:cs="仿宋"/>
          <w:bCs/>
          <w:color w:val="auto"/>
          <w:kern w:val="0"/>
          <w:sz w:val="24"/>
        </w:rPr>
        <w:t>处方药品结算</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对患者购买处方药品产生的费用进行结算，并生成结算凭证。</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（11）</w:t>
      </w:r>
      <w:r>
        <w:rPr>
          <w:rFonts w:hint="eastAsia" w:ascii="仿宋" w:hAnsi="仿宋" w:eastAsia="仿宋" w:cs="仿宋"/>
          <w:bCs/>
          <w:color w:val="auto"/>
          <w:kern w:val="0"/>
          <w:sz w:val="24"/>
        </w:rPr>
        <w:t>处方药品结算撤销</w:t>
      </w:r>
    </w:p>
    <w:p>
      <w:pPr>
        <w:adjustRightInd w:val="0"/>
        <w:spacing w:line="360" w:lineRule="auto"/>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 xml:space="preserve">    患者购买处方药品产生的费用结算后，患者可选择撤销重新选择别的定点医疗机构购买处方药的行为操作。</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（12）</w:t>
      </w:r>
      <w:r>
        <w:rPr>
          <w:rFonts w:hint="eastAsia" w:ascii="仿宋" w:hAnsi="仿宋" w:eastAsia="仿宋" w:cs="仿宋"/>
          <w:bCs/>
          <w:color w:val="auto"/>
          <w:kern w:val="0"/>
          <w:sz w:val="24"/>
        </w:rPr>
        <w:t>处方支付</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由患者选择的定点医疗机构、处方医保药、自费药生成的支付金额，调用支付接口进行支付。</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（13）</w:t>
      </w:r>
      <w:r>
        <w:rPr>
          <w:rFonts w:hint="eastAsia" w:ascii="仿宋" w:hAnsi="仿宋" w:eastAsia="仿宋" w:cs="仿宋"/>
          <w:bCs/>
          <w:color w:val="auto"/>
          <w:kern w:val="0"/>
          <w:sz w:val="24"/>
        </w:rPr>
        <w:t>药品验收</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为了确保患者领取药品的真实性，处方在传递给定点医疗机构时，同时包含生成的二维码，定点医疗机构需要将此二维码、药品、发票、处方清单等一起打包，用户取药时，扫描二维码，将扫描出来的信息和处方信息对比正确后签收。</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（14）</w:t>
      </w:r>
      <w:r>
        <w:rPr>
          <w:rFonts w:hint="eastAsia" w:ascii="仿宋" w:hAnsi="仿宋" w:eastAsia="仿宋" w:cs="仿宋"/>
          <w:bCs/>
          <w:color w:val="auto"/>
          <w:kern w:val="0"/>
          <w:sz w:val="24"/>
        </w:rPr>
        <w:t>打印票据</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打印处方结算清单，调用电子发票打印接口生成票据及打印。</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（15）</w:t>
      </w:r>
      <w:r>
        <w:rPr>
          <w:rFonts w:hint="eastAsia" w:ascii="仿宋" w:hAnsi="仿宋" w:eastAsia="仿宋" w:cs="仿宋"/>
          <w:bCs/>
          <w:color w:val="auto"/>
          <w:kern w:val="0"/>
          <w:sz w:val="24"/>
        </w:rPr>
        <w:t>处方管理</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实现对不同状态的处方进行管理，并提供结算清单的查询和打印功能。</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（16）</w:t>
      </w:r>
      <w:r>
        <w:rPr>
          <w:rFonts w:hint="eastAsia" w:ascii="仿宋" w:hAnsi="仿宋" w:eastAsia="仿宋" w:cs="仿宋"/>
          <w:bCs/>
          <w:color w:val="auto"/>
          <w:kern w:val="0"/>
          <w:sz w:val="24"/>
        </w:rPr>
        <w:t>处方结算报表</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根据年、季度、月等查询条件查询出处方结算相应的统计报表。</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（17）</w:t>
      </w:r>
      <w:r>
        <w:rPr>
          <w:rFonts w:hint="eastAsia" w:ascii="仿宋" w:hAnsi="仿宋" w:eastAsia="仿宋" w:cs="仿宋"/>
          <w:bCs/>
          <w:color w:val="auto"/>
          <w:kern w:val="0"/>
          <w:sz w:val="24"/>
        </w:rPr>
        <w:t>GIS接入开发</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开发GIS服务模块，方便患者选择定点医疗机构时，根据患者地理位置搜索附近的定点医疗机构，或根据设定地理位置搜索附近的定点医疗机构，方便患者选购处方药品。</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（18）</w:t>
      </w:r>
      <w:r>
        <w:rPr>
          <w:rFonts w:hint="eastAsia" w:ascii="仿宋" w:hAnsi="仿宋" w:eastAsia="仿宋" w:cs="仿宋"/>
          <w:bCs/>
          <w:color w:val="auto"/>
          <w:kern w:val="0"/>
          <w:sz w:val="24"/>
        </w:rPr>
        <w:t>处方追溯管理</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看诊医生完成外购处方的上传后，自动生成唯一的处方追溯码，实现“一处一码，处码同追”的方向，即通过处方追溯码信息实现药品来源可查、去向可追，且对于每份处方药品的价格、每个环节处理时间、全流程处理时间、来源进行记录，发生质量安全问题时，可以确保药品可召回、责任可追究，保障患者的利益及用药安全。</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（19）</w:t>
      </w:r>
      <w:r>
        <w:rPr>
          <w:rFonts w:hint="eastAsia" w:ascii="仿宋" w:hAnsi="仿宋" w:eastAsia="仿宋" w:cs="仿宋"/>
          <w:bCs/>
          <w:color w:val="auto"/>
          <w:kern w:val="0"/>
          <w:sz w:val="24"/>
        </w:rPr>
        <w:t xml:space="preserve">药品目录查询 </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根据处方及患者选择的定点医疗机构，查询匹配该医疗机构的药品清单及价格明细。</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（20）</w:t>
      </w:r>
      <w:r>
        <w:rPr>
          <w:rFonts w:hint="eastAsia" w:ascii="仿宋" w:hAnsi="仿宋" w:eastAsia="仿宋" w:cs="仿宋"/>
          <w:bCs/>
          <w:color w:val="auto"/>
          <w:kern w:val="0"/>
          <w:sz w:val="24"/>
        </w:rPr>
        <w:t>医院流转处方统计分析</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对医院的流转处方量、医师流转处方量、药品进行统计，并通过增长、数量、时间等维度进行统计分析。</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（21）</w:t>
      </w:r>
      <w:r>
        <w:rPr>
          <w:rFonts w:hint="eastAsia" w:ascii="仿宋" w:hAnsi="仿宋" w:eastAsia="仿宋" w:cs="仿宋"/>
          <w:bCs/>
          <w:color w:val="auto"/>
          <w:kern w:val="0"/>
          <w:sz w:val="24"/>
        </w:rPr>
        <w:t xml:space="preserve">定点机构统计分析 </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对定点医疗机构的处方量、药品进行统计，并通过增长量、数量、处理时长等维度进行分析。</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（22）</w:t>
      </w:r>
      <w:r>
        <w:rPr>
          <w:rFonts w:hint="eastAsia" w:ascii="仿宋" w:hAnsi="仿宋" w:eastAsia="仿宋" w:cs="仿宋"/>
          <w:bCs/>
          <w:color w:val="auto"/>
          <w:kern w:val="0"/>
          <w:sz w:val="24"/>
        </w:rPr>
        <w:t>处方外购患者统计分析</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依据外购处方及患者的地址、年龄等元素进行统计分析。</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（23）</w:t>
      </w:r>
      <w:r>
        <w:rPr>
          <w:rFonts w:hint="eastAsia" w:ascii="仿宋" w:hAnsi="仿宋" w:eastAsia="仿宋" w:cs="仿宋"/>
          <w:bCs/>
          <w:color w:val="auto"/>
          <w:kern w:val="0"/>
          <w:sz w:val="24"/>
        </w:rPr>
        <w:t>特殊药品处方外购统计分析</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根据处方外购麻、精、毒、放等特殊类药品，以及处方上传的医院、定点医疗机构、患者、地理分布等元素进行统计分析。</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（24）</w:t>
      </w:r>
      <w:r>
        <w:rPr>
          <w:rFonts w:hint="eastAsia" w:ascii="仿宋" w:hAnsi="仿宋" w:eastAsia="仿宋" w:cs="仿宋"/>
          <w:bCs/>
          <w:color w:val="auto"/>
          <w:kern w:val="0"/>
          <w:sz w:val="24"/>
        </w:rPr>
        <w:t>处方跟踪分析</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处方流转到平台，根据用户支付、药品验收等环节对处方信息进行记录统计，并标记出现异常的环节。</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（25）</w:t>
      </w:r>
      <w:r>
        <w:rPr>
          <w:rFonts w:hint="eastAsia" w:ascii="仿宋" w:hAnsi="仿宋" w:eastAsia="仿宋" w:cs="仿宋"/>
          <w:bCs/>
          <w:color w:val="auto"/>
          <w:kern w:val="0"/>
          <w:sz w:val="24"/>
        </w:rPr>
        <w:t>处方费用汇总查询</w:t>
      </w:r>
    </w:p>
    <w:p>
      <w:pPr>
        <w:adjustRightInd w:val="0"/>
        <w:spacing w:line="360" w:lineRule="auto"/>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 xml:space="preserve">    患者购买处方药产生的费用汇总查询功能。</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（26）</w:t>
      </w:r>
      <w:r>
        <w:rPr>
          <w:rFonts w:hint="eastAsia" w:ascii="仿宋" w:hAnsi="仿宋" w:eastAsia="仿宋" w:cs="仿宋"/>
          <w:bCs/>
          <w:color w:val="auto"/>
          <w:kern w:val="0"/>
          <w:sz w:val="24"/>
        </w:rPr>
        <w:t>处方费用明细查询</w:t>
      </w:r>
    </w:p>
    <w:p>
      <w:pPr>
        <w:adjustRightInd w:val="0"/>
        <w:spacing w:line="360" w:lineRule="auto"/>
        <w:ind w:firstLine="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患者处方外购药品后生成的费用明细对账功能。</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（27）</w:t>
      </w:r>
      <w:r>
        <w:rPr>
          <w:rFonts w:hint="eastAsia" w:ascii="仿宋" w:hAnsi="仿宋" w:eastAsia="仿宋" w:cs="仿宋"/>
          <w:bCs/>
          <w:color w:val="auto"/>
          <w:kern w:val="0"/>
          <w:sz w:val="24"/>
        </w:rPr>
        <w:t>定点医疗机构对接接口</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为了确认上传的处方真实性及药品查询等功能，需要对接各医疗机构基本信息、药品目录信息、处方完整信息、患者身份信息、医师信息、药师信息、诊断信息等接口。</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（28）</w:t>
      </w:r>
      <w:r>
        <w:rPr>
          <w:rFonts w:hint="eastAsia" w:ascii="仿宋" w:hAnsi="仿宋" w:eastAsia="仿宋" w:cs="仿宋"/>
          <w:bCs/>
          <w:color w:val="auto"/>
          <w:kern w:val="0"/>
          <w:sz w:val="24"/>
        </w:rPr>
        <w:t>医保及支付接口</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包含患者医保核验接口、医保预结算及结算接口、支付接口。</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color w:val="auto"/>
          <w:kern w:val="0"/>
          <w:sz w:val="24"/>
        </w:rPr>
        <w:t>（29）</w:t>
      </w:r>
      <w:r>
        <w:rPr>
          <w:rFonts w:hint="eastAsia" w:ascii="仿宋" w:hAnsi="仿宋" w:eastAsia="仿宋" w:cs="仿宋"/>
          <w:bCs/>
          <w:color w:val="auto"/>
          <w:kern w:val="0"/>
          <w:sz w:val="24"/>
        </w:rPr>
        <w:t>其他对接接口</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bCs/>
          <w:color w:val="auto"/>
          <w:kern w:val="0"/>
          <w:sz w:val="24"/>
        </w:rPr>
        <w:t>包括电子凭证中心接口、电子票据中心打印接口、消息中心信息提醒接口。</w:t>
      </w:r>
    </w:p>
    <w:p>
      <w:pPr>
        <w:spacing w:line="360" w:lineRule="auto"/>
        <w:ind w:firstLine="482" w:firstLineChars="200"/>
        <w:rPr>
          <w:rFonts w:ascii="仿宋" w:hAnsi="仿宋" w:eastAsia="仿宋" w:cs="仿宋"/>
          <w:b/>
          <w:color w:val="auto"/>
          <w:sz w:val="24"/>
        </w:rPr>
      </w:pPr>
      <w:bookmarkStart w:id="507" w:name="_Toc40898789"/>
      <w:r>
        <w:rPr>
          <w:rFonts w:hint="eastAsia" w:ascii="仿宋" w:hAnsi="仿宋" w:eastAsia="仿宋" w:cs="仿宋"/>
          <w:b/>
          <w:color w:val="auto"/>
          <w:sz w:val="24"/>
        </w:rPr>
        <w:t>6.1.16专家库管理</w:t>
      </w:r>
      <w:bookmarkEnd w:id="507"/>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（1）专家申报登记</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提供专家申报登记业务。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专家申报功能系统功能描述：</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1）申报人在专家申报页面发起申报申请并在页面上提交相关申报信息和材料；</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2）申报页面接收申报人提交的材料后通过服务事项控制逻辑调用专家申报业务逻辑执行专家申报；</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专家申报业务逻辑查询专家信息数据库，查看申报人是否已经是专家，如果查询到相关数据则说明申报人已经成为专家，申报人重复提交申请，业务逻辑直接返回相关提示结果，如果未查询到相关信息则说明申报人未成为专家；</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4）对于未成为专家的申报人提交的申请在保存到相应数据库后，通过业务网关将其发送给经办管理子系统进行相应处理，并等待处理结果；</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5）经办管理子系统将申报申请的处理结果通过业务网关发送给专家申报业务逻辑，由其更新申报申请状态，并将相应结果反馈到专家申报页面供申报人查看。</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（2）专家信息变更</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提供专家信息变更业务。</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（3）专家注销</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提供专家账户注销业务。</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（4）专家信息查询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查询专家专业、行业、级别、职称等信息。</w:t>
      </w:r>
    </w:p>
    <w:p>
      <w:pPr>
        <w:spacing w:line="360" w:lineRule="auto"/>
        <w:ind w:firstLine="482" w:firstLineChars="200"/>
        <w:rPr>
          <w:rFonts w:ascii="仿宋" w:hAnsi="仿宋" w:eastAsia="仿宋" w:cs="仿宋"/>
          <w:b/>
          <w:color w:val="auto"/>
          <w:sz w:val="24"/>
        </w:rPr>
      </w:pPr>
      <w:bookmarkStart w:id="508" w:name="_Toc40898790"/>
      <w:r>
        <w:rPr>
          <w:rFonts w:hint="eastAsia" w:ascii="仿宋" w:hAnsi="仿宋" w:eastAsia="仿宋" w:cs="仿宋"/>
          <w:b/>
          <w:color w:val="auto"/>
          <w:sz w:val="24"/>
        </w:rPr>
        <w:t>6.1.17公共服务APP</w:t>
      </w:r>
      <w:bookmarkEnd w:id="508"/>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（1）公共查询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为用户提供账户注入情况、医保消费明细、缴费记录、灵活就业人员补缴等查询服务。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（2）便民服务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通过地图查找附近医疗机构，并提供医疗机构诊疗科目及医生坐诊情况和药品查询服务。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 就医服务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提供预约挂号、排队叫号、智能导诊、移动支付、检查报告、就医记录等服务。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 智能客服</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智能客服界面，提供系统操作和政策咨询服务。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 投诉举报</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投诉、举报界面，为公众提供诈骗举报线上途径。</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（6）角色切换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提供参保个人、医保稽查人员和医疗机构工作人员三个角色切换功能。</w:t>
      </w:r>
    </w:p>
    <w:p>
      <w:pPr>
        <w:numPr>
          <w:ilvl w:val="0"/>
          <w:numId w:val="40"/>
        </w:numPr>
        <w:adjustRightInd w:val="0"/>
        <w:spacing w:line="360" w:lineRule="auto"/>
        <w:textAlignment w:val="baseline"/>
        <w:rPr>
          <w:rFonts w:ascii="仿宋" w:hAnsi="仿宋" w:eastAsia="仿宋" w:cs="仿宋"/>
          <w:color w:val="auto"/>
          <w:kern w:val="0"/>
          <w:sz w:val="24"/>
        </w:rPr>
      </w:pPr>
      <w:r>
        <w:rPr>
          <w:rFonts w:hint="eastAsia" w:ascii="仿宋" w:hAnsi="仿宋" w:eastAsia="仿宋" w:cs="仿宋"/>
          <w:color w:val="auto"/>
          <w:kern w:val="0"/>
          <w:sz w:val="24"/>
        </w:rPr>
        <w:t>个人参保角色</w:t>
      </w:r>
    </w:p>
    <w:p>
      <w:pPr>
        <w:adjustRightInd w:val="0"/>
        <w:spacing w:line="360" w:lineRule="auto"/>
        <w:ind w:left="420" w:left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1）参保服务：为用户提供参保登记、信息变更、办事进度和医保转接服务。2）待遇服务：为用户提供零星报销服务。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3）备案服务：为用户异地就医备案、特病认定申请、转外就医申请、出国带药申请等服务。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4）查询服务：为用户提供参保信息、征缴信息、住院信息、门诊信息、门诊特殊病信息、购药信息、待遇报销信息、异地备案记录、异地就医记录、医疗救助信息等查询服务。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5）院外购药：选择定点医疗机构，系统根据处方信息计算出药品费用，线上结算，自动下载处方信息，进行药品打包。</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（8）医保稽查人员角色</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1）基金稽查：为医保监管人员提供基金稽查结果查询，不对外部人员开放。基金预警：为医保监管人员提供基金预警信息查询，不对外部人员开放。</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2）基金药品拆零：为医保监管人员提供基金药品拆零信息查询，不对外部人员开放。</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3）业务检测：为医保监管人员提供业务监测信息查询，不对外部人员开放。</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4）医护查房任务派发：根据基金预警排查出可疑患者，由管理者对医护人员派发查房任务。</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5）查房核验记录查询：据护士查房核验结果提供查询服务。</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就医身份认证监控：提供就医身份认证监控入口。</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7）进销存监管：提供进销存监管入口。</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（9）医疗机构工作人员角色</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1）医师认证：提供医师认证申请服务。</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2）护士认证：提供护士认证服务。</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3）查房核验：护士根据派发的查房任务进行查房核验。</w:t>
      </w:r>
    </w:p>
    <w:p>
      <w:pPr>
        <w:spacing w:line="360" w:lineRule="auto"/>
        <w:ind w:firstLine="482" w:firstLineChars="200"/>
        <w:rPr>
          <w:rFonts w:ascii="仿宋" w:hAnsi="仿宋" w:eastAsia="仿宋" w:cs="仿宋"/>
          <w:b/>
          <w:color w:val="auto"/>
          <w:sz w:val="24"/>
        </w:rPr>
      </w:pPr>
      <w:bookmarkStart w:id="509" w:name="_Toc40898791"/>
      <w:r>
        <w:rPr>
          <w:rFonts w:hint="eastAsia" w:ascii="仿宋" w:hAnsi="仿宋" w:eastAsia="仿宋" w:cs="仿宋"/>
          <w:b/>
          <w:color w:val="auto"/>
          <w:sz w:val="24"/>
        </w:rPr>
        <w:t>5.1.18精准服务推荐</w:t>
      </w:r>
      <w:bookmarkEnd w:id="509"/>
    </w:p>
    <w:p>
      <w:pPr>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（1）医保业务推荐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1）国家/省/市政策宣传</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实现对国家/省/市政策进行宣传。</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2）医保发展宣传</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对医保发展情况进行宣传。</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3）医保新闻推荐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定时对医保相关新闻进行推荐。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4）医保重点扶持（项目等）宣传</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通过地理位置，对国家及当地医保重点扶持（项目等）进行宣传。</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5）医保业务办理流程宣传</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实现对医保业务办理流程进行宣传。</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6）医保业务办理注意事项宣传</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实现对医保业务办理注意事项进行宣传</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7）医保业务办理地点推荐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根据用户当前位置，实现对医保业务办理地点进行精准推荐。</w:t>
      </w:r>
    </w:p>
    <w:p>
      <w:pPr>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（2）健康生活推荐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1）日常饮食注意事项推荐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通过用户大数据信息，精准推荐日常饮食注意事项。</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2）食物相克知识推荐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通过用户大数据信息，精准推荐食物相克知识。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3）养生饮食推荐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通过用户大数据信息，精准推荐养生饮食知识。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4）家常药膳推荐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通过用户大数据信息，精准推荐家常药膳知识。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5）日常运动推荐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通过用户大数据信息，精准推荐日常运动知识。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6）家庭环境保护推荐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通过用户大数据信息，精准推荐家庭环境保护知识。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7）户外运动保护措施推荐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通过用户大数据信息，精准推荐户外运动保护措施。</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8）健康出行推荐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通过用户大数据信息，精准推荐健康出行方式。</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9）健康工作状态推荐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通过用户大数据信息，精准推荐健康工作状态知识。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10）日常工作运动方式推荐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通过用户大数据信息，精准推荐日常工作运动方式。</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11）上下班路上运动方式推荐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通过用户大数据信息，精准推荐上下班路上运动方式。</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12）健康成长知识推荐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通过用户的家庭信息，精准推荐儿童健康成长知识。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13）视力保护知识推荐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通过用户的家庭信息，精准推荐儿童视力保护知识。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14）科学运动知识推荐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通过用户的家庭信息，精准推荐儿童科学运动知识。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15）营养饮食知识推荐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通过用户的家庭信息，精准推荐儿童营养饮食知识。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16）中老年科学锻炼知识推荐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通过用户大数据信息，精准推荐中老年科学锻炼知识。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17）中老年科学养生推荐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通过用户大数据信息，精准推荐中老年科学养生知识。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18）中老年定期体检计划推荐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通过用户大数据信息，精准推荐中老年定期体检计划。</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19）中老年心理健康知识推荐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通过用户大数据信息，精准推荐中老年心理健康知识。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20）中老年身体呵护知识推荐</w:t>
      </w:r>
    </w:p>
    <w:p>
      <w:pPr>
        <w:adjustRightInd w:val="0"/>
        <w:spacing w:line="360" w:lineRule="auto"/>
        <w:ind w:firstLine="42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通过用户大数据信息，精准推荐中老年身体呵护知识。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21）优生优育知识推荐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通过用户大数据信息，精准推荐优生优育知识。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22）生理健康知识推荐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根据用户基本信息，推荐生理健康知识。</w:t>
      </w:r>
    </w:p>
    <w:p>
      <w:pPr>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（3）疾病预防推荐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1）国内季节性常见疾病预防知识推荐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实现对国内季节性常见疾病预防推荐。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2）国内地域性常见疾病预防知识推荐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实现对国内地域性常见疾病预防推荐。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3）国外旅游常见疾病预防知识推荐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实现对国外旅游常见疾病预防推荐。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4）自然灾害后多发疾病预防知识推荐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实现对自然灾害后多发疾病预防推荐。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5）突发性疾病预防推荐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实现对突发性疾病预防推荐。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6）传染性疾病预防推荐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实现对传染性疾病预防推荐。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7）运动性损伤预防推荐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实现对运动性损伤预防推荐。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8）儿童/老人多发疾病预防推荐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实现对儿童/老人多发性疾病预防推荐。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9）节假日多发疾病预防</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实现节假日多发疾病预防。</w:t>
      </w:r>
    </w:p>
    <w:p>
      <w:pPr>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（4）疾病知识普及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1）传染性疾病知识普及</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实现对传染性疾病知识进行普及。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2）不同年龄多发疾病知识普及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实现对不同年龄多发疾病知识进行普及。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3）季节性疾病知识普及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实现对季节性疾病知识进行普及。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4）遗传性疾病知识普及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实现对遗传性疾病知识进行普及。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5）突发性疾病知识普及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实现对突发性疾病知识进行普及。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6）患病人群自我保护知识普及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实现对患病人群自我保护知识进行普及。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7）患病人群关爱知识普及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实现对患病人群关爱知识进行普及。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8）用药注意事项知识普及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实现对用药注意事项知识进行普及。</w:t>
      </w:r>
    </w:p>
    <w:p>
      <w:pPr>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（5）维权手段推荐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1）经典案件推荐</w:t>
      </w:r>
    </w:p>
    <w:p>
      <w:pPr>
        <w:adjustRightInd w:val="0"/>
        <w:spacing w:line="360" w:lineRule="auto"/>
        <w:textAlignment w:val="baseline"/>
        <w:rPr>
          <w:rFonts w:ascii="仿宋" w:hAnsi="仿宋" w:eastAsia="仿宋" w:cs="仿宋"/>
          <w:color w:val="auto"/>
          <w:kern w:val="0"/>
          <w:sz w:val="24"/>
        </w:rPr>
      </w:pPr>
      <w:r>
        <w:rPr>
          <w:rFonts w:hint="eastAsia" w:ascii="仿宋" w:hAnsi="仿宋" w:eastAsia="仿宋" w:cs="仿宋"/>
          <w:color w:val="auto"/>
          <w:kern w:val="0"/>
          <w:sz w:val="24"/>
        </w:rPr>
        <w:t xml:space="preserve">    实现对经典诈骗案例进行推荐。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2）维权手段推荐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实现对维权手段进行推荐。</w:t>
      </w:r>
    </w:p>
    <w:p>
      <w:pPr>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（6）医保防诈骗推荐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1）常见诈骗手段宣传</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对用户宣传常见诈骗手段。</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2）新型诈骗手段宣传</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对用户宣传新型诈骗手段。</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3）诈骗陷阱知识宣传</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对用户宣传诈骗陷阱知识。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4）经典诈骗案例推荐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宣传经典诈骗案例。</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5）防骗手段知识宣传</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针对典型诈骗方式宣传相应防骗手段。</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6）中老年人防骗手段知识宣传</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针对中老年人宣传防骗手段知识。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7）诈骗手段破解宣传</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针对典型诈骗方式宣传相应破解手段。</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8）自我保护方法推荐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宣传医保诈骗自我保护方法。</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9）诈骗举报知识科普</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宣传如何举报医保诈骗。</w:t>
      </w:r>
    </w:p>
    <w:p>
      <w:pPr>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（7）参保缴费助手</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1）非基本医疗保险推荐</w:t>
      </w:r>
    </w:p>
    <w:p>
      <w:pPr>
        <w:adjustRightInd w:val="0"/>
        <w:spacing w:line="360" w:lineRule="auto"/>
        <w:textAlignment w:val="baseline"/>
        <w:rPr>
          <w:rFonts w:ascii="仿宋" w:hAnsi="仿宋" w:eastAsia="仿宋" w:cs="仿宋"/>
          <w:color w:val="auto"/>
          <w:kern w:val="0"/>
          <w:sz w:val="24"/>
        </w:rPr>
      </w:pPr>
      <w:r>
        <w:rPr>
          <w:rFonts w:hint="eastAsia" w:ascii="仿宋" w:hAnsi="仿宋" w:eastAsia="仿宋" w:cs="仿宋"/>
          <w:color w:val="auto"/>
          <w:kern w:val="0"/>
          <w:sz w:val="24"/>
        </w:rPr>
        <w:t xml:space="preserve">    可根据用户当前健康情况，智能推荐非基本医疗保险。</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2）参保方案建议</w:t>
      </w:r>
    </w:p>
    <w:p>
      <w:pPr>
        <w:adjustRightInd w:val="0"/>
        <w:spacing w:line="360" w:lineRule="auto"/>
        <w:textAlignment w:val="baseline"/>
        <w:rPr>
          <w:rFonts w:ascii="仿宋" w:hAnsi="仿宋" w:eastAsia="仿宋" w:cs="仿宋"/>
          <w:color w:val="auto"/>
          <w:kern w:val="0"/>
          <w:sz w:val="24"/>
        </w:rPr>
      </w:pPr>
      <w:r>
        <w:rPr>
          <w:rFonts w:hint="eastAsia" w:ascii="仿宋" w:hAnsi="仿宋" w:eastAsia="仿宋" w:cs="仿宋"/>
          <w:color w:val="auto"/>
          <w:kern w:val="0"/>
          <w:sz w:val="24"/>
        </w:rPr>
        <w:t xml:space="preserve">    根据用户健康状况提供参保方案的推荐。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3）缴费基数建议</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根据用户参保状态，智能提供缴费基数建议。</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4）缴费时间建议</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根据用户参保状态，智能提供缴费时间建议。</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5）缴费方案建议</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根据用户参保状态，智能提供缴费方案建议。</w:t>
      </w:r>
    </w:p>
    <w:p>
      <w:pPr>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（8）就诊购药助手</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1）疾病初步诊断助手</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根据用户健康情况，可初步判断疾病情况。</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2）就诊医疗机构建议</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依据用户位置信息及疾病情况，为用户智能推荐就诊医疗机构信息。</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3） 就诊时间、科室建议</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依据用户位置信息及疾病情况，为用户智能推荐就诊时间、科室信息。</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4）就诊医生建议</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依据用户位置信息及疾病情况，为用户智能推荐就诊医生信息。</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5） 就诊路线建议</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依据用户位置信息及疾病情况，为用户智能规划到达医疗机构路线信息。</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6）预计诊疗花费提示</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依据用户位置信息及疾病情况，为用户智能估算医疗花费信息。</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7）购药方式建议</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根据用户疾病信息，可智能推荐处方药，并提示是否用户购买。</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8）购药数量建议</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根据用户疾病信息，可智能推荐购药数量，并提示是否用户购买。</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9）预计购药花费提示</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依据购药情况，为用户智能估算购药花费信息。</w:t>
      </w:r>
    </w:p>
    <w:p>
      <w:pPr>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（9）待遇资格申请助手</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1）待遇资格推荐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根据用户信息，可对待遇资格智能推荐，包括个人待遇资格推荐、异地就医备案推荐等。</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用户在进行待遇资格申报或待遇查询时，系统根据用户的参保类型、活动地区、家庭情况、同类型参保人选择待遇等为用户推荐可以享受且适合该用户待遇类型。</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2）待遇资格辅助办理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参保人需要办理待遇资格业务，提供对应的业务办理辅助。</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3）待遇资格办理结果提醒</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提示待遇资格办理的阶段。</w:t>
      </w:r>
    </w:p>
    <w:p>
      <w:pPr>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（10）专家咨询助手</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1）问题咨询专家推荐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根据提出的问题，匹配并咨询对应的行业专家。</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2）问题咨询知识推荐</w:t>
      </w:r>
    </w:p>
    <w:p>
      <w:pPr>
        <w:adjustRightInd w:val="0"/>
        <w:spacing w:line="360" w:lineRule="auto"/>
        <w:ind w:firstLine="480"/>
        <w:textAlignment w:val="baseline"/>
        <w:rPr>
          <w:rFonts w:ascii="仿宋" w:hAnsi="仿宋" w:eastAsia="仿宋" w:cs="仿宋"/>
          <w:color w:val="auto"/>
          <w:kern w:val="0"/>
          <w:sz w:val="24"/>
        </w:rPr>
      </w:pPr>
      <w:r>
        <w:rPr>
          <w:rFonts w:hint="eastAsia" w:ascii="仿宋" w:hAnsi="仿宋" w:eastAsia="仿宋" w:cs="仿宋"/>
          <w:color w:val="auto"/>
          <w:kern w:val="0"/>
          <w:sz w:val="24"/>
        </w:rPr>
        <w:t>根据提出的问题，匹配并提供对应的知识信息。</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3）常规解答推荐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根据问题，归纳并推荐常见的解答信息。</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4）专业解答推荐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根据问题，推荐最常见以及专业的解答信息。</w:t>
      </w:r>
    </w:p>
    <w:p>
      <w:pPr>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（11）医保统计助手</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1）个人医保统计</w:t>
      </w:r>
    </w:p>
    <w:p>
      <w:pPr>
        <w:adjustRightInd w:val="0"/>
        <w:spacing w:line="360" w:lineRule="auto"/>
        <w:textAlignment w:val="baseline"/>
        <w:rPr>
          <w:rFonts w:ascii="仿宋" w:hAnsi="仿宋" w:eastAsia="仿宋" w:cs="仿宋"/>
          <w:color w:val="auto"/>
          <w:kern w:val="0"/>
          <w:sz w:val="24"/>
        </w:rPr>
      </w:pPr>
      <w:r>
        <w:rPr>
          <w:rFonts w:hint="eastAsia" w:ascii="仿宋" w:hAnsi="仿宋" w:eastAsia="仿宋" w:cs="仿宋"/>
          <w:color w:val="auto"/>
          <w:kern w:val="0"/>
          <w:sz w:val="24"/>
        </w:rPr>
        <w:t xml:space="preserve">    获取个人医保情况，从不同维度对个人医保进行统计，包括医保账单统计分析和个人就医购药统计分析。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2）家庭医保统计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获取家庭医保情况，从不同维度对家庭医保统计分析，包括家庭医保账单统计分析和家庭就医购药统计分析。</w:t>
      </w:r>
    </w:p>
    <w:p>
      <w:pPr>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（12）健康生活助手</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1）健康状态诊断助手</w:t>
      </w:r>
    </w:p>
    <w:p>
      <w:pPr>
        <w:adjustRightInd w:val="0"/>
        <w:spacing w:line="360" w:lineRule="auto"/>
        <w:textAlignment w:val="baseline"/>
        <w:rPr>
          <w:rFonts w:ascii="仿宋" w:hAnsi="仿宋" w:eastAsia="仿宋" w:cs="仿宋"/>
          <w:color w:val="auto"/>
          <w:kern w:val="0"/>
          <w:sz w:val="24"/>
        </w:rPr>
      </w:pPr>
      <w:r>
        <w:rPr>
          <w:rFonts w:hint="eastAsia" w:ascii="仿宋" w:hAnsi="仿宋" w:eastAsia="仿宋" w:cs="仿宋"/>
          <w:color w:val="auto"/>
          <w:kern w:val="0"/>
          <w:sz w:val="24"/>
        </w:rPr>
        <w:t xml:space="preserve">    通过个人就医情况，对其身体健康状态进行诊断。</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2）健康状态预测助手</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根据个人健康、购药、就医等情况，分析预测健康状态。</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3）科学运动规划助手</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通过对身体状态等各个因素的分析，提供科学的运动计划。</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4）健康饮食规划助手</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通过对身体状况、季节等多方面的分析，推荐健康的饮食规划。</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5）养生调理规划助手</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分析个人身体状况，对个人养生调理情况做一个规划。</w:t>
      </w:r>
    </w:p>
    <w:p>
      <w:pPr>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（13）零星报销助手</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1）未报销费用提醒</w:t>
      </w:r>
    </w:p>
    <w:p>
      <w:pPr>
        <w:adjustRightInd w:val="0"/>
        <w:spacing w:line="360" w:lineRule="auto"/>
        <w:textAlignment w:val="baseline"/>
        <w:rPr>
          <w:rFonts w:ascii="仿宋" w:hAnsi="仿宋" w:eastAsia="仿宋" w:cs="仿宋"/>
          <w:color w:val="auto"/>
          <w:kern w:val="0"/>
          <w:sz w:val="24"/>
        </w:rPr>
      </w:pPr>
      <w:r>
        <w:rPr>
          <w:rFonts w:hint="eastAsia" w:ascii="仿宋" w:hAnsi="仿宋" w:eastAsia="仿宋" w:cs="仿宋"/>
          <w:color w:val="auto"/>
          <w:kern w:val="0"/>
          <w:sz w:val="24"/>
        </w:rPr>
        <w:t xml:space="preserve">    根据个人就医消费情况，对未报销的部分进行提醒。</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2）零星报销辅助办理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参保人需要进行零星报销办理时，提供帮助，提高办理效率。</w:t>
      </w:r>
    </w:p>
    <w:p>
      <w:pPr>
        <w:spacing w:line="360" w:lineRule="auto"/>
        <w:ind w:firstLine="361" w:firstLineChars="150"/>
        <w:rPr>
          <w:rFonts w:ascii="仿宋" w:hAnsi="仿宋" w:eastAsia="仿宋" w:cs="仿宋"/>
          <w:b/>
          <w:color w:val="auto"/>
          <w:sz w:val="24"/>
        </w:rPr>
      </w:pPr>
      <w:bookmarkStart w:id="510" w:name="_Toc40898792"/>
      <w:r>
        <w:rPr>
          <w:rFonts w:hint="eastAsia" w:ascii="仿宋" w:hAnsi="仿宋" w:eastAsia="仿宋" w:cs="仿宋"/>
          <w:b/>
          <w:color w:val="auto"/>
          <w:sz w:val="24"/>
        </w:rPr>
        <w:t>5.1.20其他服务</w:t>
      </w:r>
      <w:bookmarkEnd w:id="510"/>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（1）信息发布</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发布政策法规等相关信息。</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（2）法规政策查询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法规政策查询和解读的发布。</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（3）社会监督</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面向公众提供社会监督网络举报投诉。</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1）申请人在社会服务页面选择社会监督并在页面上提交相关信息和材料；</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2)申请页面接收到申请人提交的材料后，通过服务事项控制逻辑调用社会监督服务业务逻辑受理监督举报相关内容；</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3)社会监督服务业务逻辑调用投诉举报数据管理保存申请信息，并根据案件办理情况实时跟新相应进度，供申请人查询。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(4)信访管理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提供来访案件登记、信访案件进度和办理结果查询业务。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1）经办用户在社会服务管理页面选择信访受理查看并受理公用户提交的信访信息；</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2）页面通过服务控制逻辑调用信访管理业务逻辑执行信访管理，并更新相关数据，保存成功后返回相应提示；</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3）信访案件受理过程中结合现象办理进度实时更新线上的登记状态供他人查询。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（5）法律事务服务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提供行政复议和行政诉讼业务。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（6）信息推送服务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发布信息显示在公共服务页面。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（7）本省特色信息查询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参保人输入查询条件，公共服务子系统返回本省特有的医保政策信息，支持下载打印等服务。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 xml:space="preserve">（8）线上投诉举报 </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群众通过网页、APP、微信公众号等方式进行投诉举报。</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 xml:space="preserve">（9）政务公开、公示 </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将相关政务信息进行公开公示。</w:t>
      </w:r>
    </w:p>
    <w:p>
      <w:pPr>
        <w:spacing w:line="360" w:lineRule="auto"/>
        <w:ind w:firstLine="361" w:firstLineChars="150"/>
        <w:rPr>
          <w:rFonts w:ascii="仿宋" w:hAnsi="仿宋" w:eastAsia="仿宋" w:cs="仿宋"/>
          <w:b/>
          <w:color w:val="auto"/>
          <w:sz w:val="24"/>
        </w:rPr>
      </w:pPr>
      <w:bookmarkStart w:id="511" w:name="_Toc40898793"/>
      <w:r>
        <w:rPr>
          <w:rFonts w:hint="eastAsia" w:ascii="仿宋" w:hAnsi="仿宋" w:eastAsia="仿宋" w:cs="仿宋"/>
          <w:b/>
          <w:color w:val="auto"/>
          <w:sz w:val="24"/>
        </w:rPr>
        <w:t>6.1.21智能客服中心</w:t>
      </w:r>
      <w:bookmarkEnd w:id="511"/>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（1）智能客服问答引擎</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1）</w:t>
      </w:r>
      <w:r>
        <w:rPr>
          <w:rFonts w:hint="eastAsia" w:ascii="仿宋" w:hAnsi="仿宋" w:eastAsia="仿宋" w:cs="仿宋"/>
          <w:color w:val="auto"/>
          <w:kern w:val="0"/>
          <w:sz w:val="24"/>
        </w:rPr>
        <w:t>问答语料库整理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bCs/>
          <w:color w:val="auto"/>
          <w:kern w:val="0"/>
          <w:sz w:val="24"/>
        </w:rPr>
        <w:tab/>
      </w:r>
      <w:r>
        <w:rPr>
          <w:rFonts w:hint="eastAsia" w:ascii="仿宋" w:hAnsi="仿宋" w:eastAsia="仿宋" w:cs="仿宋"/>
          <w:color w:val="auto"/>
          <w:kern w:val="0"/>
          <w:sz w:val="24"/>
        </w:rPr>
        <w:t>问答语料库对于智能客服的构建起到关键的作用，因此整理健康管家的语料库是非常重要的。通过对以往的知识库信息以及咨询相关的信息进行整理分类，获取问答语料库。</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2）数据预处理</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数据预处理不仅是智能问答系统中最基本的工作，而且也是分类技术和相似度技术能够正常工作的前提。其中问句预处理的工作主要包括分词、去停用词、提取关键词，词向量化等步骤，而分词技术是其中的首要步骤，同样也是自然语言中必不可少的一个步骤。</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（2）智能客服后台管理系统功能设计</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1）知识库管理</w:t>
      </w:r>
    </w:p>
    <w:p>
      <w:pPr>
        <w:ind w:firstLine="444" w:firstLineChars="200"/>
        <w:rPr>
          <w:rFonts w:ascii="仿宋" w:hAnsi="仿宋" w:eastAsia="仿宋" w:cs="仿宋"/>
          <w:color w:val="auto"/>
          <w:spacing w:val="-9"/>
          <w:sz w:val="24"/>
          <w:lang w:val="zh-CN" w:bidi="zh-CN"/>
        </w:rPr>
      </w:pPr>
      <w:r>
        <w:rPr>
          <w:rFonts w:hint="eastAsia" w:ascii="仿宋" w:hAnsi="仿宋" w:eastAsia="仿宋" w:cs="仿宋"/>
          <w:color w:val="auto"/>
          <w:spacing w:val="-9"/>
          <w:sz w:val="24"/>
          <w:lang w:val="zh-CN" w:bidi="zh-CN"/>
        </w:rPr>
        <w:t>知识库</w:t>
      </w:r>
      <w:r>
        <w:rPr>
          <w:rFonts w:ascii="仿宋" w:hAnsi="仿宋" w:eastAsia="仿宋" w:cs="仿宋"/>
          <w:color w:val="auto"/>
          <w:spacing w:val="-9"/>
          <w:sz w:val="24"/>
          <w:lang w:val="zh-CN" w:bidi="zh-CN"/>
        </w:rPr>
        <w:t>参照的上位标准以国家</w:t>
      </w:r>
      <w:r>
        <w:rPr>
          <w:rFonts w:hint="eastAsia" w:ascii="仿宋" w:hAnsi="仿宋" w:eastAsia="仿宋" w:cs="仿宋"/>
          <w:color w:val="auto"/>
          <w:spacing w:val="-9"/>
          <w:sz w:val="24"/>
          <w:lang w:val="zh-CN" w:bidi="zh-CN"/>
        </w:rPr>
        <w:t>标准</w:t>
      </w:r>
      <w:r>
        <w:rPr>
          <w:rFonts w:ascii="仿宋" w:hAnsi="仿宋" w:eastAsia="仿宋" w:cs="仿宋"/>
          <w:color w:val="auto"/>
          <w:spacing w:val="-9"/>
          <w:sz w:val="24"/>
          <w:lang w:val="zh-CN" w:bidi="zh-CN"/>
        </w:rPr>
        <w:t>优先，其次地方标准和行业标准</w:t>
      </w:r>
      <w:r>
        <w:rPr>
          <w:rFonts w:hint="eastAsia" w:ascii="仿宋" w:hAnsi="仿宋" w:eastAsia="仿宋" w:cs="仿宋"/>
          <w:color w:val="auto"/>
          <w:spacing w:val="-9"/>
          <w:sz w:val="24"/>
          <w:lang w:val="zh-CN" w:bidi="zh-CN"/>
        </w:rPr>
        <w:t>。</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行业知识库由客户提供的基于业务场景的知识语料，闲聊对话、同义词库、停词库、敏感词库分为通用版本和自定义版本，自定义版本可由客户编辑。</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2）配置管理</w:t>
      </w:r>
    </w:p>
    <w:p>
      <w:pPr>
        <w:adjustRightInd w:val="0"/>
        <w:spacing w:line="360" w:lineRule="auto"/>
        <w:ind w:firstLine="480" w:firstLineChars="200"/>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对于要对外提供的智能客服模型信息进行各方面的配置，包括模型配置、热点问题配置，欢迎语配置等。</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3）客服工作台</w:t>
      </w:r>
    </w:p>
    <w:p>
      <w:pPr>
        <w:adjustRightInd w:val="0"/>
        <w:spacing w:line="360" w:lineRule="auto"/>
        <w:textAlignment w:val="baseline"/>
        <w:rPr>
          <w:rFonts w:ascii="仿宋" w:hAnsi="仿宋" w:eastAsia="仿宋" w:cs="仿宋"/>
          <w:color w:val="auto"/>
          <w:kern w:val="0"/>
          <w:sz w:val="24"/>
        </w:rPr>
      </w:pPr>
      <w:r>
        <w:rPr>
          <w:rFonts w:hint="eastAsia" w:ascii="仿宋" w:hAnsi="仿宋" w:eastAsia="仿宋" w:cs="仿宋"/>
          <w:color w:val="auto"/>
          <w:kern w:val="0"/>
          <w:sz w:val="24"/>
        </w:rPr>
        <w:t>客服工作台主要提供留言回复、会话记录、快捷回复预科、满意度评价等功能。</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（3）客服接口设计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实现客服接口设计。</w:t>
      </w:r>
    </w:p>
    <w:p>
      <w:pPr>
        <w:spacing w:line="360" w:lineRule="auto"/>
        <w:ind w:firstLine="361" w:firstLineChars="150"/>
        <w:rPr>
          <w:rFonts w:ascii="仿宋" w:hAnsi="仿宋" w:eastAsia="仿宋" w:cs="仿宋"/>
          <w:b/>
          <w:color w:val="auto"/>
          <w:sz w:val="24"/>
        </w:rPr>
      </w:pPr>
      <w:bookmarkStart w:id="512" w:name="_Toc40898794"/>
      <w:r>
        <w:rPr>
          <w:rFonts w:hint="eastAsia" w:ascii="仿宋" w:hAnsi="仿宋" w:eastAsia="仿宋" w:cs="仿宋"/>
          <w:b/>
          <w:color w:val="auto"/>
          <w:sz w:val="24"/>
        </w:rPr>
        <w:t>6.1.22位置管理</w:t>
      </w:r>
      <w:bookmarkEnd w:id="512"/>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（1）位置管理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在公共服务网站上添加两定机构、药品生产企业等单位的地址信息。</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（2）移动设备管理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在公共服务网站上登记自助机、刷卡设备、移动POS机等移动设备。</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（3）移动设备监测服务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结合移动设备终端，当移动设备使用发生异常时，将异常信息上报至公共服务模块。</w:t>
      </w:r>
    </w:p>
    <w:p>
      <w:pPr>
        <w:spacing w:line="360" w:lineRule="auto"/>
        <w:ind w:firstLine="361" w:firstLineChars="150"/>
        <w:rPr>
          <w:rFonts w:ascii="仿宋" w:hAnsi="仿宋" w:eastAsia="仿宋" w:cs="仿宋"/>
          <w:b/>
          <w:color w:val="auto"/>
          <w:sz w:val="24"/>
        </w:rPr>
      </w:pPr>
      <w:bookmarkStart w:id="513" w:name="_Toc40898795"/>
      <w:r>
        <w:rPr>
          <w:rFonts w:hint="eastAsia" w:ascii="仿宋" w:hAnsi="仿宋" w:eastAsia="仿宋" w:cs="仿宋"/>
          <w:b/>
          <w:color w:val="auto"/>
          <w:sz w:val="24"/>
        </w:rPr>
        <w:t>6.1.23个人健康档案</w:t>
      </w:r>
      <w:bookmarkEnd w:id="513"/>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查询下载个人健康档案。</w:t>
      </w:r>
    </w:p>
    <w:p>
      <w:pPr>
        <w:spacing w:line="360" w:lineRule="auto"/>
        <w:ind w:firstLine="361" w:firstLineChars="150"/>
        <w:rPr>
          <w:rFonts w:ascii="仿宋" w:hAnsi="仿宋" w:eastAsia="仿宋" w:cs="仿宋"/>
          <w:b/>
          <w:color w:val="auto"/>
          <w:sz w:val="24"/>
        </w:rPr>
      </w:pPr>
      <w:bookmarkStart w:id="514" w:name="_Toc40898796"/>
      <w:r>
        <w:rPr>
          <w:rFonts w:hint="eastAsia" w:ascii="仿宋" w:hAnsi="仿宋" w:eastAsia="仿宋" w:cs="仿宋"/>
          <w:b/>
          <w:color w:val="auto"/>
          <w:sz w:val="24"/>
        </w:rPr>
        <w:t>6.1.24医疗机构/医疗服务</w:t>
      </w:r>
      <w:bookmarkEnd w:id="514"/>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（1）医疗机构信息查询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医疗机构信息查询。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（2）医疗机构扫码结算</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办理结算时，提供扫码结算业务。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（3）医疗机构位置查询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医疗机构位置查询。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（4）医生就诊查询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医生就诊情况查询。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（5）挂号缴费（院端）</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在院端提供挂号缴费业务。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（6）住院清单</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提供住院清单查询业务。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（7）病历查询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提供个人病历查询业务。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（8）住院押金</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住院提供交住院押金业务。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（9）排队候诊</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提供排队候诊业务。</w:t>
      </w:r>
    </w:p>
    <w:p>
      <w:pPr>
        <w:spacing w:line="360" w:lineRule="auto"/>
        <w:ind w:firstLine="361" w:firstLineChars="150"/>
        <w:rPr>
          <w:rFonts w:ascii="仿宋" w:hAnsi="仿宋" w:eastAsia="仿宋" w:cs="仿宋"/>
          <w:b/>
          <w:color w:val="auto"/>
          <w:sz w:val="24"/>
        </w:rPr>
      </w:pPr>
      <w:bookmarkStart w:id="515" w:name="_Toc40898797"/>
      <w:r>
        <w:rPr>
          <w:rFonts w:hint="eastAsia" w:ascii="仿宋" w:hAnsi="仿宋" w:eastAsia="仿宋" w:cs="仿宋"/>
          <w:b/>
          <w:color w:val="auto"/>
          <w:sz w:val="24"/>
        </w:rPr>
        <w:t>6.1.25业务检索服务</w:t>
      </w:r>
      <w:bookmarkEnd w:id="515"/>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（1）制度检索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根据实际业务制度进行检索。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（2）政策检索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用户可根据政策信息、内容进行检索查询。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（3）标准检索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系统提供标准检索服务，可对各类标准进行检索查询。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（4）待遇检索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系统提供待遇检索服务，用户可查询各类待遇信息。</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（5）缴费检索（参保缴费信息查询）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系统提供缴费检索服务，用户可对参保缴费信息进行检索查询。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（6）处方检索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系统提供处方检索服务，可对处方信息进行检索查询。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（7）就医检索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系统提供就医检索服务，可以对就医信息进行检索查询。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（8）支付检索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系统提供支付检索服务，用户可对支付信息进行检查查询。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（9）票据检索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系统提供票据检索服务，用户可对票据信息进行检索查询。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（10）险种检索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系统提供险种检索服务，用户可对险种信息进行检索查询。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（11）个人医保信息检索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系统提供个人医保信息检索服务，用户可对个人医保信息进行检索查询。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（12）个人账户余额检索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系统提供个人账户余额检索服务，用户可对个人账户余额进行检索查询。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（13）信用检索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系统提供信用信息检索服务，用户可对个人、企业、机构等信用信息进行检索查询。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（14）处罚检索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系统提供处罚信息检索服务，用户可对处罚信息进行检索查询。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（15）进度查询（办事流程信息查询）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系统提供办事进度查询服务，用户可对业务办理进度、流程进行检索查询。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（16）备案检索（备案信息查询）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系统提供备案检索服务，用户可对备案信息进行检索查询。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（17）药品检索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系统提供药品检索服务，用户可对药品信息进行检索查询。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（18）定点医院检索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系统提供定点医院信息检索服务，用户可对定点医院信息进行检索查询。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（19）医保医师检索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系统提供医保医师信息检索服务，用户可对医保医师信息进行检索查询。</w:t>
      </w:r>
    </w:p>
    <w:p>
      <w:pPr>
        <w:adjustRightInd w:val="0"/>
        <w:spacing w:line="360" w:lineRule="auto"/>
        <w:ind w:left="480"/>
        <w:textAlignment w:val="baseline"/>
        <w:rPr>
          <w:rFonts w:ascii="仿宋" w:hAnsi="仿宋" w:eastAsia="仿宋" w:cs="仿宋"/>
          <w:color w:val="auto"/>
          <w:kern w:val="0"/>
          <w:sz w:val="24"/>
        </w:rPr>
      </w:pPr>
      <w:r>
        <w:rPr>
          <w:rFonts w:hint="eastAsia" w:ascii="仿宋" w:hAnsi="仿宋" w:eastAsia="仿宋" w:cs="仿宋"/>
          <w:color w:val="auto"/>
          <w:kern w:val="0"/>
          <w:sz w:val="24"/>
        </w:rPr>
        <w:t>（20）经办机构检索</w:t>
      </w:r>
    </w:p>
    <w:p>
      <w:pPr>
        <w:adjustRightInd w:val="0"/>
        <w:spacing w:line="360" w:lineRule="auto"/>
        <w:ind w:left="220" w:firstLine="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系统提供经办机构信息检索服务，用户可对经办机构信息进行检索查询。</w:t>
      </w:r>
    </w:p>
    <w:p>
      <w:pPr>
        <w:widowControl/>
        <w:spacing w:line="360" w:lineRule="auto"/>
        <w:rPr>
          <w:rFonts w:ascii="仿宋" w:hAnsi="仿宋" w:eastAsia="仿宋" w:cs="仿宋"/>
          <w:b/>
          <w:color w:val="auto"/>
          <w:sz w:val="24"/>
        </w:rPr>
      </w:pPr>
      <w:bookmarkStart w:id="516" w:name="_Toc40898798"/>
      <w:r>
        <w:rPr>
          <w:rFonts w:hint="eastAsia" w:ascii="仿宋" w:hAnsi="仿宋" w:eastAsia="仿宋" w:cs="仿宋"/>
          <w:b/>
          <w:color w:val="auto"/>
          <w:sz w:val="24"/>
        </w:rPr>
        <w:t>7.软件安全要求</w:t>
      </w:r>
      <w:bookmarkEnd w:id="516"/>
    </w:p>
    <w:p>
      <w:pPr>
        <w:pStyle w:val="18"/>
        <w:ind w:firstLineChars="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bidi="zh-CN"/>
        </w:rPr>
        <w:t xml:space="preserve"> 中标单位</w:t>
      </w:r>
      <w:r>
        <w:rPr>
          <w:rFonts w:hint="eastAsia" w:ascii="仿宋" w:hAnsi="仿宋" w:eastAsia="仿宋" w:cs="仿宋"/>
          <w:color w:val="auto"/>
          <w:sz w:val="24"/>
        </w:rPr>
        <w:t>须严格按照国家医疗保障局《医保信息系统安全开发规范》要求组织系统开发和实施，并符合《信息安全技术网络安全等级保护基本要求》（GB/T 22239一2019）三级安全要求。</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zh-CN" w:bidi="zh-CN"/>
        </w:rPr>
        <w:t xml:space="preserve"> 中标单位</w:t>
      </w:r>
      <w:r>
        <w:rPr>
          <w:rFonts w:hint="eastAsia" w:ascii="仿宋" w:hAnsi="仿宋" w:eastAsia="仿宋" w:cs="仿宋"/>
          <w:color w:val="auto"/>
          <w:sz w:val="24"/>
          <w:szCs w:val="24"/>
        </w:rPr>
        <w:t>所开发的系统须符合《信息系统密码应用基本要求》。</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(3)系统上线前，应按照招标方要求进行源代码安全扫描，并对发现的漏洞进行修复。</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(4)投标方应提供详细的安全设计方案并详细说明在应用安全和数据安全方面采取的安全的措施。</w:t>
      </w:r>
    </w:p>
    <w:p>
      <w:pPr>
        <w:widowControl/>
        <w:spacing w:line="360" w:lineRule="auto"/>
        <w:rPr>
          <w:rFonts w:ascii="仿宋" w:hAnsi="仿宋" w:eastAsia="仿宋" w:cs="仿宋"/>
          <w:b/>
          <w:color w:val="auto"/>
          <w:sz w:val="24"/>
        </w:rPr>
      </w:pPr>
      <w:bookmarkStart w:id="517" w:name="_Toc40898799"/>
      <w:r>
        <w:rPr>
          <w:rFonts w:hint="eastAsia" w:ascii="仿宋" w:hAnsi="仿宋" w:eastAsia="仿宋" w:cs="仿宋"/>
          <w:b/>
          <w:color w:val="auto"/>
          <w:sz w:val="24"/>
        </w:rPr>
        <w:t>8.软件性能要求</w:t>
      </w:r>
      <w:bookmarkEnd w:id="517"/>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（1）公共服务模块支持访问的总用户数大于1500万人。</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（2）公共服务模块支持的忙时并发业务数为59笔/秒。</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 xml:space="preserve">（3）在稳定性上，公共服务模块要求全年稳定连续运行，系统稳定性不小于 99.999%； </w:t>
      </w:r>
    </w:p>
    <w:p>
      <w:pPr>
        <w:pStyle w:val="19"/>
        <w:ind w:firstLine="720" w:firstLineChars="300"/>
        <w:jc w:val="both"/>
        <w:rPr>
          <w:rFonts w:ascii="仿宋" w:hAnsi="仿宋" w:eastAsia="仿宋" w:cs="仿宋"/>
          <w:color w:val="auto"/>
          <w:sz w:val="24"/>
          <w:szCs w:val="24"/>
          <w:lang w:val="zh-CN" w:bidi="zh-CN"/>
        </w:rPr>
      </w:pPr>
      <w:r>
        <w:rPr>
          <w:rFonts w:hint="eastAsia" w:ascii="仿宋" w:hAnsi="仿宋" w:eastAsia="仿宋" w:cs="仿宋"/>
          <w:color w:val="auto"/>
          <w:sz w:val="24"/>
          <w:szCs w:val="24"/>
          <w:lang w:val="zh-CN" w:bidi="zh-CN"/>
        </w:rPr>
        <w:t>（4）公共服务模块要求交互类业务平均响应时间不大于1秒，查询类业务平均响应时间不大于1秒，交易接口类单条记录平均响应时间不大于1秒、多条记录（100 条）平均响应时间不大于3秒。</w:t>
      </w:r>
      <w:bookmarkStart w:id="518" w:name="_Toc40898800"/>
    </w:p>
    <w:p>
      <w:pPr>
        <w:pStyle w:val="19"/>
        <w:ind w:firstLine="0" w:firstLineChars="0"/>
        <w:jc w:val="both"/>
        <w:rPr>
          <w:rFonts w:ascii="仿宋" w:hAnsi="仿宋" w:eastAsia="仿宋" w:cs="仿宋"/>
          <w:color w:val="auto"/>
          <w:sz w:val="24"/>
          <w:szCs w:val="24"/>
          <w:lang w:val="zh-CN" w:bidi="zh-CN"/>
        </w:rPr>
      </w:pPr>
      <w:r>
        <w:rPr>
          <w:rFonts w:hint="eastAsia" w:ascii="仿宋" w:hAnsi="仿宋" w:eastAsia="仿宋" w:cs="仿宋"/>
          <w:b/>
          <w:color w:val="auto"/>
          <w:sz w:val="24"/>
          <w:szCs w:val="24"/>
        </w:rPr>
        <w:t>9.软件技术要求</w:t>
      </w:r>
      <w:bookmarkEnd w:id="518"/>
    </w:p>
    <w:p>
      <w:pPr>
        <w:spacing w:line="360" w:lineRule="auto"/>
        <w:ind w:firstLine="482" w:firstLineChars="200"/>
        <w:rPr>
          <w:rFonts w:ascii="仿宋" w:hAnsi="仿宋" w:eastAsia="仿宋" w:cs="仿宋"/>
          <w:b/>
          <w:color w:val="auto"/>
          <w:sz w:val="24"/>
        </w:rPr>
      </w:pPr>
      <w:bookmarkStart w:id="519" w:name="_Toc40898801"/>
      <w:r>
        <w:rPr>
          <w:rFonts w:hint="eastAsia" w:ascii="仿宋" w:hAnsi="仿宋" w:eastAsia="仿宋" w:cs="仿宋"/>
          <w:b/>
          <w:color w:val="auto"/>
          <w:sz w:val="24"/>
        </w:rPr>
        <w:t>9.1总体技术要求</w:t>
      </w:r>
      <w:bookmarkEnd w:id="519"/>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（1）产品应该是企业级的解决方案，支持可分布的、可伸缩的体系结构。支持部署在主流的操作系统（Linux）和硬件平台上，支持B/S 结构，支持云计算技术架构。</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(2)投标方提供的软件应该部署国家局下发的公共服务统一版本，进行本地扩展、数据迁移、配套系统、外部接口对接等工作。</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(3)投标方提供的软件必须是模块化设计，并且保证任何软件模块的维护和更新都不影响其它软件模块，软件具有容错能力。</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(4)投标方提供的软件应具有自身故障监视和诊断能力，即软件能及时发现故障并发出告警。</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(5)投标方提供的软件在不同时期软件版本应能向下兼容，软件版本易于升级，且在升级的过程中不影响业务的性能与运行。</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(6)投标方应承诺在供货时提供最新版本的软件，但该软件必须是经过测试正式推出，其可靠性、稳定性经过严格验证。</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(7)本项目运维期内，软件版本升级时，中标单位应承诺免费更新软件版本，并提供相应的新版本软件功能说明书及修改说明书。</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(8)投标方提供的应用软件要求具有较强的容错功能。</w:t>
      </w:r>
    </w:p>
    <w:p>
      <w:pPr>
        <w:spacing w:line="360" w:lineRule="auto"/>
        <w:ind w:firstLine="472" w:firstLineChars="196"/>
        <w:rPr>
          <w:rFonts w:ascii="仿宋" w:hAnsi="仿宋" w:eastAsia="仿宋" w:cs="仿宋"/>
          <w:b/>
          <w:color w:val="auto"/>
          <w:sz w:val="24"/>
        </w:rPr>
      </w:pPr>
      <w:bookmarkStart w:id="520" w:name="_Toc40898802"/>
      <w:r>
        <w:rPr>
          <w:rFonts w:hint="eastAsia" w:ascii="仿宋" w:hAnsi="仿宋" w:eastAsia="仿宋" w:cs="仿宋"/>
          <w:b/>
          <w:color w:val="auto"/>
          <w:sz w:val="24"/>
        </w:rPr>
        <w:t>9.2应用软件性能要求</w:t>
      </w:r>
      <w:bookmarkEnd w:id="520"/>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（1）应用软件系统的各个软件功能模块应满足本文相关功能要求。应用软件必须能够切实满足系统监控管理的需求，并且适应今后的业务增长和变化，随时可以按功能需要进行修改和维护。</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（2）应用软件应采用通用软件开发平台进行开发，有很强的灵活性和扩展性，在今后开展新业务时可通过对参数等的简单更改迅速方便地实现，具有良好的适应能力。</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3）应用软件应采用友好的图形化窗口的用户操作界面，可操作性强，而且操作界面应力求简洁、直观，具有全中文界面，有向导性功能，支持工作台化管理，有利于简化操作，并提高操作效率。在考虑简化用户的操作的同时，应允许操作人员必要时做一些人工干预。</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（4）应用软件应具备一套完备的数据管理系统和进程调度系统，以保证系统的安全可靠和整个系统的正常运转。</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（5）应用软件还应采用参数驱动的设计思想，在应用软件中，凡是不能确定的因素，应做到参数化，以达到通过对参数的设置就可适应不同的情况及不同时期的应用要求，并具备多用户和多任务操作能力。</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6）每个应用的功能由一个应用模块完成，应用模块之间应减少耦合度；应用模块与系统之间采用开放的应用接口（API）进行通信；开发人员可灵活开发新的应用模块，并可在不需对原有系统进行重新编译的前提下，动态加载到系统使用。</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（7）应用软件必须可制作打包安装盘（包），具有自动安装功能以及网络远程安装功能。</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（8）应用软件要遵循易操作性、健壮性、实用性、高效性和安全性的原则。</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（9）灵活设计和详细规划系统操作权限，支持功能级、数据级权限控制，可按原子级业务、业务组件、业务流程分配系统操作权限；支持角色管理，个性化角色工作台展示业务组件、业务图表。</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（10）应用软件应具有完整、严谨的操作权限管理机制和日志记录，确保系统的安全性和业务的可稽核性；系统采用业务回退机制，加强业务的可逆性。</w:t>
      </w:r>
    </w:p>
    <w:p>
      <w:pPr>
        <w:spacing w:line="360" w:lineRule="auto"/>
        <w:ind w:firstLine="472" w:firstLineChars="196"/>
        <w:rPr>
          <w:rFonts w:ascii="仿宋" w:hAnsi="仿宋" w:eastAsia="仿宋" w:cs="仿宋"/>
          <w:b/>
          <w:color w:val="auto"/>
          <w:sz w:val="24"/>
        </w:rPr>
      </w:pPr>
      <w:bookmarkStart w:id="521" w:name="_Toc40898803"/>
      <w:r>
        <w:rPr>
          <w:rFonts w:hint="eastAsia" w:ascii="仿宋" w:hAnsi="仿宋" w:eastAsia="仿宋" w:cs="仿宋"/>
          <w:b/>
          <w:color w:val="auto"/>
          <w:sz w:val="24"/>
        </w:rPr>
        <w:t>9.3应用软件说明要求</w:t>
      </w:r>
      <w:bookmarkEnd w:id="521"/>
    </w:p>
    <w:p>
      <w:pPr>
        <w:pStyle w:val="22"/>
        <w:autoSpaceDE w:val="0"/>
        <w:autoSpaceDN w:val="0"/>
        <w:spacing w:line="360" w:lineRule="auto"/>
        <w:ind w:right="315" w:firstLine="360" w:firstLineChars="15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（1）投标方产品应支持当前主流X86服务器和主流操作系统（Linux），支持虚拟化，支持容器（docker），支持主流云服务等。</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（2）投标方产品应支持当前主流数据库、中间件及云数据库。数据库应支持两种，其中包含一种国产数据库。</w:t>
      </w:r>
    </w:p>
    <w:p>
      <w:pPr>
        <w:pStyle w:val="22"/>
        <w:autoSpaceDE w:val="0"/>
        <w:autoSpaceDN w:val="0"/>
        <w:spacing w:line="360" w:lineRule="auto"/>
        <w:ind w:right="315" w:firstLineChars="0"/>
        <w:rPr>
          <w:rFonts w:ascii="仿宋" w:hAnsi="仿宋" w:eastAsia="仿宋" w:cs="仿宋"/>
          <w:b/>
          <w:color w:val="auto"/>
          <w:kern w:val="0"/>
          <w:sz w:val="24"/>
          <w:szCs w:val="24"/>
          <w:lang w:val="zh-CN" w:bidi="zh-CN"/>
        </w:rPr>
      </w:pPr>
      <w:bookmarkStart w:id="522" w:name="_Toc40898804"/>
      <w:r>
        <w:rPr>
          <w:rFonts w:hint="eastAsia" w:ascii="仿宋" w:hAnsi="仿宋" w:eastAsia="仿宋" w:cs="仿宋"/>
          <w:b/>
          <w:color w:val="auto"/>
          <w:kern w:val="0"/>
          <w:sz w:val="24"/>
          <w:szCs w:val="24"/>
          <w:lang w:val="zh-CN" w:bidi="zh-CN"/>
        </w:rPr>
        <w:t>9.4中标单位第三方软件技术要求</w:t>
      </w:r>
      <w:bookmarkEnd w:id="522"/>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中标单位原则上须使用招标方所提供的第三方软件，如遇特殊情况，需使用其他第三方软件，在征得招标方同意后，由中标单位自行解决。</w:t>
      </w:r>
    </w:p>
    <w:p>
      <w:pPr>
        <w:widowControl/>
        <w:spacing w:line="360" w:lineRule="auto"/>
        <w:rPr>
          <w:rFonts w:ascii="仿宋" w:hAnsi="仿宋" w:eastAsia="仿宋" w:cs="仿宋"/>
          <w:b/>
          <w:color w:val="auto"/>
          <w:sz w:val="24"/>
        </w:rPr>
      </w:pPr>
      <w:bookmarkStart w:id="523" w:name="_Toc40898805"/>
      <w:r>
        <w:rPr>
          <w:rFonts w:hint="eastAsia" w:ascii="仿宋" w:hAnsi="仿宋" w:eastAsia="仿宋" w:cs="仿宋"/>
          <w:b/>
          <w:color w:val="auto"/>
          <w:sz w:val="24"/>
        </w:rPr>
        <w:t>10.服务要求（针对公共服务模块）</w:t>
      </w:r>
      <w:bookmarkEnd w:id="523"/>
    </w:p>
    <w:p>
      <w:pPr>
        <w:pStyle w:val="22"/>
        <w:autoSpaceDE w:val="0"/>
        <w:autoSpaceDN w:val="0"/>
        <w:spacing w:line="360" w:lineRule="auto"/>
        <w:ind w:right="315" w:firstLineChars="0"/>
        <w:rPr>
          <w:rFonts w:ascii="仿宋" w:hAnsi="仿宋" w:eastAsia="仿宋" w:cs="仿宋"/>
          <w:b/>
          <w:color w:val="auto"/>
          <w:kern w:val="0"/>
          <w:sz w:val="24"/>
          <w:szCs w:val="24"/>
          <w:lang w:val="zh-CN" w:bidi="zh-CN"/>
        </w:rPr>
      </w:pPr>
      <w:bookmarkStart w:id="524" w:name="_Toc40898806"/>
      <w:r>
        <w:rPr>
          <w:rFonts w:hint="eastAsia" w:ascii="仿宋" w:hAnsi="仿宋" w:eastAsia="仿宋" w:cs="仿宋"/>
          <w:b/>
          <w:color w:val="auto"/>
          <w:kern w:val="0"/>
          <w:sz w:val="24"/>
          <w:szCs w:val="24"/>
          <w:lang w:val="zh-CN" w:bidi="zh-CN"/>
        </w:rPr>
        <w:t>10.1集成要求</w:t>
      </w:r>
      <w:bookmarkEnd w:id="524"/>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中标单位应配合招标方及系统集成商完成公共服务模块的集成工作，包括相关软件部署，系统软件上线运行以及与其他子系统的互联等。</w:t>
      </w:r>
    </w:p>
    <w:p>
      <w:pPr>
        <w:pStyle w:val="22"/>
        <w:autoSpaceDE w:val="0"/>
        <w:autoSpaceDN w:val="0"/>
        <w:spacing w:line="360" w:lineRule="auto"/>
        <w:ind w:right="315" w:firstLineChars="0"/>
        <w:rPr>
          <w:rFonts w:ascii="仿宋" w:hAnsi="仿宋" w:eastAsia="仿宋" w:cs="仿宋"/>
          <w:b/>
          <w:color w:val="auto"/>
          <w:kern w:val="0"/>
          <w:sz w:val="24"/>
          <w:szCs w:val="24"/>
          <w:lang w:val="zh-CN" w:bidi="zh-CN"/>
        </w:rPr>
      </w:pPr>
      <w:bookmarkStart w:id="525" w:name="_Toc40898807"/>
      <w:r>
        <w:rPr>
          <w:rFonts w:hint="eastAsia" w:ascii="仿宋" w:hAnsi="仿宋" w:eastAsia="仿宋" w:cs="仿宋"/>
          <w:b/>
          <w:color w:val="auto"/>
          <w:kern w:val="0"/>
          <w:sz w:val="24"/>
          <w:szCs w:val="24"/>
          <w:lang w:val="zh-CN" w:bidi="zh-CN"/>
        </w:rPr>
        <w:t>10.2投标方项目管理要求</w:t>
      </w:r>
      <w:bookmarkEnd w:id="525"/>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须提供本次工程建设的项目管理方案以及现场实施和本地化运维服务。本包投入技术人员不少于20人，包括项目人员名单，</w:t>
      </w: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安排的项目人员必须固定，若有替换，必须与招标方协商，未经甲方同意，人员变动扣除项目合同额1%/人，人员超过总人数10%，甲方有权终止项目。此外，</w:t>
      </w: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所安排的开发和运维人员必须专职于本项目的开发）及角色分工、项目实施计划、项目变更管理方案以及项目风险管理方案等。投标方应承诺提供现场实施服务。基本要求如下：</w:t>
      </w:r>
    </w:p>
    <w:p>
      <w:pPr>
        <w:pStyle w:val="22"/>
        <w:autoSpaceDE w:val="0"/>
        <w:autoSpaceDN w:val="0"/>
        <w:spacing w:line="360" w:lineRule="auto"/>
        <w:ind w:right="163" w:firstLineChars="0"/>
        <w:rPr>
          <w:rFonts w:ascii="仿宋" w:hAnsi="仿宋" w:eastAsia="仿宋" w:cs="仿宋"/>
          <w:b/>
          <w:color w:val="auto"/>
          <w:spacing w:val="-4"/>
          <w:kern w:val="0"/>
          <w:sz w:val="24"/>
          <w:szCs w:val="24"/>
          <w:lang w:val="zh-CN" w:bidi="zh-CN"/>
        </w:rPr>
      </w:pPr>
      <w:r>
        <w:rPr>
          <w:rFonts w:hint="eastAsia" w:ascii="仿宋" w:hAnsi="仿宋" w:eastAsia="仿宋" w:cs="仿宋"/>
          <w:b/>
          <w:color w:val="auto"/>
          <w:spacing w:val="-4"/>
          <w:kern w:val="0"/>
          <w:sz w:val="24"/>
          <w:szCs w:val="24"/>
          <w:lang w:val="zh-CN" w:bidi="zh-CN"/>
        </w:rPr>
        <w:t>（1）项目经理</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具有5 年以上的信息化规划和建设管理经验，具有信息化总体规划能力，具备省级及以上医疗、医保或医药相关行业规划建设经验，对医疗、医保或医药领域信息化有深入理解，有良好的沟通能力、耐性和综合素质。</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投标方参与的项目经理负责对</w:t>
      </w:r>
      <w:r>
        <w:rPr>
          <w:rFonts w:hint="eastAsia" w:ascii="仿宋" w:hAnsi="仿宋" w:eastAsia="仿宋" w:cs="仿宋"/>
          <w:color w:val="auto"/>
          <w:sz w:val="24"/>
          <w:szCs w:val="24"/>
          <w:lang w:val="zh-CN" w:bidi="zh-CN"/>
        </w:rPr>
        <w:t>公共服务</w:t>
      </w:r>
      <w:r>
        <w:rPr>
          <w:rFonts w:hint="eastAsia" w:ascii="仿宋" w:hAnsi="仿宋" w:eastAsia="仿宋" w:cs="仿宋"/>
          <w:color w:val="auto"/>
          <w:sz w:val="24"/>
          <w:szCs w:val="24"/>
        </w:rPr>
        <w:t>模块的项目管理工作。</w:t>
      </w:r>
    </w:p>
    <w:p>
      <w:pPr>
        <w:pStyle w:val="22"/>
        <w:autoSpaceDE w:val="0"/>
        <w:autoSpaceDN w:val="0"/>
        <w:spacing w:line="360" w:lineRule="auto"/>
        <w:ind w:left="466" w:firstLine="0" w:firstLineChars="0"/>
        <w:rPr>
          <w:rFonts w:ascii="仿宋" w:hAnsi="仿宋" w:eastAsia="仿宋" w:cs="仿宋"/>
          <w:b/>
          <w:color w:val="auto"/>
          <w:spacing w:val="-4"/>
          <w:kern w:val="0"/>
          <w:sz w:val="24"/>
          <w:szCs w:val="24"/>
          <w:lang w:val="zh-CN" w:bidi="zh-CN"/>
        </w:rPr>
      </w:pPr>
      <w:r>
        <w:rPr>
          <w:rFonts w:hint="eastAsia" w:ascii="仿宋" w:hAnsi="仿宋" w:eastAsia="仿宋" w:cs="仿宋"/>
          <w:b/>
          <w:color w:val="auto"/>
          <w:spacing w:val="-4"/>
          <w:kern w:val="0"/>
          <w:sz w:val="24"/>
          <w:szCs w:val="24"/>
          <w:lang w:val="zh-CN" w:bidi="zh-CN"/>
        </w:rPr>
        <w:t>（2）需求分析阶段</w:t>
      </w:r>
    </w:p>
    <w:p>
      <w:pPr>
        <w:pStyle w:val="22"/>
        <w:tabs>
          <w:tab w:val="left" w:pos="1301"/>
        </w:tabs>
        <w:autoSpaceDE w:val="0"/>
        <w:autoSpaceDN w:val="0"/>
        <w:spacing w:line="360" w:lineRule="auto"/>
        <w:ind w:left="220" w:right="315" w:firstLine="48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中标单位须与海南省医疗保障局等相关部门相关人员充分沟通，掌握本项目的需求。</w:t>
      </w:r>
    </w:p>
    <w:p>
      <w:pPr>
        <w:pStyle w:val="19"/>
        <w:numPr>
          <w:ilvl w:val="0"/>
          <w:numId w:val="42"/>
        </w:numPr>
        <w:ind w:left="0" w:firstLine="48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参与人员数量，针对</w:t>
      </w:r>
      <w:r>
        <w:rPr>
          <w:rFonts w:hint="eastAsia" w:ascii="仿宋" w:hAnsi="仿宋" w:eastAsia="仿宋" w:cs="仿宋"/>
          <w:color w:val="auto"/>
          <w:sz w:val="24"/>
          <w:szCs w:val="24"/>
          <w:lang w:val="zh-CN" w:bidi="zh-CN"/>
        </w:rPr>
        <w:t>公共服务</w:t>
      </w:r>
      <w:r>
        <w:rPr>
          <w:rFonts w:hint="eastAsia" w:ascii="仿宋" w:hAnsi="仿宋" w:eastAsia="仿宋" w:cs="仿宋"/>
          <w:color w:val="auto"/>
          <w:sz w:val="24"/>
          <w:szCs w:val="24"/>
        </w:rPr>
        <w:t>模块：总数不少于 10人。</w:t>
      </w:r>
    </w:p>
    <w:p>
      <w:pPr>
        <w:pStyle w:val="19"/>
        <w:numPr>
          <w:ilvl w:val="0"/>
          <w:numId w:val="42"/>
        </w:numPr>
        <w:ind w:left="0" w:firstLine="48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至少需提交的文档：业务需求调研报告、应用系统需求分析规格说明书。</w:t>
      </w:r>
    </w:p>
    <w:p>
      <w:pPr>
        <w:pStyle w:val="22"/>
        <w:autoSpaceDE w:val="0"/>
        <w:autoSpaceDN w:val="0"/>
        <w:spacing w:line="360" w:lineRule="auto"/>
        <w:ind w:firstLineChars="0"/>
        <w:rPr>
          <w:rFonts w:ascii="仿宋" w:hAnsi="仿宋" w:eastAsia="仿宋" w:cs="仿宋"/>
          <w:b/>
          <w:color w:val="auto"/>
          <w:sz w:val="24"/>
          <w:szCs w:val="24"/>
        </w:rPr>
      </w:pPr>
      <w:r>
        <w:rPr>
          <w:rFonts w:hint="eastAsia" w:ascii="仿宋" w:hAnsi="仿宋" w:eastAsia="仿宋" w:cs="仿宋"/>
          <w:b/>
          <w:color w:val="auto"/>
          <w:spacing w:val="-4"/>
          <w:kern w:val="0"/>
          <w:sz w:val="24"/>
          <w:szCs w:val="24"/>
          <w:lang w:val="zh-CN" w:bidi="zh-CN"/>
        </w:rPr>
        <w:t>（3）系统设计研发阶段</w:t>
      </w:r>
    </w:p>
    <w:p>
      <w:pPr>
        <w:pStyle w:val="19"/>
        <w:numPr>
          <w:ilvl w:val="0"/>
          <w:numId w:val="43"/>
        </w:numPr>
        <w:ind w:left="0" w:firstLine="48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参与人员数量，针对公共服务模块：总数不少于 7人。</w:t>
      </w:r>
    </w:p>
    <w:p>
      <w:pPr>
        <w:pStyle w:val="19"/>
        <w:numPr>
          <w:ilvl w:val="0"/>
          <w:numId w:val="43"/>
        </w:numPr>
        <w:ind w:left="0" w:firstLine="48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至少需提交的文档：系统架构设计说明书，系统详细设计说明书，数据库设计说明书，各软件功能模块、流程、数据、接口模块的详细说明及内部测试报告。</w:t>
      </w:r>
    </w:p>
    <w:p>
      <w:pPr>
        <w:pStyle w:val="22"/>
        <w:autoSpaceDE w:val="0"/>
        <w:autoSpaceDN w:val="0"/>
        <w:spacing w:line="360" w:lineRule="auto"/>
        <w:ind w:left="466" w:firstLine="0" w:firstLineChars="0"/>
        <w:rPr>
          <w:rFonts w:ascii="仿宋" w:hAnsi="仿宋" w:eastAsia="仿宋" w:cs="仿宋"/>
          <w:b/>
          <w:color w:val="auto"/>
          <w:spacing w:val="-4"/>
          <w:kern w:val="0"/>
          <w:sz w:val="24"/>
          <w:szCs w:val="24"/>
          <w:lang w:val="zh-CN" w:bidi="zh-CN"/>
        </w:rPr>
      </w:pPr>
      <w:r>
        <w:rPr>
          <w:rFonts w:hint="eastAsia" w:ascii="仿宋" w:hAnsi="仿宋" w:eastAsia="仿宋" w:cs="仿宋"/>
          <w:b/>
          <w:color w:val="auto"/>
          <w:spacing w:val="-4"/>
          <w:kern w:val="0"/>
          <w:sz w:val="24"/>
          <w:szCs w:val="24"/>
          <w:lang w:val="zh-CN" w:bidi="zh-CN"/>
        </w:rPr>
        <w:t>（4）系统测试阶段</w:t>
      </w:r>
    </w:p>
    <w:p>
      <w:pPr>
        <w:pStyle w:val="22"/>
        <w:numPr>
          <w:ilvl w:val="0"/>
          <w:numId w:val="44"/>
        </w:numPr>
        <w:spacing w:line="360" w:lineRule="auto"/>
        <w:ind w:left="0" w:firstLine="480"/>
        <w:rPr>
          <w:rFonts w:ascii="仿宋" w:hAnsi="仿宋" w:eastAsia="仿宋" w:cs="仿宋"/>
          <w:color w:val="auto"/>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color w:val="auto"/>
          <w:sz w:val="24"/>
          <w:szCs w:val="24"/>
        </w:rPr>
        <w:t>参与人员数量，针对</w:t>
      </w:r>
      <w:r>
        <w:rPr>
          <w:rFonts w:hint="eastAsia" w:ascii="仿宋" w:hAnsi="仿宋" w:eastAsia="仿宋" w:cs="仿宋"/>
          <w:color w:val="auto"/>
          <w:kern w:val="0"/>
          <w:sz w:val="24"/>
          <w:szCs w:val="24"/>
          <w:lang w:val="zh-CN" w:bidi="zh-CN"/>
        </w:rPr>
        <w:t>公共服务</w:t>
      </w:r>
      <w:r>
        <w:rPr>
          <w:rFonts w:hint="eastAsia" w:ascii="仿宋" w:hAnsi="仿宋" w:eastAsia="仿宋" w:cs="仿宋"/>
          <w:color w:val="auto"/>
          <w:sz w:val="24"/>
          <w:szCs w:val="24"/>
        </w:rPr>
        <w:t>模块：总数不少于7人。</w:t>
      </w:r>
    </w:p>
    <w:p>
      <w:pPr>
        <w:pStyle w:val="22"/>
        <w:numPr>
          <w:ilvl w:val="0"/>
          <w:numId w:val="44"/>
        </w:numPr>
        <w:spacing w:line="360" w:lineRule="auto"/>
        <w:ind w:left="0" w:firstLine="480"/>
        <w:rPr>
          <w:rFonts w:ascii="仿宋" w:hAnsi="仿宋" w:eastAsia="仿宋" w:cs="仿宋"/>
          <w:color w:val="auto"/>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color w:val="auto"/>
          <w:sz w:val="24"/>
          <w:szCs w:val="24"/>
        </w:rPr>
        <w:t>至少需提交的文档：测试方案、测试过程文档、系统整体测试报告。</w:t>
      </w:r>
    </w:p>
    <w:p>
      <w:pPr>
        <w:pStyle w:val="22"/>
        <w:autoSpaceDE w:val="0"/>
        <w:autoSpaceDN w:val="0"/>
        <w:spacing w:line="360" w:lineRule="auto"/>
        <w:ind w:left="466" w:firstLine="0" w:firstLineChars="0"/>
        <w:rPr>
          <w:rFonts w:ascii="仿宋" w:hAnsi="仿宋" w:eastAsia="仿宋" w:cs="仿宋"/>
          <w:b/>
          <w:color w:val="auto"/>
          <w:spacing w:val="-4"/>
          <w:kern w:val="0"/>
          <w:sz w:val="24"/>
          <w:szCs w:val="24"/>
          <w:lang w:val="zh-CN" w:bidi="zh-CN"/>
        </w:rPr>
      </w:pPr>
      <w:r>
        <w:rPr>
          <w:rFonts w:hint="eastAsia" w:ascii="仿宋" w:hAnsi="仿宋" w:eastAsia="仿宋" w:cs="仿宋"/>
          <w:b/>
          <w:color w:val="auto"/>
          <w:spacing w:val="-4"/>
          <w:kern w:val="0"/>
          <w:sz w:val="24"/>
          <w:szCs w:val="24"/>
          <w:lang w:val="zh-CN" w:bidi="zh-CN"/>
        </w:rPr>
        <w:t>（5）系统实施阶段</w:t>
      </w:r>
    </w:p>
    <w:p>
      <w:pPr>
        <w:pStyle w:val="22"/>
        <w:numPr>
          <w:ilvl w:val="0"/>
          <w:numId w:val="45"/>
        </w:numPr>
        <w:spacing w:line="360" w:lineRule="auto"/>
        <w:ind w:left="0" w:firstLine="480"/>
        <w:rPr>
          <w:rFonts w:ascii="仿宋" w:hAnsi="仿宋" w:eastAsia="仿宋" w:cs="仿宋"/>
          <w:color w:val="auto"/>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color w:val="auto"/>
          <w:sz w:val="24"/>
          <w:szCs w:val="24"/>
        </w:rPr>
        <w:t>驻场参与人员数量，针对</w:t>
      </w:r>
      <w:r>
        <w:rPr>
          <w:rFonts w:hint="eastAsia" w:ascii="仿宋" w:hAnsi="仿宋" w:eastAsia="仿宋" w:cs="仿宋"/>
          <w:color w:val="auto"/>
          <w:kern w:val="0"/>
          <w:sz w:val="24"/>
          <w:szCs w:val="24"/>
          <w:lang w:val="zh-CN" w:bidi="zh-CN"/>
        </w:rPr>
        <w:t>公共服务</w:t>
      </w:r>
      <w:r>
        <w:rPr>
          <w:rFonts w:hint="eastAsia" w:ascii="仿宋" w:hAnsi="仿宋" w:eastAsia="仿宋" w:cs="仿宋"/>
          <w:color w:val="auto"/>
          <w:sz w:val="24"/>
          <w:szCs w:val="24"/>
        </w:rPr>
        <w:t>模块：总数不少于7人。</w:t>
      </w:r>
    </w:p>
    <w:p>
      <w:pPr>
        <w:pStyle w:val="22"/>
        <w:numPr>
          <w:ilvl w:val="0"/>
          <w:numId w:val="45"/>
        </w:numPr>
        <w:spacing w:line="360" w:lineRule="auto"/>
        <w:ind w:left="0" w:firstLine="480"/>
        <w:rPr>
          <w:rFonts w:ascii="仿宋" w:hAnsi="仿宋" w:eastAsia="仿宋" w:cs="仿宋"/>
          <w:color w:val="auto"/>
          <w:sz w:val="24"/>
          <w:szCs w:val="24"/>
        </w:rPr>
      </w:pPr>
      <w:r>
        <w:rPr>
          <w:rFonts w:hint="eastAsia" w:ascii="仿宋" w:hAnsi="仿宋" w:eastAsia="仿宋" w:cs="仿宋"/>
          <w:color w:val="auto"/>
          <w:kern w:val="0"/>
          <w:sz w:val="24"/>
          <w:szCs w:val="24"/>
          <w:lang w:val="zh-CN" w:bidi="zh-CN"/>
        </w:rPr>
        <w:t>中标单位</w:t>
      </w:r>
      <w:r>
        <w:rPr>
          <w:rFonts w:hint="eastAsia" w:ascii="仿宋" w:hAnsi="仿宋" w:eastAsia="仿宋" w:cs="仿宋"/>
          <w:color w:val="auto"/>
          <w:sz w:val="24"/>
          <w:szCs w:val="24"/>
        </w:rPr>
        <w:t>至少需提交的文档：系统实施计划、过程文档、试运行报告。</w:t>
      </w:r>
    </w:p>
    <w:p>
      <w:pPr>
        <w:pStyle w:val="22"/>
        <w:autoSpaceDE w:val="0"/>
        <w:autoSpaceDN w:val="0"/>
        <w:spacing w:line="360" w:lineRule="auto"/>
        <w:ind w:left="466" w:firstLine="0" w:firstLineChars="0"/>
        <w:rPr>
          <w:rFonts w:ascii="仿宋" w:hAnsi="仿宋" w:eastAsia="仿宋" w:cs="仿宋"/>
          <w:b/>
          <w:color w:val="auto"/>
          <w:spacing w:val="-4"/>
          <w:kern w:val="0"/>
          <w:sz w:val="24"/>
          <w:szCs w:val="24"/>
          <w:lang w:val="zh-CN" w:bidi="zh-CN"/>
        </w:rPr>
      </w:pPr>
      <w:r>
        <w:rPr>
          <w:rFonts w:hint="eastAsia" w:ascii="仿宋" w:hAnsi="仿宋" w:eastAsia="仿宋" w:cs="仿宋"/>
          <w:b/>
          <w:color w:val="auto"/>
          <w:spacing w:val="-4"/>
          <w:kern w:val="0"/>
          <w:sz w:val="24"/>
          <w:szCs w:val="24"/>
          <w:lang w:val="zh-CN" w:bidi="zh-CN"/>
        </w:rPr>
        <w:t>（6）驻场服务</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本项目运维期内需提供至少7名本项目专职长期驻场工程师，驻场工程师工作量不额外计费，驻场工程师具备本系统进行修改、调整能力，并按客户要求调整本系统（包括驻场工程师工作量内的新需求）。</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人员要求：驻场负责人</w:t>
      </w:r>
      <w:r>
        <w:rPr>
          <w:rFonts w:hint="eastAsia" w:ascii="仿宋" w:hAnsi="仿宋" w:eastAsia="仿宋" w:cs="仿宋"/>
          <w:color w:val="auto"/>
          <w:kern w:val="0"/>
          <w:sz w:val="24"/>
          <w:szCs w:val="24"/>
        </w:rPr>
        <w:t>具有</w:t>
      </w:r>
      <w:r>
        <w:rPr>
          <w:rFonts w:ascii="仿宋" w:hAnsi="仿宋" w:eastAsia="仿宋" w:cs="仿宋"/>
          <w:bCs w:val="0"/>
          <w:color w:val="auto"/>
          <w:kern w:val="0"/>
          <w:sz w:val="24"/>
          <w:szCs w:val="24"/>
        </w:rPr>
        <w:t>一定医保信息平台开发建设实践经验</w:t>
      </w:r>
      <w:r>
        <w:rPr>
          <w:rFonts w:hint="eastAsia" w:ascii="仿宋" w:hAnsi="仿宋" w:eastAsia="仿宋" w:cs="仿宋"/>
          <w:bCs w:val="0"/>
          <w:color w:val="auto"/>
          <w:kern w:val="0"/>
          <w:sz w:val="24"/>
        </w:rPr>
        <w:t>且具备</w:t>
      </w:r>
      <w:r>
        <w:rPr>
          <w:rFonts w:hint="eastAsia" w:ascii="仿宋" w:hAnsi="仿宋" w:eastAsia="仿宋" w:cs="仿宋"/>
          <w:color w:val="auto"/>
          <w:kern w:val="0"/>
          <w:sz w:val="24"/>
          <w:szCs w:val="24"/>
        </w:rPr>
        <w:t>5</w:t>
      </w:r>
      <w:r>
        <w:rPr>
          <w:rFonts w:hint="eastAsia" w:ascii="仿宋" w:hAnsi="仿宋" w:eastAsia="仿宋" w:cs="仿宋"/>
          <w:color w:val="auto"/>
          <w:sz w:val="24"/>
          <w:szCs w:val="24"/>
        </w:rPr>
        <w:t>以上的政府相关领域信息化研发经验，具备省级及以上政府相关行业建设经验，对政府相关领域信息化有深入理解，有良好的沟通能力、 耐性和综合素质。</w:t>
      </w:r>
    </w:p>
    <w:p>
      <w:pPr>
        <w:pStyle w:val="22"/>
        <w:autoSpaceDE w:val="0"/>
        <w:autoSpaceDN w:val="0"/>
        <w:spacing w:line="360" w:lineRule="auto"/>
        <w:ind w:left="466" w:firstLine="0" w:firstLineChars="0"/>
        <w:rPr>
          <w:rFonts w:ascii="仿宋" w:hAnsi="仿宋" w:eastAsia="仿宋" w:cs="仿宋"/>
          <w:b/>
          <w:color w:val="auto"/>
          <w:spacing w:val="-4"/>
          <w:kern w:val="0"/>
          <w:sz w:val="24"/>
          <w:szCs w:val="24"/>
          <w:lang w:val="zh-CN" w:bidi="zh-CN"/>
        </w:rPr>
      </w:pPr>
      <w:r>
        <w:rPr>
          <w:rFonts w:hint="eastAsia" w:ascii="仿宋" w:hAnsi="仿宋" w:eastAsia="仿宋" w:cs="仿宋"/>
          <w:b/>
          <w:color w:val="auto"/>
          <w:spacing w:val="-4"/>
          <w:kern w:val="0"/>
          <w:sz w:val="24"/>
          <w:szCs w:val="24"/>
          <w:lang w:val="zh-CN" w:bidi="zh-CN"/>
        </w:rPr>
        <w:t>（7）系统优化服务</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本项目服务期内至少每半年进行一次系统性数据梳理和整体优化，确保数据管理效率。</w:t>
      </w:r>
    </w:p>
    <w:p>
      <w:pPr>
        <w:pStyle w:val="22"/>
        <w:autoSpaceDE w:val="0"/>
        <w:autoSpaceDN w:val="0"/>
        <w:spacing w:line="360" w:lineRule="auto"/>
        <w:ind w:left="466" w:firstLine="0" w:firstLineChars="0"/>
        <w:rPr>
          <w:rFonts w:ascii="仿宋" w:hAnsi="仿宋" w:eastAsia="仿宋" w:cs="仿宋"/>
          <w:b/>
          <w:color w:val="auto"/>
          <w:spacing w:val="-4"/>
          <w:kern w:val="0"/>
          <w:sz w:val="24"/>
          <w:szCs w:val="24"/>
          <w:lang w:val="zh-CN" w:bidi="zh-CN"/>
        </w:rPr>
      </w:pPr>
      <w:r>
        <w:rPr>
          <w:rFonts w:hint="eastAsia" w:ascii="仿宋" w:hAnsi="仿宋" w:eastAsia="仿宋" w:cs="仿宋"/>
          <w:b/>
          <w:color w:val="auto"/>
          <w:spacing w:val="-4"/>
          <w:kern w:val="0"/>
          <w:sz w:val="24"/>
          <w:szCs w:val="24"/>
          <w:lang w:val="zh-CN" w:bidi="zh-CN"/>
        </w:rPr>
        <w:t>（8）保密内容</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投标方需在投标文件中明确，本项目中数据（包含原始数据和衍生数据）全部为招标方所有，全部列入保密范围，投标方不得未经用户许可的情况下导出、分析以及移作他用。</w:t>
      </w:r>
    </w:p>
    <w:p>
      <w:pPr>
        <w:pStyle w:val="22"/>
        <w:autoSpaceDE w:val="0"/>
        <w:autoSpaceDN w:val="0"/>
        <w:spacing w:line="360" w:lineRule="auto"/>
        <w:ind w:left="466" w:firstLine="0" w:firstLineChars="0"/>
        <w:rPr>
          <w:rFonts w:ascii="仿宋" w:hAnsi="仿宋" w:eastAsia="仿宋" w:cs="仿宋"/>
          <w:b/>
          <w:color w:val="auto"/>
          <w:spacing w:val="-4"/>
          <w:kern w:val="0"/>
          <w:sz w:val="24"/>
          <w:szCs w:val="24"/>
          <w:lang w:val="zh-CN" w:bidi="zh-CN"/>
        </w:rPr>
      </w:pPr>
      <w:r>
        <w:rPr>
          <w:rFonts w:hint="eastAsia" w:ascii="仿宋" w:hAnsi="仿宋" w:eastAsia="仿宋" w:cs="仿宋"/>
          <w:b/>
          <w:color w:val="auto"/>
          <w:spacing w:val="-4"/>
          <w:kern w:val="0"/>
          <w:sz w:val="24"/>
          <w:szCs w:val="24"/>
          <w:lang w:val="zh-CN" w:bidi="zh-CN"/>
        </w:rPr>
        <w:t>（9）源代码和产权要求</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投标方需在投标文件中明确，本项目中的全部源代码（不包含既有知识产权类和工具）和知识产权全部为招标方所有，</w:t>
      </w: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需在合作期间及合作终止后 5 年内，在招标方提出要求的 3 天内无条件提供本项目源代码。</w:t>
      </w:r>
    </w:p>
    <w:p>
      <w:pPr>
        <w:pStyle w:val="22"/>
        <w:autoSpaceDE w:val="0"/>
        <w:autoSpaceDN w:val="0"/>
        <w:spacing w:line="360" w:lineRule="auto"/>
        <w:ind w:right="315" w:firstLine="0" w:firstLineChars="0"/>
        <w:rPr>
          <w:rFonts w:ascii="仿宋" w:hAnsi="仿宋" w:eastAsia="仿宋" w:cs="仿宋"/>
          <w:b/>
          <w:color w:val="auto"/>
          <w:sz w:val="24"/>
          <w:szCs w:val="24"/>
        </w:rPr>
      </w:pPr>
      <w:bookmarkStart w:id="526" w:name="_Toc27898706"/>
      <w:bookmarkStart w:id="527" w:name="_Toc40898808"/>
      <w:r>
        <w:rPr>
          <w:rFonts w:hint="eastAsia" w:ascii="仿宋" w:hAnsi="仿宋" w:eastAsia="仿宋" w:cs="仿宋"/>
          <w:b/>
          <w:color w:val="auto"/>
          <w:sz w:val="24"/>
          <w:szCs w:val="24"/>
        </w:rPr>
        <w:t>11.培训要求</w:t>
      </w:r>
      <w:bookmarkEnd w:id="526"/>
      <w:bookmarkEnd w:id="527"/>
    </w:p>
    <w:p>
      <w:pPr>
        <w:pStyle w:val="22"/>
        <w:autoSpaceDE w:val="0"/>
        <w:autoSpaceDN w:val="0"/>
        <w:spacing w:line="360" w:lineRule="auto"/>
        <w:ind w:firstLine="464"/>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（1）对项目相关其它中标单位人员的培训</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与本项目有关联的其它系统承建商，对其相关人员进行系统培训。</w:t>
      </w:r>
    </w:p>
    <w:p>
      <w:pPr>
        <w:pStyle w:val="22"/>
        <w:autoSpaceDE w:val="0"/>
        <w:autoSpaceDN w:val="0"/>
        <w:spacing w:line="360" w:lineRule="auto"/>
        <w:ind w:firstLine="464"/>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（2）对应用部门各级系统应用人员的培训</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使之能够了解信息系统的建设思想、主要功能和操作规程，能够熟练应用这一系统辅助开展工作，并能结合实际工作需要提出各种改进意见。根据人员对系统的使用特点不同，对应用人员的培训分为两个层次：</w:t>
      </w:r>
    </w:p>
    <w:p>
      <w:pPr>
        <w:pStyle w:val="19"/>
        <w:numPr>
          <w:ilvl w:val="0"/>
          <w:numId w:val="46"/>
        </w:numPr>
        <w:ind w:left="0" w:firstLine="480"/>
        <w:jc w:val="both"/>
        <w:rPr>
          <w:rFonts w:ascii="仿宋" w:hAnsi="仿宋" w:eastAsia="仿宋" w:cs="仿宋"/>
          <w:color w:val="auto"/>
          <w:sz w:val="24"/>
          <w:szCs w:val="24"/>
        </w:rPr>
      </w:pPr>
      <w:r>
        <w:rPr>
          <w:rFonts w:hint="eastAsia" w:ascii="仿宋" w:hAnsi="仿宋" w:eastAsia="仿宋" w:cs="仿宋"/>
          <w:color w:val="auto"/>
          <w:sz w:val="24"/>
          <w:szCs w:val="24"/>
        </w:rPr>
        <w:t>对领导培训的主要目的是使有关主管领导对系统有一定的了解，同时能够应用系统进行决策、指挥工作；</w:t>
      </w:r>
    </w:p>
    <w:p>
      <w:pPr>
        <w:pStyle w:val="19"/>
        <w:numPr>
          <w:ilvl w:val="0"/>
          <w:numId w:val="46"/>
        </w:numPr>
        <w:ind w:left="0" w:firstLine="480"/>
        <w:jc w:val="both"/>
        <w:rPr>
          <w:rFonts w:ascii="仿宋" w:hAnsi="仿宋" w:eastAsia="仿宋" w:cs="仿宋"/>
          <w:color w:val="auto"/>
          <w:sz w:val="24"/>
          <w:szCs w:val="24"/>
        </w:rPr>
      </w:pPr>
      <w:r>
        <w:rPr>
          <w:rFonts w:hint="eastAsia" w:ascii="仿宋" w:hAnsi="仿宋" w:eastAsia="仿宋" w:cs="仿宋"/>
          <w:color w:val="auto"/>
          <w:sz w:val="24"/>
          <w:szCs w:val="24"/>
        </w:rPr>
        <w:t>对其他应用人员的培训，主要使他们在各业务环境下能够很好地利用系统完成相应的专业工作，提高工作效率，提高信息的准确性和全面性。</w:t>
      </w:r>
    </w:p>
    <w:p>
      <w:pPr>
        <w:pStyle w:val="22"/>
        <w:autoSpaceDE w:val="0"/>
        <w:autoSpaceDN w:val="0"/>
        <w:spacing w:line="360" w:lineRule="auto"/>
        <w:ind w:firstLine="464"/>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（3）系统运行维护人员的培训</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运维人员培训主要包括以下几个方面：系统整体知识培训、业务系统培训等。通过培训使项目运维队伍能够充分了解本项目。</w:t>
      </w:r>
    </w:p>
    <w:p>
      <w:pPr>
        <w:pStyle w:val="22"/>
        <w:autoSpaceDE w:val="0"/>
        <w:autoSpaceDN w:val="0"/>
        <w:spacing w:line="360" w:lineRule="auto"/>
        <w:ind w:right="315" w:firstLine="0" w:firstLineChars="0"/>
        <w:rPr>
          <w:rFonts w:ascii="仿宋" w:hAnsi="仿宋" w:eastAsia="仿宋" w:cs="仿宋"/>
          <w:b/>
          <w:color w:val="auto"/>
          <w:sz w:val="24"/>
          <w:szCs w:val="24"/>
        </w:rPr>
      </w:pPr>
      <w:bookmarkStart w:id="528" w:name="_Toc40898809"/>
      <w:bookmarkStart w:id="529" w:name="_Toc27898707"/>
      <w:r>
        <w:rPr>
          <w:rFonts w:hint="eastAsia" w:ascii="仿宋" w:hAnsi="仿宋" w:eastAsia="仿宋" w:cs="仿宋"/>
          <w:b/>
          <w:color w:val="auto"/>
          <w:sz w:val="24"/>
          <w:szCs w:val="24"/>
        </w:rPr>
        <w:t>12.维护及技术支持要求</w:t>
      </w:r>
      <w:bookmarkEnd w:id="528"/>
      <w:bookmarkEnd w:id="529"/>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（1）针对所有软件，中标单位应提供项目终验合格后2 年的免费运维服务。</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（2）在软件维保期内，承建商应提供灵活、多样的通信手段（包括但不限于场地、设备及人员、专用服务电话），提供7*24 小时的响应服务，保证在任何时候招标方人员都能及时找到承建商的服务人员。如遇驻场人员无法解决的问题或招标方认为需要，承建商的技术人员应在12 小时内赶到现场支持。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（3）所供软件出现问题时，其响应时间不超过15 分钟，一般故障处理时间不大于2 小时；特殊情况下，故障修复时间不大于12 小时。</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（4）中标单位应提供排除故障响应的具体流程。</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（5）中标单位应在项目方案中说明技术指导和技术支持的范围和程度，承建商应提供技术服务流程，技术服务内容和价格清单，若维保期内与期外不同，则应分别列出。</w:t>
      </w:r>
    </w:p>
    <w:p>
      <w:pPr>
        <w:pStyle w:val="22"/>
        <w:autoSpaceDE w:val="0"/>
        <w:autoSpaceDN w:val="0"/>
        <w:spacing w:line="360" w:lineRule="auto"/>
        <w:ind w:right="315" w:firstLine="0" w:firstLineChars="0"/>
        <w:rPr>
          <w:rFonts w:ascii="仿宋" w:hAnsi="仿宋" w:eastAsia="仿宋" w:cs="仿宋"/>
          <w:b/>
          <w:color w:val="auto"/>
          <w:sz w:val="24"/>
          <w:szCs w:val="24"/>
        </w:rPr>
      </w:pPr>
      <w:bookmarkStart w:id="530" w:name="_Toc40898810"/>
      <w:r>
        <w:rPr>
          <w:rFonts w:hint="eastAsia" w:ascii="仿宋" w:hAnsi="仿宋" w:eastAsia="仿宋" w:cs="仿宋"/>
          <w:b/>
          <w:color w:val="auto"/>
          <w:sz w:val="24"/>
          <w:szCs w:val="24"/>
        </w:rPr>
        <w:t>13.技术文件要求</w:t>
      </w:r>
      <w:bookmarkEnd w:id="530"/>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中标单位提供的书面技术资料必须能够满足确保系统正常运行所需的管理、运营、验收及维护的全套文件。中标单位提供的技术文件必须包括但不限于：</w:t>
      </w:r>
    </w:p>
    <w:p>
      <w:pPr>
        <w:pStyle w:val="22"/>
        <w:numPr>
          <w:ilvl w:val="0"/>
          <w:numId w:val="47"/>
        </w:numPr>
        <w:spacing w:line="360" w:lineRule="auto"/>
        <w:ind w:left="0" w:firstLine="852" w:firstLineChars="0"/>
        <w:rPr>
          <w:rFonts w:ascii="仿宋" w:hAnsi="仿宋" w:eastAsia="仿宋" w:cs="仿宋"/>
          <w:color w:val="auto"/>
          <w:sz w:val="24"/>
          <w:szCs w:val="24"/>
        </w:rPr>
      </w:pPr>
      <w:r>
        <w:rPr>
          <w:rFonts w:hint="eastAsia" w:ascii="仿宋" w:hAnsi="仿宋" w:eastAsia="仿宋" w:cs="仿宋"/>
          <w:color w:val="auto"/>
          <w:sz w:val="24"/>
          <w:szCs w:val="24"/>
        </w:rPr>
        <w:t>系统说明文件</w:t>
      </w:r>
    </w:p>
    <w:p>
      <w:pPr>
        <w:pStyle w:val="22"/>
        <w:numPr>
          <w:ilvl w:val="0"/>
          <w:numId w:val="47"/>
        </w:numPr>
        <w:spacing w:line="360" w:lineRule="auto"/>
        <w:ind w:left="0" w:firstLine="852" w:firstLineChars="0"/>
        <w:rPr>
          <w:rFonts w:ascii="仿宋" w:hAnsi="仿宋" w:eastAsia="仿宋" w:cs="仿宋"/>
          <w:color w:val="auto"/>
          <w:sz w:val="24"/>
          <w:szCs w:val="24"/>
        </w:rPr>
      </w:pPr>
      <w:r>
        <w:rPr>
          <w:rFonts w:hint="eastAsia" w:ascii="仿宋" w:hAnsi="仿宋" w:eastAsia="仿宋" w:cs="仿宋"/>
          <w:color w:val="auto"/>
          <w:sz w:val="24"/>
          <w:szCs w:val="24"/>
        </w:rPr>
        <w:t>技术手册（安装、操作、维护、故障排除、培训文档等）</w:t>
      </w:r>
    </w:p>
    <w:p>
      <w:pPr>
        <w:pStyle w:val="22"/>
        <w:numPr>
          <w:ilvl w:val="0"/>
          <w:numId w:val="47"/>
        </w:numPr>
        <w:spacing w:line="360" w:lineRule="auto"/>
        <w:ind w:left="0" w:firstLine="852" w:firstLineChars="0"/>
        <w:rPr>
          <w:rFonts w:ascii="仿宋" w:hAnsi="仿宋" w:eastAsia="仿宋" w:cs="仿宋"/>
          <w:color w:val="auto"/>
          <w:sz w:val="24"/>
          <w:szCs w:val="24"/>
        </w:rPr>
      </w:pPr>
      <w:r>
        <w:rPr>
          <w:rFonts w:hint="eastAsia" w:ascii="仿宋" w:hAnsi="仿宋" w:eastAsia="仿宋" w:cs="仿宋"/>
          <w:color w:val="auto"/>
          <w:sz w:val="24"/>
          <w:szCs w:val="24"/>
        </w:rPr>
        <w:t>详细的工程日志</w:t>
      </w:r>
    </w:p>
    <w:p>
      <w:pPr>
        <w:pStyle w:val="22"/>
        <w:numPr>
          <w:ilvl w:val="0"/>
          <w:numId w:val="47"/>
        </w:numPr>
        <w:spacing w:line="360" w:lineRule="auto"/>
        <w:ind w:left="0" w:firstLine="852" w:firstLineChars="0"/>
        <w:rPr>
          <w:rFonts w:ascii="仿宋" w:hAnsi="仿宋" w:eastAsia="仿宋" w:cs="仿宋"/>
          <w:color w:val="auto"/>
          <w:sz w:val="24"/>
          <w:szCs w:val="24"/>
        </w:rPr>
      </w:pPr>
      <w:r>
        <w:rPr>
          <w:rFonts w:hint="eastAsia" w:ascii="仿宋" w:hAnsi="仿宋" w:eastAsia="仿宋" w:cs="仿宋"/>
          <w:color w:val="auto"/>
          <w:sz w:val="24"/>
          <w:szCs w:val="24"/>
        </w:rPr>
        <w:t>系统完整文档</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其中，（1）、（2）项必须在安装调测前提供，（3）必须在工程实施过程中随时提供，并在工程实施后1 个月内汇总移交。所有的文档必须包括书面和电子两种形式。（4）在工程完成初验后，厂家提供完整的技术文档。</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请投标方在项目方案中列出提供的书面技术资料详细清单。</w:t>
      </w:r>
    </w:p>
    <w:p>
      <w:pPr>
        <w:pStyle w:val="22"/>
        <w:autoSpaceDE w:val="0"/>
        <w:autoSpaceDN w:val="0"/>
        <w:spacing w:line="360" w:lineRule="auto"/>
        <w:ind w:right="315" w:firstLine="0" w:firstLineChars="0"/>
        <w:rPr>
          <w:rFonts w:ascii="仿宋" w:hAnsi="仿宋" w:eastAsia="仿宋" w:cs="仿宋"/>
          <w:b/>
          <w:color w:val="auto"/>
          <w:sz w:val="24"/>
          <w:szCs w:val="24"/>
        </w:rPr>
      </w:pPr>
      <w:bookmarkStart w:id="531" w:name="_Toc40898811"/>
      <w:r>
        <w:rPr>
          <w:rFonts w:hint="eastAsia" w:ascii="仿宋" w:hAnsi="仿宋" w:eastAsia="仿宋" w:cs="仿宋"/>
          <w:b/>
          <w:color w:val="auto"/>
          <w:sz w:val="24"/>
          <w:szCs w:val="24"/>
        </w:rPr>
        <w:t>14.项目协作要求</w:t>
      </w:r>
      <w:bookmarkEnd w:id="531"/>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须配合其它相关子系统中标单位。</w:t>
      </w:r>
    </w:p>
    <w:p>
      <w:pPr>
        <w:pStyle w:val="22"/>
        <w:autoSpaceDE w:val="0"/>
        <w:autoSpaceDN w:val="0"/>
        <w:spacing w:line="360" w:lineRule="auto"/>
        <w:ind w:right="315" w:firstLine="0" w:firstLineChars="0"/>
        <w:rPr>
          <w:rFonts w:ascii="仿宋" w:hAnsi="仿宋" w:eastAsia="仿宋" w:cs="仿宋"/>
          <w:b/>
          <w:color w:val="auto"/>
          <w:sz w:val="24"/>
          <w:szCs w:val="24"/>
        </w:rPr>
      </w:pPr>
      <w:bookmarkStart w:id="532" w:name="_Toc40898812"/>
      <w:r>
        <w:rPr>
          <w:rFonts w:hint="eastAsia" w:ascii="仿宋" w:hAnsi="仿宋" w:eastAsia="仿宋" w:cs="仿宋"/>
          <w:b/>
          <w:color w:val="auto"/>
          <w:sz w:val="24"/>
          <w:szCs w:val="24"/>
        </w:rPr>
        <w:t>15.项目计划要求</w:t>
      </w:r>
      <w:bookmarkEnd w:id="532"/>
    </w:p>
    <w:p>
      <w:pPr>
        <w:pStyle w:val="18"/>
        <w:rPr>
          <w:rFonts w:ascii="仿宋" w:hAnsi="仿宋" w:eastAsia="仿宋" w:cs="仿宋"/>
          <w:color w:val="auto"/>
          <w:sz w:val="24"/>
        </w:rPr>
      </w:pPr>
      <w:r>
        <w:rPr>
          <w:rFonts w:hint="eastAsia" w:ascii="仿宋" w:hAnsi="仿宋" w:eastAsia="仿宋" w:cs="仿宋"/>
          <w:color w:val="auto"/>
          <w:sz w:val="24"/>
        </w:rPr>
        <w:t>服务期限：签订合同之日起至2021年</w:t>
      </w:r>
      <w:r>
        <w:rPr>
          <w:rFonts w:hint="eastAsia" w:ascii="仿宋" w:hAnsi="仿宋" w:eastAsia="仿宋" w:cs="仿宋"/>
          <w:color w:val="auto"/>
          <w:sz w:val="24"/>
          <w:lang w:val="en-US"/>
        </w:rPr>
        <w:t>6</w:t>
      </w:r>
      <w:r>
        <w:rPr>
          <w:rFonts w:hint="eastAsia" w:ascii="仿宋" w:hAnsi="仿宋" w:eastAsia="仿宋" w:cs="仿宋"/>
          <w:color w:val="auto"/>
          <w:sz w:val="24"/>
        </w:rPr>
        <w:t>底前完成系统初验，进入试运行，试运行期至少3个月，2021年底前完成系统终验。</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在工程实施全过程中，招</w:t>
      </w:r>
      <w:r>
        <w:rPr>
          <w:rFonts w:hint="eastAsia" w:ascii="仿宋" w:hAnsi="仿宋" w:eastAsia="仿宋" w:cs="仿宋"/>
          <w:bCs w:val="0"/>
          <w:color w:val="auto"/>
          <w:sz w:val="24"/>
          <w:szCs w:val="24"/>
        </w:rPr>
        <w:t>标</w:t>
      </w:r>
      <w:r>
        <w:rPr>
          <w:rFonts w:hint="eastAsia" w:ascii="仿宋" w:hAnsi="仿宋" w:eastAsia="仿宋" w:cs="仿宋"/>
          <w:color w:val="auto"/>
          <w:sz w:val="24"/>
          <w:szCs w:val="24"/>
        </w:rPr>
        <w:t>方有对工程质量进行监督控制的职责和权利，中标单位应按照项目管理要求进行严格的质量控制，并制定详细合理的沟通计划，至少包括周报、月报和项目例会，应确保双方能及时了解所需的信息。</w:t>
      </w:r>
    </w:p>
    <w:p>
      <w:pPr>
        <w:pStyle w:val="22"/>
        <w:autoSpaceDE w:val="0"/>
        <w:autoSpaceDN w:val="0"/>
        <w:spacing w:line="360" w:lineRule="auto"/>
        <w:ind w:right="315" w:firstLine="0" w:firstLineChars="0"/>
        <w:rPr>
          <w:rFonts w:ascii="仿宋" w:hAnsi="仿宋" w:eastAsia="仿宋" w:cs="仿宋"/>
          <w:b/>
          <w:color w:val="auto"/>
          <w:sz w:val="24"/>
          <w:szCs w:val="24"/>
        </w:rPr>
      </w:pPr>
      <w:bookmarkStart w:id="533" w:name="_Toc40898813"/>
      <w:r>
        <w:rPr>
          <w:rFonts w:hint="eastAsia" w:ascii="仿宋" w:hAnsi="仿宋" w:eastAsia="仿宋" w:cs="仿宋"/>
          <w:b/>
          <w:color w:val="auto"/>
          <w:sz w:val="24"/>
          <w:szCs w:val="24"/>
        </w:rPr>
        <w:t>16.保密要求</w:t>
      </w:r>
      <w:bookmarkEnd w:id="533"/>
    </w:p>
    <w:p>
      <w:pPr>
        <w:pStyle w:val="21"/>
        <w:ind w:firstLine="480"/>
        <w:jc w:val="both"/>
        <w:rPr>
          <w:rFonts w:ascii="仿宋" w:hAnsi="仿宋" w:eastAsia="仿宋" w:cs="仿宋"/>
          <w:color w:val="auto"/>
          <w:sz w:val="24"/>
          <w:szCs w:val="24"/>
        </w:rPr>
      </w:pPr>
      <w:r>
        <w:rPr>
          <w:rFonts w:hint="eastAsia" w:ascii="仿宋" w:hAnsi="仿宋" w:eastAsia="仿宋" w:cs="仿宋"/>
          <w:color w:val="auto"/>
          <w:sz w:val="24"/>
          <w:szCs w:val="24"/>
        </w:rPr>
        <w:t>中标单位(含项目组所有成员)必须对项目技术文件以及由招标人提供的所有内部资料、技术文档、数据和信息予以保密。中标单位必须与招标人签订保密协议并严格遵守，未经招标人书面许可，中标单位不得以任何形式向第三方透露本项目标书以及本项目的任何内容。</w:t>
      </w:r>
    </w:p>
    <w:p>
      <w:pPr>
        <w:pStyle w:val="22"/>
        <w:autoSpaceDE w:val="0"/>
        <w:autoSpaceDN w:val="0"/>
        <w:spacing w:line="360" w:lineRule="auto"/>
        <w:ind w:right="315" w:firstLine="0" w:firstLineChars="0"/>
        <w:rPr>
          <w:rFonts w:ascii="仿宋" w:hAnsi="仿宋" w:eastAsia="仿宋" w:cs="仿宋"/>
          <w:b/>
          <w:color w:val="auto"/>
          <w:sz w:val="24"/>
          <w:szCs w:val="24"/>
        </w:rPr>
      </w:pPr>
      <w:bookmarkStart w:id="534" w:name="_Toc40898814"/>
      <w:r>
        <w:rPr>
          <w:rFonts w:hint="eastAsia" w:ascii="仿宋" w:hAnsi="仿宋" w:eastAsia="仿宋" w:cs="仿宋"/>
          <w:b/>
          <w:color w:val="auto"/>
          <w:sz w:val="24"/>
          <w:szCs w:val="24"/>
        </w:rPr>
        <w:t>17.项目验收标准与要求</w:t>
      </w:r>
      <w:bookmarkEnd w:id="534"/>
    </w:p>
    <w:p>
      <w:pPr>
        <w:spacing w:line="360" w:lineRule="auto"/>
        <w:ind w:left="360"/>
        <w:rPr>
          <w:rFonts w:ascii="仿宋" w:hAnsi="仿宋" w:eastAsia="仿宋" w:cs="仿宋"/>
          <w:b/>
          <w:color w:val="auto"/>
          <w:sz w:val="24"/>
        </w:rPr>
      </w:pPr>
      <w:r>
        <w:rPr>
          <w:rFonts w:hint="eastAsia" w:ascii="仿宋" w:hAnsi="仿宋" w:eastAsia="仿宋" w:cs="仿宋"/>
          <w:b/>
          <w:color w:val="auto"/>
          <w:sz w:val="24"/>
        </w:rPr>
        <w:t>17.1验收总体要求</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项目验收标准：按照国家医疗保障局和海南省医疗保障局要求，协同其他业务子系统，满足采购人提出的业务需求。如果项目未完成验收前，由于相关政策导致业务发生变化进行升级或调整，中标单位应按照最新政策和最新技术标准方案完成本项建设。</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由海南省医疗保障局统一组织，招标人与相关人员组成验收小组完成验收。双方根据最终验收情况，编写最终验收报告。中标单位应完成项目验收资料的准备。</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在服务过程中出现性能指标或功能上不符合标书和合同要求时，由中标单位负责解决，招标人有拒绝验收的权利并保留索赔权利。</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本项目的实施过程中将产生大量的技术及管理文档，中标单位应协助招标人，负责建立、维护、交接项目实施过程中产生的各类文档，确保项目文档的内容体现本项目的实施过程，并确保项目文档的完整性和准确性。</w:t>
      </w:r>
    </w:p>
    <w:p>
      <w:pPr>
        <w:spacing w:line="360" w:lineRule="auto"/>
        <w:ind w:firstLine="720" w:firstLineChars="300"/>
        <w:rPr>
          <w:rFonts w:ascii="仿宋" w:hAnsi="仿宋" w:eastAsia="仿宋" w:cs="仿宋"/>
          <w:color w:val="auto"/>
          <w:sz w:val="24"/>
        </w:rPr>
      </w:pPr>
      <w:r>
        <w:rPr>
          <w:rFonts w:hint="eastAsia" w:ascii="仿宋" w:hAnsi="仿宋" w:eastAsia="仿宋" w:cs="仿宋"/>
          <w:color w:val="auto"/>
          <w:sz w:val="24"/>
        </w:rPr>
        <w:t>投标人按照要求提交全部文档，通过验收，视为本项工作完成。</w:t>
      </w:r>
    </w:p>
    <w:p>
      <w:pPr>
        <w:spacing w:line="360" w:lineRule="auto"/>
        <w:rPr>
          <w:rFonts w:ascii="仿宋" w:hAnsi="仿宋" w:eastAsia="仿宋" w:cs="仿宋"/>
          <w:color w:val="auto"/>
          <w:sz w:val="24"/>
        </w:rPr>
      </w:pPr>
      <w:r>
        <w:rPr>
          <w:rFonts w:hint="eastAsia" w:ascii="仿宋" w:hAnsi="仿宋" w:eastAsia="仿宋" w:cs="仿宋"/>
          <w:color w:val="auto"/>
          <w:sz w:val="24"/>
        </w:rPr>
        <w:t>（1）验收组织</w:t>
      </w:r>
    </w:p>
    <w:p>
      <w:pPr>
        <w:pStyle w:val="19"/>
        <w:ind w:firstLine="676" w:firstLineChars="282"/>
        <w:jc w:val="both"/>
        <w:rPr>
          <w:rFonts w:ascii="仿宋" w:hAnsi="仿宋" w:eastAsia="仿宋" w:cs="仿宋"/>
          <w:color w:val="auto"/>
          <w:sz w:val="24"/>
          <w:szCs w:val="24"/>
        </w:rPr>
      </w:pPr>
      <w:r>
        <w:rPr>
          <w:rFonts w:hint="eastAsia" w:ascii="仿宋" w:hAnsi="仿宋" w:eastAsia="仿宋" w:cs="仿宋"/>
          <w:color w:val="auto"/>
          <w:sz w:val="24"/>
          <w:szCs w:val="24"/>
        </w:rPr>
        <w:t>项目验收分为初验和终验，都由招标方组织进行。</w:t>
      </w:r>
    </w:p>
    <w:p>
      <w:pPr>
        <w:spacing w:line="360" w:lineRule="auto"/>
        <w:rPr>
          <w:rFonts w:ascii="仿宋" w:hAnsi="仿宋" w:eastAsia="仿宋" w:cs="仿宋"/>
          <w:color w:val="auto"/>
          <w:sz w:val="24"/>
        </w:rPr>
      </w:pPr>
      <w:r>
        <w:rPr>
          <w:rFonts w:hint="eastAsia" w:ascii="仿宋" w:hAnsi="仿宋" w:eastAsia="仿宋" w:cs="仿宋"/>
          <w:color w:val="auto"/>
          <w:sz w:val="24"/>
        </w:rPr>
        <w:t>（2）初验流程</w:t>
      </w:r>
    </w:p>
    <w:p>
      <w:pPr>
        <w:pStyle w:val="22"/>
        <w:tabs>
          <w:tab w:val="left" w:pos="567"/>
        </w:tabs>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1）招标方依据相关批复文件、招标采购文件、合同，对项目的工程、技术、财务和档案等进行验收，形成验收报告。</w:t>
      </w:r>
    </w:p>
    <w:p>
      <w:pPr>
        <w:pStyle w:val="22"/>
        <w:tabs>
          <w:tab w:val="left" w:pos="567"/>
        </w:tabs>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2）项目初验后进入试运行，试运行期至少3 个月。</w:t>
      </w:r>
    </w:p>
    <w:p>
      <w:pPr>
        <w:spacing w:line="360" w:lineRule="auto"/>
        <w:rPr>
          <w:rFonts w:ascii="仿宋" w:hAnsi="仿宋" w:eastAsia="仿宋" w:cs="仿宋"/>
          <w:color w:val="auto"/>
          <w:sz w:val="24"/>
        </w:rPr>
      </w:pPr>
      <w:r>
        <w:rPr>
          <w:rFonts w:hint="eastAsia" w:ascii="仿宋" w:hAnsi="仿宋" w:eastAsia="仿宋" w:cs="仿宋"/>
          <w:color w:val="auto"/>
          <w:sz w:val="24"/>
        </w:rPr>
        <w:t>（3）终验流程</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招标方组织成立验收组，负责开展终验的先期基础性工作，重点检查项目建设、设计、监理、施工、招标采购、档案资料、预（概）算执行和财务决算等情况，提出验收评价意见和建议。</w:t>
      </w:r>
    </w:p>
    <w:p>
      <w:pPr>
        <w:spacing w:line="360" w:lineRule="auto"/>
        <w:rPr>
          <w:rFonts w:ascii="仿宋" w:hAnsi="仿宋" w:eastAsia="仿宋" w:cs="仿宋"/>
          <w:color w:val="auto"/>
          <w:sz w:val="24"/>
        </w:rPr>
      </w:pPr>
      <w:r>
        <w:rPr>
          <w:rFonts w:hint="eastAsia" w:ascii="仿宋" w:hAnsi="仿宋" w:eastAsia="仿宋" w:cs="仿宋"/>
          <w:color w:val="auto"/>
          <w:sz w:val="24"/>
        </w:rPr>
        <w:t>（4）验收内容</w:t>
      </w:r>
    </w:p>
    <w:p>
      <w:pPr>
        <w:pStyle w:val="22"/>
        <w:numPr>
          <w:ilvl w:val="0"/>
          <w:numId w:val="48"/>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审查项目的建设目标、规模、内容、质量及资金使用等情况。</w:t>
      </w:r>
    </w:p>
    <w:p>
      <w:pPr>
        <w:pStyle w:val="22"/>
        <w:numPr>
          <w:ilvl w:val="0"/>
          <w:numId w:val="48"/>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审核项目形成的资产情况。</w:t>
      </w:r>
    </w:p>
    <w:p>
      <w:pPr>
        <w:pStyle w:val="22"/>
        <w:numPr>
          <w:ilvl w:val="0"/>
          <w:numId w:val="48"/>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评价项目交付使用情况。</w:t>
      </w:r>
    </w:p>
    <w:p>
      <w:pPr>
        <w:pStyle w:val="22"/>
        <w:spacing w:line="360" w:lineRule="auto"/>
        <w:ind w:left="852" w:firstLine="0" w:firstLineChars="0"/>
        <w:rPr>
          <w:rFonts w:ascii="仿宋" w:hAnsi="仿宋" w:eastAsia="仿宋" w:cs="仿宋"/>
          <w:color w:val="auto"/>
          <w:sz w:val="24"/>
          <w:szCs w:val="24"/>
        </w:rPr>
      </w:pPr>
      <w:r>
        <w:rPr>
          <w:rFonts w:hint="eastAsia" w:ascii="仿宋" w:hAnsi="仿宋" w:eastAsia="仿宋" w:cs="仿宋"/>
          <w:color w:val="auto"/>
          <w:sz w:val="24"/>
          <w:szCs w:val="24"/>
        </w:rPr>
        <w:t>4）检查项目建设单位执行国家法律、法规情况。</w:t>
      </w:r>
    </w:p>
    <w:p>
      <w:pPr>
        <w:spacing w:line="360" w:lineRule="auto"/>
        <w:rPr>
          <w:rFonts w:ascii="仿宋" w:hAnsi="仿宋" w:eastAsia="仿宋" w:cs="仿宋"/>
          <w:color w:val="auto"/>
          <w:sz w:val="24"/>
        </w:rPr>
      </w:pPr>
      <w:r>
        <w:rPr>
          <w:rFonts w:hint="eastAsia" w:ascii="仿宋" w:hAnsi="仿宋" w:eastAsia="仿宋" w:cs="仿宋"/>
          <w:color w:val="auto"/>
          <w:sz w:val="24"/>
        </w:rPr>
        <w:t>（5）验收相关材料</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中标单位须负责整理并提供以下验收材料，包括但不限于：项目实施方案、项目合同、项目建设总结、项目建设相关文档、初步验收报告、软件测试报告等。</w:t>
      </w:r>
    </w:p>
    <w:p>
      <w:pPr>
        <w:pStyle w:val="22"/>
        <w:autoSpaceDE w:val="0"/>
        <w:autoSpaceDN w:val="0"/>
        <w:spacing w:line="360" w:lineRule="auto"/>
        <w:ind w:right="315" w:firstLine="0" w:firstLineChars="0"/>
        <w:rPr>
          <w:rFonts w:ascii="仿宋" w:hAnsi="仿宋" w:eastAsia="仿宋" w:cs="仿宋"/>
          <w:b/>
          <w:color w:val="auto"/>
          <w:sz w:val="24"/>
          <w:szCs w:val="24"/>
        </w:rPr>
      </w:pPr>
      <w:bookmarkStart w:id="535" w:name="_Toc40898815"/>
      <w:r>
        <w:rPr>
          <w:rFonts w:hint="eastAsia" w:ascii="仿宋" w:hAnsi="仿宋" w:eastAsia="仿宋" w:cs="仿宋"/>
          <w:b/>
          <w:color w:val="auto"/>
          <w:sz w:val="24"/>
          <w:szCs w:val="24"/>
        </w:rPr>
        <w:t>18.其它要求</w:t>
      </w:r>
      <w:bookmarkEnd w:id="535"/>
    </w:p>
    <w:p>
      <w:pPr>
        <w:numPr>
          <w:ilvl w:val="0"/>
          <w:numId w:val="49"/>
        </w:numPr>
        <w:tabs>
          <w:tab w:val="left" w:pos="1301"/>
        </w:tabs>
        <w:autoSpaceDE w:val="0"/>
        <w:autoSpaceDN w:val="0"/>
        <w:spacing w:line="360" w:lineRule="auto"/>
        <w:ind w:left="480" w:right="317" w:firstLine="220"/>
        <w:rPr>
          <w:rFonts w:ascii="仿宋" w:hAnsi="仿宋" w:eastAsia="仿宋" w:cs="仿宋"/>
          <w:bCs/>
          <w:color w:val="auto"/>
          <w:kern w:val="0"/>
          <w:sz w:val="24"/>
        </w:rPr>
      </w:pPr>
      <w:r>
        <w:rPr>
          <w:rFonts w:hint="eastAsia" w:ascii="仿宋" w:hAnsi="仿宋" w:eastAsia="仿宋" w:cs="仿宋"/>
          <w:bCs/>
          <w:color w:val="auto"/>
          <w:kern w:val="0"/>
          <w:sz w:val="24"/>
        </w:rPr>
        <w:t>投标方承诺：如投标单位在海南省无分公司或办事处，须承诺中标后在海南省注册分公司或办事处，办公地址须在海南省医疗保障局周边半径2公里范围内。</w:t>
      </w:r>
    </w:p>
    <w:p>
      <w:pPr>
        <w:numPr>
          <w:ilvl w:val="0"/>
          <w:numId w:val="49"/>
        </w:numPr>
        <w:tabs>
          <w:tab w:val="left" w:pos="1301"/>
        </w:tabs>
        <w:autoSpaceDE w:val="0"/>
        <w:autoSpaceDN w:val="0"/>
        <w:spacing w:line="360" w:lineRule="auto"/>
        <w:ind w:left="480" w:right="317" w:firstLine="220"/>
        <w:rPr>
          <w:rFonts w:ascii="仿宋" w:hAnsi="仿宋" w:eastAsia="仿宋" w:cs="仿宋"/>
          <w:bCs/>
          <w:color w:val="auto"/>
          <w:kern w:val="0"/>
          <w:sz w:val="24"/>
        </w:rPr>
      </w:pPr>
      <w:r>
        <w:rPr>
          <w:rFonts w:hint="eastAsia" w:ascii="仿宋" w:hAnsi="仿宋" w:eastAsia="仿宋" w:cs="仿宋"/>
          <w:bCs/>
          <w:color w:val="auto"/>
          <w:kern w:val="0"/>
          <w:sz w:val="24"/>
        </w:rPr>
        <w:t>当招标方有新需求，而本文又未包括或与本文不符时，则应符合招标方新需求；对于招标方尚未有标准的，而本文又未提及的部分，中标单位提出其标准，留待双方认可后执行。</w:t>
      </w:r>
    </w:p>
    <w:p>
      <w:pPr>
        <w:numPr>
          <w:ilvl w:val="0"/>
          <w:numId w:val="49"/>
        </w:numPr>
        <w:tabs>
          <w:tab w:val="left" w:pos="1301"/>
        </w:tabs>
        <w:autoSpaceDE w:val="0"/>
        <w:autoSpaceDN w:val="0"/>
        <w:spacing w:line="360" w:lineRule="auto"/>
        <w:ind w:left="480" w:right="317" w:firstLine="220"/>
        <w:rPr>
          <w:rFonts w:ascii="仿宋" w:hAnsi="仿宋" w:eastAsia="仿宋" w:cs="仿宋"/>
          <w:bCs/>
          <w:color w:val="auto"/>
          <w:kern w:val="0"/>
          <w:sz w:val="24"/>
        </w:rPr>
      </w:pPr>
      <w:r>
        <w:rPr>
          <w:rFonts w:hint="eastAsia" w:ascii="仿宋" w:hAnsi="仿宋" w:eastAsia="仿宋" w:cs="仿宋"/>
          <w:bCs/>
          <w:color w:val="auto"/>
          <w:kern w:val="0"/>
          <w:sz w:val="24"/>
        </w:rPr>
        <w:t>中标单位应确保其技术建议的可行性以及所提供服务和产品的完整性，若出现由于中标单位所提供的服务和产品不全面而导致系统功能无法实现或不能完全实现，由中标单位及时无偿补足，并负全部责任。</w:t>
      </w:r>
    </w:p>
    <w:p>
      <w:pPr>
        <w:numPr>
          <w:ilvl w:val="0"/>
          <w:numId w:val="49"/>
        </w:numPr>
        <w:tabs>
          <w:tab w:val="left" w:pos="1301"/>
        </w:tabs>
        <w:autoSpaceDE w:val="0"/>
        <w:autoSpaceDN w:val="0"/>
        <w:spacing w:line="360" w:lineRule="auto"/>
        <w:ind w:left="480" w:right="317" w:firstLine="220"/>
        <w:rPr>
          <w:rFonts w:ascii="仿宋" w:hAnsi="仿宋" w:eastAsia="仿宋" w:cs="仿宋"/>
          <w:bCs/>
          <w:color w:val="auto"/>
          <w:kern w:val="0"/>
          <w:sz w:val="24"/>
        </w:rPr>
      </w:pPr>
      <w:r>
        <w:rPr>
          <w:rFonts w:hint="eastAsia" w:ascii="仿宋" w:hAnsi="仿宋" w:eastAsia="仿宋" w:cs="仿宋"/>
          <w:bCs/>
          <w:color w:val="auto"/>
          <w:kern w:val="0"/>
          <w:sz w:val="24"/>
        </w:rPr>
        <w:t>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numPr>
          <w:ilvl w:val="0"/>
          <w:numId w:val="49"/>
        </w:numPr>
        <w:tabs>
          <w:tab w:val="left" w:pos="1301"/>
        </w:tabs>
        <w:autoSpaceDE w:val="0"/>
        <w:autoSpaceDN w:val="0"/>
        <w:spacing w:line="360" w:lineRule="auto"/>
        <w:ind w:left="480" w:right="317" w:firstLine="220"/>
        <w:rPr>
          <w:rFonts w:ascii="仿宋" w:hAnsi="仿宋" w:eastAsia="仿宋" w:cs="仿宋"/>
          <w:bCs/>
          <w:color w:val="auto"/>
          <w:kern w:val="0"/>
          <w:sz w:val="24"/>
        </w:rPr>
      </w:pPr>
      <w:r>
        <w:rPr>
          <w:rFonts w:hint="eastAsia" w:ascii="仿宋" w:hAnsi="仿宋" w:eastAsia="仿宋" w:cs="仿宋"/>
          <w:bCs/>
          <w:color w:val="auto"/>
          <w:kern w:val="0"/>
          <w:sz w:val="24"/>
        </w:rPr>
        <w:t>投标方承诺承担驻场工程师就餐和相关差旅费用，并提供驻场工程师办公电脑、打印机等设备。</w:t>
      </w:r>
    </w:p>
    <w:p>
      <w:pPr>
        <w:numPr>
          <w:ilvl w:val="0"/>
          <w:numId w:val="49"/>
        </w:numPr>
        <w:tabs>
          <w:tab w:val="left" w:pos="1301"/>
        </w:tabs>
        <w:autoSpaceDE w:val="0"/>
        <w:autoSpaceDN w:val="0"/>
        <w:spacing w:line="360" w:lineRule="auto"/>
        <w:ind w:left="480" w:right="317" w:firstLine="220"/>
        <w:rPr>
          <w:rFonts w:ascii="仿宋" w:hAnsi="仿宋" w:eastAsia="仿宋" w:cs="仿宋"/>
          <w:bCs/>
          <w:color w:val="auto"/>
          <w:kern w:val="0"/>
          <w:sz w:val="24"/>
        </w:rPr>
      </w:pPr>
      <w:r>
        <w:rPr>
          <w:rFonts w:hint="eastAsia" w:ascii="仿宋" w:hAnsi="仿宋" w:eastAsia="仿宋" w:cs="仿宋"/>
          <w:bCs/>
          <w:color w:val="auto"/>
          <w:kern w:val="0"/>
          <w:sz w:val="24"/>
        </w:rPr>
        <w:t>投标方承诺本项目合作终止后1年内，无条件配合招标方进行数据迁移、数据字典提供、数据结构提供、对相关实现方式讲解。</w:t>
      </w:r>
    </w:p>
    <w:p>
      <w:pPr>
        <w:numPr>
          <w:ilvl w:val="0"/>
          <w:numId w:val="49"/>
        </w:numPr>
        <w:tabs>
          <w:tab w:val="left" w:pos="1301"/>
        </w:tabs>
        <w:autoSpaceDE w:val="0"/>
        <w:autoSpaceDN w:val="0"/>
        <w:spacing w:line="360" w:lineRule="auto"/>
        <w:ind w:left="480" w:right="317" w:firstLine="220"/>
        <w:rPr>
          <w:rFonts w:ascii="仿宋" w:hAnsi="仿宋" w:eastAsia="仿宋" w:cs="仿宋"/>
          <w:bCs/>
          <w:color w:val="auto"/>
          <w:kern w:val="0"/>
          <w:sz w:val="24"/>
        </w:rPr>
      </w:pPr>
      <w:r>
        <w:rPr>
          <w:rFonts w:hint="eastAsia" w:ascii="仿宋" w:hAnsi="仿宋" w:eastAsia="仿宋" w:cs="仿宋"/>
          <w:bCs/>
          <w:color w:val="auto"/>
          <w:kern w:val="0"/>
          <w:sz w:val="24"/>
        </w:rPr>
        <w:t>本项目建设内容、需求若有变化，与本文不符的，则按照招标方与投标方友好协商修订为准。</w:t>
      </w:r>
    </w:p>
    <w:p>
      <w:pPr>
        <w:spacing w:line="360" w:lineRule="auto"/>
        <w:rPr>
          <w:rFonts w:ascii="仿宋" w:hAnsi="仿宋" w:eastAsia="仿宋" w:cs="仿宋"/>
          <w:color w:val="auto"/>
          <w:sz w:val="24"/>
        </w:rPr>
        <w:sectPr>
          <w:pgSz w:w="11906" w:h="16838"/>
          <w:pgMar w:top="1440" w:right="1800" w:bottom="1440" w:left="1800" w:header="851" w:footer="992" w:gutter="0"/>
          <w:cols w:space="425" w:num="1"/>
          <w:docGrid w:type="lines" w:linePitch="312" w:charSpace="0"/>
        </w:sectPr>
      </w:pPr>
    </w:p>
    <w:p>
      <w:pPr>
        <w:keepNext/>
        <w:keepLines/>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7包药品和医用耗材招采模块</w:t>
      </w:r>
    </w:p>
    <w:p>
      <w:pPr>
        <w:spacing w:line="360" w:lineRule="auto"/>
        <w:rPr>
          <w:rFonts w:ascii="仿宋" w:hAnsi="仿宋" w:eastAsia="仿宋" w:cs="仿宋"/>
          <w:b/>
          <w:color w:val="auto"/>
          <w:sz w:val="24"/>
        </w:rPr>
      </w:pPr>
      <w:r>
        <w:rPr>
          <w:rFonts w:hint="eastAsia" w:ascii="仿宋" w:hAnsi="仿宋" w:eastAsia="仿宋" w:cs="仿宋"/>
          <w:b/>
          <w:color w:val="auto"/>
          <w:sz w:val="24"/>
        </w:rPr>
        <w:t>1.项目概述</w:t>
      </w:r>
    </w:p>
    <w:p>
      <w:pPr>
        <w:spacing w:line="360" w:lineRule="auto"/>
        <w:ind w:firstLine="482" w:firstLineChars="200"/>
        <w:rPr>
          <w:rFonts w:ascii="仿宋" w:hAnsi="仿宋" w:eastAsia="仿宋" w:cs="仿宋"/>
          <w:b/>
          <w:color w:val="auto"/>
          <w:sz w:val="24"/>
        </w:rPr>
      </w:pPr>
      <w:bookmarkStart w:id="536" w:name="_Toc40904754"/>
      <w:r>
        <w:rPr>
          <w:rFonts w:hint="eastAsia" w:ascii="仿宋" w:hAnsi="仿宋" w:eastAsia="仿宋" w:cs="仿宋"/>
          <w:b/>
          <w:color w:val="auto"/>
          <w:sz w:val="24"/>
        </w:rPr>
        <w:t>1.1项目背景</w:t>
      </w:r>
      <w:bookmarkEnd w:id="536"/>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习近平新时代中国特色社会主义思想为指导，全面贯彻党的十九大、十九届二中三中全会精神和2019年全国“两会”精神，认真落实全国医疗保障工作会议座谈会精神，严格遵循《国家医疗保障局医疗保障信息化工作指导意见》及《医疗保障信息平台建设指南》，坚持“千方百计保基本、始终做到可持续、回应社会解民忧、敢于担当推改革”，以医保为龙头带动“三医联动”改革，以信息化建设为抓手推动医保覆盖与医保控费，积极融入医疗保障信息化全国“一盘棋”格局，为逐步构建起全国医保便捷可及“大服务”、规范高效“大经办”、智能精准“大治理”、融合共享“大协作”、在线可用“大数据”、安全可靠“大支撑”信息化支撑体系添枝加叶。</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针对海南地区人口经济发展差异和老龄化严重的社会问题及农垦职工医疗保险基金缺口等历史遗留问题，本项目按照国家医保局标准全国统一、数据两级集中、平台分级部署、网络全面覆盖的医疗保障信息化建设要求，注重顶层设计、统一业务标准、打造基础平台、做好数据汇集、强化协同共享、增强网络安全。依托国家平台与海南省平台之间的协作联通，使用国家下达的中台服务，贯彻表层应用能用即用，国家系统中未设计的表层应用，采用国家统一的中台进行组装的整体思路，建设海南省统一的医疗保障信息平台，实现医保全省统筹统收统支“九统一”的重点工作任务，即： 统一行政管理和稽查执法，统一医保发展规划，统一医保基金收缴，统一医保待遇政策，统一医保支付范围，统一医保基金管理，统一医保经办规程，统一医保定点机构，统一医保信息系统。进一步完善医疗保障制度体系，提升医疗保障基金监管，强化医保支付、深化医药服务价格改革、优化医疗保障管理服务水平，探索常住外籍人员医疗保障办法。发挥信息化对医疗保障事业的支撑作用。解决群众反映强烈的突出问题，不断提高人民群众医疗保障获利感、幸福感和安全感，助力提高医改整体效能同时促进海南自由贸易试验区快速建设和实施健康中国战略。</w:t>
      </w:r>
    </w:p>
    <w:p>
      <w:pPr>
        <w:pStyle w:val="21"/>
        <w:ind w:firstLine="420" w:firstLineChars="0"/>
        <w:jc w:val="both"/>
        <w:rPr>
          <w:rFonts w:ascii="仿宋" w:hAnsi="仿宋" w:eastAsia="仿宋" w:cs="仿宋"/>
          <w:color w:val="auto"/>
          <w:sz w:val="24"/>
          <w:szCs w:val="24"/>
        </w:rPr>
      </w:pPr>
      <w:r>
        <w:rPr>
          <w:rFonts w:hint="eastAsia" w:ascii="仿宋" w:hAnsi="仿宋" w:eastAsia="仿宋" w:cs="仿宋"/>
          <w:color w:val="auto"/>
          <w:sz w:val="24"/>
          <w:szCs w:val="24"/>
        </w:rPr>
        <w:t>药品和医用耗材招采模块为海南省医疗保障局提供药品和医用耗材招标采购信息的监测监管，特别是仿制药和短缺药，同时支撑各市县的药品和耗材的招标采购工作。通过药品和医用耗材招标采购系统，和国家系统进行对接，将数据进行上传，便于国家统一监管和监测，为国家决策提供相关依据，便于国家对市场作出调节。</w:t>
      </w:r>
    </w:p>
    <w:p>
      <w:pPr>
        <w:spacing w:line="360" w:lineRule="auto"/>
        <w:rPr>
          <w:rFonts w:ascii="仿宋" w:hAnsi="仿宋" w:eastAsia="仿宋" w:cs="仿宋"/>
          <w:b/>
          <w:color w:val="auto"/>
          <w:sz w:val="24"/>
        </w:rPr>
      </w:pPr>
      <w:bookmarkStart w:id="537" w:name="_Toc40904755"/>
      <w:r>
        <w:rPr>
          <w:rFonts w:hint="eastAsia" w:ascii="仿宋" w:hAnsi="仿宋" w:eastAsia="仿宋" w:cs="仿宋"/>
          <w:b/>
          <w:color w:val="auto"/>
          <w:sz w:val="24"/>
        </w:rPr>
        <w:t>2.项目建设原则</w:t>
      </w:r>
      <w:bookmarkEnd w:id="537"/>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海南省医疗保障局医疗保障信息平台二期建设工程项目应明确目标，找准方向，把握重点，规范有序开展工作。在项目建设过程中，贯彻使用全国统一的标准规范体系和中台服务，依托全国统一的技术体系和架构建设海南省全新的医疗保障信息平台，要着重把握好以下建设原则：</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（1）统筹规划，分步推进</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为避免信息孤岛、重复建设等现象，海南省医疗保障局医疗保障信息平台二期建设工程需进行“自上而下”的顶层规划设计，进行合理有序布局；通过“统一领导、统一规划、统一部署、统一标准”的统筹指导建设，集约管理，节约投资。同时，遵循“自下而上”的项目操作原则，立足现行管理体制与制度建设，打好基础，确立方向，稳步推进，均衡发展，实现项目落地，并为下一步制度完善、管理提升留有空间。</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（2）需求导向、务求实效</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医保各部门间信息共享与业务协同作为原始需求驱动，进行医保基础平台的规划建设。再以此为基础，逐步拓展数据资源与数据资源服务能力，进一步进行医保大数据分析挖掘等高级应用，完善与丰富贴近实战的大数据应用服务，从而形成良性循环，并尽快体现出阶段性效果。</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（3）统一协同，资源共享</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统一管理、统一规划，就必须有一套统一的标准规范作为基础支撑。标准与规范应向上符合国家的标准与规范，向下规范医保行业业务范围内大数据建设与应用。遵循统一的标准，各相关职能部门根据权限的不同，共享信息资源。同时，各级医保管理部门共同参与，既能保障数据同步，也有利于实现信息共享和协同工作，实现资源的集约化管理。</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（4）整合共享，协作高效</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突破区域、部门之间的界限和体制性障碍，充分整合基础设施资源和智能终端获取的信息资源，通过医疗保障信息平台建设推进跨部门、跨领域的信息化协同共享，增强医疗保障的效率和决策能力，同时有效满足公众信息需求，提升医保资源的利用效率。</w:t>
      </w:r>
    </w:p>
    <w:p>
      <w:pPr>
        <w:autoSpaceDE w:val="0"/>
        <w:autoSpaceDN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（5）统一标准，开放接口</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通过明确和开放医疗信息平台的接口与标准，为后期其他相关行业的数据接入提供标准接口，最大限度地实现医保与政府、职能部门、医院、企业、百姓的信息对接。</w:t>
      </w:r>
    </w:p>
    <w:p>
      <w:pPr>
        <w:spacing w:line="360" w:lineRule="auto"/>
        <w:rPr>
          <w:rFonts w:ascii="仿宋" w:hAnsi="仿宋" w:eastAsia="仿宋" w:cs="仿宋"/>
          <w:b/>
          <w:color w:val="auto"/>
          <w:sz w:val="24"/>
        </w:rPr>
      </w:pPr>
      <w:bookmarkStart w:id="538" w:name="_Toc40904756"/>
      <w:r>
        <w:rPr>
          <w:rFonts w:hint="eastAsia" w:ascii="仿宋" w:hAnsi="仿宋" w:eastAsia="仿宋" w:cs="仿宋"/>
          <w:b/>
          <w:color w:val="auto"/>
          <w:sz w:val="24"/>
        </w:rPr>
        <w:t>3.建设目标</w:t>
      </w:r>
      <w:bookmarkEnd w:id="538"/>
    </w:p>
    <w:p>
      <w:pPr>
        <w:pStyle w:val="21"/>
        <w:ind w:firstLine="420" w:firstLineChars="0"/>
        <w:jc w:val="both"/>
        <w:rPr>
          <w:rFonts w:ascii="仿宋" w:hAnsi="仿宋" w:eastAsia="仿宋" w:cs="仿宋"/>
          <w:color w:val="auto"/>
          <w:sz w:val="24"/>
          <w:szCs w:val="24"/>
        </w:rPr>
      </w:pPr>
      <w:r>
        <w:rPr>
          <w:rFonts w:hint="eastAsia" w:ascii="仿宋" w:hAnsi="仿宋" w:eastAsia="仿宋" w:cs="仿宋"/>
          <w:color w:val="auto"/>
          <w:sz w:val="24"/>
          <w:szCs w:val="24"/>
        </w:rPr>
        <w:t>药品和医用耗材招采模块为海南省医疗保障局提供药品和医用耗材招标采购信息的监测监管，特别是仿制药和短缺药，同时支撑全省的药品和耗材的招标采购工作。通过药品和医用耗材招标采购系统和国家系统进行对接，将数据进行上传，便于国家统一监管和监测，为国家决策提供相关依据，便于国家对市场作出调节。</w:t>
      </w:r>
    </w:p>
    <w:p>
      <w:pPr>
        <w:spacing w:line="360" w:lineRule="auto"/>
        <w:rPr>
          <w:rFonts w:ascii="仿宋" w:hAnsi="仿宋" w:eastAsia="仿宋" w:cs="仿宋"/>
          <w:b/>
          <w:color w:val="auto"/>
          <w:sz w:val="24"/>
        </w:rPr>
      </w:pPr>
      <w:bookmarkStart w:id="539" w:name="_Toc40904757"/>
      <w:r>
        <w:rPr>
          <w:rFonts w:hint="eastAsia" w:ascii="仿宋" w:hAnsi="仿宋" w:eastAsia="仿宋" w:cs="仿宋"/>
          <w:b/>
          <w:color w:val="auto"/>
          <w:sz w:val="24"/>
        </w:rPr>
        <w:t>4.系统定位</w:t>
      </w:r>
      <w:bookmarkEnd w:id="539"/>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海南省医疗保障信息平台严格遵照国家医疗保障信息平台建设指南的相关约束与要求，依照国家医疗保障信息平台的统一设计原则，贯彻使用全国统一的标准规范体系和中台服务，依托全国统一的技术体系和架构建设海南全新的医疗保障信息平台。</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平台总体架构划分为公共服务区和核心业务区，其中核心业务区分为生产区、交换区和大数据区。</w:t>
      </w:r>
    </w:p>
    <w:p>
      <w:pPr>
        <w:pStyle w:val="9"/>
        <w:spacing w:line="360" w:lineRule="auto"/>
        <w:jc w:val="both"/>
        <w:rPr>
          <w:rFonts w:ascii="仿宋" w:hAnsi="仿宋" w:eastAsia="仿宋" w:cs="仿宋"/>
          <w:color w:val="auto"/>
          <w:sz w:val="24"/>
        </w:rPr>
      </w:pPr>
      <w:r>
        <w:rPr>
          <w:rFonts w:hint="eastAsia" w:ascii="仿宋" w:hAnsi="仿宋" w:eastAsia="仿宋" w:cs="仿宋"/>
          <w:color w:val="auto"/>
          <w:sz w:val="24"/>
          <w:lang w:val="en-US" w:bidi="ar-SA"/>
        </w:rPr>
        <w:drawing>
          <wp:inline distT="0" distB="0" distL="114300" distR="114300">
            <wp:extent cx="5228590" cy="2847975"/>
            <wp:effectExtent l="0" t="0" r="1016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4"/>
                    <a:stretch>
                      <a:fillRect/>
                    </a:stretch>
                  </pic:blipFill>
                  <pic:spPr>
                    <a:xfrm>
                      <a:off x="0" y="0"/>
                      <a:ext cx="5228590" cy="2847975"/>
                    </a:xfrm>
                    <a:prstGeom prst="rect">
                      <a:avLst/>
                    </a:prstGeom>
                    <a:noFill/>
                    <a:ln>
                      <a:noFill/>
                    </a:ln>
                  </pic:spPr>
                </pic:pic>
              </a:graphicData>
            </a:graphic>
          </wp:inline>
        </w:drawing>
      </w:r>
    </w:p>
    <w:p>
      <w:pPr>
        <w:autoSpaceDE w:val="0"/>
        <w:autoSpaceDN w:val="0"/>
        <w:spacing w:line="360" w:lineRule="auto"/>
        <w:ind w:firstLine="482" w:firstLineChars="200"/>
        <w:jc w:val="center"/>
        <w:rPr>
          <w:rFonts w:ascii="仿宋" w:hAnsi="仿宋" w:eastAsia="仿宋" w:cs="仿宋"/>
          <w:b/>
          <w:color w:val="auto"/>
          <w:sz w:val="24"/>
        </w:rPr>
      </w:pPr>
      <w:r>
        <w:rPr>
          <w:rFonts w:hint="eastAsia" w:ascii="仿宋" w:hAnsi="仿宋" w:eastAsia="仿宋" w:cs="仿宋"/>
          <w:b/>
          <w:color w:val="auto"/>
          <w:sz w:val="24"/>
        </w:rPr>
        <w:t>图：海南省医疗保障信息平台总体架构图</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本文涉及的公共服务子系统药品和医用耗材招采模块作为医疗保障信息平台的组成部分。</w:t>
      </w:r>
    </w:p>
    <w:p>
      <w:pPr>
        <w:spacing w:line="360" w:lineRule="auto"/>
        <w:rPr>
          <w:rFonts w:ascii="仿宋" w:hAnsi="仿宋" w:eastAsia="仿宋" w:cs="仿宋"/>
          <w:b/>
          <w:color w:val="auto"/>
          <w:sz w:val="24"/>
        </w:rPr>
      </w:pPr>
      <w:bookmarkStart w:id="540" w:name="_Toc40904758"/>
      <w:r>
        <w:rPr>
          <w:rFonts w:hint="eastAsia" w:ascii="仿宋" w:hAnsi="仿宋" w:eastAsia="仿宋" w:cs="仿宋"/>
          <w:b/>
          <w:color w:val="auto"/>
          <w:sz w:val="24"/>
        </w:rPr>
        <w:t>5.技术架构要求</w:t>
      </w:r>
      <w:bookmarkEnd w:id="540"/>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海南省医疗保障信息平台需要支撑1500余万用户的高并发访问和实时交易需求，并且需要考虑将来的医保改革的进一步深化的各项新需求，系统需要具备支撑高并发和实时交易的能力，同时能够灵活扩展，所以整个系统按照云化、分层架构设计。</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所有业务应用系统都必须基于医疗保障应用框架（Healthcare Security Application Framework，简称：HSAF）开发。HSAF框架采用分布式云架构，封装核心云支撑服务适配接口，用于实现云产品解耦设计。HSAF适配层基于HSAF 的适配技术，将应用层依赖的分布式技术与具体厂商的分布式技术进行适配，实现应用层可以适配多家厂商的分布式技术。</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（1）基础层：建设在云化基础设施上，以云虚拟机、多租户数据库、云存储、负载均衡及专有网络为底层，最大程度的利用了云计算横向扩展的能力；</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中间件层：作为应用的支撑平台，提供应用所需要的基础能力，其中包括分布式应用及管理能力，集成接入点能力，异步服务的能力，缓存的能力，分布式数据库的能力等，这些中间件提供的能力可以很好的支撑应用应对高并发和实时交易的场景；</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（3）后端服务：在基础设施和中间件之上进行构建，使用了众多开源高效的组件如依赖注入和反向控制框架Spring，持久层框架MyBatis，以及加密、定时任务，日志等框架；</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前端服务：采用先进的前端技术H5、VUE等，并采用前后端分离的开发方式，将前端展示与后端服务进行解耦，为用户提供更好的体验；而前端和后端的协议，本项目兼容HTTP、RPC、WEBSERVICE等各种主流的通讯协议，为后续扩展做了很好的准备。</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项目周边的技术也采用了业界比较成熟的架构，代码版本管控工具可与代码构建框架构建和持续集成平台无缝衔接，达到快速开发、快速构建、快速集成的效果。整个服务平台也采用云计算的最佳实践与规范，充分利用到云计算的分布式能力，建设更稳定和高效的服务与应用。</w:t>
      </w:r>
    </w:p>
    <w:p>
      <w:pPr>
        <w:spacing w:line="360" w:lineRule="auto"/>
        <w:rPr>
          <w:rFonts w:ascii="仿宋" w:hAnsi="仿宋" w:eastAsia="仿宋" w:cs="仿宋"/>
          <w:b/>
          <w:color w:val="auto"/>
          <w:sz w:val="24"/>
        </w:rPr>
      </w:pPr>
      <w:bookmarkStart w:id="541" w:name="_Toc40904759"/>
      <w:r>
        <w:rPr>
          <w:rFonts w:hint="eastAsia" w:ascii="仿宋" w:hAnsi="仿宋" w:eastAsia="仿宋" w:cs="仿宋"/>
          <w:b/>
          <w:color w:val="auto"/>
          <w:sz w:val="24"/>
        </w:rPr>
        <w:t>6.软件功能要求</w:t>
      </w:r>
      <w:bookmarkEnd w:id="541"/>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以下章节将对各模块建设内容的具体功能需求进行描述，但并不仅限于此，投标方可以提出适合本系统的其他功能。</w:t>
      </w:r>
    </w:p>
    <w:p>
      <w:pPr>
        <w:spacing w:line="360" w:lineRule="auto"/>
        <w:ind w:firstLine="482" w:firstLineChars="200"/>
        <w:rPr>
          <w:rFonts w:ascii="仿宋" w:hAnsi="仿宋" w:eastAsia="仿宋" w:cs="仿宋"/>
          <w:b/>
          <w:color w:val="auto"/>
          <w:sz w:val="24"/>
        </w:rPr>
      </w:pPr>
      <w:bookmarkStart w:id="542" w:name="_Toc40904760"/>
      <w:r>
        <w:rPr>
          <w:rFonts w:hint="eastAsia" w:ascii="仿宋" w:hAnsi="仿宋" w:eastAsia="仿宋" w:cs="仿宋"/>
          <w:b/>
          <w:color w:val="auto"/>
          <w:sz w:val="24"/>
        </w:rPr>
        <w:t>6.1药品和医用耗材招采</w:t>
      </w:r>
      <w:bookmarkEnd w:id="542"/>
    </w:p>
    <w:p>
      <w:pPr>
        <w:spacing w:line="360" w:lineRule="auto"/>
        <w:ind w:firstLine="482" w:firstLineChars="200"/>
        <w:rPr>
          <w:rFonts w:ascii="仿宋" w:hAnsi="仿宋" w:eastAsia="仿宋" w:cs="仿宋"/>
          <w:b/>
          <w:color w:val="auto"/>
          <w:sz w:val="24"/>
        </w:rPr>
      </w:pPr>
      <w:bookmarkStart w:id="543" w:name="_Toc40904761"/>
      <w:r>
        <w:rPr>
          <w:rFonts w:hint="eastAsia" w:ascii="仿宋" w:hAnsi="仿宋" w:eastAsia="仿宋" w:cs="仿宋"/>
          <w:b/>
          <w:color w:val="auto"/>
          <w:sz w:val="24"/>
        </w:rPr>
        <w:t>6.1.1资质项配置</w:t>
      </w:r>
      <w:bookmarkEnd w:id="543"/>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资质项配置业务逻辑业务流程如下：</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1）医保局工作人员在资质项配置页面发起资质项配置请求并提交资质项配置参数信息；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2）资质项配置页面接收用户提交的资质项配置参数信息后，通过调用资质项配置管理业务逻辑执行资质项配置；</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3）资质项配置业务逻辑对资质项配置参数信息进行判断是否合规，如果参数不合规，则业务逻辑直接返回提示资质项配置失败。</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如果资质项配置合规，则存储资质项配置参数信息，将资质项配置结果通过业务网关发送给资质项配置业务逻辑，并将资质项配置结果反馈到资质项配置页面提示用户查看。</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（1）企业资质项配置</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系统提供企业资质项配置管理，可对企业资质信息进行管理。</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（2）产品资质项配置</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系统提供产品资质项配置管理功能，可对产品资质信息进行管理。</w:t>
      </w:r>
    </w:p>
    <w:p>
      <w:pPr>
        <w:spacing w:line="360" w:lineRule="auto"/>
        <w:ind w:firstLine="482" w:firstLineChars="200"/>
        <w:rPr>
          <w:rFonts w:ascii="仿宋" w:hAnsi="仿宋" w:eastAsia="仿宋" w:cs="仿宋"/>
          <w:b/>
          <w:color w:val="auto"/>
          <w:sz w:val="24"/>
        </w:rPr>
      </w:pPr>
      <w:bookmarkStart w:id="544" w:name="_Toc40904762"/>
      <w:r>
        <w:rPr>
          <w:rFonts w:hint="eastAsia" w:ascii="仿宋" w:hAnsi="仿宋" w:eastAsia="仿宋" w:cs="仿宋"/>
          <w:b/>
          <w:color w:val="auto"/>
          <w:sz w:val="24"/>
        </w:rPr>
        <w:t>6.1.2我的企业信息</w:t>
      </w:r>
      <w:bookmarkEnd w:id="544"/>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系统提供企业信息维护功能，企业可通过该功能维护相关企业信息并进行提交。</w:t>
      </w:r>
    </w:p>
    <w:p>
      <w:pPr>
        <w:spacing w:line="360" w:lineRule="auto"/>
        <w:ind w:firstLine="482" w:firstLineChars="200"/>
        <w:rPr>
          <w:rFonts w:ascii="仿宋" w:hAnsi="仿宋" w:eastAsia="仿宋" w:cs="仿宋"/>
          <w:b/>
          <w:color w:val="auto"/>
          <w:sz w:val="24"/>
        </w:rPr>
      </w:pPr>
      <w:bookmarkStart w:id="545" w:name="_Toc40904763"/>
      <w:r>
        <w:rPr>
          <w:rFonts w:hint="eastAsia" w:ascii="仿宋" w:hAnsi="仿宋" w:eastAsia="仿宋" w:cs="仿宋"/>
          <w:b/>
          <w:color w:val="auto"/>
          <w:sz w:val="24"/>
        </w:rPr>
        <w:t>6.1.3我的产品库</w:t>
      </w:r>
      <w:bookmarkEnd w:id="545"/>
    </w:p>
    <w:p>
      <w:pPr>
        <w:numPr>
          <w:ilvl w:val="0"/>
          <w:numId w:val="50"/>
        </w:numPr>
        <w:spacing w:line="360" w:lineRule="auto"/>
        <w:rPr>
          <w:rFonts w:ascii="仿宋" w:hAnsi="仿宋" w:eastAsia="仿宋" w:cs="仿宋"/>
          <w:b/>
          <w:color w:val="auto"/>
          <w:sz w:val="24"/>
        </w:rPr>
      </w:pPr>
      <w:r>
        <w:rPr>
          <w:rFonts w:hint="eastAsia" w:ascii="仿宋" w:hAnsi="仿宋" w:eastAsia="仿宋" w:cs="仿宋"/>
          <w:color w:val="auto"/>
          <w:sz w:val="24"/>
        </w:rPr>
        <w:t>我的药品库</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提供给药品生产或流通企业使用的功能，可维护企业提供的药品信息，库存信息等。</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（2）我的耗材库</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提供给药品生产或流通企业使用的功能，可维护企业提供的耗材信息，库存信息等。</w:t>
      </w:r>
    </w:p>
    <w:p>
      <w:pPr>
        <w:spacing w:line="360" w:lineRule="auto"/>
        <w:ind w:firstLine="482" w:firstLineChars="200"/>
        <w:rPr>
          <w:rFonts w:ascii="仿宋" w:hAnsi="仿宋" w:eastAsia="仿宋" w:cs="仿宋"/>
          <w:b/>
          <w:color w:val="auto"/>
          <w:sz w:val="24"/>
        </w:rPr>
      </w:pPr>
      <w:bookmarkStart w:id="546" w:name="_Toc40904764"/>
      <w:r>
        <w:rPr>
          <w:rFonts w:hint="eastAsia" w:ascii="仿宋" w:hAnsi="仿宋" w:eastAsia="仿宋" w:cs="仿宋"/>
          <w:b/>
          <w:color w:val="auto"/>
          <w:sz w:val="24"/>
        </w:rPr>
        <w:t>6.1.4企业资质审核</w:t>
      </w:r>
      <w:bookmarkEnd w:id="546"/>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针对药品生产、流通企业提交的企业信息，可进行企业资质审核，审核通过后企业信息生效，可进行其他操作。</w:t>
      </w:r>
    </w:p>
    <w:p>
      <w:pPr>
        <w:spacing w:line="360" w:lineRule="auto"/>
        <w:ind w:firstLine="482" w:firstLineChars="200"/>
        <w:rPr>
          <w:rFonts w:ascii="仿宋" w:hAnsi="仿宋" w:eastAsia="仿宋" w:cs="仿宋"/>
          <w:b/>
          <w:color w:val="auto"/>
          <w:sz w:val="24"/>
        </w:rPr>
      </w:pPr>
      <w:bookmarkStart w:id="547" w:name="_Toc40904765"/>
      <w:r>
        <w:rPr>
          <w:rFonts w:hint="eastAsia" w:ascii="仿宋" w:hAnsi="仿宋" w:eastAsia="仿宋" w:cs="仿宋"/>
          <w:b/>
          <w:color w:val="auto"/>
          <w:sz w:val="24"/>
        </w:rPr>
        <w:t>6.1.5产品资质审核</w:t>
      </w:r>
      <w:bookmarkEnd w:id="547"/>
    </w:p>
    <w:p>
      <w:pPr>
        <w:spacing w:line="360" w:lineRule="auto"/>
        <w:ind w:firstLine="480" w:firstLineChars="200"/>
        <w:rPr>
          <w:rFonts w:ascii="仿宋" w:hAnsi="仿宋" w:eastAsia="仿宋" w:cs="仿宋"/>
          <w:b/>
          <w:color w:val="auto"/>
          <w:sz w:val="24"/>
        </w:rPr>
      </w:pPr>
      <w:r>
        <w:rPr>
          <w:rFonts w:hint="eastAsia" w:ascii="仿宋" w:hAnsi="仿宋" w:eastAsia="仿宋" w:cs="仿宋"/>
          <w:color w:val="auto"/>
          <w:sz w:val="24"/>
        </w:rPr>
        <w:t>（1）药品资质审核</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针对药品资质进行审核、对药品资质信息进行线上审核，审核通过后药品可参与招采业务。</w:t>
      </w:r>
    </w:p>
    <w:p>
      <w:pPr>
        <w:adjustRightIn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（2）耗材资质审核</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针对耗材资质进行审核、对药品资质信息进行线上审核，审核通过后药品可参与招采业务。</w:t>
      </w:r>
    </w:p>
    <w:p>
      <w:pPr>
        <w:spacing w:line="360" w:lineRule="auto"/>
        <w:ind w:firstLine="482" w:firstLineChars="200"/>
        <w:rPr>
          <w:rFonts w:ascii="仿宋" w:hAnsi="仿宋" w:eastAsia="仿宋" w:cs="仿宋"/>
          <w:b/>
          <w:color w:val="auto"/>
          <w:sz w:val="24"/>
        </w:rPr>
      </w:pPr>
      <w:bookmarkStart w:id="548" w:name="_Toc40904766"/>
      <w:r>
        <w:rPr>
          <w:rFonts w:hint="eastAsia" w:ascii="仿宋" w:hAnsi="仿宋" w:eastAsia="仿宋" w:cs="仿宋"/>
          <w:b/>
          <w:color w:val="auto"/>
          <w:sz w:val="24"/>
        </w:rPr>
        <w:t>6.1.6价格查询</w:t>
      </w:r>
      <w:bookmarkEnd w:id="548"/>
    </w:p>
    <w:p>
      <w:pPr>
        <w:spacing w:line="360" w:lineRule="auto"/>
        <w:ind w:firstLine="480" w:firstLineChars="200"/>
        <w:rPr>
          <w:rFonts w:ascii="仿宋" w:hAnsi="仿宋" w:eastAsia="仿宋" w:cs="仿宋"/>
          <w:b/>
          <w:color w:val="auto"/>
          <w:sz w:val="24"/>
        </w:rPr>
      </w:pPr>
      <w:r>
        <w:rPr>
          <w:rFonts w:hint="eastAsia" w:ascii="仿宋" w:hAnsi="仿宋" w:eastAsia="仿宋" w:cs="仿宋"/>
          <w:color w:val="auto"/>
          <w:sz w:val="24"/>
        </w:rPr>
        <w:t>（1）药品和医用耗材价格查询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提供药品和医用耗材价格查询功能，可通过该功能查询药品及医用耗材价格信息。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1）医保局工作人员在药品价格查询页面发起查询请求并输入/选择查询条件；</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2）查询页面接收用户输入/选择的查询条件后，通过调用药品价格查询业务逻辑执行查询；</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3）药品价格查询业务逻辑查询药品价格信息数据库是否存在药品价格信息，如果未查询到相关数据，则业务逻辑直接返回提示药品价格信息不存在；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如果查询到相关数据，则存储查询结果，将查询结果通过业务网关发送给药品价格查询业务逻辑，并将查询结果反馈到药品价格查询页面提示用户查看。</w:t>
      </w:r>
    </w:p>
    <w:p>
      <w:pPr>
        <w:numPr>
          <w:ilvl w:val="0"/>
          <w:numId w:val="50"/>
        </w:numPr>
        <w:spacing w:line="360" w:lineRule="auto"/>
        <w:rPr>
          <w:rFonts w:ascii="仿宋" w:hAnsi="仿宋" w:eastAsia="仿宋" w:cs="仿宋"/>
          <w:color w:val="auto"/>
          <w:sz w:val="24"/>
        </w:rPr>
      </w:pPr>
      <w:r>
        <w:rPr>
          <w:rFonts w:hint="eastAsia" w:ascii="仿宋" w:hAnsi="仿宋" w:eastAsia="仿宋" w:cs="仿宋"/>
          <w:color w:val="auto"/>
          <w:sz w:val="24"/>
        </w:rPr>
        <w:t>药品和医用耗材比价管理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系统提供药品和医用耗材比较管理功能，可通过该功能对药品或医用耗材价格进行比对。</w:t>
      </w:r>
    </w:p>
    <w:p>
      <w:pPr>
        <w:spacing w:line="360" w:lineRule="auto"/>
        <w:ind w:left="193" w:leftChars="92" w:firstLine="240" w:firstLineChars="100"/>
        <w:rPr>
          <w:rFonts w:ascii="仿宋" w:hAnsi="仿宋" w:eastAsia="仿宋" w:cs="仿宋"/>
          <w:color w:val="auto"/>
          <w:sz w:val="24"/>
        </w:rPr>
      </w:pPr>
      <w:r>
        <w:rPr>
          <w:rFonts w:hint="eastAsia" w:ascii="仿宋" w:hAnsi="仿宋" w:eastAsia="仿宋" w:cs="仿宋"/>
          <w:color w:val="auto"/>
          <w:sz w:val="24"/>
        </w:rPr>
        <w:t>（3）医保采购限价管理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系统提供医保采购限价管理，可对招采业务的限价信息进行管理。</w:t>
      </w:r>
    </w:p>
    <w:p>
      <w:pPr>
        <w:adjustRightIn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（4）麻精药品价格查询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系统提供麻精药品价格查询功能，可通过该功能查询麻精药品价格信息等。</w:t>
      </w:r>
    </w:p>
    <w:p>
      <w:pPr>
        <w:adjustRightInd w:val="0"/>
        <w:spacing w:line="360" w:lineRule="auto"/>
        <w:ind w:firstLine="240" w:firstLineChars="100"/>
        <w:rPr>
          <w:rFonts w:ascii="仿宋" w:hAnsi="仿宋" w:eastAsia="仿宋" w:cs="仿宋"/>
          <w:color w:val="auto"/>
          <w:sz w:val="24"/>
        </w:rPr>
      </w:pPr>
      <w:r>
        <w:rPr>
          <w:rFonts w:hint="eastAsia" w:ascii="仿宋" w:hAnsi="仿宋" w:eastAsia="仿宋" w:cs="仿宋"/>
          <w:color w:val="auto"/>
          <w:sz w:val="24"/>
        </w:rPr>
        <w:t>（5）国家谈判药品查询、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系统提供国家谈判药品信息查询功能。</w:t>
      </w:r>
    </w:p>
    <w:p>
      <w:pPr>
        <w:pStyle w:val="22"/>
        <w:keepNext/>
        <w:keepLines/>
        <w:numPr>
          <w:ilvl w:val="0"/>
          <w:numId w:val="51"/>
        </w:numPr>
        <w:spacing w:line="360" w:lineRule="auto"/>
        <w:ind w:firstLineChars="0"/>
        <w:rPr>
          <w:rFonts w:ascii="仿宋" w:hAnsi="仿宋" w:eastAsia="仿宋" w:cs="仿宋"/>
          <w:b/>
          <w:bCs/>
          <w:vanish/>
          <w:color w:val="auto"/>
          <w:sz w:val="24"/>
          <w:szCs w:val="24"/>
        </w:rPr>
      </w:pPr>
      <w:bookmarkStart w:id="549" w:name="_Toc40904767"/>
    </w:p>
    <w:p>
      <w:pPr>
        <w:pStyle w:val="22"/>
        <w:keepNext/>
        <w:keepLines/>
        <w:numPr>
          <w:ilvl w:val="0"/>
          <w:numId w:val="51"/>
        </w:numPr>
        <w:spacing w:line="360" w:lineRule="auto"/>
        <w:ind w:firstLineChars="0"/>
        <w:rPr>
          <w:rFonts w:ascii="仿宋" w:hAnsi="仿宋" w:eastAsia="仿宋" w:cs="仿宋"/>
          <w:b/>
          <w:bCs/>
          <w:vanish/>
          <w:color w:val="auto"/>
          <w:sz w:val="24"/>
          <w:szCs w:val="24"/>
        </w:rPr>
      </w:pPr>
    </w:p>
    <w:p>
      <w:pPr>
        <w:pStyle w:val="22"/>
        <w:keepNext/>
        <w:keepLines/>
        <w:numPr>
          <w:ilvl w:val="0"/>
          <w:numId w:val="51"/>
        </w:numPr>
        <w:spacing w:line="360" w:lineRule="auto"/>
        <w:ind w:firstLineChars="0"/>
        <w:rPr>
          <w:rFonts w:ascii="仿宋" w:hAnsi="仿宋" w:eastAsia="仿宋" w:cs="仿宋"/>
          <w:b/>
          <w:bCs/>
          <w:vanish/>
          <w:color w:val="auto"/>
          <w:sz w:val="24"/>
          <w:szCs w:val="24"/>
        </w:rPr>
      </w:pPr>
    </w:p>
    <w:p>
      <w:pPr>
        <w:pStyle w:val="22"/>
        <w:keepNext/>
        <w:keepLines/>
        <w:numPr>
          <w:ilvl w:val="0"/>
          <w:numId w:val="51"/>
        </w:numPr>
        <w:spacing w:line="360" w:lineRule="auto"/>
        <w:ind w:firstLineChars="0"/>
        <w:rPr>
          <w:rFonts w:ascii="仿宋" w:hAnsi="仿宋" w:eastAsia="仿宋" w:cs="仿宋"/>
          <w:b/>
          <w:bCs/>
          <w:vanish/>
          <w:color w:val="auto"/>
          <w:sz w:val="24"/>
          <w:szCs w:val="24"/>
        </w:rPr>
      </w:pPr>
    </w:p>
    <w:p>
      <w:pPr>
        <w:pStyle w:val="22"/>
        <w:keepNext/>
        <w:keepLines/>
        <w:numPr>
          <w:ilvl w:val="0"/>
          <w:numId w:val="51"/>
        </w:numPr>
        <w:spacing w:line="360" w:lineRule="auto"/>
        <w:ind w:firstLineChars="0"/>
        <w:rPr>
          <w:rFonts w:ascii="仿宋" w:hAnsi="仿宋" w:eastAsia="仿宋" w:cs="仿宋"/>
          <w:b/>
          <w:bCs/>
          <w:vanish/>
          <w:color w:val="auto"/>
          <w:sz w:val="24"/>
          <w:szCs w:val="24"/>
        </w:rPr>
      </w:pPr>
    </w:p>
    <w:p>
      <w:pPr>
        <w:pStyle w:val="22"/>
        <w:keepNext/>
        <w:keepLines/>
        <w:numPr>
          <w:ilvl w:val="0"/>
          <w:numId w:val="51"/>
        </w:numPr>
        <w:spacing w:line="360" w:lineRule="auto"/>
        <w:ind w:firstLineChars="0"/>
        <w:rPr>
          <w:rFonts w:ascii="仿宋" w:hAnsi="仿宋" w:eastAsia="仿宋" w:cs="仿宋"/>
          <w:b/>
          <w:bCs/>
          <w:vanish/>
          <w:color w:val="auto"/>
          <w:sz w:val="24"/>
          <w:szCs w:val="24"/>
        </w:rPr>
      </w:pPr>
    </w:p>
    <w:p>
      <w:pPr>
        <w:pStyle w:val="22"/>
        <w:keepNext/>
        <w:keepLines/>
        <w:numPr>
          <w:ilvl w:val="1"/>
          <w:numId w:val="51"/>
        </w:numPr>
        <w:spacing w:line="360" w:lineRule="auto"/>
        <w:ind w:firstLineChars="0"/>
        <w:rPr>
          <w:rFonts w:ascii="仿宋" w:hAnsi="仿宋" w:eastAsia="仿宋" w:cs="仿宋"/>
          <w:b/>
          <w:bCs/>
          <w:vanish/>
          <w:color w:val="auto"/>
          <w:sz w:val="24"/>
          <w:szCs w:val="24"/>
        </w:rPr>
      </w:pPr>
    </w:p>
    <w:p>
      <w:pPr>
        <w:pStyle w:val="22"/>
        <w:keepNext/>
        <w:keepLines/>
        <w:numPr>
          <w:ilvl w:val="2"/>
          <w:numId w:val="51"/>
        </w:numPr>
        <w:spacing w:line="360" w:lineRule="auto"/>
        <w:ind w:firstLineChars="0"/>
        <w:rPr>
          <w:rFonts w:ascii="仿宋" w:hAnsi="仿宋" w:eastAsia="仿宋" w:cs="仿宋"/>
          <w:b/>
          <w:bCs/>
          <w:vanish/>
          <w:color w:val="auto"/>
          <w:sz w:val="24"/>
          <w:szCs w:val="24"/>
        </w:rPr>
      </w:pPr>
    </w:p>
    <w:p>
      <w:pPr>
        <w:pStyle w:val="22"/>
        <w:keepNext/>
        <w:keepLines/>
        <w:numPr>
          <w:ilvl w:val="2"/>
          <w:numId w:val="51"/>
        </w:numPr>
        <w:spacing w:line="360" w:lineRule="auto"/>
        <w:ind w:firstLineChars="0"/>
        <w:rPr>
          <w:rFonts w:ascii="仿宋" w:hAnsi="仿宋" w:eastAsia="仿宋" w:cs="仿宋"/>
          <w:b/>
          <w:bCs/>
          <w:vanish/>
          <w:color w:val="auto"/>
          <w:sz w:val="24"/>
          <w:szCs w:val="24"/>
        </w:rPr>
      </w:pPr>
    </w:p>
    <w:p>
      <w:pPr>
        <w:pStyle w:val="22"/>
        <w:keepNext/>
        <w:keepLines/>
        <w:numPr>
          <w:ilvl w:val="2"/>
          <w:numId w:val="51"/>
        </w:numPr>
        <w:spacing w:line="360" w:lineRule="auto"/>
        <w:ind w:firstLineChars="0"/>
        <w:rPr>
          <w:rFonts w:ascii="仿宋" w:hAnsi="仿宋" w:eastAsia="仿宋" w:cs="仿宋"/>
          <w:b/>
          <w:bCs/>
          <w:vanish/>
          <w:color w:val="auto"/>
          <w:sz w:val="24"/>
          <w:szCs w:val="24"/>
        </w:rPr>
      </w:pPr>
    </w:p>
    <w:p>
      <w:pPr>
        <w:pStyle w:val="22"/>
        <w:keepNext/>
        <w:keepLines/>
        <w:numPr>
          <w:ilvl w:val="2"/>
          <w:numId w:val="51"/>
        </w:numPr>
        <w:spacing w:line="360" w:lineRule="auto"/>
        <w:ind w:firstLineChars="0"/>
        <w:rPr>
          <w:rFonts w:ascii="仿宋" w:hAnsi="仿宋" w:eastAsia="仿宋" w:cs="仿宋"/>
          <w:b/>
          <w:bCs/>
          <w:vanish/>
          <w:color w:val="auto"/>
          <w:sz w:val="24"/>
          <w:szCs w:val="24"/>
        </w:rPr>
      </w:pPr>
    </w:p>
    <w:p>
      <w:pPr>
        <w:pStyle w:val="22"/>
        <w:keepNext/>
        <w:keepLines/>
        <w:numPr>
          <w:ilvl w:val="2"/>
          <w:numId w:val="51"/>
        </w:numPr>
        <w:spacing w:line="360" w:lineRule="auto"/>
        <w:ind w:firstLineChars="0"/>
        <w:rPr>
          <w:rFonts w:ascii="仿宋" w:hAnsi="仿宋" w:eastAsia="仿宋" w:cs="仿宋"/>
          <w:b/>
          <w:bCs/>
          <w:vanish/>
          <w:color w:val="auto"/>
          <w:sz w:val="24"/>
          <w:szCs w:val="24"/>
        </w:rPr>
      </w:pPr>
    </w:p>
    <w:p>
      <w:pPr>
        <w:pStyle w:val="22"/>
        <w:keepNext/>
        <w:keepLines/>
        <w:numPr>
          <w:ilvl w:val="2"/>
          <w:numId w:val="51"/>
        </w:numPr>
        <w:spacing w:line="360" w:lineRule="auto"/>
        <w:ind w:firstLineChars="0"/>
        <w:rPr>
          <w:rFonts w:ascii="仿宋" w:hAnsi="仿宋" w:eastAsia="仿宋" w:cs="仿宋"/>
          <w:b/>
          <w:bCs/>
          <w:vanish/>
          <w:color w:val="auto"/>
          <w:sz w:val="24"/>
          <w:szCs w:val="24"/>
        </w:rPr>
      </w:pPr>
    </w:p>
    <w:p>
      <w:pPr>
        <w:numPr>
          <w:ilvl w:val="2"/>
          <w:numId w:val="51"/>
        </w:numPr>
        <w:spacing w:line="360" w:lineRule="auto"/>
        <w:rPr>
          <w:rFonts w:ascii="仿宋" w:hAnsi="仿宋" w:eastAsia="仿宋" w:cs="仿宋"/>
          <w:color w:val="auto"/>
          <w:sz w:val="24"/>
        </w:rPr>
      </w:pPr>
      <w:r>
        <w:rPr>
          <w:rFonts w:hint="eastAsia" w:ascii="仿宋" w:hAnsi="仿宋" w:eastAsia="仿宋" w:cs="仿宋"/>
          <w:color w:val="auto"/>
          <w:sz w:val="24"/>
        </w:rPr>
        <w:t>国家基药目录查询</w:t>
      </w:r>
      <w:bookmarkEnd w:id="549"/>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系统提供国家基药目录查询功能，可通过该功能查询国家基药目录信息。</w:t>
      </w:r>
    </w:p>
    <w:p>
      <w:pPr>
        <w:numPr>
          <w:ilvl w:val="2"/>
          <w:numId w:val="51"/>
        </w:numPr>
        <w:spacing w:line="360" w:lineRule="auto"/>
        <w:rPr>
          <w:rFonts w:ascii="仿宋" w:hAnsi="仿宋" w:eastAsia="仿宋" w:cs="仿宋"/>
          <w:color w:val="auto"/>
          <w:sz w:val="24"/>
        </w:rPr>
      </w:pPr>
      <w:bookmarkStart w:id="550" w:name="_Toc40904768"/>
      <w:r>
        <w:rPr>
          <w:rFonts w:hint="eastAsia" w:ascii="仿宋" w:hAnsi="仿宋" w:eastAsia="仿宋" w:cs="仿宋"/>
          <w:color w:val="auto"/>
          <w:sz w:val="24"/>
        </w:rPr>
        <w:t>国家医保药品目录查询</w:t>
      </w:r>
      <w:bookmarkEnd w:id="550"/>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系统提供国家医保药品查询功能，可通过该功能查询国家基药目录信息。</w:t>
      </w:r>
    </w:p>
    <w:p>
      <w:pPr>
        <w:numPr>
          <w:ilvl w:val="2"/>
          <w:numId w:val="51"/>
        </w:numPr>
        <w:spacing w:line="360" w:lineRule="auto"/>
        <w:rPr>
          <w:rFonts w:ascii="仿宋" w:hAnsi="仿宋" w:eastAsia="仿宋" w:cs="仿宋"/>
          <w:color w:val="auto"/>
          <w:sz w:val="24"/>
        </w:rPr>
      </w:pPr>
      <w:bookmarkStart w:id="551" w:name="_Toc40904769"/>
      <w:r>
        <w:rPr>
          <w:rFonts w:hint="eastAsia" w:ascii="仿宋" w:hAnsi="仿宋" w:eastAsia="仿宋" w:cs="仿宋"/>
          <w:color w:val="auto"/>
          <w:sz w:val="24"/>
        </w:rPr>
        <w:t>重点监控药品目录查询</w:t>
      </w:r>
      <w:bookmarkEnd w:id="551"/>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系统提供重点监控药品目录查询功能，可通过该功能查询重点监控药品目录信息。</w:t>
      </w:r>
    </w:p>
    <w:p>
      <w:pPr>
        <w:numPr>
          <w:ilvl w:val="2"/>
          <w:numId w:val="51"/>
        </w:numPr>
        <w:spacing w:line="360" w:lineRule="auto"/>
        <w:rPr>
          <w:rFonts w:ascii="仿宋" w:hAnsi="仿宋" w:eastAsia="仿宋" w:cs="仿宋"/>
          <w:color w:val="auto"/>
          <w:sz w:val="24"/>
        </w:rPr>
      </w:pPr>
      <w:bookmarkStart w:id="552" w:name="_Toc40904770"/>
      <w:r>
        <w:rPr>
          <w:rFonts w:hint="eastAsia" w:ascii="仿宋" w:hAnsi="仿宋" w:eastAsia="仿宋" w:cs="仿宋"/>
          <w:color w:val="auto"/>
          <w:sz w:val="24"/>
        </w:rPr>
        <w:t>一致性评价药品目录查询</w:t>
      </w:r>
      <w:bookmarkEnd w:id="552"/>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系统提供一致性评价药品目录查询功能，可通过该功能查询一致性评价药品目录信息。</w:t>
      </w:r>
    </w:p>
    <w:p>
      <w:pPr>
        <w:numPr>
          <w:ilvl w:val="2"/>
          <w:numId w:val="51"/>
        </w:numPr>
        <w:spacing w:line="360" w:lineRule="auto"/>
        <w:rPr>
          <w:rFonts w:ascii="仿宋" w:hAnsi="仿宋" w:eastAsia="仿宋" w:cs="仿宋"/>
          <w:color w:val="auto"/>
          <w:sz w:val="24"/>
        </w:rPr>
      </w:pPr>
      <w:bookmarkStart w:id="553" w:name="_Toc40904771"/>
      <w:r>
        <w:rPr>
          <w:rFonts w:hint="eastAsia" w:ascii="仿宋" w:hAnsi="仿宋" w:eastAsia="仿宋" w:cs="仿宋"/>
          <w:color w:val="auto"/>
          <w:sz w:val="24"/>
        </w:rPr>
        <w:t>药品和医用耗材采购单位查询</w:t>
      </w:r>
      <w:bookmarkEnd w:id="553"/>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系统提供药品和医用耗材采购单位查询功能，可通过该功能查询药品和医用耗材采购单位信息。</w:t>
      </w:r>
    </w:p>
    <w:p>
      <w:pPr>
        <w:numPr>
          <w:ilvl w:val="2"/>
          <w:numId w:val="51"/>
        </w:numPr>
        <w:spacing w:line="360" w:lineRule="auto"/>
        <w:rPr>
          <w:rFonts w:ascii="仿宋" w:hAnsi="仿宋" w:eastAsia="仿宋" w:cs="仿宋"/>
          <w:color w:val="auto"/>
          <w:sz w:val="24"/>
        </w:rPr>
      </w:pPr>
      <w:bookmarkStart w:id="554" w:name="_Toc40904772"/>
      <w:r>
        <w:rPr>
          <w:rFonts w:hint="eastAsia" w:ascii="仿宋" w:hAnsi="仿宋" w:eastAsia="仿宋" w:cs="仿宋"/>
          <w:color w:val="auto"/>
          <w:sz w:val="24"/>
        </w:rPr>
        <w:t>生产、配送企业信息查询</w:t>
      </w:r>
      <w:bookmarkEnd w:id="554"/>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系统提供生产、配送企业信息查询功能，可通过该功能查询生产、配送企业信息。</w:t>
      </w:r>
    </w:p>
    <w:p>
      <w:pPr>
        <w:numPr>
          <w:ilvl w:val="2"/>
          <w:numId w:val="51"/>
        </w:numPr>
        <w:spacing w:line="360" w:lineRule="auto"/>
        <w:rPr>
          <w:rFonts w:ascii="仿宋" w:hAnsi="仿宋" w:eastAsia="仿宋" w:cs="仿宋"/>
          <w:color w:val="auto"/>
          <w:sz w:val="24"/>
        </w:rPr>
      </w:pPr>
      <w:bookmarkStart w:id="555" w:name="_Toc40904773"/>
      <w:r>
        <w:rPr>
          <w:rFonts w:hint="eastAsia" w:ascii="仿宋" w:hAnsi="仿宋" w:eastAsia="仿宋" w:cs="仿宋"/>
          <w:color w:val="auto"/>
          <w:sz w:val="24"/>
        </w:rPr>
        <w:t>药品和医用耗材编码查询</w:t>
      </w:r>
      <w:bookmarkEnd w:id="555"/>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系统提供药品和医用耗材编码查询功能，可通过该功能查询药品和医用耗材编码。</w:t>
      </w:r>
    </w:p>
    <w:p>
      <w:pPr>
        <w:numPr>
          <w:ilvl w:val="2"/>
          <w:numId w:val="51"/>
        </w:numPr>
        <w:spacing w:line="360" w:lineRule="auto"/>
        <w:rPr>
          <w:rFonts w:ascii="仿宋" w:hAnsi="仿宋" w:eastAsia="仿宋" w:cs="仿宋"/>
          <w:color w:val="auto"/>
          <w:sz w:val="24"/>
        </w:rPr>
      </w:pPr>
      <w:bookmarkStart w:id="556" w:name="_Toc40904774"/>
      <w:r>
        <w:rPr>
          <w:rFonts w:hint="eastAsia" w:ascii="仿宋" w:hAnsi="仿宋" w:eastAsia="仿宋" w:cs="仿宋"/>
          <w:color w:val="auto"/>
          <w:sz w:val="24"/>
        </w:rPr>
        <w:t>招标项目管理</w:t>
      </w:r>
      <w:bookmarkEnd w:id="556"/>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（1）招标模式管理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系统提供招标模式管理功能，可维护招标模式信息，并在其他模块调用。</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（2）招标项目管理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系统提供招标项目管理功能，可维护招标项目信息。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1）公共资源交易中心工作人员在项目管理页面发起项目新增请求并提交项目新增信息；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2）项目管理页面接收用户提交的项目新增信息后，通过调用项目管理业务逻辑执行项目新增；</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3）项目管理业务逻辑调用项目管理数据库查询是否存在项目信息，如果查询到相关数据，则业务逻辑直接返回提示项目信息已存在；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4）如果未查询到相关数据，则业务逻辑调用项目管理数据库存储新增项目信息，更新项目新增结果，将项目新增结果通过业务网关发送给项目管理业务逻辑，并将项目新增结果反馈到项目管理页面提示用户查看。</w:t>
      </w:r>
    </w:p>
    <w:p>
      <w:pPr>
        <w:numPr>
          <w:ilvl w:val="2"/>
          <w:numId w:val="51"/>
        </w:numPr>
        <w:spacing w:line="360" w:lineRule="auto"/>
        <w:rPr>
          <w:rFonts w:ascii="仿宋" w:hAnsi="仿宋" w:eastAsia="仿宋" w:cs="仿宋"/>
          <w:color w:val="auto"/>
          <w:sz w:val="24"/>
        </w:rPr>
      </w:pPr>
      <w:bookmarkStart w:id="557" w:name="_Toc40904775"/>
      <w:r>
        <w:rPr>
          <w:rFonts w:hint="eastAsia" w:ascii="仿宋" w:hAnsi="仿宋" w:eastAsia="仿宋" w:cs="仿宋"/>
          <w:color w:val="auto"/>
          <w:sz w:val="24"/>
        </w:rPr>
        <w:t>目录管理</w:t>
      </w:r>
      <w:bookmarkEnd w:id="557"/>
    </w:p>
    <w:p>
      <w:pPr>
        <w:adjustRightInd w:val="0"/>
        <w:spacing w:line="360" w:lineRule="auto"/>
        <w:ind w:firstLine="240" w:firstLineChars="100"/>
        <w:rPr>
          <w:rFonts w:ascii="仿宋" w:hAnsi="仿宋" w:eastAsia="仿宋" w:cs="仿宋"/>
          <w:color w:val="auto"/>
          <w:sz w:val="24"/>
        </w:rPr>
      </w:pPr>
      <w:r>
        <w:rPr>
          <w:rFonts w:hint="eastAsia" w:ascii="仿宋" w:hAnsi="仿宋" w:eastAsia="仿宋" w:cs="仿宋"/>
          <w:color w:val="auto"/>
          <w:sz w:val="24"/>
        </w:rPr>
        <w:t>（1）本地目录管理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系统提供本地目录管理功能，可对本地药品、耗材等进行本地目录信息维护。</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1）医保局工作人员在本地目录管理页面发起本地目录新增请求并提交本地目录新增信息；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2）本地目录管理页面接收用户提交的新增本地目录信息后，通过调用本地目录管理业务逻辑执行新增；</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 xml:space="preserve">3）本地目录管理业务逻辑调用基础信息管理子系统查询是否存在目录信息，如果查询到目录信息，则业务逻辑返回提示目录信息已存在； </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如果未查询到本地目录信息，则业务逻辑将新增本地目录信息提交国家局医保工作人员审批，如果审批不通过，业务逻辑返回提示审批不通过及不通过原因；</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5）如果审批通过，国家基础信息管理子系统存储新增目录信息，本地目录数据库同步新增本地目录，将本地目录新增结果通过业务网关发送给本地目录管理业务逻辑，并将本地目录新增结果反馈到本地目录管理页面提示用户查看。</w:t>
      </w:r>
    </w:p>
    <w:p>
      <w:pPr>
        <w:adjustRightInd w:val="0"/>
        <w:spacing w:line="360" w:lineRule="auto"/>
        <w:ind w:firstLine="240" w:firstLineChars="100"/>
        <w:rPr>
          <w:rFonts w:ascii="仿宋" w:hAnsi="仿宋" w:eastAsia="仿宋" w:cs="仿宋"/>
          <w:color w:val="auto"/>
          <w:sz w:val="24"/>
        </w:rPr>
      </w:pPr>
      <w:r>
        <w:rPr>
          <w:rFonts w:hint="eastAsia" w:ascii="仿宋" w:hAnsi="仿宋" w:eastAsia="仿宋" w:cs="仿宋"/>
          <w:color w:val="auto"/>
          <w:sz w:val="24"/>
        </w:rPr>
        <w:t>（2）目录产品管理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针对本地目录产品信息进行管理。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1）医保局工作人员在目录产品管理页面发起产品信息修改请求并提交修改信息；</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2）目录产品管理页面接收用户提交的修改信息后，通过调用目录产品管理业务逻辑执行修改；</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 xml:space="preserve">3）目录产品管理业务逻辑调用本地目录数据库查询是否存在目录产品信息，如果查询到相关数据，则业务逻辑修改产品信息，更新产品信息修改结果，并将目录产品信息修改结果反馈到目录产品管理页面提示用户查看； </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4）如果未查询到相关数据，则业务逻辑提示新增招标模式信息，调用本地目录数据库存储新增产品信息，更新产品信息新增结果，将产品信息新增结果通过业务网关发送给目录产品管理业务逻辑，并将产品信息新增结果反馈到目录产品管理页面提示用户查看。</w:t>
      </w:r>
    </w:p>
    <w:p>
      <w:pPr>
        <w:adjustRightInd w:val="0"/>
        <w:spacing w:line="360" w:lineRule="auto"/>
        <w:ind w:firstLine="240" w:firstLineChars="100"/>
        <w:rPr>
          <w:rFonts w:ascii="仿宋" w:hAnsi="仿宋" w:eastAsia="仿宋" w:cs="仿宋"/>
          <w:color w:val="auto"/>
          <w:sz w:val="24"/>
        </w:rPr>
      </w:pPr>
      <w:r>
        <w:rPr>
          <w:rFonts w:hint="eastAsia" w:ascii="仿宋" w:hAnsi="仿宋" w:eastAsia="仿宋" w:cs="仿宋"/>
          <w:color w:val="auto"/>
          <w:sz w:val="24"/>
        </w:rPr>
        <w:t>（3）耗材分类目录管理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系统提供耗材分类目录管理功能，可在此维护耗材分类目录信息。</w:t>
      </w:r>
    </w:p>
    <w:p>
      <w:pPr>
        <w:numPr>
          <w:ilvl w:val="2"/>
          <w:numId w:val="51"/>
        </w:numPr>
        <w:spacing w:line="360" w:lineRule="auto"/>
        <w:rPr>
          <w:rFonts w:ascii="仿宋" w:hAnsi="仿宋" w:eastAsia="仿宋" w:cs="仿宋"/>
          <w:color w:val="auto"/>
          <w:sz w:val="24"/>
        </w:rPr>
      </w:pPr>
      <w:bookmarkStart w:id="558" w:name="_Toc40904776"/>
      <w:r>
        <w:rPr>
          <w:rFonts w:hint="eastAsia" w:ascii="仿宋" w:hAnsi="仿宋" w:eastAsia="仿宋" w:cs="仿宋"/>
          <w:color w:val="auto"/>
          <w:sz w:val="24"/>
        </w:rPr>
        <w:t>申报管理</w:t>
      </w:r>
      <w:bookmarkEnd w:id="558"/>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（1）企业报名</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针对企业申报过程需要企业先进性报名操作。</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（2）产品报名</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系统提供产品报名功能，企业可根据产品信息进行报名申请。</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1）生产企业人员在产品报名页面发起产品报名请求并提交产品报名信息；</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2）产品报名页面接收用户提交的报名信息后，通过调用产品报名业务逻辑执行产品报名；</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 xml:space="preserve">3）产品报名业务逻辑调用产品信息数据库查询是否存在产品信息，如果查询到相关数据，则业务逻辑返回提示产品信息已存在； </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4）产品报名业务逻辑返回产品报名页面提示用户重新上传产品资料；</w:t>
      </w:r>
    </w:p>
    <w:p>
      <w:pPr>
        <w:numPr>
          <w:ilvl w:val="2"/>
          <w:numId w:val="51"/>
        </w:numPr>
        <w:spacing w:line="360" w:lineRule="auto"/>
        <w:rPr>
          <w:rFonts w:ascii="仿宋" w:hAnsi="仿宋" w:eastAsia="仿宋" w:cs="仿宋"/>
          <w:color w:val="auto"/>
          <w:sz w:val="24"/>
        </w:rPr>
      </w:pPr>
      <w:bookmarkStart w:id="559" w:name="_Toc40904777"/>
      <w:r>
        <w:rPr>
          <w:rFonts w:hint="eastAsia" w:ascii="仿宋" w:hAnsi="仿宋" w:eastAsia="仿宋" w:cs="仿宋"/>
          <w:color w:val="auto"/>
          <w:sz w:val="24"/>
        </w:rPr>
        <w:t>产品价格管理</w:t>
      </w:r>
      <w:bookmarkEnd w:id="559"/>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（1）报价加密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针对药品报价，系统可提供加密功能。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（2）报价解密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针对已加密的报价信息，可通过系统进行解密后查看。</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1）生产流通企业人员在报价解密页面发起报价解密请求；</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2）报价解密页面接收用户提交的报价解密信息后，通过调用报价解密业务逻辑执行报价解密；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3）报价解密业务逻辑调用报价信息数据库查询是否存在报价加密信息，如果未查询到相关数据，则业务逻辑直接返回提示不存在报价加密信息，报价解密失败；</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4）如果查询到相关数据，则报价解密业务逻辑执行报价解密，将报价解密结果通过业务网关发送报价解密业务逻辑，并报价解密结果反馈到报价解密页面提示用户查看。</w:t>
      </w:r>
    </w:p>
    <w:p>
      <w:pPr>
        <w:numPr>
          <w:ilvl w:val="2"/>
          <w:numId w:val="51"/>
        </w:numPr>
        <w:spacing w:line="360" w:lineRule="auto"/>
        <w:rPr>
          <w:rFonts w:ascii="仿宋" w:hAnsi="仿宋" w:eastAsia="仿宋" w:cs="仿宋"/>
          <w:color w:val="auto"/>
          <w:sz w:val="24"/>
        </w:rPr>
      </w:pPr>
      <w:bookmarkStart w:id="560" w:name="_Toc40904778"/>
      <w:r>
        <w:rPr>
          <w:rFonts w:hint="eastAsia" w:ascii="仿宋" w:hAnsi="仿宋" w:eastAsia="仿宋" w:cs="仿宋"/>
          <w:color w:val="auto"/>
          <w:sz w:val="24"/>
        </w:rPr>
        <w:t>竞价管理</w:t>
      </w:r>
      <w:bookmarkEnd w:id="560"/>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（1）竞价轮次管理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系统提供竞价轮次管理功能，对竞价轮次进行管理。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1）公共资源交易中心工作人员在竞价轮次管理页面发起竞价轮次维护申请；</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2）竞价轮次管理页面接收用户提交的竞价轮次维护申请信息后，通过调用竞价轮次管理业务逻辑执行竞价轮次维护；</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3）竞价轮次管理业务逻辑调用竞价轮次信息数据库存储调整的竞价轮次信息，将竞价轮次维护结果通过业务网关发送给竞价轮次管理业务逻辑，并将竞价轮次维护结果反馈到竞价轮次管理页面提示用户查看。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（2）竞价结果查询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系统提供竞价结果查询，企业可自行对竞价结果进行查询。</w:t>
      </w:r>
    </w:p>
    <w:p>
      <w:pPr>
        <w:numPr>
          <w:ilvl w:val="2"/>
          <w:numId w:val="51"/>
        </w:numPr>
        <w:spacing w:line="360" w:lineRule="auto"/>
        <w:rPr>
          <w:rFonts w:ascii="仿宋" w:hAnsi="仿宋" w:eastAsia="仿宋" w:cs="仿宋"/>
          <w:color w:val="auto"/>
          <w:sz w:val="24"/>
        </w:rPr>
      </w:pPr>
      <w:bookmarkStart w:id="561" w:name="_Toc40904779"/>
      <w:r>
        <w:rPr>
          <w:rFonts w:hint="eastAsia" w:ascii="仿宋" w:hAnsi="仿宋" w:eastAsia="仿宋" w:cs="仿宋"/>
          <w:color w:val="auto"/>
          <w:sz w:val="24"/>
        </w:rPr>
        <w:t>谈判管理</w:t>
      </w:r>
      <w:bookmarkEnd w:id="561"/>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（1）谈判轮次管理</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系统提供谈判轮次管理功能，对谈判轮次进行管理。</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1）医保局工作人员在谈判轮次管理页面发起谈判轮次管理请求并提交谈判轮次调整信息；</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2）谈判轮次管理页面接收用户提交的谈判轮次调整信息后，通过调用谈判轮次管理业务逻辑执行谈判轮次调整；</w:t>
      </w:r>
    </w:p>
    <w:p>
      <w:pPr>
        <w:spacing w:line="360" w:lineRule="auto"/>
        <w:ind w:left="480"/>
        <w:rPr>
          <w:rFonts w:ascii="仿宋" w:hAnsi="仿宋" w:eastAsia="仿宋" w:cs="仿宋"/>
          <w:color w:val="auto"/>
          <w:sz w:val="24"/>
        </w:rPr>
      </w:pPr>
      <w:r>
        <w:rPr>
          <w:rFonts w:hint="eastAsia" w:ascii="仿宋" w:hAnsi="仿宋" w:eastAsia="仿宋" w:cs="仿宋"/>
          <w:color w:val="auto"/>
          <w:sz w:val="24"/>
        </w:rPr>
        <w:t>3）谈判轮次管理业务逻辑调用谈判信息数据库存储调整的谈判轮次信息，更新谈判轮次调整状态，将谈判轮次调整结果通过业务网关发送给谈判轮次管理业务逻辑，并将谈判轮次调整结果反馈到谈判轮次管理页面提示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（2）谈判结果查询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系统提供谈判结果查询，企业可自行对谈判结果进行查询。</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1）公共资源交易中心工作人员在谈判结果查询页面发起查询请求并输入/选择查询条件；</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2）谈判结果查询页面接收用户输入/选择的查询条件后，通过调用谈判结果查询业务逻辑执行查询；</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3）谈判结果查询业务逻辑查询谈判结果数据库是否存在谈判结果信息，如果未查询到相关数据，则业务逻辑直接返回提示谈判结果信息不存在；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4）如果查询到相关数据，则存储查询结果，将查询结果通过业务网关发送谈判结果查询业务逻辑，并将查询结果反馈到谈判结果查询页面提示用户查看。</w:t>
      </w:r>
    </w:p>
    <w:p>
      <w:pPr>
        <w:numPr>
          <w:ilvl w:val="2"/>
          <w:numId w:val="51"/>
        </w:numPr>
        <w:spacing w:line="360" w:lineRule="auto"/>
        <w:rPr>
          <w:rFonts w:ascii="仿宋" w:hAnsi="仿宋" w:eastAsia="仿宋" w:cs="仿宋"/>
          <w:color w:val="auto"/>
          <w:sz w:val="24"/>
        </w:rPr>
      </w:pPr>
      <w:bookmarkStart w:id="562" w:name="_Toc40904780"/>
      <w:r>
        <w:rPr>
          <w:rFonts w:hint="eastAsia" w:ascii="仿宋" w:hAnsi="仿宋" w:eastAsia="仿宋" w:cs="仿宋"/>
          <w:color w:val="auto"/>
          <w:sz w:val="24"/>
        </w:rPr>
        <w:t>入选发布管理</w:t>
      </w:r>
      <w:bookmarkEnd w:id="562"/>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（1）竞价发布管理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针对竞价信息进行发布管理。</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（2）谈判发布管理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针对谈判信息进行谈判信息发布管理。</w:t>
      </w:r>
    </w:p>
    <w:p>
      <w:pPr>
        <w:numPr>
          <w:ilvl w:val="2"/>
          <w:numId w:val="51"/>
        </w:numPr>
        <w:spacing w:line="360" w:lineRule="auto"/>
        <w:rPr>
          <w:rFonts w:ascii="仿宋" w:hAnsi="仿宋" w:eastAsia="仿宋" w:cs="仿宋"/>
          <w:color w:val="auto"/>
          <w:sz w:val="24"/>
        </w:rPr>
      </w:pPr>
      <w:bookmarkStart w:id="563" w:name="_Toc40904781"/>
      <w:r>
        <w:rPr>
          <w:rFonts w:hint="eastAsia" w:ascii="仿宋" w:hAnsi="仿宋" w:eastAsia="仿宋" w:cs="仿宋"/>
          <w:color w:val="auto"/>
          <w:sz w:val="24"/>
        </w:rPr>
        <w:t>直接挂网管理</w:t>
      </w:r>
      <w:bookmarkEnd w:id="563"/>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（1）直接挂网管理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系统提供直接挂网管理功能。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（2）挂网结果管理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系统提供挂网结果管理功能，可对挂网结果进行管理。</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（3）挂网结果查询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系统提供挂网结果查询功能，可对挂网结果进行查询。</w:t>
      </w:r>
    </w:p>
    <w:p>
      <w:pPr>
        <w:numPr>
          <w:ilvl w:val="2"/>
          <w:numId w:val="51"/>
        </w:numPr>
        <w:spacing w:line="360" w:lineRule="auto"/>
        <w:ind w:left="1145"/>
        <w:rPr>
          <w:rFonts w:ascii="仿宋" w:hAnsi="仿宋" w:eastAsia="仿宋" w:cs="仿宋"/>
          <w:color w:val="auto"/>
          <w:sz w:val="24"/>
        </w:rPr>
      </w:pPr>
      <w:bookmarkStart w:id="564" w:name="_Toc40904782"/>
      <w:r>
        <w:rPr>
          <w:rFonts w:hint="eastAsia" w:ascii="仿宋" w:hAnsi="仿宋" w:eastAsia="仿宋" w:cs="仿宋"/>
          <w:color w:val="auto"/>
          <w:sz w:val="24"/>
        </w:rPr>
        <w:t>配送签约管理</w:t>
      </w:r>
      <w:bookmarkEnd w:id="564"/>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（1）配送方案点选</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系统提供配送方案点选功能，可对配送方案进行点选。</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1）医疗机构人员在配送方案点选页面发起配送方案点选请求；</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2）配送方案点选页面接收用户提交的请求后，通过调用配送方案点选业务逻辑执行配送方案点选；</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3）配送方案点选业务逻辑查询配送方案数据库的配送方案信息，将配送方案查询结果通过业务网关发送给配送方案点选页面供用户查看和选择配送方案；</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4）医疗机构人员对配送方案进行比选之后，在配送方案点选页面选定配送方案并上传发布配送合同；</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5）配送方案点选业务逻辑执行配送方案点选，调用配送方案数据库存储点选信息和合同信息，更新配送方案点选状态；</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6）将配送方案点选结果通过业务网关发送给配送方案点选业务逻辑，并将点选结果反馈到配送方案点选页面供用户查看。</w:t>
      </w:r>
    </w:p>
    <w:p>
      <w:pPr>
        <w:numPr>
          <w:ilvl w:val="0"/>
          <w:numId w:val="52"/>
        </w:numPr>
        <w:spacing w:line="360" w:lineRule="auto"/>
        <w:rPr>
          <w:rFonts w:ascii="仿宋" w:hAnsi="仿宋" w:eastAsia="仿宋" w:cs="仿宋"/>
          <w:color w:val="auto"/>
          <w:sz w:val="24"/>
        </w:rPr>
      </w:pPr>
      <w:r>
        <w:rPr>
          <w:rFonts w:hint="eastAsia" w:ascii="仿宋" w:hAnsi="仿宋" w:eastAsia="仿宋" w:cs="仿宋"/>
          <w:color w:val="auto"/>
          <w:sz w:val="24"/>
        </w:rPr>
        <w:t>如果配送方案不符合要求，医疗机构可以重新发起配送方案点选。</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（2）配送方案确认</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系统提供配送方案确认功能，可对选定的配送方案进行确认。</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1）配送企业人员在配送方案确认页面接收配送方案确认提醒消息并提交配送方案确认请求；</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2）配送方案确认页面接收用户提交的请求后，通过调用配送方案确认业务逻辑执行配送方案确认；</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3）配送方案确认业务逻辑查询配送方案数据库的配送方案信息，将配送方案查询结果通过业务网关发送给配送方案确认页面供用户查看和确认配送方案；</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4）医疗机构人员通过配送方案确认页面执行配送方案确认，调用配送方案数据库存储确认的配送方案信息；</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5）将配送方案确认结果通过业务网关发送给配送方案确认业务逻辑，并将确认结果反馈到配送方案确认页面供用户查看。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（3）配送方案查询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系统支持对配送方案信息进行查询。</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（4）配送签约管理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系统提供配送签约管理功能，可通过系统进行在线配送签约。</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（5）配送签约查询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系统提供配送签约查询功能。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（6）配送方案调整申请</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系统提供配送方案调整申请功能，企业可在线发起配送方案调整申请。</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配送方案调整申请业务逻辑业务流程如下：</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1）配送企业人员在配送方案调整申请页面发起配送方案调整申请并提交申请材料；</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2）配送方案调整申请页面接收用户提交的申请材料后，通过调用配送方案调整申请业务逻辑执行配送方案调整申请；</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3）配送方案调整申请业务逻辑查询配送方案数据库是否存在配送方案信息，如果未查询到相关数据，则业务逻辑直接返回提示配送方案不存在；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4）如果查询到相关数据，则提交配送方案调整申请并存储，将申请结果通过业务网关发送给配送方案调整申请业务逻辑，并将申请结果反馈到配送方案调整申请页面供用户查看。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（7）配送方案调整审核</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针对配送方案调整申请信息可进行线上审核，通过后配送方案调整生效。</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1）公共资源交易中心工作人员在配送方案调整审核页面发起配送方案调整审核请求并提交待审核信息；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2）配送方案调整审核页面接收用户提交的待审核信息后，通过调用配送方案调整审核业务逻辑执行审核；</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配送方案调整审核业务逻辑存储审核后的配送方案调整信息，将配送方案调整审核结果通过业务网关发送给配送方案调整审核业务逻辑，并将配送方案调整审核结果反馈到配送方案调整审核页面提示用户查看。</w:t>
      </w:r>
    </w:p>
    <w:p>
      <w:pPr>
        <w:numPr>
          <w:ilvl w:val="2"/>
          <w:numId w:val="51"/>
        </w:numPr>
        <w:spacing w:line="360" w:lineRule="auto"/>
        <w:rPr>
          <w:rFonts w:ascii="仿宋" w:hAnsi="仿宋" w:eastAsia="仿宋" w:cs="仿宋"/>
          <w:color w:val="auto"/>
          <w:sz w:val="24"/>
        </w:rPr>
      </w:pPr>
      <w:bookmarkStart w:id="565" w:name="_Toc40904783"/>
      <w:r>
        <w:rPr>
          <w:rFonts w:hint="eastAsia" w:ascii="仿宋" w:hAnsi="仿宋" w:eastAsia="仿宋" w:cs="仿宋"/>
          <w:color w:val="auto"/>
          <w:sz w:val="24"/>
        </w:rPr>
        <w:t>国家药品集中采购管理</w:t>
      </w:r>
      <w:bookmarkEnd w:id="565"/>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对国家药品集中采购进行管理。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1）医保局工作人员在国家药品集中采购管理页面发起国家药品集中采购管理请求并提交带量采购信息；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2）国家药品集中采购管理页面接收用户提交的带量采购信息后，通过调用国家药品集中采购管理业务逻辑执行带量采购申请；</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 xml:space="preserve">3）国家药品集中采购管理业务逻辑查询采购计划信息数据库是否已存在带量采购信息，如果查询到相关数据，将查询结果与带量采购信息进行比对，若比对结果相同，则业务逻辑返回提示带量采购订单信息已存在； </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4）若比对结果不同，则国家药品集中采购管理业务逻辑存储带量采购信息；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5）如果未查询到相关数据，则存储新增带量采购信息，将新增带量采购信息通过业务网关发送给国家药品集中采购管理业务逻辑，并将带量采购申请结果反馈到国家药品集中采购管理页面提示用户查看。</w:t>
      </w:r>
    </w:p>
    <w:p>
      <w:pPr>
        <w:numPr>
          <w:ilvl w:val="2"/>
          <w:numId w:val="51"/>
        </w:numPr>
        <w:spacing w:line="360" w:lineRule="auto"/>
        <w:rPr>
          <w:rFonts w:ascii="仿宋" w:hAnsi="仿宋" w:eastAsia="仿宋" w:cs="仿宋"/>
          <w:color w:val="auto"/>
          <w:sz w:val="24"/>
        </w:rPr>
      </w:pPr>
      <w:bookmarkStart w:id="566" w:name="_Toc40904784"/>
      <w:r>
        <w:rPr>
          <w:rFonts w:hint="eastAsia" w:ascii="仿宋" w:hAnsi="仿宋" w:eastAsia="仿宋" w:cs="仿宋"/>
          <w:color w:val="auto"/>
          <w:sz w:val="24"/>
        </w:rPr>
        <w:t>采购项目维护</w:t>
      </w:r>
      <w:bookmarkEnd w:id="566"/>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对采购项目信息进行维护。</w:t>
      </w:r>
    </w:p>
    <w:p>
      <w:pPr>
        <w:spacing w:line="360" w:lineRule="auto"/>
        <w:ind w:firstLine="480"/>
        <w:rPr>
          <w:rFonts w:ascii="仿宋" w:hAnsi="仿宋" w:eastAsia="仿宋" w:cs="仿宋"/>
          <w:iCs/>
          <w:color w:val="auto"/>
          <w:sz w:val="24"/>
        </w:rPr>
      </w:pPr>
      <w:r>
        <w:rPr>
          <w:rFonts w:hint="eastAsia" w:ascii="仿宋" w:hAnsi="仿宋" w:eastAsia="仿宋" w:cs="仿宋"/>
          <w:iCs/>
          <w:color w:val="auto"/>
          <w:sz w:val="24"/>
        </w:rPr>
        <w:t>1）医保局工作人员在采购项目维护页面发起采购项目新增请求并提交新增采购项目信息；</w:t>
      </w:r>
    </w:p>
    <w:p>
      <w:pPr>
        <w:spacing w:line="360" w:lineRule="auto"/>
        <w:ind w:firstLine="480"/>
        <w:rPr>
          <w:rFonts w:ascii="仿宋" w:hAnsi="仿宋" w:eastAsia="仿宋" w:cs="仿宋"/>
          <w:iCs/>
          <w:color w:val="auto"/>
          <w:sz w:val="24"/>
        </w:rPr>
      </w:pPr>
      <w:r>
        <w:rPr>
          <w:rFonts w:hint="eastAsia" w:ascii="仿宋" w:hAnsi="仿宋" w:eastAsia="仿宋" w:cs="仿宋"/>
          <w:iCs/>
          <w:color w:val="auto"/>
          <w:sz w:val="24"/>
        </w:rPr>
        <w:t>2）采购项目维护页面接收用户提交的新增采购项目信息后，通过调用采购项目维护业务逻辑执行采购项目新增；</w:t>
      </w:r>
    </w:p>
    <w:p>
      <w:pPr>
        <w:spacing w:line="360" w:lineRule="auto"/>
        <w:ind w:firstLine="480"/>
        <w:rPr>
          <w:rFonts w:ascii="仿宋" w:hAnsi="仿宋" w:eastAsia="仿宋" w:cs="仿宋"/>
          <w:iCs/>
          <w:color w:val="auto"/>
          <w:sz w:val="24"/>
        </w:rPr>
      </w:pPr>
      <w:r>
        <w:rPr>
          <w:rFonts w:hint="eastAsia" w:ascii="仿宋" w:hAnsi="仿宋" w:eastAsia="仿宋" w:cs="仿宋"/>
          <w:iCs/>
          <w:color w:val="auto"/>
          <w:sz w:val="24"/>
        </w:rPr>
        <w:t>3）采购项目维护业务逻辑查询采购项目数据库的购销协议信息，比对查询结果和新增采购项目信息，若比对结果相同，则业务逻辑直接返回提示采购项目新增失败并反馈失败原因；</w:t>
      </w:r>
    </w:p>
    <w:p>
      <w:pPr>
        <w:spacing w:line="360" w:lineRule="auto"/>
        <w:ind w:firstLine="480"/>
        <w:rPr>
          <w:rFonts w:ascii="仿宋" w:hAnsi="仿宋" w:eastAsia="仿宋" w:cs="仿宋"/>
          <w:iCs/>
          <w:color w:val="auto"/>
          <w:sz w:val="24"/>
        </w:rPr>
      </w:pPr>
      <w:r>
        <w:rPr>
          <w:rFonts w:hint="eastAsia" w:ascii="仿宋" w:hAnsi="仿宋" w:eastAsia="仿宋" w:cs="仿宋"/>
          <w:iCs/>
          <w:color w:val="auto"/>
          <w:sz w:val="24"/>
        </w:rPr>
        <w:t>4）如果未查询到相关数据，则存储新增采购项目信息，更新采购项目新增状态，将新增采购项目信息通过业务网关发送给采购项目维护业务逻辑，并将新增采购项目信息反馈到采购项目维护页面供用户查看。</w:t>
      </w:r>
    </w:p>
    <w:p>
      <w:pPr>
        <w:numPr>
          <w:ilvl w:val="2"/>
          <w:numId w:val="51"/>
        </w:numPr>
        <w:spacing w:line="360" w:lineRule="auto"/>
        <w:rPr>
          <w:rFonts w:ascii="仿宋" w:hAnsi="仿宋" w:eastAsia="仿宋" w:cs="仿宋"/>
          <w:color w:val="auto"/>
          <w:sz w:val="24"/>
        </w:rPr>
      </w:pPr>
      <w:bookmarkStart w:id="567" w:name="_Toc40904785"/>
      <w:r>
        <w:rPr>
          <w:rFonts w:hint="eastAsia" w:ascii="仿宋" w:hAnsi="仿宋" w:eastAsia="仿宋" w:cs="仿宋"/>
          <w:color w:val="auto"/>
          <w:sz w:val="24"/>
        </w:rPr>
        <w:t>目录管理</w:t>
      </w:r>
      <w:bookmarkEnd w:id="567"/>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（1）挂网目录查询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系统提供挂网目录查询功能。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（2）院内目录管理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系统提供院内目录信息管理功能。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（3）配送目录维护</w:t>
      </w:r>
    </w:p>
    <w:p>
      <w:pPr>
        <w:pStyle w:val="8"/>
        <w:spacing w:line="360" w:lineRule="auto"/>
        <w:ind w:firstLine="400"/>
        <w:rPr>
          <w:rFonts w:ascii="仿宋" w:hAnsi="仿宋" w:eastAsia="仿宋" w:cs="仿宋"/>
          <w:color w:val="auto"/>
          <w:sz w:val="24"/>
          <w:szCs w:val="24"/>
        </w:rPr>
      </w:pPr>
      <w:r>
        <w:rPr>
          <w:rFonts w:hint="eastAsia" w:ascii="仿宋" w:hAnsi="仿宋" w:eastAsia="仿宋" w:cs="仿宋"/>
          <w:color w:val="auto"/>
          <w:sz w:val="24"/>
          <w:szCs w:val="24"/>
        </w:rPr>
        <w:t>系统提供配送目录信息维护功能。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（4）历史修改记录查询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针对历史修改记录信息，系统自动进行记录，支持进行查询。</w:t>
      </w:r>
    </w:p>
    <w:p>
      <w:pPr>
        <w:numPr>
          <w:ilvl w:val="2"/>
          <w:numId w:val="51"/>
        </w:numPr>
        <w:spacing w:line="360" w:lineRule="auto"/>
        <w:rPr>
          <w:rFonts w:ascii="仿宋" w:hAnsi="仿宋" w:eastAsia="仿宋" w:cs="仿宋"/>
          <w:color w:val="auto"/>
          <w:sz w:val="24"/>
        </w:rPr>
      </w:pPr>
      <w:bookmarkStart w:id="568" w:name="_Toc40904786"/>
      <w:r>
        <w:rPr>
          <w:rFonts w:hint="eastAsia" w:ascii="仿宋" w:hAnsi="仿宋" w:eastAsia="仿宋" w:cs="仿宋"/>
          <w:color w:val="auto"/>
          <w:sz w:val="24"/>
        </w:rPr>
        <w:t>二次议价管理</w:t>
      </w:r>
      <w:bookmarkEnd w:id="568"/>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系统提供线上二次议价管理功能。</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二次议价管理业务逻辑业务流程如下：</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1）医疗机构人员在二次议价管理页面发起二次议价管理请求并提交二次议价信息；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2）二次议价管理页面接收用户提交的二次议价信息后，通过调用二次议价管理业务逻辑执行二次议价管理；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3）二次议价管理业务逻辑查询二次议价数据库是否存在二次议价信息，如果查询到相关数据，则业务逻辑直接返回提示二次议价失败并反馈已发起过二次议价；</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如果未查询到相关数据，则执行二次议价申请并存储二次议价信息，将二次议价信息通过业务网关发送给二次议价管理业务逻辑，并将二次议价信息反馈到二次议价管理页面供用户查看。</w:t>
      </w:r>
    </w:p>
    <w:p>
      <w:pPr>
        <w:numPr>
          <w:ilvl w:val="2"/>
          <w:numId w:val="51"/>
        </w:numPr>
        <w:spacing w:line="360" w:lineRule="auto"/>
        <w:rPr>
          <w:rFonts w:ascii="仿宋" w:hAnsi="仿宋" w:eastAsia="仿宋" w:cs="仿宋"/>
          <w:color w:val="auto"/>
          <w:sz w:val="24"/>
        </w:rPr>
      </w:pPr>
      <w:bookmarkStart w:id="569" w:name="_Toc40904787"/>
      <w:r>
        <w:rPr>
          <w:rFonts w:hint="eastAsia" w:ascii="仿宋" w:hAnsi="仿宋" w:eastAsia="仿宋" w:cs="仿宋"/>
          <w:color w:val="auto"/>
          <w:sz w:val="24"/>
        </w:rPr>
        <w:t>采购计划管理</w:t>
      </w:r>
      <w:bookmarkEnd w:id="569"/>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（1）采购计划管理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系统提供采购计划管理功能，可对采购计划进行新建、删除、修改、查询等操作。</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（2）采购计划审核</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针对提交的采购计划，系统内可进行采购计划审核，审核通过后计划生效。</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1）医保局工作人员在采购计划审核页面发起采购计划审核请求并提交待审核的采购计划信息；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2）采购计划审核页面接收用户提交的待审核采购计划信息后，通过调用采购计划审核业务逻辑执行审核；</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3）采购计划审核业务逻辑存储审核后的采购计划信息，更新采购计划审核状态，将采购计划审核结果通过业务网关发送给采购计划审核业务逻辑，并将采购计划审核结果反馈到采购计划审核页面提示用户查看。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（3）采购计划发送</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系统提供采购计划发送功能，针对已审核的采购计划进行发送。</w:t>
      </w:r>
    </w:p>
    <w:p>
      <w:pPr>
        <w:numPr>
          <w:ilvl w:val="2"/>
          <w:numId w:val="51"/>
        </w:numPr>
        <w:spacing w:line="360" w:lineRule="auto"/>
        <w:rPr>
          <w:rFonts w:ascii="仿宋" w:hAnsi="仿宋" w:eastAsia="仿宋" w:cs="仿宋"/>
          <w:color w:val="auto"/>
          <w:sz w:val="24"/>
        </w:rPr>
      </w:pPr>
      <w:bookmarkStart w:id="570" w:name="_Toc40904788"/>
      <w:r>
        <w:rPr>
          <w:rFonts w:hint="eastAsia" w:ascii="仿宋" w:hAnsi="仿宋" w:eastAsia="仿宋" w:cs="仿宋"/>
          <w:color w:val="auto"/>
          <w:sz w:val="24"/>
        </w:rPr>
        <w:t>发货退货管理</w:t>
      </w:r>
      <w:bookmarkEnd w:id="570"/>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（1）按订单发货</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企业可根据采购订单进行发货操作。</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（2）按明细发货</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企业可根据采购订单明细数据进行发货操作。</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（3）发货订单管理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系统提供发货订单管理功能，可对发货订单进行处理。</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（4）补录订单管理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系统提供补录订单管理功能。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（5）订单明细跟踪</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针对采购订单流转，系统提供订单明细跟踪功能。</w:t>
      </w:r>
    </w:p>
    <w:p>
      <w:pPr>
        <w:numPr>
          <w:ilvl w:val="2"/>
          <w:numId w:val="51"/>
        </w:numPr>
        <w:spacing w:line="360" w:lineRule="auto"/>
        <w:rPr>
          <w:rFonts w:ascii="仿宋" w:hAnsi="仿宋" w:eastAsia="仿宋" w:cs="仿宋"/>
          <w:color w:val="auto"/>
          <w:sz w:val="24"/>
        </w:rPr>
      </w:pPr>
      <w:bookmarkStart w:id="571" w:name="_Toc40904789"/>
      <w:r>
        <w:rPr>
          <w:rFonts w:hint="eastAsia" w:ascii="仿宋" w:hAnsi="仿宋" w:eastAsia="仿宋" w:cs="仿宋"/>
          <w:color w:val="auto"/>
          <w:sz w:val="24"/>
        </w:rPr>
        <w:t>收货退货管理</w:t>
      </w:r>
      <w:bookmarkEnd w:id="571"/>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（1）收货管理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系统提供收货管理功能，采购订单到货后可进行收货操作。</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1）医疗机构人员在收货管理页面接收发货信息并发起收货请求；</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2）收货管理页面接收用户提交的收货请求后，通过调用收货管理业务逻辑执行收货申请；</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3）收货管理业务逻辑查询收货数据库是否存在收货订单信息，如果查询到相关数据，则业务逻辑直接返回提示收货失败并反馈失败原因；</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4）如果未查询到相关数据，则执行收货申请并存储收货订单信息，将收货订单信息通过业务网关发送给收货管理业务逻辑，并将收货订单信息反馈到收货管理页面供用户查看。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（2）退货管理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系统提供退货管理功能，针对退货情况进行处理。</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（3）库房管理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系统提供库房管理功能，可对库房信息进行维护管理。</w:t>
      </w:r>
    </w:p>
    <w:p>
      <w:pPr>
        <w:numPr>
          <w:ilvl w:val="2"/>
          <w:numId w:val="51"/>
        </w:numPr>
        <w:spacing w:line="360" w:lineRule="auto"/>
        <w:rPr>
          <w:rFonts w:ascii="仿宋" w:hAnsi="仿宋" w:eastAsia="仿宋" w:cs="仿宋"/>
          <w:color w:val="auto"/>
          <w:sz w:val="24"/>
        </w:rPr>
      </w:pPr>
      <w:bookmarkStart w:id="572" w:name="_Toc40904790"/>
      <w:r>
        <w:rPr>
          <w:rFonts w:hint="eastAsia" w:ascii="仿宋" w:hAnsi="仿宋" w:eastAsia="仿宋" w:cs="仿宋"/>
          <w:color w:val="auto"/>
          <w:sz w:val="24"/>
        </w:rPr>
        <w:t>采购订单管理</w:t>
      </w:r>
      <w:bookmarkEnd w:id="572"/>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（1）采购订单管理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系统提供采购订单管理功能，可对采购订单进行新增、修改、删除、查询、提交等操作。</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1）医保局工作人员在采购订单管理页面发起采购订单修改请求并提交采购订单信息；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2）采购订单管理页面接收用户提交的采购订单信息后，通过调用采购订单管理业务逻辑执行采购订单管理；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3）采购订单管理业务逻辑查询订单管理数据库是否存在采购订单信息，如果查询到相关数据，比对查询结果和修改订单信息，若比对结果不相同，则业务逻辑直接返回提示采购订单修改失败；</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如果比对结果相同，则存储修改的采购订单信息，将采购订单修改结果通过业务网关发送给采购订单管理业务逻辑，并将采购订单修改结果反馈到采购订单管理页面供用户查看。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（2）补录订单管理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系统提供补录订单管理功能，可对订单进行补录。</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（3）订单明细跟踪</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系统提供订单明细跟踪报表，可对订单流转过程进行跟踪。</w:t>
      </w:r>
    </w:p>
    <w:p>
      <w:pPr>
        <w:numPr>
          <w:ilvl w:val="2"/>
          <w:numId w:val="51"/>
        </w:numPr>
        <w:spacing w:line="360" w:lineRule="auto"/>
        <w:rPr>
          <w:rFonts w:ascii="仿宋" w:hAnsi="仿宋" w:eastAsia="仿宋" w:cs="仿宋"/>
          <w:color w:val="auto"/>
          <w:sz w:val="24"/>
        </w:rPr>
      </w:pPr>
      <w:bookmarkStart w:id="573" w:name="_Toc40904791"/>
      <w:r>
        <w:rPr>
          <w:rFonts w:hint="eastAsia" w:ascii="仿宋" w:hAnsi="仿宋" w:eastAsia="仿宋" w:cs="仿宋"/>
          <w:color w:val="auto"/>
          <w:sz w:val="24"/>
        </w:rPr>
        <w:t>票据管理</w:t>
      </w:r>
      <w:bookmarkEnd w:id="573"/>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（1）上传发票</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系统提供发票上传功能，可直接通过该功能上传发票。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1）配送企业在上传发票页面发起上传发票请求并提交发票信息；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2）上传发票页面接收用户提交的发票信息后，通过调用上传发票业务逻辑执行发票上传；</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3）上传发票业务逻辑查询发票数据库的发票信息，比对查询结果和上传发票信息，若比对结果相同，则业务逻辑直接返回提示发票重复上传；</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如果未查询到相关数据，则存储发票信息，将发票信息通过业务网关发送给上传发票业务逻辑，并将发票信息反馈到上传发票页面供用户查看。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（2）审核发票</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系统提供发票审核功能，针对已上传提交的发票信息进行审核。</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1）医疗机构人员在审核发票页面发起审核发票请求并提交待审核发票信息；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2）审核发票页面接收用户提交的待审核发票信息后，通过调用审核发票业务逻辑执行审核；</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3)审核发票业务逻辑存储发票审核信息，更新发票审核状态，将发票审核结果通过业务网关发送给审核发票业务逻辑，并将发票审核结果反馈到审核发票页面提示用户查看。</w:t>
      </w:r>
    </w:p>
    <w:p>
      <w:pPr>
        <w:numPr>
          <w:ilvl w:val="2"/>
          <w:numId w:val="51"/>
        </w:numPr>
        <w:spacing w:line="360" w:lineRule="auto"/>
        <w:rPr>
          <w:rFonts w:ascii="仿宋" w:hAnsi="仿宋" w:eastAsia="仿宋" w:cs="仿宋"/>
          <w:color w:val="auto"/>
          <w:sz w:val="24"/>
        </w:rPr>
      </w:pPr>
      <w:bookmarkStart w:id="574" w:name="_Toc40904792"/>
      <w:r>
        <w:rPr>
          <w:rFonts w:hint="eastAsia" w:ascii="仿宋" w:hAnsi="仿宋" w:eastAsia="仿宋" w:cs="仿宋"/>
          <w:color w:val="auto"/>
          <w:sz w:val="24"/>
        </w:rPr>
        <w:t>短缺信息管理</w:t>
      </w:r>
      <w:bookmarkEnd w:id="574"/>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针对短缺药品或耗材信息进行管理。</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1)医疗机构人员在短缺信息管理页面发起短缺信息管理请求并提交短缺信息；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2)短缺信息管理页面接收用户提交的短缺信息后，通过调用短缺信息管理业务逻辑执行短缺信息上报；</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 xml:space="preserve">3)短缺信息管理业务逻辑查询短缺信息数据库是否存在短缺信息，如果查询到相关数据，将数据与上报信息进行比对，若比对结果相同，则业务逻辑返回提示短缺信息已存在； </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4)若比对结果不同，则短缺信息管理业务逻辑执行修改短缺信息，并存储修改的短缺信息上报结果；</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5)如果未查询到相关数据，则存储新增短缺信息，将新增短缺信息通过业务网关发送给短缺信息管理业务逻辑，并将上报结果反馈到短缺信息管理页面提示用户查看。</w:t>
      </w:r>
    </w:p>
    <w:p>
      <w:pPr>
        <w:numPr>
          <w:ilvl w:val="2"/>
          <w:numId w:val="51"/>
        </w:numPr>
        <w:spacing w:line="360" w:lineRule="auto"/>
        <w:rPr>
          <w:rFonts w:ascii="仿宋" w:hAnsi="仿宋" w:eastAsia="仿宋" w:cs="仿宋"/>
          <w:color w:val="auto"/>
          <w:sz w:val="24"/>
        </w:rPr>
      </w:pPr>
      <w:bookmarkStart w:id="575" w:name="_Toc40904793"/>
      <w:r>
        <w:rPr>
          <w:rFonts w:hint="eastAsia" w:ascii="仿宋" w:hAnsi="仿宋" w:eastAsia="仿宋" w:cs="仿宋"/>
          <w:color w:val="auto"/>
          <w:sz w:val="24"/>
        </w:rPr>
        <w:t>备案采购管理</w:t>
      </w:r>
      <w:bookmarkEnd w:id="575"/>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(1)备案采购申请</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系统提供备案采购申请功能，可进行线上备案采购申请。</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1)医疗机构人员在备案采购申请页面发起备案采购申请并提交备案采购信息；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2)备案采购申请页面接收用户提交的备案采购信息后，通过调用备案采购申请业务逻辑执行申请；</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3)备案采购申请业务逻辑查询备案采购数据库是否存在备案采购信息，如果查询到相关数据，则业务逻辑直接返回提示备案采购重复申请；</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4)如果未查询到相关数据，则存储备案采购信息，将备案采购申请成功信息通过业务网关发送给备案采购申请业务逻辑，并将备案采购申请成功信息反馈到备案采购申请页面供用户查看。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(2)备案采购审核</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针对线上备案采购申请信息进行审核。</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1)医保局工作人员在备案采购审核页面发起备案采购审核请求并提交待审核的备案采购信息；</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2)备案采购审核页面接收用户提交的待审核备案采购信息后，通过调用备案采购审核业务逻辑执行审核；</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3)备案采购审核业务逻辑存储审核后的备案采购信息，更新备案采购审核状态，将备案采购审核结果通过业务网关发送给备案采购审核业务逻辑，并将备案采购审核结果反馈到备案采购审核页面提示用户查看。</w:t>
      </w:r>
    </w:p>
    <w:p>
      <w:pPr>
        <w:numPr>
          <w:ilvl w:val="2"/>
          <w:numId w:val="51"/>
        </w:numPr>
        <w:spacing w:line="360" w:lineRule="auto"/>
        <w:rPr>
          <w:rFonts w:ascii="仿宋" w:hAnsi="仿宋" w:eastAsia="仿宋" w:cs="仿宋"/>
          <w:color w:val="auto"/>
          <w:sz w:val="24"/>
        </w:rPr>
      </w:pPr>
      <w:bookmarkStart w:id="576" w:name="_Toc40904794"/>
      <w:r>
        <w:rPr>
          <w:rFonts w:hint="eastAsia" w:ascii="仿宋" w:hAnsi="仿宋" w:eastAsia="仿宋" w:cs="仿宋"/>
          <w:color w:val="auto"/>
          <w:sz w:val="24"/>
        </w:rPr>
        <w:t>购销协议管理</w:t>
      </w:r>
      <w:bookmarkEnd w:id="576"/>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（1）购销协议签订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系统提供线上购销协议签订功能，可直接进行线上协议签署并确认。</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1）医疗机构和生产流通企业人员在购销协议签订页面发起购销协议签订请求并提交购销协议信息；</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2）购销协议签订页面接收用户提交的购销协议信息后，通过调用购销协议签订业务逻辑执行协议签订；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3）购销协议签订业务逻辑存储购销协议签订结果信息，更新购销协议签订状态，将购销协议签订结果通过业务网关发送给购销协议签订业务逻辑，并将购销协议签订结果反馈到购销协议签订页面提示用户查看。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（2）购销协议维护</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系统提供购销协议维护功能，可对购销协议内容进行维护。</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1）医保局工作人员在购销协议维护页面发起购销协议新增请求并提交新增协议信息；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2）购销协议维护页面接收用户提交的新增协议信息后，通过调用购销协议维护业务逻辑执行购销协议新增；</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3）购销协议维护业务逻辑查询购销协议数据库的购销协议信息，比对查询结果和新增协议信息，若比对结果相同，则业务逻辑直接返回提示购销协议新增失败并反馈失败原因；</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如果未查询到相关数据，则存储新增购销协议信息，更新购销协议新增状态，将新增购销协议信息通过业务网关发送给购销协议维护业务逻辑，并将新增购销协议信息反馈到购销协议维护页面供用户查看。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（3）协议模板管理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系统提供协议模板管理功能，可对协议模板进行维护。</w:t>
      </w:r>
    </w:p>
    <w:p>
      <w:pPr>
        <w:numPr>
          <w:ilvl w:val="2"/>
          <w:numId w:val="51"/>
        </w:numPr>
        <w:spacing w:line="360" w:lineRule="auto"/>
        <w:rPr>
          <w:rFonts w:ascii="仿宋" w:hAnsi="仿宋" w:eastAsia="仿宋" w:cs="仿宋"/>
          <w:color w:val="auto"/>
          <w:sz w:val="24"/>
        </w:rPr>
      </w:pPr>
      <w:bookmarkStart w:id="577" w:name="_Toc40904795"/>
      <w:r>
        <w:rPr>
          <w:rFonts w:hint="eastAsia" w:ascii="仿宋" w:hAnsi="仿宋" w:eastAsia="仿宋" w:cs="仿宋"/>
          <w:color w:val="auto"/>
          <w:sz w:val="24"/>
        </w:rPr>
        <w:t>结算申请管理</w:t>
      </w:r>
      <w:bookmarkEnd w:id="577"/>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（1）结算申请管理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系统提供结算申请管理功能，企业可在线进行结算申请。</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（2）结算申请审核</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针对企业发起的线上结算申请，可进行审核操作。</w:t>
      </w:r>
    </w:p>
    <w:p>
      <w:pPr>
        <w:numPr>
          <w:ilvl w:val="2"/>
          <w:numId w:val="51"/>
        </w:numPr>
        <w:spacing w:line="360" w:lineRule="auto"/>
        <w:rPr>
          <w:rFonts w:ascii="仿宋" w:hAnsi="仿宋" w:eastAsia="仿宋" w:cs="仿宋"/>
          <w:color w:val="auto"/>
          <w:sz w:val="24"/>
        </w:rPr>
      </w:pPr>
      <w:bookmarkStart w:id="578" w:name="_Toc40904796"/>
      <w:r>
        <w:rPr>
          <w:rFonts w:hint="eastAsia" w:ascii="仿宋" w:hAnsi="仿宋" w:eastAsia="仿宋" w:cs="仿宋"/>
          <w:color w:val="auto"/>
          <w:sz w:val="24"/>
        </w:rPr>
        <w:t>医联体结算申请管理</w:t>
      </w:r>
      <w:bookmarkEnd w:id="578"/>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(1)提交上级结算明细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系统提供上级结算明细提交功能。</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1)医疗机构在提交上级结算明细页面发起提交上级结算明细请求并提交结算明细信息；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2）提交上级结算明细页面接收用户提交的结算明细信息后，通过调用提交上级结算明细业务逻辑执行提交；</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3）提交上级结算明细业务逻辑查询结算申请数据库是否存在结算明细信息，如果查询到相关数据，则业务逻辑直接返回提示结算明细已存在；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如果未查询到相关数据，则存储结算明细信息，将结算明细信息通过业务网关发送给提交上级结算明细业务逻辑，并将提交结算明细结果反馈到提交上级结算明细页面供用户查看。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（2）下级结算申请汇总审核</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系统提供夏季结算申请汇总审核功能。</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1）医保局工作人员在下级结算申请业务汇总审核页面发起审核请求并提交需要审核的结算申请信息；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2）下级结算申请业务汇总审核页面接收用户提交的需要审核的结算申请信息后，通过调用下级结算申请业务汇总审核业务逻辑执行审核；</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3）下级结算申请业务汇总审核业务逻辑对结算申请信息进行审核，判断审核是否通过，如果审核不通过，则业务逻辑直接返回提示下级结算申请业务汇总审核不通过；</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如果审核通过，则存储结算申请审核结果，将审核结果通过业务网关发送给下级结算申请业务汇总审核业务逻辑，并将审核结果反馈到下级结算申请业务汇总审核页面提示用户查看。</w:t>
      </w:r>
    </w:p>
    <w:p>
      <w:pPr>
        <w:numPr>
          <w:ilvl w:val="2"/>
          <w:numId w:val="51"/>
        </w:numPr>
        <w:spacing w:line="360" w:lineRule="auto"/>
        <w:rPr>
          <w:rFonts w:ascii="仿宋" w:hAnsi="仿宋" w:eastAsia="仿宋" w:cs="仿宋"/>
          <w:color w:val="auto"/>
          <w:sz w:val="24"/>
        </w:rPr>
      </w:pPr>
      <w:bookmarkStart w:id="579" w:name="_Toc40904797"/>
      <w:r>
        <w:rPr>
          <w:rFonts w:hint="eastAsia" w:ascii="仿宋" w:hAnsi="仿宋" w:eastAsia="仿宋" w:cs="仿宋"/>
          <w:color w:val="auto"/>
          <w:sz w:val="24"/>
        </w:rPr>
        <w:t>复核管理</w:t>
      </w:r>
      <w:bookmarkEnd w:id="579"/>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（1）结算复核</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针对结算信息，系统提供结算复核功能。</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1）医疗机构人员在结算复核页面发起结算复核请求并提交结算复核信息；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2）结算复核页面接收用户提交的结算复核信息后，通过调用结算复核业务逻辑执行复核；</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3）结算复核业务逻辑判断结算复核是否通过，如果复核不通过，则业务逻辑直接返回提示复核不通过并反馈不通过原因；</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如果复核通过，则存储结算复核结果，将复核结果通过业务网关发送给结算复核业务逻辑，并将结算复核结果反馈到结算复核页面提示用户查看。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（2）结算复查</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针对已结算的信息，系统提供结算复查功能。</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1）医保局工作人员在结算复查页面发起结算复查请求并提交结算复查信息；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2）结算复查页面接收用户提交的结算复查信息后，通过调用结算复查业务逻辑执行查询；</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3）结算复查业务逻辑查询结算信息数据库是否存在结算信息，如果未查询到相关数据，则业务逻辑直接返回提示结算复查失败并反馈失败原因；</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如果查询到相关数据，则执行结算复查，判断复查是否通过，如果复查不通过，则业务逻辑直接返回提示结算复查不通过并反馈不通过原因；</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5）如果复查通过，则存储复查结果，将复查结果通过业务网关发送结算复查业务逻辑，并将结算复查结果反馈到结算复查页面提示用户查看。</w:t>
      </w:r>
    </w:p>
    <w:p>
      <w:pPr>
        <w:numPr>
          <w:ilvl w:val="2"/>
          <w:numId w:val="51"/>
        </w:numPr>
        <w:spacing w:line="360" w:lineRule="auto"/>
        <w:rPr>
          <w:rFonts w:ascii="仿宋" w:hAnsi="仿宋" w:eastAsia="仿宋" w:cs="仿宋"/>
          <w:color w:val="auto"/>
          <w:sz w:val="24"/>
        </w:rPr>
      </w:pPr>
      <w:bookmarkStart w:id="580" w:name="_Toc40904798"/>
      <w:r>
        <w:rPr>
          <w:rFonts w:hint="eastAsia" w:ascii="仿宋" w:hAnsi="仿宋" w:eastAsia="仿宋" w:cs="仿宋"/>
          <w:color w:val="auto"/>
          <w:sz w:val="24"/>
        </w:rPr>
        <w:t>对账管理</w:t>
      </w:r>
      <w:bookmarkEnd w:id="580"/>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（1）生成对账单</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系统支持自动生成对账单功能。</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1）医疗机构在生成对账单页面发起生成对账单请求并提交对账信息；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2）生成对账单页面接收用户提交的对账信息后，通过调用生成对账单业务逻辑执行生成对账单；</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3)生成对账单业务逻辑查询结算数据库是否存在对账单信息，如果查询到相关数据，则业务逻辑直接返回提示对账单已存在；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如果未查询到相关数据，则生成对账单并存储，将生成的对账单通过业务网关发送给生成对账单业务逻辑，并将生成的对账单反馈到生成对账单页面供用户查看。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（2）对账确认处理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针对已生成的对账单可进行对账确认功能。</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1）生产流通企业人员在对账确认处理页面发起对账确认处理请求并提交对账信息；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2）对账确认处理页面接收用户提交的对账信息后，通过调用对账确认处理业务逻辑执行对账确认；</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3）对账确认处理业务逻辑判断是否确认对账单，如果不确认，则业务逻辑直接返回提示对账确认不通过并反馈不通过意见信息；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如果对账单确认，则存储对账单信息和对账通过意见，将对账确认结果通过业务网关发送给对账确认处理业务逻辑，并将对账确认结果反馈到对账确认处理页面提示用户查看。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（3）对账结果审核</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针对对账结果可进行在线审核。</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1）医保局工作人员在对账结果审核页面发起对账结果审核请求并提交需要审核的对账结果信息；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2)对账结果审核页面接收用户提交的需要审核的对账结果信息后，通过调用对账结果审核业务逻辑执行审核；</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3）对账结果审核业务逻辑对对账结果信息进行审核，判断审核是否通过，如果审核不通过，则业务逻辑直接返回提示对账结果审核不通过并反馈不通过原因；</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如果审核通过，则存储对账结果审核结果，将审核结果通过业务网关发送给对账结果审核业务逻辑，并将审核结果反馈到对账结果审核页面提示用户查看。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（5）对账结果查询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系统提供对账结果查询功能。</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1）医保局工作人员在对账结果查询页面发起查询请求并输入/选择查询条件；</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2）查询页面接收用户输入/选择的查询条件后，通过调用对账结果查询业务逻辑执行查询；</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3）对账结果查询业务逻辑查询对账管理数据库是否存在对账结果信息，如果未查询到相关数据，则业务逻辑直接返回提示对账结果信息不存在；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如果查询到相关数据，则存储查询结果，将查询结果通过业务网关发送对账结果查询业务逻辑，并将查询结果反馈到对账结果查询页面提示用户查看。</w:t>
      </w:r>
    </w:p>
    <w:p>
      <w:pPr>
        <w:numPr>
          <w:ilvl w:val="2"/>
          <w:numId w:val="51"/>
        </w:numPr>
        <w:spacing w:line="360" w:lineRule="auto"/>
        <w:rPr>
          <w:rFonts w:ascii="仿宋" w:hAnsi="仿宋" w:eastAsia="仿宋" w:cs="仿宋"/>
          <w:color w:val="auto"/>
          <w:sz w:val="24"/>
        </w:rPr>
      </w:pPr>
      <w:bookmarkStart w:id="581" w:name="_Toc40904799"/>
      <w:r>
        <w:rPr>
          <w:rFonts w:hint="eastAsia" w:ascii="仿宋" w:hAnsi="仿宋" w:eastAsia="仿宋" w:cs="仿宋"/>
          <w:color w:val="auto"/>
          <w:sz w:val="24"/>
        </w:rPr>
        <w:t>结算支付</w:t>
      </w:r>
      <w:bookmarkEnd w:id="581"/>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（1）生成汇总结算单</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系统支持自动生成汇总结算单。</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（2）生成支付单</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系统支持根据结算单一键生成支付单。</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（3）支付管理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可通过系统直接进行线上结算。</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1）医保局工作人员在支付管理页面发起支付方式修改请求；</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2）支付管理页面接收用户提交的修改请求后，通过调用支付管理业务逻辑执行修改；</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3）支付管理业务逻辑查询支付方式管理数据库是否存在支付方式信息，如果未查询到相关数据，则业务逻辑直接返回提示支付方式修改失败；</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如果查询到相关数据，则存储支付方式修改结果，将修改结果通过业务网关发送给支付管理业务逻辑，并将修改结果反馈到支付管理页面供用户查看。</w:t>
      </w:r>
    </w:p>
    <w:p>
      <w:pPr>
        <w:numPr>
          <w:ilvl w:val="2"/>
          <w:numId w:val="51"/>
        </w:numPr>
        <w:spacing w:line="360" w:lineRule="auto"/>
        <w:rPr>
          <w:rFonts w:ascii="仿宋" w:hAnsi="仿宋" w:eastAsia="仿宋" w:cs="仿宋"/>
          <w:color w:val="auto"/>
          <w:sz w:val="24"/>
        </w:rPr>
      </w:pPr>
      <w:bookmarkStart w:id="582" w:name="_Toc40904800"/>
      <w:r>
        <w:rPr>
          <w:rFonts w:hint="eastAsia" w:ascii="仿宋" w:hAnsi="仿宋" w:eastAsia="仿宋" w:cs="仿宋"/>
          <w:color w:val="auto"/>
          <w:sz w:val="24"/>
        </w:rPr>
        <w:t>结算账户管理</w:t>
      </w:r>
      <w:bookmarkEnd w:id="582"/>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（1）结算账户管理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系统提供结算账户管理功能，可对结算账户信息进行维护。</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1）医保局工作人员在结算账户管理页面发起结算账户新增请求并提交结算账户信息；</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2）结算账户管理页面接收用户提交的结算账户信息后，通过调用结算账户管理业务逻辑执行结算账户新增；</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3）结算账户管理业务逻辑查询结算账户数据库是否存在结算账户信息，如果查询到相关数据，则业务逻辑直接返回提示结算账户已存在；</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4）如果未查询到相关数据，则存储新增结算账户信息，将结算账户信息通过业务网关发送给结算账户管理业务逻辑，并将结算账户新增结果反馈到结算账户管理页面供用户查看。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（2）医疗机构结算委托申请审核</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系统提供医疗机构结算委托申请审核功能，可对医疗机构结算委托申请信息进行审核。</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（3）医疗机构信息管理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系统提供医疗结构信息管理功能，可对医疗机构信息进行维护。</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（4）配送企业信息管理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系统提供配送企业信息管理功能，可对配送企业信息进行维护。</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（5）账户流水查询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系统提供账户流水查询功能。</w:t>
      </w:r>
    </w:p>
    <w:p>
      <w:pPr>
        <w:numPr>
          <w:ilvl w:val="2"/>
          <w:numId w:val="51"/>
        </w:numPr>
        <w:spacing w:line="360" w:lineRule="auto"/>
        <w:rPr>
          <w:rFonts w:ascii="仿宋" w:hAnsi="仿宋" w:eastAsia="仿宋" w:cs="仿宋"/>
          <w:color w:val="auto"/>
          <w:sz w:val="24"/>
        </w:rPr>
      </w:pPr>
      <w:bookmarkStart w:id="583" w:name="_Toc40904801"/>
      <w:r>
        <w:rPr>
          <w:rFonts w:hint="eastAsia" w:ascii="仿宋" w:hAnsi="仿宋" w:eastAsia="仿宋" w:cs="仿宋"/>
          <w:color w:val="auto"/>
          <w:sz w:val="24"/>
        </w:rPr>
        <w:t>结算方案配置</w:t>
      </w:r>
      <w:bookmarkEnd w:id="583"/>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（1）结算方式配置</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系统提供结算方式配置功能，可对不同结算方式进行维护。</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1）医保局工作人员在结算方式配置页面发起结算方式配置请求并提交结算方式配置参数信息；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2）结算方式配置页面接收用户提交的参数信息后，通过调用结算方式配置业务逻辑执行参数配置；</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3）结算方式配置业务逻辑对参数信息进行判断是否合规，如果参数不合规，则业务逻辑直接返回提示结算方式配置失败；</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如果结算方式配置参数合规，则存储结算方式配置信息，将结算方式信息通过业务网关发送给结算方式配置业务逻辑，并将结算方式配置信息反馈到结算方式配置页面提示用户查看。</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（2）结算流程配置</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系统提供结算流程配置功能，可对不同结算流程进行配置维护。</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1）医保局工作人员在结算流程配置页面发起结算流程配置请求并提交结算流程配置参数信息；</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2）结算流程配置页面接收用户提交的参数信息后，通过调用结算流程配置业务逻辑执行参数配置；</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3）结算流程配置业务逻辑对参数信息进行判断是否合规，如果参数不合规，则业务逻辑直接返回提示结算流程配置失败；</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4）</w:t>
      </w:r>
      <w:r>
        <w:rPr>
          <w:rFonts w:hint="eastAsia" w:ascii="仿宋" w:hAnsi="仿宋" w:eastAsia="仿宋" w:cs="仿宋"/>
          <w:color w:val="auto"/>
          <w:sz w:val="24"/>
        </w:rPr>
        <w:t>如果结算流程配置参数合规，则存储结算流程配置信息，将结算流程信息通过业务网关发送给结算流程配置业务逻辑，并将结算流程配置信息反馈到结算流程配置页面提示用户查看。</w:t>
      </w:r>
    </w:p>
    <w:p>
      <w:pPr>
        <w:numPr>
          <w:ilvl w:val="2"/>
          <w:numId w:val="51"/>
        </w:numPr>
        <w:spacing w:line="360" w:lineRule="auto"/>
        <w:rPr>
          <w:rFonts w:ascii="仿宋" w:hAnsi="仿宋" w:eastAsia="仿宋" w:cs="仿宋"/>
          <w:color w:val="auto"/>
          <w:sz w:val="24"/>
        </w:rPr>
      </w:pPr>
      <w:bookmarkStart w:id="584" w:name="_Toc40904802"/>
      <w:r>
        <w:rPr>
          <w:rFonts w:hint="eastAsia" w:ascii="仿宋" w:hAnsi="仿宋" w:eastAsia="仿宋" w:cs="仿宋"/>
          <w:color w:val="auto"/>
          <w:sz w:val="24"/>
        </w:rPr>
        <w:t>采购项目管理</w:t>
      </w:r>
      <w:bookmarkEnd w:id="584"/>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系统提供采购项目管理功能。</w:t>
      </w:r>
    </w:p>
    <w:p>
      <w:pPr>
        <w:numPr>
          <w:ilvl w:val="2"/>
          <w:numId w:val="51"/>
        </w:numPr>
        <w:spacing w:line="360" w:lineRule="auto"/>
        <w:rPr>
          <w:rFonts w:ascii="仿宋" w:hAnsi="仿宋" w:eastAsia="仿宋" w:cs="仿宋"/>
          <w:color w:val="auto"/>
          <w:sz w:val="24"/>
        </w:rPr>
      </w:pPr>
      <w:bookmarkStart w:id="585" w:name="_Toc40904803"/>
      <w:r>
        <w:rPr>
          <w:rFonts w:hint="eastAsia" w:ascii="仿宋" w:hAnsi="仿宋" w:eastAsia="仿宋" w:cs="仿宋"/>
          <w:color w:val="auto"/>
          <w:sz w:val="24"/>
        </w:rPr>
        <w:t>采购计划管理</w:t>
      </w:r>
      <w:bookmarkEnd w:id="585"/>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系统提供采购计划管理功能。</w:t>
      </w:r>
    </w:p>
    <w:p>
      <w:pPr>
        <w:numPr>
          <w:ilvl w:val="2"/>
          <w:numId w:val="51"/>
        </w:numPr>
        <w:spacing w:line="360" w:lineRule="auto"/>
        <w:rPr>
          <w:rFonts w:ascii="仿宋" w:hAnsi="仿宋" w:eastAsia="仿宋" w:cs="仿宋"/>
          <w:color w:val="auto"/>
          <w:sz w:val="24"/>
        </w:rPr>
      </w:pPr>
      <w:bookmarkStart w:id="586" w:name="_Toc40904804"/>
      <w:r>
        <w:rPr>
          <w:rFonts w:hint="eastAsia" w:ascii="仿宋" w:hAnsi="仿宋" w:eastAsia="仿宋" w:cs="仿宋"/>
          <w:color w:val="auto"/>
          <w:sz w:val="24"/>
        </w:rPr>
        <w:t>采购目录管理</w:t>
      </w:r>
      <w:bookmarkEnd w:id="586"/>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系统提供采购目录管理功能。</w:t>
      </w:r>
    </w:p>
    <w:p>
      <w:pPr>
        <w:numPr>
          <w:ilvl w:val="2"/>
          <w:numId w:val="51"/>
        </w:numPr>
        <w:spacing w:line="360" w:lineRule="auto"/>
        <w:rPr>
          <w:rFonts w:ascii="仿宋" w:hAnsi="仿宋" w:eastAsia="仿宋" w:cs="仿宋"/>
          <w:color w:val="auto"/>
          <w:sz w:val="24"/>
        </w:rPr>
      </w:pPr>
      <w:bookmarkStart w:id="587" w:name="_Toc40904805"/>
      <w:r>
        <w:rPr>
          <w:rFonts w:hint="eastAsia" w:ascii="仿宋" w:hAnsi="仿宋" w:eastAsia="仿宋" w:cs="仿宋"/>
          <w:color w:val="auto"/>
          <w:sz w:val="24"/>
        </w:rPr>
        <w:t>药品使用管理</w:t>
      </w:r>
      <w:bookmarkEnd w:id="587"/>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系统提供药品使用管理功能。</w:t>
      </w:r>
    </w:p>
    <w:p>
      <w:pPr>
        <w:numPr>
          <w:ilvl w:val="2"/>
          <w:numId w:val="51"/>
        </w:numPr>
        <w:spacing w:line="360" w:lineRule="auto"/>
        <w:rPr>
          <w:rFonts w:ascii="仿宋" w:hAnsi="仿宋" w:eastAsia="仿宋" w:cs="仿宋"/>
          <w:color w:val="auto"/>
          <w:sz w:val="24"/>
        </w:rPr>
      </w:pPr>
      <w:bookmarkStart w:id="588" w:name="_Toc40904806"/>
      <w:r>
        <w:rPr>
          <w:rFonts w:hint="eastAsia" w:ascii="仿宋" w:hAnsi="仿宋" w:eastAsia="仿宋" w:cs="仿宋"/>
          <w:color w:val="auto"/>
          <w:sz w:val="24"/>
        </w:rPr>
        <w:t>药品追溯监测</w:t>
      </w:r>
      <w:bookmarkEnd w:id="588"/>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（1）药品和耗材生产信息查询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系统提供药品和耗材生产信息查询功能。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（2）药品和耗材交易信息查询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系统提供药品和耗材交易信息查询功能。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（3）药品和耗材配送物流信息查询</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系统提供药品和耗材配送物流信息查询功能。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（4）药品和耗材入库信息查询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系统提供药品和耗材入库信息查询功能。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（5）药品和耗材结算信息查询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系统提供药品和耗材结算信息查询功能。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（6）药品和耗材退换货信息查询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系统提供药品和耗材退换货信息查询功能。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（7）药品和耗材发票信息查询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系统提供药品和耗材发票信息查询功能。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（8）药品和耗材医保报销信息查询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系统提供药品和耗材医保报销信息查询功能。</w:t>
      </w:r>
    </w:p>
    <w:p>
      <w:pPr>
        <w:numPr>
          <w:ilvl w:val="2"/>
          <w:numId w:val="51"/>
        </w:numPr>
        <w:spacing w:line="360" w:lineRule="auto"/>
        <w:rPr>
          <w:rFonts w:ascii="仿宋" w:hAnsi="仿宋" w:eastAsia="仿宋" w:cs="仿宋"/>
          <w:color w:val="auto"/>
          <w:sz w:val="24"/>
        </w:rPr>
      </w:pPr>
      <w:bookmarkStart w:id="589" w:name="_Toc40904807"/>
      <w:r>
        <w:rPr>
          <w:rFonts w:hint="eastAsia" w:ascii="仿宋" w:hAnsi="仿宋" w:eastAsia="仿宋" w:cs="仿宋"/>
          <w:color w:val="auto"/>
          <w:sz w:val="24"/>
        </w:rPr>
        <w:t>投诉管理</w:t>
      </w:r>
      <w:bookmarkEnd w:id="589"/>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（1）投诉处理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系统提供在线投诉处理功能，可在线发起投诉。</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（2）投诉处理审核</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针对线上收到的投诉信息可进行审核处理、</w:t>
      </w:r>
    </w:p>
    <w:p>
      <w:pPr>
        <w:numPr>
          <w:ilvl w:val="2"/>
          <w:numId w:val="51"/>
        </w:numPr>
        <w:spacing w:line="360" w:lineRule="auto"/>
        <w:rPr>
          <w:rFonts w:ascii="仿宋" w:hAnsi="仿宋" w:eastAsia="仿宋" w:cs="仿宋"/>
          <w:color w:val="auto"/>
          <w:sz w:val="24"/>
        </w:rPr>
      </w:pPr>
      <w:bookmarkStart w:id="590" w:name="_Toc40904808"/>
      <w:r>
        <w:rPr>
          <w:rFonts w:hint="eastAsia" w:ascii="仿宋" w:hAnsi="仿宋" w:eastAsia="仿宋" w:cs="仿宋"/>
          <w:color w:val="auto"/>
          <w:sz w:val="24"/>
        </w:rPr>
        <w:t>平台评价</w:t>
      </w:r>
      <w:bookmarkEnd w:id="590"/>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可对线上平台进行评价或提出意见。</w:t>
      </w:r>
    </w:p>
    <w:p>
      <w:pPr>
        <w:numPr>
          <w:ilvl w:val="2"/>
          <w:numId w:val="51"/>
        </w:numPr>
        <w:spacing w:line="360" w:lineRule="auto"/>
        <w:rPr>
          <w:rFonts w:ascii="仿宋" w:hAnsi="仿宋" w:eastAsia="仿宋" w:cs="仿宋"/>
          <w:color w:val="auto"/>
          <w:sz w:val="24"/>
        </w:rPr>
      </w:pPr>
      <w:bookmarkStart w:id="591" w:name="_Toc40904809"/>
      <w:r>
        <w:rPr>
          <w:rFonts w:hint="eastAsia" w:ascii="仿宋" w:hAnsi="仿宋" w:eastAsia="仿宋" w:cs="仿宋"/>
          <w:color w:val="auto"/>
          <w:sz w:val="24"/>
        </w:rPr>
        <w:t>票据信息查询</w:t>
      </w:r>
      <w:bookmarkEnd w:id="591"/>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系统提供票据信息查询功能。</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1）医保局工作人员在票据信息查询页面发起查询请求并输入/选择查询条件；</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2）查询页面接收用户输入/选择的查询条件后，通过调用票据信息查询业务逻辑执行查询；</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3）票据信息查询业务逻辑查询监管信息数据库是否存在票据信息，如果未查询到相关数据，则业务逻辑直接返回提示票据信息不存在；</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lang w:eastAsia="ja-JP"/>
        </w:rPr>
        <w:t>④</w:t>
      </w:r>
      <w:r>
        <w:rPr>
          <w:rFonts w:hint="eastAsia" w:ascii="仿宋" w:hAnsi="仿宋" w:eastAsia="仿宋" w:cs="仿宋"/>
          <w:color w:val="auto"/>
          <w:sz w:val="24"/>
        </w:rPr>
        <w:t>如果查询到相关数据，则存储查询结果，将查询结果通过业务网关发送给票据信息查询业务逻辑，并将查询结果反馈到票据信息查询页面提示用户查看。</w:t>
      </w:r>
    </w:p>
    <w:p>
      <w:pPr>
        <w:numPr>
          <w:ilvl w:val="2"/>
          <w:numId w:val="51"/>
        </w:numPr>
        <w:spacing w:line="360" w:lineRule="auto"/>
        <w:rPr>
          <w:rFonts w:ascii="仿宋" w:hAnsi="仿宋" w:eastAsia="仿宋" w:cs="仿宋"/>
          <w:color w:val="auto"/>
          <w:sz w:val="24"/>
        </w:rPr>
      </w:pPr>
      <w:bookmarkStart w:id="592" w:name="_Toc40904810"/>
      <w:r>
        <w:rPr>
          <w:rFonts w:hint="eastAsia" w:ascii="仿宋" w:hAnsi="仿宋" w:eastAsia="仿宋" w:cs="仿宋"/>
          <w:color w:val="auto"/>
          <w:sz w:val="24"/>
        </w:rPr>
        <w:t>两票制监管分析</w:t>
      </w:r>
      <w:bookmarkEnd w:id="592"/>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系统根据对两票制监管数据进行分析，自动生成两票制监管报表。</w:t>
      </w:r>
    </w:p>
    <w:p>
      <w:pPr>
        <w:numPr>
          <w:ilvl w:val="2"/>
          <w:numId w:val="51"/>
        </w:numPr>
        <w:spacing w:line="360" w:lineRule="auto"/>
        <w:rPr>
          <w:rFonts w:ascii="仿宋" w:hAnsi="仿宋" w:eastAsia="仿宋" w:cs="仿宋"/>
          <w:color w:val="auto"/>
          <w:sz w:val="24"/>
        </w:rPr>
      </w:pPr>
      <w:bookmarkStart w:id="593" w:name="_Toc40904811"/>
      <w:r>
        <w:rPr>
          <w:rFonts w:hint="eastAsia" w:ascii="仿宋" w:hAnsi="仿宋" w:eastAsia="仿宋" w:cs="仿宋"/>
          <w:color w:val="auto"/>
          <w:sz w:val="24"/>
        </w:rPr>
        <w:t>短缺药监管统计</w:t>
      </w:r>
      <w:bookmarkEnd w:id="593"/>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根据短缺药统计信息，系统自动形成短缺药监管统计报表。</w:t>
      </w:r>
    </w:p>
    <w:p>
      <w:pPr>
        <w:numPr>
          <w:ilvl w:val="2"/>
          <w:numId w:val="51"/>
        </w:numPr>
        <w:spacing w:line="360" w:lineRule="auto"/>
        <w:rPr>
          <w:rFonts w:ascii="仿宋" w:hAnsi="仿宋" w:eastAsia="仿宋" w:cs="仿宋"/>
          <w:color w:val="auto"/>
          <w:sz w:val="24"/>
        </w:rPr>
      </w:pPr>
      <w:bookmarkStart w:id="594" w:name="_Toc40904812"/>
      <w:r>
        <w:rPr>
          <w:rFonts w:hint="eastAsia" w:ascii="仿宋" w:hAnsi="仿宋" w:eastAsia="仿宋" w:cs="仿宋"/>
          <w:color w:val="auto"/>
          <w:sz w:val="24"/>
        </w:rPr>
        <w:t>统一接口服务管理</w:t>
      </w:r>
      <w:bookmarkEnd w:id="594"/>
    </w:p>
    <w:p>
      <w:pPr>
        <w:numPr>
          <w:ilvl w:val="0"/>
          <w:numId w:val="53"/>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医疗机构接口使用情况统计</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根据医疗机构接口使用情况，系统自动进行统计分析，形成统计报表。</w:t>
      </w:r>
    </w:p>
    <w:p>
      <w:pPr>
        <w:numPr>
          <w:ilvl w:val="0"/>
          <w:numId w:val="53"/>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配送企业机构接口使用情况统计</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根据配送企业机构接口使用情况，系统自动进行统计分析，形成统计报表。</w:t>
      </w:r>
    </w:p>
    <w:p>
      <w:pPr>
        <w:numPr>
          <w:ilvl w:val="2"/>
          <w:numId w:val="51"/>
        </w:numPr>
        <w:spacing w:line="360" w:lineRule="auto"/>
        <w:rPr>
          <w:rFonts w:ascii="仿宋" w:hAnsi="仿宋" w:eastAsia="仿宋" w:cs="仿宋"/>
          <w:color w:val="auto"/>
          <w:sz w:val="24"/>
        </w:rPr>
      </w:pPr>
      <w:bookmarkStart w:id="595" w:name="_Toc40904813"/>
      <w:r>
        <w:rPr>
          <w:rFonts w:hint="eastAsia" w:ascii="仿宋" w:hAnsi="仿宋" w:eastAsia="仿宋" w:cs="仿宋"/>
          <w:color w:val="auto"/>
          <w:sz w:val="24"/>
        </w:rPr>
        <w:t>预警管理</w:t>
      </w:r>
      <w:bookmarkEnd w:id="595"/>
    </w:p>
    <w:p>
      <w:pPr>
        <w:numPr>
          <w:ilvl w:val="0"/>
          <w:numId w:val="54"/>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采购预警设置</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系统提供采购预警设置功能，可设置采购预警信息。</w:t>
      </w:r>
    </w:p>
    <w:p>
      <w:pPr>
        <w:numPr>
          <w:ilvl w:val="0"/>
          <w:numId w:val="54"/>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电话提醒</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系统提供电话预警提醒功能，可进行短信或电话进行预警提醒。</w:t>
      </w:r>
    </w:p>
    <w:p>
      <w:pPr>
        <w:numPr>
          <w:ilvl w:val="0"/>
          <w:numId w:val="54"/>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告知函</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通过系统可进行告知函发送，进行告知。</w:t>
      </w:r>
    </w:p>
    <w:p>
      <w:pPr>
        <w:numPr>
          <w:ilvl w:val="0"/>
          <w:numId w:val="54"/>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白黄红牌</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系统提供白黄红牌预警，自动对异常行为进行警示。</w:t>
      </w:r>
    </w:p>
    <w:p>
      <w:pPr>
        <w:numPr>
          <w:ilvl w:val="2"/>
          <w:numId w:val="51"/>
        </w:numPr>
        <w:spacing w:line="360" w:lineRule="auto"/>
        <w:rPr>
          <w:rFonts w:ascii="仿宋" w:hAnsi="仿宋" w:eastAsia="仿宋" w:cs="仿宋"/>
          <w:color w:val="auto"/>
          <w:sz w:val="24"/>
        </w:rPr>
      </w:pPr>
      <w:bookmarkStart w:id="596" w:name="_Toc40904814"/>
      <w:r>
        <w:rPr>
          <w:rFonts w:hint="eastAsia" w:ascii="仿宋" w:hAnsi="仿宋" w:eastAsia="仿宋" w:cs="仿宋"/>
          <w:color w:val="auto"/>
          <w:sz w:val="24"/>
        </w:rPr>
        <w:t>黑名单</w:t>
      </w:r>
      <w:bookmarkEnd w:id="596"/>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系统提供黑名单功能，针对违规行为、违规企业可进行拉黑处理。</w:t>
      </w:r>
    </w:p>
    <w:p>
      <w:pPr>
        <w:numPr>
          <w:ilvl w:val="2"/>
          <w:numId w:val="51"/>
        </w:numPr>
        <w:spacing w:line="360" w:lineRule="auto"/>
        <w:rPr>
          <w:rFonts w:ascii="仿宋" w:hAnsi="仿宋" w:eastAsia="仿宋" w:cs="仿宋"/>
          <w:color w:val="auto"/>
          <w:sz w:val="24"/>
        </w:rPr>
      </w:pPr>
      <w:bookmarkStart w:id="597" w:name="_Toc40904815"/>
      <w:r>
        <w:rPr>
          <w:rFonts w:hint="eastAsia" w:ascii="仿宋" w:hAnsi="仿宋" w:eastAsia="仿宋" w:cs="仿宋"/>
          <w:color w:val="auto"/>
          <w:sz w:val="24"/>
        </w:rPr>
        <w:t>公示公告</w:t>
      </w:r>
      <w:bookmarkEnd w:id="597"/>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系统提供公示公告功能，可进行政策、通知、黑名单等信息的公示公告。</w:t>
      </w:r>
    </w:p>
    <w:p>
      <w:pPr>
        <w:numPr>
          <w:ilvl w:val="2"/>
          <w:numId w:val="51"/>
        </w:numPr>
        <w:spacing w:line="360" w:lineRule="auto"/>
        <w:rPr>
          <w:rFonts w:ascii="仿宋" w:hAnsi="仿宋" w:eastAsia="仿宋" w:cs="仿宋"/>
          <w:color w:val="auto"/>
          <w:sz w:val="24"/>
        </w:rPr>
      </w:pPr>
      <w:bookmarkStart w:id="598" w:name="_Toc40904816"/>
      <w:r>
        <w:rPr>
          <w:rFonts w:hint="eastAsia" w:ascii="仿宋" w:hAnsi="仿宋" w:eastAsia="仿宋" w:cs="仿宋"/>
          <w:color w:val="auto"/>
          <w:sz w:val="24"/>
        </w:rPr>
        <w:t>使用向导</w:t>
      </w:r>
      <w:bookmarkEnd w:id="598"/>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系统提供使用向导功能，为首次使用的用户提供指导。</w:t>
      </w:r>
    </w:p>
    <w:p>
      <w:pPr>
        <w:numPr>
          <w:ilvl w:val="2"/>
          <w:numId w:val="51"/>
        </w:numPr>
        <w:spacing w:line="360" w:lineRule="auto"/>
        <w:rPr>
          <w:rFonts w:ascii="仿宋" w:hAnsi="仿宋" w:eastAsia="仿宋" w:cs="仿宋"/>
          <w:color w:val="auto"/>
          <w:sz w:val="24"/>
        </w:rPr>
      </w:pPr>
      <w:bookmarkStart w:id="599" w:name="_Toc40904817"/>
      <w:r>
        <w:rPr>
          <w:rFonts w:hint="eastAsia" w:ascii="仿宋" w:hAnsi="仿宋" w:eastAsia="仿宋" w:cs="仿宋"/>
          <w:color w:val="auto"/>
          <w:sz w:val="24"/>
        </w:rPr>
        <w:t>申投诉管理</w:t>
      </w:r>
      <w:bookmarkEnd w:id="599"/>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系统提供申投诉管理功能，企业用户可进行申诉或投诉操作。</w:t>
      </w:r>
    </w:p>
    <w:p>
      <w:pPr>
        <w:numPr>
          <w:ilvl w:val="2"/>
          <w:numId w:val="51"/>
        </w:numPr>
        <w:spacing w:line="360" w:lineRule="auto"/>
        <w:rPr>
          <w:rFonts w:ascii="仿宋" w:hAnsi="仿宋" w:eastAsia="仿宋" w:cs="仿宋"/>
          <w:color w:val="auto"/>
          <w:sz w:val="24"/>
        </w:rPr>
      </w:pPr>
      <w:bookmarkStart w:id="600" w:name="_Toc40904818"/>
      <w:r>
        <w:rPr>
          <w:rFonts w:hint="eastAsia" w:ascii="仿宋" w:hAnsi="仿宋" w:eastAsia="仿宋" w:cs="仿宋"/>
          <w:color w:val="auto"/>
          <w:sz w:val="24"/>
        </w:rPr>
        <w:t>信息咨询</w:t>
      </w:r>
      <w:bookmarkEnd w:id="600"/>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系统提供线上信息咨询通道，可在线进行信息咨询。</w:t>
      </w:r>
    </w:p>
    <w:p>
      <w:pPr>
        <w:numPr>
          <w:ilvl w:val="2"/>
          <w:numId w:val="51"/>
        </w:numPr>
        <w:spacing w:line="360" w:lineRule="auto"/>
        <w:rPr>
          <w:rFonts w:ascii="仿宋" w:hAnsi="仿宋" w:eastAsia="仿宋" w:cs="仿宋"/>
          <w:color w:val="auto"/>
          <w:sz w:val="24"/>
        </w:rPr>
      </w:pPr>
      <w:bookmarkStart w:id="601" w:name="_Toc40904819"/>
      <w:r>
        <w:rPr>
          <w:rFonts w:hint="eastAsia" w:ascii="仿宋" w:hAnsi="仿宋" w:eastAsia="仿宋" w:cs="仿宋"/>
          <w:color w:val="auto"/>
          <w:sz w:val="24"/>
        </w:rPr>
        <w:t>政策文件查询管理</w:t>
      </w:r>
      <w:bookmarkEnd w:id="601"/>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系统提供线上政策文件查询管理功能。</w:t>
      </w:r>
    </w:p>
    <w:p>
      <w:pPr>
        <w:numPr>
          <w:ilvl w:val="2"/>
          <w:numId w:val="51"/>
        </w:numPr>
        <w:spacing w:line="360" w:lineRule="auto"/>
        <w:rPr>
          <w:rFonts w:ascii="仿宋" w:hAnsi="仿宋" w:eastAsia="仿宋" w:cs="仿宋"/>
          <w:color w:val="auto"/>
          <w:sz w:val="24"/>
        </w:rPr>
      </w:pPr>
      <w:bookmarkStart w:id="602" w:name="_Toc40904820"/>
      <w:r>
        <w:rPr>
          <w:rFonts w:hint="eastAsia" w:ascii="仿宋" w:hAnsi="仿宋" w:eastAsia="仿宋" w:cs="仿宋"/>
          <w:color w:val="auto"/>
          <w:sz w:val="24"/>
        </w:rPr>
        <w:t>药品招采统计分析</w:t>
      </w:r>
      <w:bookmarkEnd w:id="602"/>
    </w:p>
    <w:p>
      <w:pPr>
        <w:numPr>
          <w:ilvl w:val="0"/>
          <w:numId w:val="55"/>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药品采购明细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根据药品采购明细信息自动生成药品采购明细报表。</w:t>
      </w:r>
    </w:p>
    <w:p>
      <w:pPr>
        <w:numPr>
          <w:ilvl w:val="0"/>
          <w:numId w:val="55"/>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药品采购汇总</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根据药品采购汇总信息自动生成药品采购汇总报表。</w:t>
      </w:r>
    </w:p>
    <w:p>
      <w:pPr>
        <w:numPr>
          <w:ilvl w:val="0"/>
          <w:numId w:val="55"/>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医疗机构药品交易分析</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根据医疗机构药品交易分析信息自动生成医疗机构药品交易分析报表。</w:t>
      </w:r>
    </w:p>
    <w:p>
      <w:pPr>
        <w:numPr>
          <w:ilvl w:val="0"/>
          <w:numId w:val="55"/>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配送企业药品交易分析</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根据配送企业药品交易分析信息自动生成配送企业药品交易分析报表。</w:t>
      </w:r>
    </w:p>
    <w:p>
      <w:pPr>
        <w:numPr>
          <w:ilvl w:val="0"/>
          <w:numId w:val="55"/>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生产企业药品交易分析</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根据生产企业药品交易分析信息自动生成生产企业药品交易分析报表。</w:t>
      </w:r>
    </w:p>
    <w:p>
      <w:pPr>
        <w:numPr>
          <w:ilvl w:val="0"/>
          <w:numId w:val="55"/>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药品票据信息查询</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根据药品票据信息查询信息自动生成药品票据信息查询报表。</w:t>
      </w:r>
    </w:p>
    <w:p>
      <w:pPr>
        <w:numPr>
          <w:ilvl w:val="0"/>
          <w:numId w:val="55"/>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药品结算明细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根据药品结算明细信息自动生成药品结算明细报表。</w:t>
      </w:r>
    </w:p>
    <w:p>
      <w:pPr>
        <w:numPr>
          <w:ilvl w:val="0"/>
          <w:numId w:val="55"/>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供应企业药品结算统计</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根据供应企业药品结算统计信息自动生成供应企业药品结算统计报表。</w:t>
      </w:r>
    </w:p>
    <w:p>
      <w:pPr>
        <w:numPr>
          <w:ilvl w:val="0"/>
          <w:numId w:val="55"/>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医疗机构药品结算统计</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根据医疗机构药品结算统计信息自动生成医疗机构药品结算统计报表。</w:t>
      </w:r>
    </w:p>
    <w:p>
      <w:pPr>
        <w:numPr>
          <w:ilvl w:val="0"/>
          <w:numId w:val="55"/>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药品采购分布情况</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根据药品采购分布情况信息自动生成药品采购分布情况报表。</w:t>
      </w:r>
    </w:p>
    <w:p>
      <w:pPr>
        <w:numPr>
          <w:ilvl w:val="0"/>
          <w:numId w:val="55"/>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药品缺货情况统计表</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根据药品缺货情况统计表信息自动生成药品缺货情况统计表报表。</w:t>
      </w:r>
    </w:p>
    <w:p>
      <w:pPr>
        <w:numPr>
          <w:ilvl w:val="2"/>
          <w:numId w:val="51"/>
        </w:numPr>
        <w:spacing w:line="360" w:lineRule="auto"/>
        <w:rPr>
          <w:rFonts w:ascii="仿宋" w:hAnsi="仿宋" w:eastAsia="仿宋" w:cs="仿宋"/>
          <w:color w:val="auto"/>
          <w:sz w:val="24"/>
        </w:rPr>
      </w:pPr>
      <w:bookmarkStart w:id="603" w:name="_Toc40904821"/>
      <w:r>
        <w:rPr>
          <w:rFonts w:hint="eastAsia" w:ascii="仿宋" w:hAnsi="仿宋" w:eastAsia="仿宋" w:cs="仿宋"/>
          <w:color w:val="auto"/>
          <w:sz w:val="24"/>
        </w:rPr>
        <w:t>耗材招采统计分析</w:t>
      </w:r>
      <w:bookmarkEnd w:id="603"/>
    </w:p>
    <w:p>
      <w:pPr>
        <w:numPr>
          <w:ilvl w:val="0"/>
          <w:numId w:val="56"/>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耗材采购明细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根据耗材采购明细信息自动生成耗材采购明细报表。</w:t>
      </w:r>
    </w:p>
    <w:p>
      <w:pPr>
        <w:numPr>
          <w:ilvl w:val="0"/>
          <w:numId w:val="56"/>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耗材采购汇总</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根据耗材采购汇总信息自动生成耗材采购汇总报表。</w:t>
      </w:r>
    </w:p>
    <w:p>
      <w:pPr>
        <w:numPr>
          <w:ilvl w:val="0"/>
          <w:numId w:val="56"/>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医疗机构耗材交易分析</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根据医疗机构耗材交易分析信息自动生成医疗机构耗材交易分析报表。</w:t>
      </w:r>
    </w:p>
    <w:p>
      <w:pPr>
        <w:numPr>
          <w:ilvl w:val="0"/>
          <w:numId w:val="56"/>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配送企业耗材交易分析</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根据配送企业耗材交易分析信息自动生成配送企业耗材交易分析报表。</w:t>
      </w:r>
    </w:p>
    <w:p>
      <w:pPr>
        <w:numPr>
          <w:ilvl w:val="0"/>
          <w:numId w:val="56"/>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生产企业耗材交易分析</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根据生产企业耗材交易分析信息自动生成生产企业耗材交易分析报表。</w:t>
      </w:r>
    </w:p>
    <w:p>
      <w:pPr>
        <w:numPr>
          <w:ilvl w:val="0"/>
          <w:numId w:val="56"/>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耗材票据信息查询</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根据耗材票据信息查询信息自动生成耗材票据信息查询报表。</w:t>
      </w:r>
    </w:p>
    <w:p>
      <w:pPr>
        <w:numPr>
          <w:ilvl w:val="0"/>
          <w:numId w:val="56"/>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耗材结算明细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根据耗材结算明细信息自动生成耗材结算明细报表。</w:t>
      </w:r>
    </w:p>
    <w:p>
      <w:pPr>
        <w:numPr>
          <w:ilvl w:val="0"/>
          <w:numId w:val="56"/>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供应企业耗材结算统计</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根据供应企业耗材结算统计信息自动生成供应企业耗材结算统计报表。</w:t>
      </w:r>
    </w:p>
    <w:p>
      <w:pPr>
        <w:numPr>
          <w:ilvl w:val="0"/>
          <w:numId w:val="56"/>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医疗机构耗材结算统计</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根据医疗机构耗材结算统计信息自动生成医疗机构耗材结算统计报表。</w:t>
      </w:r>
    </w:p>
    <w:p>
      <w:pPr>
        <w:numPr>
          <w:ilvl w:val="0"/>
          <w:numId w:val="56"/>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耗材采购分布情况</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根据耗材采购分布情况信息自动生成耗材采购分布情况报表。</w:t>
      </w:r>
    </w:p>
    <w:p>
      <w:pPr>
        <w:numPr>
          <w:ilvl w:val="0"/>
          <w:numId w:val="56"/>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耗材缺货情况统计表</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根据耗材缺货情况统计表信息自动生成耗材缺货情况统计表报表。</w:t>
      </w:r>
    </w:p>
    <w:p>
      <w:pPr>
        <w:numPr>
          <w:ilvl w:val="2"/>
          <w:numId w:val="51"/>
        </w:numPr>
        <w:spacing w:line="360" w:lineRule="auto"/>
        <w:rPr>
          <w:rFonts w:ascii="仿宋" w:hAnsi="仿宋" w:eastAsia="仿宋" w:cs="仿宋"/>
          <w:color w:val="auto"/>
          <w:sz w:val="24"/>
        </w:rPr>
      </w:pPr>
      <w:bookmarkStart w:id="604" w:name="_Toc40904822"/>
      <w:r>
        <w:rPr>
          <w:rFonts w:hint="eastAsia" w:ascii="仿宋" w:hAnsi="仿宋" w:eastAsia="仿宋" w:cs="仿宋"/>
          <w:color w:val="auto"/>
          <w:sz w:val="24"/>
        </w:rPr>
        <w:t>规则管理</w:t>
      </w:r>
      <w:bookmarkEnd w:id="604"/>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(1)招采规则管理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系统提供招采规则管理管理功能。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(2)定点医疗机构医保支付结算价标准（规则）管理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系统提供定点医疗机构医保支付结算价标准（规则）管理管理功能。</w:t>
      </w:r>
    </w:p>
    <w:p>
      <w:pPr>
        <w:adjustRightInd w:val="0"/>
        <w:spacing w:line="360" w:lineRule="auto"/>
        <w:rPr>
          <w:rFonts w:ascii="仿宋" w:hAnsi="仿宋" w:eastAsia="仿宋" w:cs="仿宋"/>
          <w:color w:val="auto"/>
          <w:sz w:val="24"/>
        </w:rPr>
      </w:pPr>
      <w:r>
        <w:rPr>
          <w:rFonts w:hint="eastAsia" w:ascii="仿宋" w:hAnsi="仿宋" w:eastAsia="仿宋" w:cs="仿宋"/>
          <w:color w:val="auto"/>
          <w:sz w:val="24"/>
        </w:rPr>
        <w:t>(3)价格提醒规则</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系统提供价格提醒规则管理功能。</w:t>
      </w:r>
    </w:p>
    <w:p>
      <w:pPr>
        <w:numPr>
          <w:ilvl w:val="2"/>
          <w:numId w:val="51"/>
        </w:numPr>
        <w:spacing w:line="360" w:lineRule="auto"/>
        <w:rPr>
          <w:rFonts w:ascii="仿宋" w:hAnsi="仿宋" w:eastAsia="仿宋" w:cs="仿宋"/>
          <w:color w:val="auto"/>
          <w:sz w:val="24"/>
        </w:rPr>
      </w:pPr>
      <w:bookmarkStart w:id="605" w:name="_Toc40904823"/>
      <w:r>
        <w:rPr>
          <w:rFonts w:hint="eastAsia" w:ascii="仿宋" w:hAnsi="仿宋" w:eastAsia="仿宋" w:cs="仿宋"/>
          <w:color w:val="auto"/>
          <w:sz w:val="24"/>
        </w:rPr>
        <w:t>协议模板管理</w:t>
      </w:r>
      <w:bookmarkEnd w:id="605"/>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系统提供协议模板管理功能，可对协议模板内容进行维护。</w:t>
      </w:r>
    </w:p>
    <w:p>
      <w:pPr>
        <w:numPr>
          <w:ilvl w:val="2"/>
          <w:numId w:val="51"/>
        </w:numPr>
        <w:spacing w:line="360" w:lineRule="auto"/>
        <w:rPr>
          <w:rFonts w:ascii="仿宋" w:hAnsi="仿宋" w:eastAsia="仿宋" w:cs="仿宋"/>
          <w:color w:val="auto"/>
          <w:sz w:val="24"/>
        </w:rPr>
      </w:pPr>
      <w:bookmarkStart w:id="606" w:name="_Toc40904824"/>
      <w:r>
        <w:rPr>
          <w:rFonts w:hint="eastAsia" w:ascii="仿宋" w:hAnsi="仿宋" w:eastAsia="仿宋" w:cs="仿宋"/>
          <w:color w:val="auto"/>
          <w:sz w:val="24"/>
        </w:rPr>
        <w:t>信息公开及纠错</w:t>
      </w:r>
      <w:bookmarkEnd w:id="606"/>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系统提供信息公开及纠错功能，可对信息进行公开，同时获取用户上报的纠错信息并更正。</w:t>
      </w:r>
    </w:p>
    <w:p>
      <w:pPr>
        <w:numPr>
          <w:ilvl w:val="2"/>
          <w:numId w:val="51"/>
        </w:numPr>
        <w:spacing w:line="360" w:lineRule="auto"/>
        <w:rPr>
          <w:rFonts w:ascii="仿宋" w:hAnsi="仿宋" w:eastAsia="仿宋" w:cs="仿宋"/>
          <w:color w:val="auto"/>
          <w:sz w:val="24"/>
        </w:rPr>
      </w:pPr>
      <w:bookmarkStart w:id="607" w:name="_Toc40904825"/>
      <w:r>
        <w:rPr>
          <w:rFonts w:hint="eastAsia" w:ascii="仿宋" w:hAnsi="仿宋" w:eastAsia="仿宋" w:cs="仿宋"/>
          <w:color w:val="auto"/>
          <w:sz w:val="24"/>
        </w:rPr>
        <w:t>CA绑定/解绑管理</w:t>
      </w:r>
      <w:bookmarkEnd w:id="607"/>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系统提供CA绑定/解绑管理功能</w:t>
      </w:r>
    </w:p>
    <w:p>
      <w:pPr>
        <w:numPr>
          <w:ilvl w:val="2"/>
          <w:numId w:val="51"/>
        </w:numPr>
        <w:spacing w:line="360" w:lineRule="auto"/>
        <w:rPr>
          <w:rFonts w:ascii="仿宋" w:hAnsi="仿宋" w:eastAsia="仿宋" w:cs="仿宋"/>
          <w:color w:val="auto"/>
          <w:sz w:val="24"/>
        </w:rPr>
      </w:pPr>
      <w:bookmarkStart w:id="608" w:name="_Toc40904826"/>
      <w:r>
        <w:rPr>
          <w:rFonts w:hint="eastAsia" w:ascii="仿宋" w:hAnsi="仿宋" w:eastAsia="仿宋" w:cs="仿宋"/>
          <w:color w:val="auto"/>
          <w:sz w:val="24"/>
        </w:rPr>
        <w:t>权限管理</w:t>
      </w:r>
      <w:bookmarkEnd w:id="608"/>
    </w:p>
    <w:p>
      <w:pPr>
        <w:numPr>
          <w:ilvl w:val="1"/>
          <w:numId w:val="56"/>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机构角色管理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系统提供机构角色管理功能，可对机构角色信息进行维护。</w:t>
      </w:r>
    </w:p>
    <w:p>
      <w:pPr>
        <w:numPr>
          <w:ilvl w:val="1"/>
          <w:numId w:val="56"/>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菜单管理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系统提供菜单管理功能，可对菜单信息进行维护。</w:t>
      </w:r>
    </w:p>
    <w:p>
      <w:pPr>
        <w:numPr>
          <w:ilvl w:val="2"/>
          <w:numId w:val="51"/>
        </w:numPr>
        <w:spacing w:line="360" w:lineRule="auto"/>
        <w:rPr>
          <w:rFonts w:ascii="仿宋" w:hAnsi="仿宋" w:eastAsia="仿宋" w:cs="仿宋"/>
          <w:color w:val="auto"/>
          <w:sz w:val="24"/>
        </w:rPr>
      </w:pPr>
      <w:bookmarkStart w:id="609" w:name="_Toc40904827"/>
      <w:r>
        <w:rPr>
          <w:rFonts w:hint="eastAsia" w:ascii="仿宋" w:hAnsi="仿宋" w:eastAsia="仿宋" w:cs="仿宋"/>
          <w:color w:val="auto"/>
          <w:sz w:val="24"/>
        </w:rPr>
        <w:t>基础设置</w:t>
      </w:r>
      <w:bookmarkEnd w:id="609"/>
    </w:p>
    <w:p>
      <w:pPr>
        <w:numPr>
          <w:ilvl w:val="0"/>
          <w:numId w:val="57"/>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账号管理</w:t>
      </w:r>
      <w:r>
        <w:rPr>
          <w:rFonts w:hint="eastAsia" w:ascii="仿宋" w:hAnsi="仿宋" w:eastAsia="仿宋" w:cs="仿宋"/>
          <w:color w:val="auto"/>
          <w:sz w:val="24"/>
        </w:rPr>
        <w:tab/>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系统提供账号管理功能，可对账号信息进行维护。</w:t>
      </w:r>
    </w:p>
    <w:p>
      <w:pPr>
        <w:numPr>
          <w:ilvl w:val="0"/>
          <w:numId w:val="57"/>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账号角色管理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系统提供账号角色管理功能，可对账号角色信息进行维护。</w:t>
      </w:r>
    </w:p>
    <w:p>
      <w:pPr>
        <w:numPr>
          <w:ilvl w:val="0"/>
          <w:numId w:val="57"/>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管理部管理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系统提供管理部管理功能，可对管理部信息进行维护。</w:t>
      </w:r>
    </w:p>
    <w:p>
      <w:pPr>
        <w:numPr>
          <w:ilvl w:val="0"/>
          <w:numId w:val="57"/>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医联体管理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系统提供医联体管理功能，可对医联体信息进行维护。</w:t>
      </w:r>
    </w:p>
    <w:p>
      <w:pPr>
        <w:numPr>
          <w:ilvl w:val="2"/>
          <w:numId w:val="51"/>
        </w:numPr>
        <w:spacing w:line="360" w:lineRule="auto"/>
        <w:rPr>
          <w:rFonts w:ascii="仿宋" w:hAnsi="仿宋" w:eastAsia="仿宋" w:cs="仿宋"/>
          <w:color w:val="auto"/>
          <w:sz w:val="24"/>
        </w:rPr>
      </w:pPr>
      <w:bookmarkStart w:id="610" w:name="_Toc40904828"/>
      <w:r>
        <w:rPr>
          <w:rFonts w:hint="eastAsia" w:ascii="仿宋" w:hAnsi="仿宋" w:eastAsia="仿宋" w:cs="仿宋"/>
          <w:color w:val="auto"/>
          <w:sz w:val="24"/>
        </w:rPr>
        <w:t>用户管理</w:t>
      </w:r>
      <w:bookmarkEnd w:id="610"/>
    </w:p>
    <w:p>
      <w:pPr>
        <w:numPr>
          <w:ilvl w:val="0"/>
          <w:numId w:val="58"/>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机构主账号管理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系统提供机构主账号管理功能，可对机构主账号信息进行维护。</w:t>
      </w:r>
    </w:p>
    <w:p>
      <w:pPr>
        <w:numPr>
          <w:ilvl w:val="0"/>
          <w:numId w:val="58"/>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专家账号管理</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系统提供专家账号管理功能，可对专家账号信息进行维护。</w:t>
      </w:r>
    </w:p>
    <w:p>
      <w:pPr>
        <w:numPr>
          <w:ilvl w:val="0"/>
          <w:numId w:val="58"/>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机构、企业基本信息</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系统提供机构、企业基本管理功能，可对机构、企业基本信息进行维护。</w:t>
      </w:r>
    </w:p>
    <w:p>
      <w:pPr>
        <w:numPr>
          <w:ilvl w:val="0"/>
          <w:numId w:val="58"/>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机构、企业主要联系方式设置</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系统提供机构、企业主要联系方式管理功能，可对机构、企业主要联系方式信息进行维护。</w:t>
      </w:r>
    </w:p>
    <w:p>
      <w:pPr>
        <w:numPr>
          <w:ilvl w:val="2"/>
          <w:numId w:val="51"/>
        </w:numPr>
        <w:spacing w:line="360" w:lineRule="auto"/>
        <w:rPr>
          <w:rFonts w:ascii="仿宋" w:hAnsi="仿宋" w:eastAsia="仿宋" w:cs="仿宋"/>
          <w:color w:val="auto"/>
          <w:sz w:val="24"/>
        </w:rPr>
      </w:pPr>
      <w:bookmarkStart w:id="611" w:name="_Toc40904829"/>
      <w:r>
        <w:rPr>
          <w:rFonts w:hint="eastAsia" w:ascii="仿宋" w:hAnsi="仿宋" w:eastAsia="仿宋" w:cs="仿宋"/>
          <w:color w:val="auto"/>
          <w:sz w:val="24"/>
        </w:rPr>
        <w:t>价格提示</w:t>
      </w:r>
      <w:bookmarkEnd w:id="611"/>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系统提供价格提示功能，可对价格信息进行即时推送。</w:t>
      </w:r>
    </w:p>
    <w:p>
      <w:pPr>
        <w:numPr>
          <w:ilvl w:val="2"/>
          <w:numId w:val="51"/>
        </w:numPr>
        <w:spacing w:line="360" w:lineRule="auto"/>
        <w:rPr>
          <w:rFonts w:ascii="仿宋" w:hAnsi="仿宋" w:eastAsia="仿宋" w:cs="仿宋"/>
          <w:color w:val="auto"/>
          <w:sz w:val="24"/>
        </w:rPr>
      </w:pPr>
      <w:bookmarkStart w:id="612" w:name="_Toc40904830"/>
      <w:r>
        <w:rPr>
          <w:rFonts w:hint="eastAsia" w:ascii="仿宋" w:hAnsi="仿宋" w:eastAsia="仿宋" w:cs="仿宋"/>
          <w:color w:val="auto"/>
          <w:sz w:val="24"/>
        </w:rPr>
        <w:t>价格调整</w:t>
      </w:r>
      <w:bookmarkEnd w:id="612"/>
    </w:p>
    <w:p>
      <w:pPr>
        <w:numPr>
          <w:ilvl w:val="0"/>
          <w:numId w:val="59"/>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即时调整</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系统提供即时调整功能，可对价格信息进行即时调整。</w:t>
      </w:r>
    </w:p>
    <w:p>
      <w:pPr>
        <w:numPr>
          <w:ilvl w:val="0"/>
          <w:numId w:val="59"/>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日常调整</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系统提供日常调整功能，可对价格信息进行日常调整。</w:t>
      </w:r>
    </w:p>
    <w:p>
      <w:pPr>
        <w:numPr>
          <w:ilvl w:val="0"/>
          <w:numId w:val="59"/>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定期调整</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系统提供定期调整功能，可对价格信息进行定期调整。</w:t>
      </w:r>
    </w:p>
    <w:p>
      <w:pPr>
        <w:numPr>
          <w:ilvl w:val="0"/>
          <w:numId w:val="59"/>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价格联动</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系统提供价格联动功能，可对价格信息进行价格联动。</w:t>
      </w:r>
    </w:p>
    <w:p>
      <w:pPr>
        <w:numPr>
          <w:ilvl w:val="2"/>
          <w:numId w:val="51"/>
        </w:numPr>
        <w:spacing w:line="360" w:lineRule="auto"/>
        <w:rPr>
          <w:rFonts w:ascii="仿宋" w:hAnsi="仿宋" w:eastAsia="仿宋" w:cs="仿宋"/>
          <w:color w:val="auto"/>
          <w:sz w:val="24"/>
        </w:rPr>
      </w:pPr>
      <w:bookmarkStart w:id="613" w:name="_Toc40904831"/>
      <w:r>
        <w:rPr>
          <w:rFonts w:hint="eastAsia" w:ascii="仿宋" w:hAnsi="仿宋" w:eastAsia="仿宋" w:cs="仿宋"/>
          <w:color w:val="auto"/>
          <w:sz w:val="24"/>
        </w:rPr>
        <w:t>价格公开</w:t>
      </w:r>
      <w:bookmarkEnd w:id="613"/>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系统提供价格公开功能，可对价格信息进行公开公示。</w:t>
      </w:r>
    </w:p>
    <w:p>
      <w:pPr>
        <w:numPr>
          <w:ilvl w:val="2"/>
          <w:numId w:val="51"/>
        </w:numPr>
        <w:spacing w:line="360" w:lineRule="auto"/>
        <w:rPr>
          <w:rFonts w:ascii="仿宋" w:hAnsi="仿宋" w:eastAsia="仿宋" w:cs="仿宋"/>
          <w:color w:val="auto"/>
          <w:sz w:val="24"/>
        </w:rPr>
      </w:pPr>
      <w:bookmarkStart w:id="614" w:name="_Toc40904832"/>
      <w:r>
        <w:rPr>
          <w:rFonts w:hint="eastAsia" w:ascii="仿宋" w:hAnsi="仿宋" w:eastAsia="仿宋" w:cs="仿宋"/>
          <w:color w:val="auto"/>
          <w:sz w:val="24"/>
        </w:rPr>
        <w:t>抽查事项清单管理</w:t>
      </w:r>
      <w:bookmarkEnd w:id="614"/>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系统提供抽查事项清单管理功能，可对抽查事项清单进行维护。</w:t>
      </w:r>
    </w:p>
    <w:p>
      <w:pPr>
        <w:numPr>
          <w:ilvl w:val="2"/>
          <w:numId w:val="51"/>
        </w:numPr>
        <w:spacing w:line="360" w:lineRule="auto"/>
        <w:rPr>
          <w:rFonts w:ascii="仿宋" w:hAnsi="仿宋" w:eastAsia="仿宋" w:cs="仿宋"/>
          <w:color w:val="auto"/>
          <w:sz w:val="24"/>
        </w:rPr>
      </w:pPr>
      <w:bookmarkStart w:id="615" w:name="_Toc40904833"/>
      <w:r>
        <w:rPr>
          <w:rFonts w:hint="eastAsia" w:ascii="仿宋" w:hAnsi="仿宋" w:eastAsia="仿宋" w:cs="仿宋"/>
          <w:color w:val="auto"/>
          <w:sz w:val="24"/>
        </w:rPr>
        <w:t>检查对象名录库管理</w:t>
      </w:r>
      <w:bookmarkEnd w:id="615"/>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系统提供检查对象名录库管理功能，可对检查对象名录库进行维护。</w:t>
      </w:r>
    </w:p>
    <w:p>
      <w:pPr>
        <w:numPr>
          <w:ilvl w:val="2"/>
          <w:numId w:val="51"/>
        </w:numPr>
        <w:spacing w:line="360" w:lineRule="auto"/>
        <w:rPr>
          <w:rFonts w:ascii="仿宋" w:hAnsi="仿宋" w:eastAsia="仿宋" w:cs="仿宋"/>
          <w:color w:val="auto"/>
          <w:sz w:val="24"/>
        </w:rPr>
      </w:pPr>
      <w:bookmarkStart w:id="616" w:name="_Toc40904834"/>
      <w:r>
        <w:rPr>
          <w:rFonts w:hint="eastAsia" w:ascii="仿宋" w:hAnsi="仿宋" w:eastAsia="仿宋" w:cs="仿宋"/>
          <w:color w:val="auto"/>
          <w:sz w:val="24"/>
        </w:rPr>
        <w:t>执法检查人员名录库管理</w:t>
      </w:r>
      <w:bookmarkEnd w:id="616"/>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系统提供执法检查人员名录库管理功能，可对执法检查人员名录库进行维护。</w:t>
      </w:r>
    </w:p>
    <w:p>
      <w:pPr>
        <w:numPr>
          <w:ilvl w:val="2"/>
          <w:numId w:val="51"/>
        </w:numPr>
        <w:spacing w:line="360" w:lineRule="auto"/>
        <w:rPr>
          <w:rFonts w:ascii="仿宋" w:hAnsi="仿宋" w:eastAsia="仿宋" w:cs="仿宋"/>
          <w:color w:val="auto"/>
          <w:sz w:val="24"/>
        </w:rPr>
      </w:pPr>
      <w:bookmarkStart w:id="617" w:name="_Toc40904835"/>
      <w:r>
        <w:rPr>
          <w:rFonts w:hint="eastAsia" w:ascii="仿宋" w:hAnsi="仿宋" w:eastAsia="仿宋" w:cs="仿宋"/>
          <w:color w:val="auto"/>
          <w:sz w:val="24"/>
        </w:rPr>
        <w:t>抽查工作细则管理</w:t>
      </w:r>
      <w:bookmarkEnd w:id="617"/>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系统提供抽查工作细则管理功能，可对抽查工作细则进行维护。</w:t>
      </w:r>
    </w:p>
    <w:p>
      <w:pPr>
        <w:numPr>
          <w:ilvl w:val="2"/>
          <w:numId w:val="51"/>
        </w:numPr>
        <w:spacing w:line="360" w:lineRule="auto"/>
        <w:rPr>
          <w:rFonts w:ascii="仿宋" w:hAnsi="仿宋" w:eastAsia="仿宋" w:cs="仿宋"/>
          <w:color w:val="auto"/>
          <w:sz w:val="24"/>
        </w:rPr>
      </w:pPr>
      <w:bookmarkStart w:id="618" w:name="_Toc40904836"/>
      <w:r>
        <w:rPr>
          <w:rFonts w:hint="eastAsia" w:ascii="仿宋" w:hAnsi="仿宋" w:eastAsia="仿宋" w:cs="仿宋"/>
          <w:color w:val="auto"/>
          <w:sz w:val="24"/>
        </w:rPr>
        <w:t>监管工作专栏</w:t>
      </w:r>
      <w:bookmarkEnd w:id="618"/>
    </w:p>
    <w:p>
      <w:pPr>
        <w:numPr>
          <w:ilvl w:val="0"/>
          <w:numId w:val="60"/>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抽查依据</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系统提供抽查依据管理功能，可对抽查依据信息进行维护。</w:t>
      </w:r>
    </w:p>
    <w:p>
      <w:pPr>
        <w:numPr>
          <w:ilvl w:val="0"/>
          <w:numId w:val="60"/>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抽查主体</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系统提供抽查主体管理功能，可对抽查主体信息进行维护。</w:t>
      </w:r>
    </w:p>
    <w:p>
      <w:pPr>
        <w:numPr>
          <w:ilvl w:val="0"/>
          <w:numId w:val="60"/>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抽查事项</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系统提供抽查事项管理功能，可对抽查事项信息进行维护。</w:t>
      </w:r>
    </w:p>
    <w:p>
      <w:pPr>
        <w:numPr>
          <w:ilvl w:val="0"/>
          <w:numId w:val="60"/>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抽查方式</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系统提供抽查方式管理功能，可对抽查方式信息进行维护。</w:t>
      </w:r>
    </w:p>
    <w:p>
      <w:pPr>
        <w:numPr>
          <w:ilvl w:val="0"/>
          <w:numId w:val="60"/>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抽查程序</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系统提供抽查程序管理功能，抽查程序信息进行维护。</w:t>
      </w:r>
    </w:p>
    <w:p>
      <w:pPr>
        <w:numPr>
          <w:ilvl w:val="0"/>
          <w:numId w:val="60"/>
        </w:numPr>
        <w:adjustRightInd w:val="0"/>
        <w:spacing w:line="360" w:lineRule="auto"/>
        <w:rPr>
          <w:rFonts w:ascii="仿宋" w:hAnsi="仿宋" w:eastAsia="仿宋" w:cs="仿宋"/>
          <w:color w:val="auto"/>
          <w:sz w:val="24"/>
        </w:rPr>
      </w:pPr>
      <w:r>
        <w:rPr>
          <w:rFonts w:hint="eastAsia" w:ascii="仿宋" w:hAnsi="仿宋" w:eastAsia="仿宋" w:cs="仿宋"/>
          <w:color w:val="auto"/>
          <w:sz w:val="24"/>
        </w:rPr>
        <w:t>抽查结果</w:t>
      </w:r>
    </w:p>
    <w:p>
      <w:pPr>
        <w:spacing w:line="360" w:lineRule="auto"/>
        <w:ind w:left="220"/>
        <w:rPr>
          <w:rFonts w:ascii="仿宋" w:hAnsi="仿宋" w:eastAsia="仿宋" w:cs="仿宋"/>
          <w:color w:val="auto"/>
          <w:sz w:val="24"/>
        </w:rPr>
      </w:pPr>
      <w:r>
        <w:rPr>
          <w:rFonts w:hint="eastAsia" w:ascii="仿宋" w:hAnsi="仿宋" w:eastAsia="仿宋" w:cs="仿宋"/>
          <w:color w:val="auto"/>
          <w:sz w:val="24"/>
        </w:rPr>
        <w:t>系统提供抽查结果管理功能，抽查结果信息进行管理。</w:t>
      </w:r>
    </w:p>
    <w:p>
      <w:pPr>
        <w:numPr>
          <w:ilvl w:val="2"/>
          <w:numId w:val="51"/>
        </w:numPr>
        <w:spacing w:line="360" w:lineRule="auto"/>
        <w:rPr>
          <w:rFonts w:ascii="仿宋" w:hAnsi="仿宋" w:eastAsia="仿宋" w:cs="仿宋"/>
          <w:color w:val="auto"/>
          <w:sz w:val="24"/>
        </w:rPr>
      </w:pPr>
      <w:bookmarkStart w:id="619" w:name="_Toc40904837"/>
      <w:r>
        <w:rPr>
          <w:rFonts w:hint="eastAsia" w:ascii="仿宋" w:hAnsi="仿宋" w:eastAsia="仿宋" w:cs="仿宋"/>
          <w:color w:val="auto"/>
          <w:sz w:val="24"/>
        </w:rPr>
        <w:t>招采环节分析</w:t>
      </w:r>
      <w:bookmarkEnd w:id="619"/>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系统根据招采环节分析数据自动生成招采环节分析报表。</w:t>
      </w:r>
    </w:p>
    <w:p>
      <w:pPr>
        <w:numPr>
          <w:ilvl w:val="2"/>
          <w:numId w:val="51"/>
        </w:numPr>
        <w:spacing w:line="360" w:lineRule="auto"/>
        <w:rPr>
          <w:rFonts w:ascii="仿宋" w:hAnsi="仿宋" w:eastAsia="仿宋" w:cs="仿宋"/>
          <w:color w:val="auto"/>
          <w:sz w:val="24"/>
        </w:rPr>
      </w:pPr>
      <w:bookmarkStart w:id="620" w:name="_Toc40904838"/>
      <w:r>
        <w:rPr>
          <w:rFonts w:hint="eastAsia" w:ascii="仿宋" w:hAnsi="仿宋" w:eastAsia="仿宋" w:cs="仿宋"/>
          <w:color w:val="auto"/>
          <w:sz w:val="24"/>
        </w:rPr>
        <w:t>价格分析</w:t>
      </w:r>
      <w:bookmarkEnd w:id="620"/>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系统根据价格分析数据自动生成价格分析报表。</w:t>
      </w:r>
    </w:p>
    <w:p>
      <w:pPr>
        <w:numPr>
          <w:ilvl w:val="2"/>
          <w:numId w:val="51"/>
        </w:numPr>
        <w:spacing w:line="360" w:lineRule="auto"/>
        <w:rPr>
          <w:rFonts w:ascii="仿宋" w:hAnsi="仿宋" w:eastAsia="仿宋" w:cs="仿宋"/>
          <w:color w:val="auto"/>
          <w:sz w:val="24"/>
        </w:rPr>
      </w:pPr>
      <w:bookmarkStart w:id="621" w:name="_Toc40904839"/>
      <w:r>
        <w:rPr>
          <w:rFonts w:hint="eastAsia" w:ascii="仿宋" w:hAnsi="仿宋" w:eastAsia="仿宋" w:cs="仿宋"/>
          <w:color w:val="auto"/>
          <w:sz w:val="24"/>
        </w:rPr>
        <w:t>专题分析</w:t>
      </w:r>
      <w:bookmarkEnd w:id="621"/>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系统根据专题分析数据自动生成专题分析报表。</w:t>
      </w:r>
    </w:p>
    <w:p>
      <w:pPr>
        <w:numPr>
          <w:ilvl w:val="2"/>
          <w:numId w:val="51"/>
        </w:numPr>
        <w:spacing w:line="360" w:lineRule="auto"/>
        <w:rPr>
          <w:rFonts w:ascii="仿宋" w:hAnsi="仿宋" w:eastAsia="仿宋" w:cs="仿宋"/>
          <w:color w:val="auto"/>
          <w:sz w:val="24"/>
        </w:rPr>
      </w:pPr>
      <w:bookmarkStart w:id="622" w:name="_Toc40904840"/>
      <w:r>
        <w:rPr>
          <w:rFonts w:hint="eastAsia" w:ascii="仿宋" w:hAnsi="仿宋" w:eastAsia="仿宋" w:cs="仿宋"/>
          <w:color w:val="auto"/>
          <w:sz w:val="24"/>
        </w:rPr>
        <w:t>药品耗材短缺分析</w:t>
      </w:r>
      <w:bookmarkEnd w:id="622"/>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系统根据药品耗材短缺分析数据自动生成药品耗材短缺分析报表。</w:t>
      </w:r>
    </w:p>
    <w:p>
      <w:pPr>
        <w:spacing w:line="360" w:lineRule="auto"/>
        <w:rPr>
          <w:rFonts w:ascii="仿宋" w:hAnsi="仿宋" w:eastAsia="仿宋" w:cs="仿宋"/>
          <w:b/>
          <w:color w:val="auto"/>
          <w:sz w:val="24"/>
        </w:rPr>
      </w:pPr>
      <w:bookmarkStart w:id="623" w:name="_Toc40904841"/>
      <w:r>
        <w:rPr>
          <w:rFonts w:hint="eastAsia" w:ascii="仿宋" w:hAnsi="仿宋" w:eastAsia="仿宋" w:cs="仿宋"/>
          <w:b/>
          <w:color w:val="auto"/>
          <w:sz w:val="24"/>
        </w:rPr>
        <w:t>7.软件安全要求</w:t>
      </w:r>
      <w:bookmarkEnd w:id="623"/>
    </w:p>
    <w:p>
      <w:pPr>
        <w:pStyle w:val="18"/>
        <w:ind w:firstLineChars="0"/>
        <w:rPr>
          <w:rFonts w:ascii="仿宋" w:hAnsi="仿宋" w:eastAsia="仿宋" w:cs="仿宋"/>
          <w:color w:val="auto"/>
          <w:sz w:val="24"/>
        </w:rPr>
      </w:pPr>
      <w:r>
        <w:rPr>
          <w:rFonts w:hint="eastAsia" w:ascii="仿宋" w:hAnsi="仿宋" w:eastAsia="仿宋" w:cs="仿宋"/>
          <w:color w:val="auto"/>
          <w:sz w:val="24"/>
        </w:rPr>
        <w:t>（1）中标单位须严格按照国家医疗保障局《医保信息系统安全开发规范》要求组织系统开发和实施，并符合《信息安全技术网络安全等级保护基本要求》（GB/T 22239一2019）三级安全要求。</w:t>
      </w:r>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（2）中标单位所开发的系统须符合《信息系统密码应用基本要求》。</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（3）系统上线前，应按照招标方要求进行源代码安全扫描，并对发现的漏洞进行修复。</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（4）投标方应提供详细的安全设计方案并详细说明在应用安全和数据安全方面采取的安全的措施。</w:t>
      </w:r>
    </w:p>
    <w:p>
      <w:pPr>
        <w:spacing w:line="360" w:lineRule="auto"/>
        <w:rPr>
          <w:rFonts w:ascii="仿宋" w:hAnsi="仿宋" w:eastAsia="仿宋" w:cs="仿宋"/>
          <w:b/>
          <w:color w:val="auto"/>
          <w:sz w:val="24"/>
        </w:rPr>
      </w:pPr>
      <w:bookmarkStart w:id="624" w:name="_Toc40904842"/>
      <w:r>
        <w:rPr>
          <w:rFonts w:hint="eastAsia" w:ascii="仿宋" w:hAnsi="仿宋" w:eastAsia="仿宋" w:cs="仿宋"/>
          <w:b/>
          <w:color w:val="auto"/>
          <w:sz w:val="24"/>
        </w:rPr>
        <w:t>8.软件性能要求</w:t>
      </w:r>
      <w:bookmarkEnd w:id="624"/>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（1）药品和医用耗材招采模块支持访问的总用户数大于6000人。</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（2）药品和医用耗材招采模块支持的并发数大于10次/秒。</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 xml:space="preserve">（3）在稳定性上，药品和医用耗材招采模块分别要求全年稳定连续运行，系统稳定性不小于 99.999%； </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 xml:space="preserve">（4）药品和医用耗材招采模块要求交互类业务平均响应 时间不大于 1 秒，查询类业务平均响应时间不大于 2 秒，交易接口类单条记录平均响应时间不大于 1 秒、多条记录（100 条）平均响应时间不大于 3 秒。 </w:t>
      </w:r>
    </w:p>
    <w:p>
      <w:pPr>
        <w:spacing w:line="360" w:lineRule="auto"/>
        <w:rPr>
          <w:rFonts w:ascii="仿宋" w:hAnsi="仿宋" w:eastAsia="仿宋" w:cs="仿宋"/>
          <w:b/>
          <w:color w:val="auto"/>
          <w:sz w:val="24"/>
        </w:rPr>
      </w:pPr>
      <w:bookmarkStart w:id="625" w:name="_Toc40904843"/>
      <w:r>
        <w:rPr>
          <w:rFonts w:hint="eastAsia" w:ascii="仿宋" w:hAnsi="仿宋" w:eastAsia="仿宋" w:cs="仿宋"/>
          <w:b/>
          <w:color w:val="auto"/>
          <w:sz w:val="24"/>
        </w:rPr>
        <w:t>9.软件技术要求</w:t>
      </w:r>
      <w:bookmarkEnd w:id="625"/>
    </w:p>
    <w:p>
      <w:pPr>
        <w:spacing w:line="360" w:lineRule="auto"/>
        <w:ind w:firstLine="482" w:firstLineChars="200"/>
        <w:rPr>
          <w:rFonts w:ascii="仿宋" w:hAnsi="仿宋" w:eastAsia="仿宋" w:cs="仿宋"/>
          <w:b/>
          <w:color w:val="auto"/>
          <w:sz w:val="24"/>
        </w:rPr>
      </w:pPr>
      <w:bookmarkStart w:id="626" w:name="_Toc40904844"/>
      <w:r>
        <w:rPr>
          <w:rFonts w:hint="eastAsia" w:ascii="仿宋" w:hAnsi="仿宋" w:eastAsia="仿宋" w:cs="仿宋"/>
          <w:b/>
          <w:color w:val="auto"/>
          <w:sz w:val="24"/>
        </w:rPr>
        <w:t>9.1总体技术要求</w:t>
      </w:r>
      <w:bookmarkEnd w:id="626"/>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（1）产品应该是企业级的解决方案，支持可分布的、可伸缩的体系结构。支持部署在主流的操作系统（Linux）和硬件平台上，支持B/S 结构，支持云计算技术架构。</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（2）投标方提供的软件应该部署国家局下发的药品和耗材采购统一版本，进行数据迁移、配套系统、外部接口对接等工作。</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（3）投标方提供的软件必须是模块化设计，并且保证任何软件模块的维护和更新都不影响其它软件模块，软件具有容错能力。</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（4）投标方提供的软件应具有自身故障监视和诊断能力，即软件能及时发现故障并发出告警。</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（5）投标方提供的软件在不同时期软件版本应能向下兼容，软件版本易于升级，且在升级的过程中不影响业务的性能与运行。</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（6）投标方应承诺在供货时提供最新版本的软件，但该软件必须是经过测试正式推出，其可靠性、稳定性经过严格验证。</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（7）本项目运维期内，软件版本升级时，中标单位应承诺免费更新软件版本，并提供相应的新版本软件功能说明书及修改说明书。</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（8）投标方提供的应用软件要求具有较强的容错功能。</w:t>
      </w:r>
    </w:p>
    <w:p>
      <w:pPr>
        <w:spacing w:line="360" w:lineRule="auto"/>
        <w:ind w:firstLine="482" w:firstLineChars="200"/>
        <w:rPr>
          <w:rFonts w:ascii="仿宋" w:hAnsi="仿宋" w:eastAsia="仿宋" w:cs="仿宋"/>
          <w:b/>
          <w:color w:val="auto"/>
          <w:sz w:val="24"/>
        </w:rPr>
      </w:pPr>
      <w:bookmarkStart w:id="627" w:name="_Toc40904845"/>
      <w:r>
        <w:rPr>
          <w:rFonts w:hint="eastAsia" w:ascii="仿宋" w:hAnsi="仿宋" w:eastAsia="仿宋" w:cs="仿宋"/>
          <w:b/>
          <w:color w:val="auto"/>
          <w:sz w:val="24"/>
        </w:rPr>
        <w:t>9.2应用软件性能要求</w:t>
      </w:r>
      <w:bookmarkEnd w:id="627"/>
    </w:p>
    <w:p>
      <w:pPr>
        <w:pStyle w:val="22"/>
        <w:numPr>
          <w:ilvl w:val="0"/>
          <w:numId w:val="61"/>
        </w:numPr>
        <w:autoSpaceDE w:val="0"/>
        <w:autoSpaceDN w:val="0"/>
        <w:spacing w:line="360" w:lineRule="auto"/>
        <w:ind w:left="426" w:right="315" w:firstLine="283"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应用软件系统的各个软件功能模块应满足本文相关功能要求。应用软件必须能够切实满足系统监控管理的需求，并且适应今后的业务增长和变化，随时可以按功能需要进行修改和维护。</w:t>
      </w:r>
    </w:p>
    <w:p>
      <w:pPr>
        <w:pStyle w:val="22"/>
        <w:numPr>
          <w:ilvl w:val="0"/>
          <w:numId w:val="61"/>
        </w:numPr>
        <w:autoSpaceDE w:val="0"/>
        <w:autoSpaceDN w:val="0"/>
        <w:spacing w:line="360" w:lineRule="auto"/>
        <w:ind w:left="426" w:right="315" w:firstLine="283"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应用软件应采用通用软件开发平台进行开发，有很强的灵活性和扩展性，在今后开展新业务时可通过对参数等的简单更改迅速方便地实现，具有良好的适应能力。</w:t>
      </w:r>
    </w:p>
    <w:p>
      <w:pPr>
        <w:pStyle w:val="22"/>
        <w:numPr>
          <w:ilvl w:val="0"/>
          <w:numId w:val="61"/>
        </w:numPr>
        <w:autoSpaceDE w:val="0"/>
        <w:autoSpaceDN w:val="0"/>
        <w:spacing w:line="360" w:lineRule="auto"/>
        <w:ind w:left="426" w:right="315" w:firstLine="283"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应用软件应采用友好的图形化窗口的用户操作界面，可操作性强，而且操作界面应力求简洁、直观，具有全中文界面，有向导性功能，支持工作台化管理，有利于简化操作，并提高操作效率。在考虑简化用户的操作的同时，应允许操作人员必要时做一些人工干预。</w:t>
      </w:r>
    </w:p>
    <w:p>
      <w:pPr>
        <w:pStyle w:val="22"/>
        <w:numPr>
          <w:ilvl w:val="0"/>
          <w:numId w:val="61"/>
        </w:numPr>
        <w:autoSpaceDE w:val="0"/>
        <w:autoSpaceDN w:val="0"/>
        <w:spacing w:line="360" w:lineRule="auto"/>
        <w:ind w:left="426" w:right="315" w:firstLine="283"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应用软件应具备一套完备的数据管理系统和进程调度系统，以保证系统的安全可靠和整个系统的正常运转。</w:t>
      </w:r>
    </w:p>
    <w:p>
      <w:pPr>
        <w:pStyle w:val="22"/>
        <w:numPr>
          <w:ilvl w:val="0"/>
          <w:numId w:val="61"/>
        </w:numPr>
        <w:autoSpaceDE w:val="0"/>
        <w:autoSpaceDN w:val="0"/>
        <w:spacing w:line="360" w:lineRule="auto"/>
        <w:ind w:left="426" w:right="315" w:firstLine="283"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应用软件还应采用参数驱动的设计思想，在应用软件中，凡是不能确定的因素，应做到参数化，以达到通过对参数的设置就可适应不同的情况及不同时期的应用要求，并具备多用户和多任务操作能力。</w:t>
      </w:r>
    </w:p>
    <w:p>
      <w:pPr>
        <w:pStyle w:val="22"/>
        <w:numPr>
          <w:ilvl w:val="0"/>
          <w:numId w:val="61"/>
        </w:numPr>
        <w:autoSpaceDE w:val="0"/>
        <w:autoSpaceDN w:val="0"/>
        <w:spacing w:line="360" w:lineRule="auto"/>
        <w:ind w:left="426" w:right="315" w:firstLine="283"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每个应用的功能由一个应用模块完成，应用模块之间应减少耦合度；应用模块与系统之间采用开放的应用接口（API）进行通信；开发人员可灵活开发新的应用模块，并可在不需对原有系统进行重新编译的前提下，动态加载到系统使用。</w:t>
      </w:r>
    </w:p>
    <w:p>
      <w:pPr>
        <w:pStyle w:val="22"/>
        <w:numPr>
          <w:ilvl w:val="0"/>
          <w:numId w:val="61"/>
        </w:numPr>
        <w:autoSpaceDE w:val="0"/>
        <w:autoSpaceDN w:val="0"/>
        <w:spacing w:line="360" w:lineRule="auto"/>
        <w:ind w:left="426" w:right="315" w:firstLine="283"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应用软件必须可制作打包安装盘（包），具有自动安装功能以及网络 远程安装功能。</w:t>
      </w:r>
    </w:p>
    <w:p>
      <w:pPr>
        <w:pStyle w:val="22"/>
        <w:numPr>
          <w:ilvl w:val="0"/>
          <w:numId w:val="61"/>
        </w:numPr>
        <w:autoSpaceDE w:val="0"/>
        <w:autoSpaceDN w:val="0"/>
        <w:spacing w:line="360" w:lineRule="auto"/>
        <w:ind w:left="426" w:right="315" w:firstLine="283"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应用软件要遵循易操作性、健壮性、实用性、高效性和安全性的原则。</w:t>
      </w:r>
    </w:p>
    <w:p>
      <w:pPr>
        <w:pStyle w:val="22"/>
        <w:numPr>
          <w:ilvl w:val="0"/>
          <w:numId w:val="61"/>
        </w:numPr>
        <w:autoSpaceDE w:val="0"/>
        <w:autoSpaceDN w:val="0"/>
        <w:spacing w:line="360" w:lineRule="auto"/>
        <w:ind w:left="426" w:right="315" w:firstLine="283"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灵活设计和详细规划系统操作权限，支持功能级、数据级权限控制，可按原子级业务、业务组件、业务流程分配系统操作权限；支持角色管理，个性化角色工作台展示业务组件、业务图表。</w:t>
      </w:r>
    </w:p>
    <w:p>
      <w:pPr>
        <w:pStyle w:val="22"/>
        <w:numPr>
          <w:ilvl w:val="0"/>
          <w:numId w:val="61"/>
        </w:numPr>
        <w:autoSpaceDE w:val="0"/>
        <w:autoSpaceDN w:val="0"/>
        <w:spacing w:line="360" w:lineRule="auto"/>
        <w:ind w:left="426" w:right="315" w:firstLine="283"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应用软件应具有完整、严谨的操作权限管理机制和日志记录，确保系统的安全性和业务的可稽核性；系统采用业务回退机制，加强业务的可逆性。</w:t>
      </w:r>
    </w:p>
    <w:p>
      <w:pPr>
        <w:spacing w:line="360" w:lineRule="auto"/>
        <w:ind w:firstLine="482" w:firstLineChars="200"/>
        <w:rPr>
          <w:rFonts w:ascii="仿宋" w:hAnsi="仿宋" w:eastAsia="仿宋" w:cs="仿宋"/>
          <w:b/>
          <w:color w:val="auto"/>
          <w:sz w:val="24"/>
        </w:rPr>
      </w:pPr>
      <w:bookmarkStart w:id="628" w:name="_Toc40904846"/>
      <w:r>
        <w:rPr>
          <w:rFonts w:hint="eastAsia" w:ascii="仿宋" w:hAnsi="仿宋" w:eastAsia="仿宋" w:cs="仿宋"/>
          <w:b/>
          <w:color w:val="auto"/>
          <w:sz w:val="24"/>
        </w:rPr>
        <w:t>9.3应用软件说明要求</w:t>
      </w:r>
      <w:bookmarkEnd w:id="628"/>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（1）投标方产品应支持当前主流X86服务器和主流操作系统（Linux），支持虚拟化，支持容器（docker），支持主流云服务等。</w:t>
      </w:r>
    </w:p>
    <w:p>
      <w:pPr>
        <w:pStyle w:val="22"/>
        <w:autoSpaceDE w:val="0"/>
        <w:autoSpaceDN w:val="0"/>
        <w:spacing w:line="360" w:lineRule="auto"/>
        <w:ind w:right="315"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（2）投标方产品应支持当前主流数据库、中间件及云数据库。数据库应支持两种，其中包含一种国产数据库。</w:t>
      </w:r>
    </w:p>
    <w:p>
      <w:pPr>
        <w:spacing w:line="360" w:lineRule="auto"/>
        <w:rPr>
          <w:rFonts w:ascii="仿宋" w:hAnsi="仿宋" w:eastAsia="仿宋" w:cs="仿宋"/>
          <w:b/>
          <w:color w:val="auto"/>
          <w:sz w:val="24"/>
        </w:rPr>
      </w:pPr>
      <w:bookmarkStart w:id="629" w:name="_Toc40904847"/>
      <w:r>
        <w:rPr>
          <w:rFonts w:hint="eastAsia" w:ascii="仿宋" w:hAnsi="仿宋" w:eastAsia="仿宋" w:cs="仿宋"/>
          <w:b/>
          <w:color w:val="auto"/>
          <w:sz w:val="24"/>
        </w:rPr>
        <w:t>10.中标单位第三方软件技术要求</w:t>
      </w:r>
      <w:bookmarkEnd w:id="629"/>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中标单位原则上须使用招标方所提供的第三方软件，如遇特殊情况，需使用其他第三方软件，在征得招标方同意后，由中标单位自行解决。</w:t>
      </w:r>
    </w:p>
    <w:p>
      <w:pPr>
        <w:spacing w:line="360" w:lineRule="auto"/>
        <w:rPr>
          <w:rFonts w:ascii="仿宋" w:hAnsi="仿宋" w:eastAsia="仿宋" w:cs="仿宋"/>
          <w:b/>
          <w:color w:val="auto"/>
          <w:sz w:val="24"/>
        </w:rPr>
      </w:pPr>
      <w:bookmarkStart w:id="630" w:name="_Toc40904848"/>
      <w:r>
        <w:rPr>
          <w:rFonts w:hint="eastAsia" w:ascii="仿宋" w:hAnsi="仿宋" w:eastAsia="仿宋" w:cs="仿宋"/>
          <w:b/>
          <w:color w:val="auto"/>
          <w:sz w:val="24"/>
        </w:rPr>
        <w:t>11.1服务要求（针对药品和医用耗材招采模块）</w:t>
      </w:r>
      <w:bookmarkEnd w:id="630"/>
    </w:p>
    <w:p>
      <w:pPr>
        <w:spacing w:line="360" w:lineRule="auto"/>
        <w:ind w:firstLine="482" w:firstLineChars="200"/>
        <w:rPr>
          <w:rFonts w:ascii="仿宋" w:hAnsi="仿宋" w:eastAsia="仿宋" w:cs="仿宋"/>
          <w:b/>
          <w:color w:val="auto"/>
          <w:sz w:val="24"/>
        </w:rPr>
      </w:pPr>
      <w:bookmarkStart w:id="631" w:name="_Toc40904849"/>
      <w:r>
        <w:rPr>
          <w:rFonts w:hint="eastAsia" w:ascii="仿宋" w:hAnsi="仿宋" w:eastAsia="仿宋" w:cs="仿宋"/>
          <w:b/>
          <w:color w:val="auto"/>
          <w:sz w:val="24"/>
        </w:rPr>
        <w:t>11.1集成要求</w:t>
      </w:r>
      <w:bookmarkEnd w:id="631"/>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中标单位应配合招标方及系统集成商完成药品和医用耗材招采模块的集成工作，包括相关软件部署，系统软件上线运行以及与其他子系统的互联等。</w:t>
      </w:r>
    </w:p>
    <w:p>
      <w:pPr>
        <w:spacing w:line="360" w:lineRule="auto"/>
        <w:ind w:firstLine="482" w:firstLineChars="200"/>
        <w:rPr>
          <w:rFonts w:ascii="仿宋" w:hAnsi="仿宋" w:eastAsia="仿宋" w:cs="仿宋"/>
          <w:b/>
          <w:color w:val="auto"/>
          <w:sz w:val="24"/>
        </w:rPr>
      </w:pPr>
      <w:bookmarkStart w:id="632" w:name="_Toc40904850"/>
      <w:r>
        <w:rPr>
          <w:rFonts w:hint="eastAsia" w:ascii="仿宋" w:hAnsi="仿宋" w:eastAsia="仿宋" w:cs="仿宋"/>
          <w:b/>
          <w:color w:val="auto"/>
          <w:sz w:val="24"/>
        </w:rPr>
        <w:t>11.2投标方项目管理要求</w:t>
      </w:r>
      <w:bookmarkEnd w:id="632"/>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中标单位须提供本次工程建设的项目管理方案以及现场实施和本地化运维服务方案。本包投入技术人员不少于10人，包括项目人员名单（</w:t>
      </w: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安排的项目人员必须固定，若有替换，必须与招标方协商，未经甲方同意，人员变动扣除项目1%/人，人员超过总人数10%，甲方有权终止项目。此外，</w:t>
      </w: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所安排的开发和运维人员必须专职于本项目的开发）及角色分工、项目实施计划、项目变更管理方案以及项目风险管理方案等。</w:t>
      </w: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应承诺提供现场实施服务。</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基本要求如下：</w:t>
      </w:r>
    </w:p>
    <w:p>
      <w:pPr>
        <w:pStyle w:val="22"/>
        <w:numPr>
          <w:ilvl w:val="0"/>
          <w:numId w:val="62"/>
        </w:numPr>
        <w:autoSpaceDE w:val="0"/>
        <w:autoSpaceDN w:val="0"/>
        <w:spacing w:line="360" w:lineRule="auto"/>
        <w:ind w:left="851" w:right="163" w:hanging="567" w:firstLineChars="0"/>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项目经理</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具有5 年以上的信息化规划和建设管理经验，具有信息化总体规划能力，具备省级及以上医疗、医保或医药相关行业规划建设经验，对医疗、医保或医药领域信息化有深入理解，有良好的沟通能力、耐性和综合素质。</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参与的项目经理负责对</w:t>
      </w:r>
      <w:r>
        <w:rPr>
          <w:rFonts w:hint="eastAsia" w:ascii="仿宋" w:hAnsi="仿宋" w:eastAsia="仿宋" w:cs="仿宋"/>
          <w:color w:val="auto"/>
          <w:sz w:val="24"/>
          <w:szCs w:val="24"/>
          <w:lang w:val="zh-CN" w:bidi="zh-CN"/>
        </w:rPr>
        <w:t>药品和医用耗材招采模块</w:t>
      </w:r>
      <w:r>
        <w:rPr>
          <w:rFonts w:hint="eastAsia" w:ascii="仿宋" w:hAnsi="仿宋" w:eastAsia="仿宋" w:cs="仿宋"/>
          <w:color w:val="auto"/>
          <w:sz w:val="24"/>
          <w:szCs w:val="24"/>
        </w:rPr>
        <w:t>的项目管理工作。</w:t>
      </w:r>
    </w:p>
    <w:p>
      <w:pPr>
        <w:pStyle w:val="22"/>
        <w:numPr>
          <w:ilvl w:val="0"/>
          <w:numId w:val="62"/>
        </w:numPr>
        <w:autoSpaceDE w:val="0"/>
        <w:autoSpaceDN w:val="0"/>
        <w:spacing w:line="360" w:lineRule="auto"/>
        <w:ind w:left="851" w:right="305" w:hanging="567" w:firstLineChars="0"/>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需求分析阶段要求</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中标单位须与海南省医疗保障局等相关部门相关人员充分沟通，掌握本项目的需求。</w:t>
      </w:r>
    </w:p>
    <w:p>
      <w:pPr>
        <w:pStyle w:val="19"/>
        <w:numPr>
          <w:ilvl w:val="0"/>
          <w:numId w:val="63"/>
        </w:numPr>
        <w:ind w:firstLineChars="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参与人员数量，针对</w:t>
      </w:r>
      <w:r>
        <w:rPr>
          <w:rFonts w:hint="eastAsia" w:ascii="仿宋" w:hAnsi="仿宋" w:eastAsia="仿宋" w:cs="仿宋"/>
          <w:color w:val="auto"/>
          <w:sz w:val="24"/>
          <w:szCs w:val="24"/>
          <w:lang w:val="zh-CN" w:bidi="zh-CN"/>
        </w:rPr>
        <w:t>药品和医用耗材招采模块</w:t>
      </w:r>
      <w:r>
        <w:rPr>
          <w:rFonts w:hint="eastAsia" w:ascii="仿宋" w:hAnsi="仿宋" w:eastAsia="仿宋" w:cs="仿宋"/>
          <w:color w:val="auto"/>
          <w:sz w:val="24"/>
          <w:szCs w:val="24"/>
        </w:rPr>
        <w:t>：总数不少于 3人。</w:t>
      </w:r>
    </w:p>
    <w:p>
      <w:pPr>
        <w:pStyle w:val="19"/>
        <w:numPr>
          <w:ilvl w:val="0"/>
          <w:numId w:val="63"/>
        </w:numPr>
        <w:ind w:firstLineChars="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至少需提交的文档：业务需求调研报告、应用系统需求分析规格说明书。</w:t>
      </w:r>
    </w:p>
    <w:p>
      <w:pPr>
        <w:pStyle w:val="22"/>
        <w:numPr>
          <w:ilvl w:val="0"/>
          <w:numId w:val="62"/>
        </w:numPr>
        <w:autoSpaceDE w:val="0"/>
        <w:autoSpaceDN w:val="0"/>
        <w:spacing w:line="360" w:lineRule="auto"/>
        <w:ind w:left="851" w:right="305" w:hanging="567" w:firstLineChars="0"/>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系统设计研发阶段要求：</w:t>
      </w:r>
    </w:p>
    <w:p>
      <w:pPr>
        <w:pStyle w:val="19"/>
        <w:numPr>
          <w:ilvl w:val="0"/>
          <w:numId w:val="64"/>
        </w:numPr>
        <w:ind w:firstLineChars="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参与人员数量，针对药品和医用耗材招采模块：总数不少于 3人。</w:t>
      </w:r>
    </w:p>
    <w:p>
      <w:pPr>
        <w:pStyle w:val="19"/>
        <w:numPr>
          <w:ilvl w:val="0"/>
          <w:numId w:val="64"/>
        </w:numPr>
        <w:ind w:firstLineChars="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至少需提交的文档：系统架构设计说明书，系统详细设计说明书，数据库设计说明书，各软件功能模块、流程、数据、接口模块的详细说明及内部测试报告。</w:t>
      </w:r>
    </w:p>
    <w:p>
      <w:pPr>
        <w:pStyle w:val="22"/>
        <w:numPr>
          <w:ilvl w:val="0"/>
          <w:numId w:val="62"/>
        </w:numPr>
        <w:autoSpaceDE w:val="0"/>
        <w:autoSpaceDN w:val="0"/>
        <w:spacing w:line="360" w:lineRule="auto"/>
        <w:ind w:left="851" w:right="305" w:hanging="567" w:firstLineChars="0"/>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系统测试阶段要求：</w:t>
      </w:r>
    </w:p>
    <w:p>
      <w:pPr>
        <w:pStyle w:val="19"/>
        <w:numPr>
          <w:ilvl w:val="0"/>
          <w:numId w:val="65"/>
        </w:numPr>
        <w:ind w:firstLineChars="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参与人员数量，针对药品和医用耗材招采模块：总数不少于3人。</w:t>
      </w:r>
    </w:p>
    <w:p>
      <w:pPr>
        <w:pStyle w:val="19"/>
        <w:numPr>
          <w:ilvl w:val="0"/>
          <w:numId w:val="65"/>
        </w:numPr>
        <w:ind w:firstLineChars="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至少需提交的文档：测试方案、测试过程文档、系统整体测试报告。</w:t>
      </w:r>
    </w:p>
    <w:p>
      <w:pPr>
        <w:pStyle w:val="22"/>
        <w:numPr>
          <w:ilvl w:val="0"/>
          <w:numId w:val="62"/>
        </w:numPr>
        <w:autoSpaceDE w:val="0"/>
        <w:autoSpaceDN w:val="0"/>
        <w:spacing w:line="360" w:lineRule="auto"/>
        <w:ind w:left="851" w:right="305" w:hanging="567" w:firstLineChars="0"/>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系统实施阶段要求</w:t>
      </w:r>
      <w:r>
        <w:rPr>
          <w:rFonts w:hint="eastAsia" w:ascii="仿宋" w:hAnsi="仿宋" w:eastAsia="仿宋" w:cs="仿宋"/>
          <w:color w:val="auto"/>
          <w:sz w:val="24"/>
          <w:szCs w:val="24"/>
        </w:rPr>
        <w:t>：</w:t>
      </w:r>
    </w:p>
    <w:p>
      <w:pPr>
        <w:pStyle w:val="19"/>
        <w:numPr>
          <w:ilvl w:val="0"/>
          <w:numId w:val="66"/>
        </w:numPr>
        <w:ind w:firstLineChars="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驻场参与人员数量，针对药品和医用耗材招采模块：总数不少于4人。</w:t>
      </w:r>
    </w:p>
    <w:p>
      <w:pPr>
        <w:pStyle w:val="19"/>
        <w:numPr>
          <w:ilvl w:val="0"/>
          <w:numId w:val="66"/>
        </w:numPr>
        <w:ind w:firstLineChars="0"/>
        <w:jc w:val="both"/>
        <w:rPr>
          <w:rFonts w:ascii="仿宋" w:hAnsi="仿宋" w:eastAsia="仿宋" w:cs="仿宋"/>
          <w:color w:val="auto"/>
          <w:sz w:val="24"/>
          <w:szCs w:val="24"/>
        </w:rPr>
      </w:pPr>
      <w:r>
        <w:rPr>
          <w:rFonts w:hint="eastAsia" w:ascii="仿宋" w:hAnsi="仿宋" w:eastAsia="仿宋" w:cs="仿宋"/>
          <w:color w:val="auto"/>
          <w:sz w:val="24"/>
          <w:szCs w:val="24"/>
          <w:lang w:val="zh-CN" w:bidi="zh-CN"/>
        </w:rPr>
        <w:t>中标单位</w:t>
      </w:r>
      <w:r>
        <w:rPr>
          <w:rFonts w:hint="eastAsia" w:ascii="仿宋" w:hAnsi="仿宋" w:eastAsia="仿宋" w:cs="仿宋"/>
          <w:color w:val="auto"/>
          <w:sz w:val="24"/>
          <w:szCs w:val="24"/>
        </w:rPr>
        <w:t>至少需提交的文档：系统实施计划、过程文档、试运行报告。</w:t>
      </w:r>
    </w:p>
    <w:p>
      <w:pPr>
        <w:pStyle w:val="22"/>
        <w:numPr>
          <w:ilvl w:val="0"/>
          <w:numId w:val="62"/>
        </w:numPr>
        <w:autoSpaceDE w:val="0"/>
        <w:autoSpaceDN w:val="0"/>
        <w:spacing w:line="360" w:lineRule="auto"/>
        <w:ind w:left="851" w:right="305" w:hanging="567" w:firstLineChars="0"/>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驻场服务</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本项目运维期内需提供至少3名本项目专职长期 驻场工程师，驻场工程师工作量不额外计费，驻场工程师具备本系统进行修改、 调整能力，并按客户要求调整本系统（包括驻场工程师工作量内的新需求）。</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人员要求：驻场负责人</w:t>
      </w:r>
      <w:r>
        <w:rPr>
          <w:rFonts w:hint="eastAsia" w:ascii="仿宋" w:hAnsi="仿宋" w:eastAsia="仿宋" w:cs="仿宋"/>
          <w:color w:val="auto"/>
          <w:kern w:val="0"/>
          <w:sz w:val="24"/>
          <w:szCs w:val="24"/>
        </w:rPr>
        <w:t>具有</w:t>
      </w:r>
      <w:r>
        <w:rPr>
          <w:rFonts w:ascii="仿宋" w:hAnsi="仿宋" w:eastAsia="仿宋" w:cs="仿宋"/>
          <w:bCs w:val="0"/>
          <w:color w:val="auto"/>
          <w:kern w:val="0"/>
          <w:sz w:val="24"/>
          <w:szCs w:val="24"/>
        </w:rPr>
        <w:t>一定医保信息平台开发建设实践经验</w:t>
      </w:r>
      <w:r>
        <w:rPr>
          <w:rFonts w:hint="eastAsia" w:ascii="仿宋" w:hAnsi="仿宋" w:eastAsia="仿宋" w:cs="仿宋"/>
          <w:bCs w:val="0"/>
          <w:color w:val="auto"/>
          <w:kern w:val="0"/>
          <w:sz w:val="24"/>
        </w:rPr>
        <w:t>且具备</w:t>
      </w:r>
      <w:r>
        <w:rPr>
          <w:rFonts w:hint="eastAsia" w:ascii="仿宋" w:hAnsi="仿宋" w:eastAsia="仿宋" w:cs="仿宋"/>
          <w:color w:val="auto"/>
          <w:kern w:val="0"/>
          <w:sz w:val="24"/>
          <w:szCs w:val="24"/>
        </w:rPr>
        <w:t>5</w:t>
      </w:r>
      <w:r>
        <w:rPr>
          <w:rFonts w:hint="eastAsia" w:ascii="仿宋" w:hAnsi="仿宋" w:eastAsia="仿宋" w:cs="仿宋"/>
          <w:color w:val="auto"/>
          <w:sz w:val="24"/>
          <w:szCs w:val="24"/>
        </w:rPr>
        <w:t>以上的政府相关领域信息化研发经验，具备省级及以上政府相关行业建设经验，对政府相关领域信息化有深入理解，有良好的沟通能力、 耐性和综合素质。</w:t>
      </w:r>
    </w:p>
    <w:p>
      <w:pPr>
        <w:pStyle w:val="22"/>
        <w:numPr>
          <w:ilvl w:val="0"/>
          <w:numId w:val="62"/>
        </w:numPr>
        <w:autoSpaceDE w:val="0"/>
        <w:autoSpaceDN w:val="0"/>
        <w:spacing w:line="360" w:lineRule="auto"/>
        <w:ind w:left="851" w:right="305" w:hanging="567" w:firstLineChars="0"/>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系统优化服务</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本项目服务期内至少每半年进行一次系统性数据梳理和整体优化，确保数据管理效率。</w:t>
      </w:r>
    </w:p>
    <w:p>
      <w:pPr>
        <w:pStyle w:val="22"/>
        <w:numPr>
          <w:ilvl w:val="0"/>
          <w:numId w:val="62"/>
        </w:numPr>
        <w:autoSpaceDE w:val="0"/>
        <w:autoSpaceDN w:val="0"/>
        <w:spacing w:line="360" w:lineRule="auto"/>
        <w:ind w:left="851" w:right="305" w:hanging="567" w:firstLineChars="0"/>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保密内容</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投标方需在投标文件中明确，本项目中数据（包含原始数据和衍生数据）全部为招标方所有，全部列入保密范围，投标方不得未经用户许可的情况下导出、分析以及移作他用。</w:t>
      </w:r>
    </w:p>
    <w:p>
      <w:pPr>
        <w:pStyle w:val="22"/>
        <w:numPr>
          <w:ilvl w:val="0"/>
          <w:numId w:val="62"/>
        </w:numPr>
        <w:autoSpaceDE w:val="0"/>
        <w:autoSpaceDN w:val="0"/>
        <w:spacing w:line="360" w:lineRule="auto"/>
        <w:ind w:left="851" w:right="305" w:hanging="567" w:firstLineChars="0"/>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源代码和产权要求</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投标方需在投标文件中明确，本项目中的全部源代码（不包含既有知识产权类和工具）和知识产权全部为招标方所有，中标单位需在合作期间及合作终止后 5 年内，在招标方提出要求的 3 天内无条件提供本项目源代码。</w:t>
      </w:r>
    </w:p>
    <w:p>
      <w:pPr>
        <w:spacing w:line="360" w:lineRule="auto"/>
        <w:rPr>
          <w:rFonts w:ascii="仿宋" w:hAnsi="仿宋" w:eastAsia="仿宋" w:cs="仿宋"/>
          <w:color w:val="auto"/>
          <w:sz w:val="24"/>
        </w:rPr>
      </w:pPr>
      <w:bookmarkStart w:id="633" w:name="_Toc40904851"/>
      <w:r>
        <w:rPr>
          <w:rFonts w:hint="eastAsia" w:ascii="仿宋" w:hAnsi="仿宋" w:eastAsia="仿宋" w:cs="仿宋"/>
          <w:color w:val="auto"/>
          <w:sz w:val="24"/>
        </w:rPr>
        <w:t>12.培训要求</w:t>
      </w:r>
      <w:bookmarkEnd w:id="633"/>
    </w:p>
    <w:p>
      <w:pPr>
        <w:pStyle w:val="22"/>
        <w:autoSpaceDE w:val="0"/>
        <w:autoSpaceDN w:val="0"/>
        <w:spacing w:line="360" w:lineRule="auto"/>
        <w:ind w:firstLine="464"/>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（1）对项目相关其它中标单位人员的培训</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与本项目有关联的其它系统</w:t>
      </w:r>
      <w:r>
        <w:rPr>
          <w:rFonts w:hint="eastAsia" w:ascii="仿宋" w:hAnsi="仿宋" w:eastAsia="仿宋" w:cs="仿宋"/>
          <w:color w:val="auto"/>
          <w:spacing w:val="-4"/>
          <w:sz w:val="24"/>
          <w:szCs w:val="24"/>
          <w:lang w:val="zh-CN" w:bidi="zh-CN"/>
        </w:rPr>
        <w:t>中标单位</w:t>
      </w:r>
      <w:r>
        <w:rPr>
          <w:rFonts w:hint="eastAsia" w:ascii="仿宋" w:hAnsi="仿宋" w:eastAsia="仿宋" w:cs="仿宋"/>
          <w:color w:val="auto"/>
          <w:sz w:val="24"/>
          <w:szCs w:val="24"/>
        </w:rPr>
        <w:t>，对其相关人员进行系统培训。</w:t>
      </w:r>
    </w:p>
    <w:p>
      <w:pPr>
        <w:pStyle w:val="22"/>
        <w:autoSpaceDE w:val="0"/>
        <w:autoSpaceDN w:val="0"/>
        <w:spacing w:line="360" w:lineRule="auto"/>
        <w:ind w:firstLine="464"/>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（2）对应用部门各级系统应用人员的培训</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使之能够了解信息系统的建设思想、主要功能和操作规程，能够熟练应用这一系统辅助开展工作，并能结合实际工作需要提出各种改进意见。根据人员对系统的使用特点不同，对应用人员的培训分为两个层次：</w:t>
      </w:r>
    </w:p>
    <w:p>
      <w:pPr>
        <w:pStyle w:val="19"/>
        <w:numPr>
          <w:ilvl w:val="0"/>
          <w:numId w:val="46"/>
        </w:numPr>
        <w:ind w:left="0" w:firstLine="480"/>
        <w:jc w:val="both"/>
        <w:rPr>
          <w:rFonts w:ascii="仿宋" w:hAnsi="仿宋" w:eastAsia="仿宋" w:cs="仿宋"/>
          <w:color w:val="auto"/>
          <w:sz w:val="24"/>
          <w:szCs w:val="24"/>
        </w:rPr>
      </w:pPr>
      <w:r>
        <w:rPr>
          <w:rFonts w:hint="eastAsia" w:ascii="仿宋" w:hAnsi="仿宋" w:eastAsia="仿宋" w:cs="仿宋"/>
          <w:color w:val="auto"/>
          <w:sz w:val="24"/>
          <w:szCs w:val="24"/>
        </w:rPr>
        <w:t>对领导培训的主要目的是使有关主管领导对系统有一定的了解，同时能够应用系统进行决策、指挥工作；</w:t>
      </w:r>
    </w:p>
    <w:p>
      <w:pPr>
        <w:pStyle w:val="19"/>
        <w:numPr>
          <w:ilvl w:val="0"/>
          <w:numId w:val="46"/>
        </w:numPr>
        <w:ind w:left="0" w:firstLine="480"/>
        <w:jc w:val="both"/>
        <w:rPr>
          <w:rFonts w:ascii="仿宋" w:hAnsi="仿宋" w:eastAsia="仿宋" w:cs="仿宋"/>
          <w:color w:val="auto"/>
          <w:sz w:val="24"/>
          <w:szCs w:val="24"/>
        </w:rPr>
      </w:pPr>
      <w:r>
        <w:rPr>
          <w:rFonts w:hint="eastAsia" w:ascii="仿宋" w:hAnsi="仿宋" w:eastAsia="仿宋" w:cs="仿宋"/>
          <w:color w:val="auto"/>
          <w:sz w:val="24"/>
          <w:szCs w:val="24"/>
        </w:rPr>
        <w:t>对其他应用人员的培训，主要使他们在各业务环境下能够很好地利用系统完成相应的专业工作，提高工作效率，提高信息的准确性和全面性。</w:t>
      </w:r>
    </w:p>
    <w:p>
      <w:pPr>
        <w:pStyle w:val="22"/>
        <w:autoSpaceDE w:val="0"/>
        <w:autoSpaceDN w:val="0"/>
        <w:spacing w:line="360" w:lineRule="auto"/>
        <w:ind w:firstLine="464"/>
        <w:rPr>
          <w:rFonts w:ascii="仿宋" w:hAnsi="仿宋" w:eastAsia="仿宋" w:cs="仿宋"/>
          <w:color w:val="auto"/>
          <w:spacing w:val="-4"/>
          <w:kern w:val="0"/>
          <w:sz w:val="24"/>
          <w:szCs w:val="24"/>
          <w:lang w:val="zh-CN" w:bidi="zh-CN"/>
        </w:rPr>
      </w:pPr>
      <w:r>
        <w:rPr>
          <w:rFonts w:hint="eastAsia" w:ascii="仿宋" w:hAnsi="仿宋" w:eastAsia="仿宋" w:cs="仿宋"/>
          <w:color w:val="auto"/>
          <w:spacing w:val="-4"/>
          <w:kern w:val="0"/>
          <w:sz w:val="24"/>
          <w:szCs w:val="24"/>
          <w:lang w:val="zh-CN" w:bidi="zh-CN"/>
        </w:rPr>
        <w:t>（3）系统运行维护人员的培训</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运维人员培训主要包括以下几个方面：系统整体知识培训、业务系统培训等。通过培训使项目运维队伍能够充分了解本项目。</w:t>
      </w:r>
    </w:p>
    <w:p>
      <w:pPr>
        <w:spacing w:line="360" w:lineRule="auto"/>
        <w:rPr>
          <w:rFonts w:ascii="仿宋" w:hAnsi="仿宋" w:eastAsia="仿宋" w:cs="仿宋"/>
          <w:color w:val="auto"/>
          <w:sz w:val="24"/>
        </w:rPr>
      </w:pPr>
      <w:bookmarkStart w:id="634" w:name="_Toc40904852"/>
      <w:r>
        <w:rPr>
          <w:rFonts w:hint="eastAsia" w:ascii="仿宋" w:hAnsi="仿宋" w:eastAsia="仿宋" w:cs="仿宋"/>
          <w:color w:val="auto"/>
          <w:sz w:val="24"/>
        </w:rPr>
        <w:t>13.维护及技术支持要求</w:t>
      </w:r>
      <w:bookmarkEnd w:id="634"/>
    </w:p>
    <w:p>
      <w:pPr>
        <w:numPr>
          <w:ilvl w:val="0"/>
          <w:numId w:val="67"/>
        </w:numPr>
        <w:spacing w:line="360" w:lineRule="auto"/>
        <w:ind w:left="0" w:firstLine="480" w:firstLineChars="200"/>
        <w:rPr>
          <w:rFonts w:ascii="仿宋" w:hAnsi="仿宋" w:eastAsia="仿宋" w:cs="仿宋"/>
          <w:color w:val="auto"/>
          <w:sz w:val="24"/>
        </w:rPr>
      </w:pPr>
      <w:r>
        <w:rPr>
          <w:rFonts w:hint="eastAsia" w:ascii="仿宋" w:hAnsi="仿宋" w:eastAsia="仿宋" w:cs="仿宋"/>
          <w:color w:val="auto"/>
          <w:sz w:val="24"/>
        </w:rPr>
        <w:t>针对所有软件，</w:t>
      </w:r>
      <w:r>
        <w:rPr>
          <w:rFonts w:hint="eastAsia" w:ascii="仿宋" w:hAnsi="仿宋" w:eastAsia="仿宋" w:cs="仿宋"/>
          <w:color w:val="auto"/>
          <w:spacing w:val="-4"/>
          <w:kern w:val="0"/>
          <w:sz w:val="24"/>
          <w:lang w:val="zh-CN" w:bidi="zh-CN"/>
        </w:rPr>
        <w:t>中标单位</w:t>
      </w:r>
      <w:r>
        <w:rPr>
          <w:rFonts w:hint="eastAsia" w:ascii="仿宋" w:hAnsi="仿宋" w:eastAsia="仿宋" w:cs="仿宋"/>
          <w:color w:val="auto"/>
          <w:sz w:val="24"/>
        </w:rPr>
        <w:t>应提供项目终验合格后2 年的免费运维服务。</w:t>
      </w:r>
    </w:p>
    <w:p>
      <w:pPr>
        <w:numPr>
          <w:ilvl w:val="0"/>
          <w:numId w:val="67"/>
        </w:numPr>
        <w:spacing w:line="360" w:lineRule="auto"/>
        <w:ind w:left="0" w:firstLine="480" w:firstLineChars="200"/>
        <w:rPr>
          <w:rFonts w:ascii="仿宋" w:hAnsi="仿宋" w:eastAsia="仿宋" w:cs="仿宋"/>
          <w:color w:val="auto"/>
          <w:sz w:val="24"/>
        </w:rPr>
      </w:pPr>
      <w:r>
        <w:rPr>
          <w:rFonts w:hint="eastAsia" w:ascii="仿宋" w:hAnsi="仿宋" w:eastAsia="仿宋" w:cs="仿宋"/>
          <w:color w:val="auto"/>
          <w:sz w:val="24"/>
        </w:rPr>
        <w:t>在软件维保期内，</w:t>
      </w:r>
      <w:r>
        <w:rPr>
          <w:rFonts w:hint="eastAsia" w:ascii="仿宋" w:hAnsi="仿宋" w:eastAsia="仿宋" w:cs="仿宋"/>
          <w:color w:val="auto"/>
          <w:spacing w:val="-4"/>
          <w:kern w:val="0"/>
          <w:sz w:val="24"/>
          <w:lang w:val="zh-CN" w:bidi="zh-CN"/>
        </w:rPr>
        <w:t>中标单位</w:t>
      </w:r>
      <w:r>
        <w:rPr>
          <w:rFonts w:hint="eastAsia" w:ascii="仿宋" w:hAnsi="仿宋" w:eastAsia="仿宋" w:cs="仿宋"/>
          <w:color w:val="auto"/>
          <w:sz w:val="24"/>
        </w:rPr>
        <w:t>应提供灵活、多样的通信手段（包括但不限于场地、设备及人员、专用服务电话），提供7*24 小时的响应服务，保证在任何时候招标方人员都能及时找到</w:t>
      </w:r>
      <w:r>
        <w:rPr>
          <w:rFonts w:hint="eastAsia" w:ascii="仿宋" w:hAnsi="仿宋" w:eastAsia="仿宋" w:cs="仿宋"/>
          <w:color w:val="auto"/>
          <w:spacing w:val="-4"/>
          <w:kern w:val="0"/>
          <w:sz w:val="24"/>
          <w:lang w:val="zh-CN" w:bidi="zh-CN"/>
        </w:rPr>
        <w:t>中标单位</w:t>
      </w:r>
      <w:r>
        <w:rPr>
          <w:rFonts w:hint="eastAsia" w:ascii="仿宋" w:hAnsi="仿宋" w:eastAsia="仿宋" w:cs="仿宋"/>
          <w:color w:val="auto"/>
          <w:sz w:val="24"/>
        </w:rPr>
        <w:t>的服务人员。如遇驻场人员无法解决的问题或招标方认为需要，</w:t>
      </w:r>
      <w:r>
        <w:rPr>
          <w:rFonts w:hint="eastAsia" w:ascii="仿宋" w:hAnsi="仿宋" w:eastAsia="仿宋" w:cs="仿宋"/>
          <w:color w:val="auto"/>
          <w:spacing w:val="-4"/>
          <w:kern w:val="0"/>
          <w:sz w:val="24"/>
          <w:lang w:val="zh-CN" w:bidi="zh-CN"/>
        </w:rPr>
        <w:t>中标单位</w:t>
      </w:r>
      <w:r>
        <w:rPr>
          <w:rFonts w:hint="eastAsia" w:ascii="仿宋" w:hAnsi="仿宋" w:eastAsia="仿宋" w:cs="仿宋"/>
          <w:color w:val="auto"/>
          <w:sz w:val="24"/>
        </w:rPr>
        <w:t>的技术人员应在12 小时内赶到现场支持。</w:t>
      </w:r>
    </w:p>
    <w:p>
      <w:pPr>
        <w:numPr>
          <w:ilvl w:val="0"/>
          <w:numId w:val="67"/>
        </w:numPr>
        <w:spacing w:line="360" w:lineRule="auto"/>
        <w:ind w:left="0" w:firstLine="480" w:firstLineChars="200"/>
        <w:rPr>
          <w:rFonts w:ascii="仿宋" w:hAnsi="仿宋" w:eastAsia="仿宋" w:cs="仿宋"/>
          <w:color w:val="auto"/>
          <w:sz w:val="24"/>
        </w:rPr>
      </w:pPr>
      <w:r>
        <w:rPr>
          <w:rFonts w:hint="eastAsia" w:ascii="仿宋" w:hAnsi="仿宋" w:eastAsia="仿宋" w:cs="仿宋"/>
          <w:color w:val="auto"/>
          <w:sz w:val="24"/>
        </w:rPr>
        <w:t>所供软件出现问题时，其响应时间不超过15 分钟，一般故障处理时间不大于2 小时；特殊情况下，故障修复时间不大于12小时。</w:t>
      </w:r>
    </w:p>
    <w:p>
      <w:pPr>
        <w:numPr>
          <w:ilvl w:val="0"/>
          <w:numId w:val="67"/>
        </w:numPr>
        <w:spacing w:line="360" w:lineRule="auto"/>
        <w:ind w:left="0" w:firstLine="464" w:firstLineChars="200"/>
        <w:rPr>
          <w:rFonts w:ascii="仿宋" w:hAnsi="仿宋" w:eastAsia="仿宋" w:cs="仿宋"/>
          <w:color w:val="auto"/>
          <w:sz w:val="24"/>
        </w:rPr>
      </w:pPr>
      <w:r>
        <w:rPr>
          <w:rFonts w:hint="eastAsia" w:ascii="仿宋" w:hAnsi="仿宋" w:eastAsia="仿宋" w:cs="仿宋"/>
          <w:color w:val="auto"/>
          <w:spacing w:val="-4"/>
          <w:kern w:val="0"/>
          <w:sz w:val="24"/>
          <w:lang w:val="zh-CN" w:bidi="zh-CN"/>
        </w:rPr>
        <w:t>中标单位</w:t>
      </w:r>
      <w:r>
        <w:rPr>
          <w:rFonts w:hint="eastAsia" w:ascii="仿宋" w:hAnsi="仿宋" w:eastAsia="仿宋" w:cs="仿宋"/>
          <w:color w:val="auto"/>
          <w:sz w:val="24"/>
        </w:rPr>
        <w:t>应提供排除故障响应的具体流程。</w:t>
      </w:r>
    </w:p>
    <w:p>
      <w:pPr>
        <w:numPr>
          <w:ilvl w:val="0"/>
          <w:numId w:val="67"/>
        </w:numPr>
        <w:spacing w:line="360" w:lineRule="auto"/>
        <w:ind w:left="0" w:firstLine="464" w:firstLineChars="200"/>
        <w:rPr>
          <w:rFonts w:ascii="仿宋" w:hAnsi="仿宋" w:eastAsia="仿宋" w:cs="仿宋"/>
          <w:color w:val="auto"/>
          <w:sz w:val="24"/>
        </w:rPr>
      </w:pPr>
      <w:r>
        <w:rPr>
          <w:rFonts w:hint="eastAsia" w:ascii="仿宋" w:hAnsi="仿宋" w:eastAsia="仿宋" w:cs="仿宋"/>
          <w:color w:val="auto"/>
          <w:spacing w:val="-4"/>
          <w:kern w:val="0"/>
          <w:sz w:val="24"/>
          <w:lang w:val="zh-CN" w:bidi="zh-CN"/>
        </w:rPr>
        <w:t>中标单位</w:t>
      </w:r>
      <w:r>
        <w:rPr>
          <w:rFonts w:hint="eastAsia" w:ascii="仿宋" w:hAnsi="仿宋" w:eastAsia="仿宋" w:cs="仿宋"/>
          <w:color w:val="auto"/>
          <w:sz w:val="24"/>
        </w:rPr>
        <w:t>应在项目方案中说明技术指导和技术支持的范围和程度，承建商应提供技术服务流程，技术服务内容和价格清单，若维保期内与期外不同，则应分别列出。</w:t>
      </w:r>
    </w:p>
    <w:p>
      <w:pPr>
        <w:spacing w:line="360" w:lineRule="auto"/>
        <w:rPr>
          <w:rFonts w:ascii="仿宋" w:hAnsi="仿宋" w:eastAsia="仿宋" w:cs="仿宋"/>
          <w:color w:val="auto"/>
          <w:sz w:val="24"/>
        </w:rPr>
      </w:pPr>
      <w:bookmarkStart w:id="635" w:name="_Toc40904853"/>
      <w:r>
        <w:rPr>
          <w:rFonts w:hint="eastAsia" w:ascii="仿宋" w:hAnsi="仿宋" w:eastAsia="仿宋" w:cs="仿宋"/>
          <w:color w:val="auto"/>
          <w:sz w:val="24"/>
        </w:rPr>
        <w:t>14.技术文件要求</w:t>
      </w:r>
      <w:bookmarkEnd w:id="635"/>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中标单位提供的书面技术资料必须能够满足确保系统正常运行所需的管理、运营、验收及维护的全套文件。中标单位提供的技术文件必须包括但不限于：</w:t>
      </w:r>
    </w:p>
    <w:p>
      <w:pPr>
        <w:pStyle w:val="22"/>
        <w:numPr>
          <w:ilvl w:val="0"/>
          <w:numId w:val="68"/>
        </w:numPr>
        <w:spacing w:line="360" w:lineRule="auto"/>
        <w:ind w:left="0" w:firstLine="852" w:firstLineChars="0"/>
        <w:rPr>
          <w:rFonts w:ascii="仿宋" w:hAnsi="仿宋" w:eastAsia="仿宋" w:cs="仿宋"/>
          <w:color w:val="auto"/>
          <w:sz w:val="24"/>
          <w:szCs w:val="24"/>
        </w:rPr>
      </w:pPr>
      <w:r>
        <w:rPr>
          <w:rFonts w:hint="eastAsia" w:ascii="仿宋" w:hAnsi="仿宋" w:eastAsia="仿宋" w:cs="仿宋"/>
          <w:color w:val="auto"/>
          <w:sz w:val="24"/>
          <w:szCs w:val="24"/>
        </w:rPr>
        <w:t>系统说明文件</w:t>
      </w:r>
    </w:p>
    <w:p>
      <w:pPr>
        <w:pStyle w:val="22"/>
        <w:numPr>
          <w:ilvl w:val="0"/>
          <w:numId w:val="68"/>
        </w:numPr>
        <w:spacing w:line="360" w:lineRule="auto"/>
        <w:ind w:left="0" w:firstLine="852" w:firstLineChars="0"/>
        <w:rPr>
          <w:rFonts w:ascii="仿宋" w:hAnsi="仿宋" w:eastAsia="仿宋" w:cs="仿宋"/>
          <w:color w:val="auto"/>
          <w:sz w:val="24"/>
          <w:szCs w:val="24"/>
        </w:rPr>
      </w:pPr>
      <w:r>
        <w:rPr>
          <w:rFonts w:hint="eastAsia" w:ascii="仿宋" w:hAnsi="仿宋" w:eastAsia="仿宋" w:cs="仿宋"/>
          <w:color w:val="auto"/>
          <w:sz w:val="24"/>
          <w:szCs w:val="24"/>
        </w:rPr>
        <w:t>技术手册（安装、操作、维护、故障排除、培训文档等）</w:t>
      </w:r>
    </w:p>
    <w:p>
      <w:pPr>
        <w:pStyle w:val="22"/>
        <w:numPr>
          <w:ilvl w:val="0"/>
          <w:numId w:val="68"/>
        </w:numPr>
        <w:spacing w:line="360" w:lineRule="auto"/>
        <w:ind w:left="0" w:firstLine="852" w:firstLineChars="0"/>
        <w:rPr>
          <w:rFonts w:ascii="仿宋" w:hAnsi="仿宋" w:eastAsia="仿宋" w:cs="仿宋"/>
          <w:color w:val="auto"/>
          <w:sz w:val="24"/>
          <w:szCs w:val="24"/>
        </w:rPr>
      </w:pPr>
      <w:r>
        <w:rPr>
          <w:rFonts w:hint="eastAsia" w:ascii="仿宋" w:hAnsi="仿宋" w:eastAsia="仿宋" w:cs="仿宋"/>
          <w:color w:val="auto"/>
          <w:sz w:val="24"/>
          <w:szCs w:val="24"/>
        </w:rPr>
        <w:t>详细的工程日志</w:t>
      </w:r>
    </w:p>
    <w:p>
      <w:pPr>
        <w:pStyle w:val="22"/>
        <w:numPr>
          <w:ilvl w:val="0"/>
          <w:numId w:val="68"/>
        </w:numPr>
        <w:spacing w:line="360" w:lineRule="auto"/>
        <w:ind w:left="0" w:firstLine="852" w:firstLineChars="0"/>
        <w:rPr>
          <w:rFonts w:ascii="仿宋" w:hAnsi="仿宋" w:eastAsia="仿宋" w:cs="仿宋"/>
          <w:color w:val="auto"/>
          <w:sz w:val="24"/>
          <w:szCs w:val="24"/>
        </w:rPr>
      </w:pPr>
      <w:r>
        <w:rPr>
          <w:rFonts w:hint="eastAsia" w:ascii="仿宋" w:hAnsi="仿宋" w:eastAsia="仿宋" w:cs="仿宋"/>
          <w:color w:val="auto"/>
          <w:sz w:val="24"/>
          <w:szCs w:val="24"/>
        </w:rPr>
        <w:t>系统完整文档</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其中，（1）、（2）项必须在安装调测前提供，（3）必须在工程实施过程中随时提供，并在工程实施后1 个月内汇总移交。所有的文档必须包括书面和电子两种形式。（4）在工程完成初验后，厂家提供完整的技术文档。</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请投标方在项目方案中列出提供的书面技术资料详细清单。</w:t>
      </w:r>
    </w:p>
    <w:p>
      <w:pPr>
        <w:spacing w:line="360" w:lineRule="auto"/>
        <w:rPr>
          <w:rFonts w:ascii="仿宋" w:hAnsi="仿宋" w:eastAsia="仿宋" w:cs="仿宋"/>
          <w:color w:val="auto"/>
          <w:sz w:val="24"/>
        </w:rPr>
      </w:pPr>
      <w:bookmarkStart w:id="636" w:name="_Toc40904854"/>
      <w:r>
        <w:rPr>
          <w:rFonts w:hint="eastAsia" w:ascii="仿宋" w:hAnsi="仿宋" w:eastAsia="仿宋" w:cs="仿宋"/>
          <w:color w:val="auto"/>
          <w:sz w:val="24"/>
        </w:rPr>
        <w:t>15.项目协作要求</w:t>
      </w:r>
      <w:bookmarkEnd w:id="636"/>
    </w:p>
    <w:p>
      <w:pPr>
        <w:pStyle w:val="19"/>
        <w:ind w:firstLine="464"/>
        <w:jc w:val="both"/>
        <w:rPr>
          <w:rFonts w:ascii="仿宋" w:hAnsi="仿宋" w:eastAsia="仿宋" w:cs="仿宋"/>
          <w:color w:val="auto"/>
          <w:sz w:val="24"/>
          <w:szCs w:val="24"/>
        </w:rPr>
      </w:pPr>
      <w:r>
        <w:rPr>
          <w:rFonts w:hint="eastAsia" w:ascii="仿宋" w:hAnsi="仿宋" w:eastAsia="仿宋" w:cs="仿宋"/>
          <w:color w:val="auto"/>
          <w:spacing w:val="-4"/>
          <w:sz w:val="24"/>
          <w:szCs w:val="24"/>
          <w:lang w:val="zh-CN" w:bidi="zh-CN"/>
        </w:rPr>
        <w:t>中标单位</w:t>
      </w:r>
      <w:r>
        <w:rPr>
          <w:rFonts w:hint="eastAsia" w:ascii="仿宋" w:hAnsi="仿宋" w:eastAsia="仿宋" w:cs="仿宋"/>
          <w:color w:val="auto"/>
          <w:sz w:val="24"/>
          <w:szCs w:val="24"/>
        </w:rPr>
        <w:t>须配合其它相关子系统中标单位。</w:t>
      </w:r>
    </w:p>
    <w:p>
      <w:pPr>
        <w:spacing w:line="360" w:lineRule="auto"/>
        <w:rPr>
          <w:rFonts w:ascii="仿宋" w:hAnsi="仿宋" w:eastAsia="仿宋" w:cs="仿宋"/>
          <w:color w:val="auto"/>
          <w:sz w:val="24"/>
        </w:rPr>
      </w:pPr>
      <w:bookmarkStart w:id="637" w:name="_Toc40904855"/>
      <w:r>
        <w:rPr>
          <w:rFonts w:hint="eastAsia" w:ascii="仿宋" w:hAnsi="仿宋" w:eastAsia="仿宋" w:cs="仿宋"/>
          <w:color w:val="auto"/>
          <w:sz w:val="24"/>
        </w:rPr>
        <w:t>16.保密要求</w:t>
      </w:r>
      <w:bookmarkEnd w:id="637"/>
    </w:p>
    <w:p>
      <w:pPr>
        <w:pStyle w:val="21"/>
        <w:ind w:firstLine="480"/>
        <w:jc w:val="both"/>
        <w:rPr>
          <w:rFonts w:ascii="仿宋" w:hAnsi="仿宋" w:eastAsia="仿宋" w:cs="仿宋"/>
          <w:color w:val="auto"/>
          <w:sz w:val="24"/>
          <w:szCs w:val="24"/>
        </w:rPr>
      </w:pPr>
      <w:r>
        <w:rPr>
          <w:rFonts w:hint="eastAsia" w:ascii="仿宋" w:hAnsi="仿宋" w:eastAsia="仿宋" w:cs="仿宋"/>
          <w:color w:val="auto"/>
          <w:sz w:val="24"/>
          <w:szCs w:val="24"/>
        </w:rPr>
        <w:t>中标单位(含项目组所有成员)必须对项目技术文件以及由招标人提供的所有内部资料、技术文档、数据和信息予以保密。中标单位必须与招标人签订保密协议并严格遵守，未经招标人书面许可，中标单位不得以任何形式向第三方透露本项目标书以及本项目的任何内容。</w:t>
      </w:r>
    </w:p>
    <w:p>
      <w:pPr>
        <w:spacing w:line="360" w:lineRule="auto"/>
        <w:rPr>
          <w:rFonts w:ascii="仿宋" w:hAnsi="仿宋" w:eastAsia="仿宋" w:cs="仿宋"/>
          <w:color w:val="auto"/>
          <w:sz w:val="24"/>
        </w:rPr>
      </w:pPr>
      <w:bookmarkStart w:id="638" w:name="_Toc40904856"/>
      <w:r>
        <w:rPr>
          <w:rFonts w:hint="eastAsia" w:ascii="仿宋" w:hAnsi="仿宋" w:eastAsia="仿宋" w:cs="仿宋"/>
          <w:color w:val="auto"/>
          <w:sz w:val="24"/>
        </w:rPr>
        <w:t>17.项目计划要求</w:t>
      </w:r>
      <w:bookmarkEnd w:id="638"/>
    </w:p>
    <w:p>
      <w:pPr>
        <w:pStyle w:val="18"/>
        <w:ind w:left="426" w:firstLine="0" w:firstLineChars="0"/>
        <w:rPr>
          <w:rFonts w:ascii="仿宋" w:hAnsi="仿宋" w:eastAsia="仿宋" w:cs="仿宋"/>
          <w:color w:val="auto"/>
          <w:sz w:val="24"/>
        </w:rPr>
      </w:pPr>
      <w:r>
        <w:rPr>
          <w:rFonts w:hint="eastAsia" w:ascii="仿宋" w:hAnsi="仿宋" w:eastAsia="仿宋" w:cs="仿宋"/>
          <w:color w:val="auto"/>
          <w:sz w:val="24"/>
        </w:rPr>
        <w:t>服务期限：签订合同之日起至2021年</w:t>
      </w:r>
      <w:r>
        <w:rPr>
          <w:rFonts w:hint="eastAsia" w:ascii="仿宋" w:hAnsi="仿宋" w:eastAsia="仿宋" w:cs="仿宋"/>
          <w:color w:val="auto"/>
          <w:sz w:val="24"/>
          <w:lang w:val="en-US"/>
        </w:rPr>
        <w:t>6</w:t>
      </w:r>
      <w:r>
        <w:rPr>
          <w:rFonts w:hint="eastAsia" w:ascii="仿宋" w:hAnsi="仿宋" w:eastAsia="仿宋" w:cs="仿宋"/>
          <w:color w:val="auto"/>
          <w:sz w:val="24"/>
        </w:rPr>
        <w:t>底前完成系统初验，进入试运行，试运行期至少3个月，2021年底前完成系统终验。</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在工程实施全过程中，招</w:t>
      </w:r>
      <w:r>
        <w:rPr>
          <w:rFonts w:hint="eastAsia" w:ascii="仿宋" w:hAnsi="仿宋" w:eastAsia="仿宋" w:cs="仿宋"/>
          <w:bCs w:val="0"/>
          <w:color w:val="auto"/>
          <w:sz w:val="24"/>
          <w:szCs w:val="24"/>
        </w:rPr>
        <w:t>标</w:t>
      </w:r>
      <w:r>
        <w:rPr>
          <w:rFonts w:hint="eastAsia" w:ascii="仿宋" w:hAnsi="仿宋" w:eastAsia="仿宋" w:cs="仿宋"/>
          <w:color w:val="auto"/>
          <w:sz w:val="24"/>
          <w:szCs w:val="24"/>
        </w:rPr>
        <w:t>方有对工程质量进行监督控制的职责和权利，中标单位应按照项目管理要求进行严格的质量控制，并制定详细合理的沟通计划，至少包括周报、月报和项目例会，应确保双方能及时了解所需的信息。</w:t>
      </w:r>
    </w:p>
    <w:p>
      <w:pPr>
        <w:spacing w:line="360" w:lineRule="auto"/>
        <w:rPr>
          <w:rFonts w:ascii="仿宋" w:hAnsi="仿宋" w:eastAsia="仿宋" w:cs="仿宋"/>
          <w:color w:val="auto"/>
          <w:sz w:val="24"/>
        </w:rPr>
      </w:pPr>
      <w:bookmarkStart w:id="639" w:name="_Toc40904857"/>
      <w:r>
        <w:rPr>
          <w:rFonts w:hint="eastAsia" w:ascii="仿宋" w:hAnsi="仿宋" w:eastAsia="仿宋" w:cs="仿宋"/>
          <w:color w:val="auto"/>
          <w:sz w:val="24"/>
        </w:rPr>
        <w:t>18.项目验收标准与要求</w:t>
      </w:r>
      <w:bookmarkEnd w:id="639"/>
    </w:p>
    <w:p>
      <w:pPr>
        <w:spacing w:line="360" w:lineRule="auto"/>
        <w:ind w:left="360"/>
        <w:rPr>
          <w:rFonts w:ascii="仿宋" w:hAnsi="仿宋" w:eastAsia="仿宋" w:cs="仿宋"/>
          <w:b/>
          <w:color w:val="auto"/>
          <w:sz w:val="24"/>
        </w:rPr>
      </w:pPr>
      <w:r>
        <w:rPr>
          <w:rFonts w:hint="eastAsia" w:ascii="仿宋" w:hAnsi="仿宋" w:eastAsia="仿宋" w:cs="仿宋"/>
          <w:b/>
          <w:color w:val="auto"/>
          <w:sz w:val="24"/>
        </w:rPr>
        <w:t>18.1验收总体要求</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项目验收标准：按照国家医疗保障局和海南省医疗保障局要求，协同其他业务子系统，满足采购人提出的业务需求。如果项目未完成验收前，由于相关政策导致业务发生变化进行升级或调整，中标单位应按照最新政策和最新技术标准方案完成本项建设。</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由海南省医疗保障局统一组织，招标人与相关人员组成验收小组完成验收。双方根据最终验收情况，编写最终验收报告。中标单位应完成项目验收资料的准备。</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在服务过程中出现性能指标或功能上不符合标书和合同要求时，由中标单位负责解决，招标人有拒绝验收的权利并保留索赔权利。</w:t>
      </w:r>
    </w:p>
    <w:p>
      <w:pPr>
        <w:pStyle w:val="22"/>
        <w:tabs>
          <w:tab w:val="left" w:pos="1301"/>
        </w:tabs>
        <w:autoSpaceDE w:val="0"/>
        <w:autoSpaceDN w:val="0"/>
        <w:spacing w:line="360" w:lineRule="auto"/>
        <w:ind w:left="220" w:right="315" w:firstLine="480" w:firstLineChars="0"/>
        <w:rPr>
          <w:rFonts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本项目的实施过程中将产生大量的技术及管理文档，中标单位应协助招标人，负责建立、维护、交接项目实施过程中产生的各类文档，确保项目文档的内容体现本项目的实施过程，并确保项目文档的完整性和准确性。</w:t>
      </w:r>
    </w:p>
    <w:p>
      <w:pPr>
        <w:spacing w:line="360" w:lineRule="auto"/>
        <w:ind w:left="359" w:leftChars="171" w:firstLine="480" w:firstLineChars="200"/>
        <w:rPr>
          <w:rFonts w:ascii="仿宋" w:hAnsi="仿宋" w:eastAsia="仿宋" w:cs="仿宋"/>
          <w:color w:val="auto"/>
          <w:sz w:val="24"/>
        </w:rPr>
      </w:pPr>
      <w:r>
        <w:rPr>
          <w:rFonts w:hint="eastAsia" w:ascii="仿宋" w:hAnsi="仿宋" w:eastAsia="仿宋" w:cs="仿宋"/>
          <w:color w:val="auto"/>
          <w:sz w:val="24"/>
        </w:rPr>
        <w:t>投标人按照要求提交全部文档，通过验收，视为本项工作完成。</w:t>
      </w:r>
    </w:p>
    <w:p>
      <w:pPr>
        <w:spacing w:line="360" w:lineRule="auto"/>
        <w:rPr>
          <w:rFonts w:ascii="仿宋" w:hAnsi="仿宋" w:eastAsia="仿宋" w:cs="仿宋"/>
          <w:color w:val="auto"/>
          <w:sz w:val="24"/>
        </w:rPr>
      </w:pPr>
      <w:r>
        <w:rPr>
          <w:rFonts w:hint="eastAsia" w:ascii="仿宋" w:hAnsi="仿宋" w:eastAsia="仿宋" w:cs="仿宋"/>
          <w:color w:val="auto"/>
          <w:sz w:val="24"/>
        </w:rPr>
        <w:t>（1）验收组织</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项目验收分为初验和终验，都由招标方组织进行。</w:t>
      </w:r>
    </w:p>
    <w:p>
      <w:pPr>
        <w:spacing w:line="360" w:lineRule="auto"/>
        <w:rPr>
          <w:rFonts w:ascii="仿宋" w:hAnsi="仿宋" w:eastAsia="仿宋" w:cs="仿宋"/>
          <w:color w:val="auto"/>
          <w:sz w:val="24"/>
        </w:rPr>
      </w:pPr>
      <w:r>
        <w:rPr>
          <w:rFonts w:hint="eastAsia" w:ascii="仿宋" w:hAnsi="仿宋" w:eastAsia="仿宋" w:cs="仿宋"/>
          <w:color w:val="auto"/>
          <w:sz w:val="24"/>
        </w:rPr>
        <w:t>（2）初验流程</w:t>
      </w:r>
    </w:p>
    <w:p>
      <w:pPr>
        <w:pStyle w:val="22"/>
        <w:numPr>
          <w:ilvl w:val="0"/>
          <w:numId w:val="69"/>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招标方依据相关批复文件、招标采购文件、合同，对项目的工程、技术、财务和档案等进行验收，形成验收报告。</w:t>
      </w:r>
    </w:p>
    <w:p>
      <w:pPr>
        <w:pStyle w:val="22"/>
        <w:numPr>
          <w:ilvl w:val="0"/>
          <w:numId w:val="69"/>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项目初验后进入试运行，试运行期至少3 个月。</w:t>
      </w:r>
    </w:p>
    <w:p>
      <w:pPr>
        <w:spacing w:line="360" w:lineRule="auto"/>
        <w:rPr>
          <w:rFonts w:ascii="仿宋" w:hAnsi="仿宋" w:eastAsia="仿宋" w:cs="仿宋"/>
          <w:color w:val="auto"/>
          <w:sz w:val="24"/>
        </w:rPr>
      </w:pPr>
      <w:r>
        <w:rPr>
          <w:rFonts w:hint="eastAsia" w:ascii="仿宋" w:hAnsi="仿宋" w:eastAsia="仿宋" w:cs="仿宋"/>
          <w:color w:val="auto"/>
          <w:sz w:val="24"/>
        </w:rPr>
        <w:t>（3）终验流程</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招标方组织成立验收组，负责开展终验的先期基础性工作，重点检查项目建设、设计、监理、施工、招标采购、档案资料、预（概）算执行和财务决算等情况，提出验收评价意见和建议。</w:t>
      </w:r>
    </w:p>
    <w:p>
      <w:pPr>
        <w:spacing w:line="360" w:lineRule="auto"/>
        <w:rPr>
          <w:rFonts w:ascii="仿宋" w:hAnsi="仿宋" w:eastAsia="仿宋" w:cs="仿宋"/>
          <w:color w:val="auto"/>
          <w:sz w:val="24"/>
        </w:rPr>
      </w:pPr>
      <w:r>
        <w:rPr>
          <w:rFonts w:hint="eastAsia" w:ascii="仿宋" w:hAnsi="仿宋" w:eastAsia="仿宋" w:cs="仿宋"/>
          <w:color w:val="auto"/>
          <w:sz w:val="24"/>
        </w:rPr>
        <w:t>（4）验收内容</w:t>
      </w:r>
    </w:p>
    <w:p>
      <w:pPr>
        <w:pStyle w:val="22"/>
        <w:numPr>
          <w:ilvl w:val="0"/>
          <w:numId w:val="70"/>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审查项目的建设目标、规模、内容、质量及资金使用等情况。</w:t>
      </w:r>
    </w:p>
    <w:p>
      <w:pPr>
        <w:pStyle w:val="22"/>
        <w:numPr>
          <w:ilvl w:val="0"/>
          <w:numId w:val="70"/>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审核项目形成的资产情况。</w:t>
      </w:r>
    </w:p>
    <w:p>
      <w:pPr>
        <w:pStyle w:val="22"/>
        <w:numPr>
          <w:ilvl w:val="0"/>
          <w:numId w:val="70"/>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评价项目交付使用情况。</w:t>
      </w:r>
    </w:p>
    <w:p>
      <w:pPr>
        <w:pStyle w:val="22"/>
        <w:numPr>
          <w:ilvl w:val="0"/>
          <w:numId w:val="70"/>
        </w:numPr>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检查项目建设单位执行国家法律、法规情况。</w:t>
      </w:r>
    </w:p>
    <w:p>
      <w:pPr>
        <w:spacing w:line="360" w:lineRule="auto"/>
        <w:rPr>
          <w:rFonts w:ascii="仿宋" w:hAnsi="仿宋" w:eastAsia="仿宋" w:cs="仿宋"/>
          <w:color w:val="auto"/>
          <w:sz w:val="24"/>
        </w:rPr>
      </w:pPr>
      <w:r>
        <w:rPr>
          <w:rFonts w:hint="eastAsia" w:ascii="仿宋" w:hAnsi="仿宋" w:eastAsia="仿宋" w:cs="仿宋"/>
          <w:color w:val="auto"/>
          <w:sz w:val="24"/>
        </w:rPr>
        <w:t>（5）验收相关材料</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中标单位须负责整理并提供以下验收材料，包括但不限于：项目实施方案、项目合同、项目建设总结、项目建设相关文档、初步验收报告、软件测试报告等。</w:t>
      </w:r>
    </w:p>
    <w:p>
      <w:pPr>
        <w:spacing w:line="360" w:lineRule="auto"/>
        <w:rPr>
          <w:rFonts w:ascii="仿宋" w:hAnsi="仿宋" w:eastAsia="仿宋" w:cs="仿宋"/>
          <w:color w:val="auto"/>
          <w:sz w:val="24"/>
        </w:rPr>
      </w:pPr>
      <w:bookmarkStart w:id="640" w:name="_Toc40904858"/>
      <w:r>
        <w:rPr>
          <w:rFonts w:hint="eastAsia" w:ascii="仿宋" w:hAnsi="仿宋" w:eastAsia="仿宋" w:cs="仿宋"/>
          <w:color w:val="auto"/>
          <w:sz w:val="24"/>
        </w:rPr>
        <w:t>19.其它要求</w:t>
      </w:r>
      <w:bookmarkEnd w:id="640"/>
    </w:p>
    <w:p>
      <w:pPr>
        <w:tabs>
          <w:tab w:val="left" w:pos="1301"/>
        </w:tabs>
        <w:autoSpaceDE w:val="0"/>
        <w:autoSpaceDN w:val="0"/>
        <w:spacing w:line="360" w:lineRule="auto"/>
        <w:ind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（1）投标方承诺：如投标单位在海南省无分公司或办事处，须承诺中标后在海南省注册分公司或办事处，办公地址须在海南省医疗保障局周边半径2公里范围内。</w:t>
      </w:r>
    </w:p>
    <w:p>
      <w:pPr>
        <w:tabs>
          <w:tab w:val="left" w:pos="1301"/>
        </w:tabs>
        <w:autoSpaceDE w:val="0"/>
        <w:autoSpaceDN w:val="0"/>
        <w:spacing w:line="360" w:lineRule="auto"/>
        <w:ind w:right="318" w:firstLine="476" w:firstLineChars="200"/>
        <w:rPr>
          <w:rFonts w:ascii="仿宋" w:hAnsi="仿宋" w:eastAsia="仿宋" w:cs="仿宋"/>
          <w:color w:val="auto"/>
          <w:sz w:val="24"/>
        </w:rPr>
      </w:pPr>
      <w:r>
        <w:rPr>
          <w:rFonts w:hint="eastAsia" w:ascii="仿宋" w:hAnsi="仿宋" w:eastAsia="仿宋" w:cs="仿宋"/>
          <w:color w:val="auto"/>
          <w:spacing w:val="-1"/>
          <w:sz w:val="24"/>
        </w:rPr>
        <w:t>（2）当招标方有新需求，而本文又未包括或与本文不符时，则应符合招标</w:t>
      </w:r>
      <w:r>
        <w:rPr>
          <w:rFonts w:hint="eastAsia" w:ascii="仿宋" w:hAnsi="仿宋" w:eastAsia="仿宋" w:cs="仿宋"/>
          <w:color w:val="auto"/>
          <w:spacing w:val="-10"/>
          <w:sz w:val="24"/>
        </w:rPr>
        <w:t>方新需求；对于招标方尚未有标准的，而本文又未提及的部分，中标单位提出其标</w:t>
      </w:r>
      <w:r>
        <w:rPr>
          <w:rFonts w:hint="eastAsia" w:ascii="仿宋" w:hAnsi="仿宋" w:eastAsia="仿宋" w:cs="仿宋"/>
          <w:color w:val="auto"/>
          <w:sz w:val="24"/>
        </w:rPr>
        <w:t>准，留待双方认可后执行。</w:t>
      </w:r>
    </w:p>
    <w:p>
      <w:pPr>
        <w:tabs>
          <w:tab w:val="left" w:pos="1301"/>
        </w:tabs>
        <w:autoSpaceDE w:val="0"/>
        <w:autoSpaceDN w:val="0"/>
        <w:spacing w:line="360" w:lineRule="auto"/>
        <w:ind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（3）中标单位应确保其技术建议的可行性以及所提供服务和产品的完整性，若出现由于中标单位所提供的服务和产品不全面而导致系统功能无法实现或不能完全实现，由中标单位及时无偿补足，并负全部责任。</w:t>
      </w:r>
    </w:p>
    <w:p>
      <w:pPr>
        <w:tabs>
          <w:tab w:val="left" w:pos="1301"/>
        </w:tabs>
        <w:autoSpaceDE w:val="0"/>
        <w:autoSpaceDN w:val="0"/>
        <w:spacing w:line="360" w:lineRule="auto"/>
        <w:ind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4）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tabs>
          <w:tab w:val="left" w:pos="1301"/>
        </w:tabs>
        <w:autoSpaceDE w:val="0"/>
        <w:autoSpaceDN w:val="0"/>
        <w:spacing w:line="360" w:lineRule="auto"/>
        <w:ind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（5）投标方承诺承担驻场工程师就餐和相关差旅费用，并提供驻场工程师办公电脑、打印机等设备。</w:t>
      </w:r>
    </w:p>
    <w:p>
      <w:pPr>
        <w:tabs>
          <w:tab w:val="left" w:pos="1301"/>
        </w:tabs>
        <w:autoSpaceDE w:val="0"/>
        <w:autoSpaceDN w:val="0"/>
        <w:spacing w:line="360" w:lineRule="auto"/>
        <w:ind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（6）投标方承诺本项目合作终止后1年内，无条件配合招标方进行数据迁移、数据字典提供、数据结构提供、对相关实现方式讲解。</w:t>
      </w:r>
    </w:p>
    <w:p>
      <w:pPr>
        <w:tabs>
          <w:tab w:val="left" w:pos="1301"/>
        </w:tabs>
        <w:autoSpaceDE w:val="0"/>
        <w:autoSpaceDN w:val="0"/>
        <w:spacing w:line="360" w:lineRule="auto"/>
        <w:ind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（7）本项目建设内容、需求若有变化，与本文不符的，则按照招标方与投标方友好协商修订为准。</w:t>
      </w:r>
    </w:p>
    <w:p>
      <w:pPr>
        <w:pStyle w:val="19"/>
        <w:ind w:firstLine="480"/>
        <w:jc w:val="both"/>
        <w:rPr>
          <w:rFonts w:ascii="仿宋" w:hAnsi="仿宋" w:eastAsia="仿宋" w:cs="仿宋"/>
          <w:color w:val="auto"/>
          <w:sz w:val="24"/>
          <w:szCs w:val="24"/>
        </w:rPr>
      </w:pPr>
    </w:p>
    <w:p>
      <w:pPr>
        <w:spacing w:line="360" w:lineRule="auto"/>
        <w:rPr>
          <w:rFonts w:ascii="仿宋" w:hAnsi="仿宋" w:eastAsia="仿宋" w:cs="仿宋"/>
          <w:color w:val="auto"/>
          <w:sz w:val="24"/>
        </w:rPr>
        <w:sectPr>
          <w:pgSz w:w="11906" w:h="16838"/>
          <w:pgMar w:top="1440" w:right="1800" w:bottom="1440" w:left="1800" w:header="851" w:footer="992" w:gutter="0"/>
          <w:cols w:space="425" w:num="1"/>
          <w:docGrid w:type="lines" w:linePitch="312" w:charSpace="0"/>
        </w:sectPr>
      </w:pPr>
    </w:p>
    <w:p>
      <w:pPr>
        <w:keepNext/>
        <w:keepLines/>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8包支付方式管理子系统及接口服务</w:t>
      </w:r>
    </w:p>
    <w:p>
      <w:pPr>
        <w:spacing w:line="360" w:lineRule="auto"/>
        <w:rPr>
          <w:rFonts w:ascii="仿宋" w:hAnsi="仿宋" w:eastAsia="仿宋"/>
          <w:b/>
          <w:color w:val="auto"/>
          <w:sz w:val="28"/>
          <w:szCs w:val="28"/>
        </w:rPr>
      </w:pPr>
      <w:r>
        <w:rPr>
          <w:rFonts w:ascii="仿宋" w:hAnsi="仿宋" w:eastAsia="仿宋" w:cs="仿宋"/>
          <w:b/>
          <w:bCs/>
          <w:color w:val="auto"/>
          <w:sz w:val="24"/>
        </w:rPr>
        <w:tab/>
      </w:r>
      <w:r>
        <w:rPr>
          <w:rFonts w:hint="eastAsia" w:ascii="仿宋" w:hAnsi="仿宋" w:eastAsia="仿宋"/>
          <w:b/>
          <w:color w:val="auto"/>
          <w:sz w:val="28"/>
          <w:szCs w:val="28"/>
        </w:rPr>
        <w:t>1.项目概述</w:t>
      </w:r>
    </w:p>
    <w:p>
      <w:pPr>
        <w:spacing w:line="360" w:lineRule="auto"/>
        <w:ind w:firstLine="482" w:firstLineChars="200"/>
        <w:rPr>
          <w:rFonts w:ascii="仿宋" w:hAnsi="仿宋" w:eastAsia="仿宋"/>
          <w:b/>
          <w:color w:val="auto"/>
          <w:sz w:val="24"/>
        </w:rPr>
      </w:pPr>
      <w:bookmarkStart w:id="641" w:name="_Toc40908642"/>
      <w:r>
        <w:rPr>
          <w:rFonts w:hint="eastAsia" w:ascii="仿宋" w:hAnsi="仿宋" w:eastAsia="仿宋"/>
          <w:b/>
          <w:color w:val="auto"/>
          <w:sz w:val="24"/>
        </w:rPr>
        <w:t>1.1项目背景</w:t>
      </w:r>
      <w:bookmarkEnd w:id="641"/>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以习近平新时代中国特色社会主义思想为指导，全面贯彻党的十九大、十九届二中三中全会精神和2019年全国“两会”精神，认真落实全国医疗保障工作会议座谈会精神，严格遵循《国家医疗保障局医疗保障信息化工作指导意见》及《医疗保障信息平台建设指南》，坚持“千方百计保基本、始终做到可持续、回应社会解民忧、敢于担当推改革”，以医保为龙头带动“三医联动”改革，以信息化建设为抓手推动医保覆盖与医保控费，积极融入医疗保障信息化全国“一盘棋”格局，为逐步构建起全国医保便捷可及“大服务”、规范高效“大经办”、智能精准“大治理”、融合共享“大协作”、在线可用“大数据”、安全可靠“大支撑”信息化支撑体系添枝加叶。</w:t>
      </w:r>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针对海南地区人口经济发展差异和老龄化严重的社会问题及农垦职工医疗保险基金缺口等历史遗留问题，本项目按照国家医保局标准全国统一、数据两级集中、平台分级部署、网络全面覆盖的医疗保障信息化建设要求，注重顶层设计、统一业务标准、打造基础平台、做好数据汇集、强化协同共享、增强网络安全。依托国家平台与海南省平台之间的协作联通，使用国家下达的中台服务，贯彻表层应用能用即用，国家系统中未设计的表层应用，采用国家统一的中台进行组装的整体思路，建设海南省统一的医疗保障信息平台，实现医保全省统筹统收统支“九统一”的重点工作任务，即： 统一行政管理和稽查执法，统一医保发展规划，统一医保基金收缴，统一医保待遇政策，统一医保支付范围，统一医保基金管理，统一医保经办规程，统一医保定点机构，统一医保信息系统。进一步完善医疗保障制度体系，提升医疗保障基金监管，强化医保支付、深化医药服务价格改革、优化医疗保障管理服务水平，探索常住外籍人员医疗保障办法。发挥信息化对医疗保障事业的支撑作用。解决群众反映强烈的突出问题，不断提高人民群众医疗保障获利感、幸福感和安全感，助力提高医改整体效能同时促进海南自由贸易试验区快速建设和实施健康中国战略。</w:t>
      </w:r>
    </w:p>
    <w:p>
      <w:pPr>
        <w:widowControl/>
        <w:spacing w:line="360" w:lineRule="auto"/>
        <w:ind w:firstLine="420"/>
        <w:jc w:val="left"/>
        <w:rPr>
          <w:rFonts w:ascii="仿宋" w:hAnsi="仿宋" w:eastAsia="仿宋"/>
          <w:color w:val="auto"/>
          <w:sz w:val="24"/>
        </w:rPr>
      </w:pPr>
      <w:r>
        <w:rPr>
          <w:rFonts w:hint="eastAsia" w:ascii="仿宋" w:hAnsi="仿宋" w:eastAsia="仿宋"/>
          <w:color w:val="auto"/>
          <w:sz w:val="24"/>
        </w:rPr>
        <w:t>支付方式管理子系统通过系统维护的方式，根据国家和海南省的标准将海南省医保支付方式维护到系统中，并支持国家对海南省支付方式数据的收集，支持建立各类支付方式的模型，从而实现支付方式的统一管理；同时为大数据应用、公共服务、运行监测提供数据支撑。</w:t>
      </w:r>
    </w:p>
    <w:p>
      <w:pPr>
        <w:spacing w:line="360" w:lineRule="auto"/>
        <w:rPr>
          <w:rFonts w:ascii="仿宋" w:hAnsi="仿宋" w:eastAsia="仿宋"/>
          <w:b/>
          <w:color w:val="auto"/>
          <w:sz w:val="28"/>
          <w:szCs w:val="28"/>
        </w:rPr>
      </w:pPr>
      <w:bookmarkStart w:id="642" w:name="_Toc40908643"/>
      <w:r>
        <w:rPr>
          <w:rFonts w:hint="eastAsia" w:ascii="仿宋" w:hAnsi="仿宋" w:eastAsia="仿宋"/>
          <w:b/>
          <w:color w:val="auto"/>
          <w:sz w:val="28"/>
          <w:szCs w:val="28"/>
        </w:rPr>
        <w:t>2.项目建设原则</w:t>
      </w:r>
      <w:bookmarkEnd w:id="642"/>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海南省医疗保障局医疗保障信息平台二期建设工程项目应明确目标，找准方向，把握重点，规范有序开展工作。在项目建设过程中，贯彻使用全国统一的标准规范体系和中台服务，依托全国统一的技术体系和架构建设海南省全新的医疗保障信息平台，要着重把握好以下建设原则：</w:t>
      </w:r>
    </w:p>
    <w:p>
      <w:pPr>
        <w:autoSpaceDE w:val="0"/>
        <w:autoSpaceDN w:val="0"/>
        <w:spacing w:line="360" w:lineRule="auto"/>
        <w:ind w:firstLine="482" w:firstLineChars="200"/>
        <w:rPr>
          <w:rFonts w:ascii="仿宋" w:hAnsi="仿宋" w:eastAsia="仿宋"/>
          <w:b/>
          <w:color w:val="auto"/>
          <w:sz w:val="24"/>
        </w:rPr>
      </w:pPr>
      <w:r>
        <w:rPr>
          <w:rFonts w:hint="eastAsia" w:ascii="仿宋" w:hAnsi="仿宋" w:eastAsia="仿宋"/>
          <w:b/>
          <w:color w:val="auto"/>
          <w:sz w:val="24"/>
        </w:rPr>
        <w:t>（1）统筹规划，分步推进</w:t>
      </w:r>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为避免信息孤岛、重复建设等现象，海南省医疗保障局医疗保障信息平台二期建设工程需进行“自上而下”的顶层规划设计，进行合理有序布局；通过“统一领导、统一规划、统一部署、统一标准”的统筹指导建设，集约管理，节约投资。同时，遵循“自下而上”的项目操作原则，立足现行管理体制与制度建设，打好基础，确立方向，稳步推进，均衡发展，实现项目落地，并为下一步制度完善、管理提升留有空间。</w:t>
      </w:r>
    </w:p>
    <w:p>
      <w:pPr>
        <w:autoSpaceDE w:val="0"/>
        <w:autoSpaceDN w:val="0"/>
        <w:spacing w:line="360" w:lineRule="auto"/>
        <w:ind w:firstLine="482" w:firstLineChars="200"/>
        <w:rPr>
          <w:rFonts w:ascii="仿宋" w:hAnsi="仿宋" w:eastAsia="仿宋"/>
          <w:b/>
          <w:color w:val="auto"/>
          <w:sz w:val="24"/>
        </w:rPr>
      </w:pPr>
      <w:r>
        <w:rPr>
          <w:rFonts w:hint="eastAsia" w:ascii="仿宋" w:hAnsi="仿宋" w:eastAsia="仿宋"/>
          <w:b/>
          <w:color w:val="auto"/>
          <w:sz w:val="24"/>
        </w:rPr>
        <w:t>（2）需求导向、务求实效</w:t>
      </w:r>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以医保各部门间信息共享与业务协同作为原始需求驱动，进行医保基础平台的规划建设。再以此为基础，逐步拓展数据资源与数据资源服务能力，进一步进行医保大数据分析挖掘等高级应用，完善与丰富贴近实战的大数据应用服务，从而形成良性循环，并尽快体现出阶段性效果。</w:t>
      </w:r>
    </w:p>
    <w:p>
      <w:pPr>
        <w:autoSpaceDE w:val="0"/>
        <w:autoSpaceDN w:val="0"/>
        <w:spacing w:line="360" w:lineRule="auto"/>
        <w:ind w:firstLine="482" w:firstLineChars="200"/>
        <w:rPr>
          <w:rFonts w:ascii="仿宋" w:hAnsi="仿宋" w:eastAsia="仿宋"/>
          <w:b/>
          <w:color w:val="auto"/>
          <w:sz w:val="24"/>
        </w:rPr>
      </w:pPr>
      <w:r>
        <w:rPr>
          <w:rFonts w:hint="eastAsia" w:ascii="仿宋" w:hAnsi="仿宋" w:eastAsia="仿宋"/>
          <w:b/>
          <w:color w:val="auto"/>
          <w:sz w:val="24"/>
        </w:rPr>
        <w:t>（3）统一协同，资源共享</w:t>
      </w:r>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统一管理、统一规划，就必须有一套统一的标准规范作为基础支撑。标准与规范应向上符合国家的标准与规范，向下规范医保行业业务范围内大数据建设与应用。遵循统一的标准，各相关职能部门根据权限的不同，共享信息资源。同时，各级医保管理部门共同参与，既能保障数据同步，也有利于实现信息共享和协同工作，实现资源的集约化管理。</w:t>
      </w:r>
    </w:p>
    <w:p>
      <w:pPr>
        <w:autoSpaceDE w:val="0"/>
        <w:autoSpaceDN w:val="0"/>
        <w:spacing w:line="360" w:lineRule="auto"/>
        <w:ind w:firstLine="482" w:firstLineChars="200"/>
        <w:rPr>
          <w:rFonts w:ascii="仿宋" w:hAnsi="仿宋" w:eastAsia="仿宋"/>
          <w:b/>
          <w:color w:val="auto"/>
          <w:sz w:val="24"/>
        </w:rPr>
      </w:pPr>
      <w:r>
        <w:rPr>
          <w:rFonts w:hint="eastAsia" w:ascii="仿宋" w:hAnsi="仿宋" w:eastAsia="仿宋"/>
          <w:b/>
          <w:color w:val="auto"/>
          <w:sz w:val="24"/>
        </w:rPr>
        <w:t>（4）整合共享，协作高效</w:t>
      </w:r>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突破区域、部门之间的界限和体制性障碍，充分整合基础设施资源和智能终端获取的信息资源，通过医疗保障信息平台建设推进跨部门、跨领域的信息化协同共享，增强医疗保障的效率和决策能力，同时有效满足公众信息需求，提升医保资源的利用效率。</w:t>
      </w:r>
    </w:p>
    <w:p>
      <w:pPr>
        <w:autoSpaceDE w:val="0"/>
        <w:autoSpaceDN w:val="0"/>
        <w:spacing w:line="360" w:lineRule="auto"/>
        <w:ind w:firstLine="482" w:firstLineChars="200"/>
        <w:rPr>
          <w:rFonts w:ascii="仿宋" w:hAnsi="仿宋" w:eastAsia="仿宋"/>
          <w:b/>
          <w:color w:val="auto"/>
          <w:sz w:val="24"/>
        </w:rPr>
      </w:pPr>
      <w:r>
        <w:rPr>
          <w:rFonts w:hint="eastAsia" w:ascii="仿宋" w:hAnsi="仿宋" w:eastAsia="仿宋"/>
          <w:b/>
          <w:color w:val="auto"/>
          <w:sz w:val="24"/>
        </w:rPr>
        <w:t>（5）统一标准，开放接口</w:t>
      </w:r>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通过明确和开放医疗信息平台的接口与标准，为后期其他相关行业的数据接入提供标准接口，最大限度地实现医保与政府、职能部门、医院、企业、百姓的信息对接。</w:t>
      </w:r>
    </w:p>
    <w:p>
      <w:pPr>
        <w:spacing w:line="360" w:lineRule="auto"/>
        <w:rPr>
          <w:rFonts w:ascii="仿宋" w:hAnsi="仿宋" w:eastAsia="仿宋"/>
          <w:b/>
          <w:color w:val="auto"/>
          <w:sz w:val="28"/>
          <w:szCs w:val="28"/>
        </w:rPr>
      </w:pPr>
      <w:bookmarkStart w:id="643" w:name="_Toc40908644"/>
      <w:r>
        <w:rPr>
          <w:rFonts w:ascii="仿宋" w:hAnsi="仿宋" w:eastAsia="仿宋"/>
          <w:b/>
          <w:color w:val="auto"/>
          <w:sz w:val="28"/>
          <w:szCs w:val="28"/>
        </w:rPr>
        <w:t>3.建设目标</w:t>
      </w:r>
      <w:bookmarkEnd w:id="643"/>
    </w:p>
    <w:p>
      <w:pPr>
        <w:widowControl/>
        <w:spacing w:line="360" w:lineRule="auto"/>
        <w:ind w:firstLine="420"/>
        <w:jc w:val="left"/>
        <w:rPr>
          <w:rFonts w:ascii="仿宋" w:hAnsi="仿宋" w:eastAsia="仿宋"/>
          <w:color w:val="auto"/>
          <w:sz w:val="24"/>
        </w:rPr>
      </w:pPr>
      <w:r>
        <w:rPr>
          <w:rFonts w:hint="eastAsia" w:ascii="仿宋" w:hAnsi="仿宋" w:eastAsia="仿宋"/>
          <w:color w:val="auto"/>
          <w:sz w:val="24"/>
        </w:rPr>
        <w:t>支付方式管理子系统通过系统维护的方式，根据国家和海南省的标准将海南省医保支付方式维护到系统中，并支持国家对海南省支付方式数据的收集，支持建立各类支付方式的模型，从而实现支付方式的统一管理；同时为大数据应用、公共服务、运行监测提供数据支撑。</w:t>
      </w:r>
    </w:p>
    <w:p>
      <w:pPr>
        <w:spacing w:line="360" w:lineRule="auto"/>
        <w:rPr>
          <w:rFonts w:ascii="仿宋" w:hAnsi="仿宋" w:eastAsia="仿宋"/>
          <w:b/>
          <w:color w:val="auto"/>
          <w:sz w:val="28"/>
          <w:szCs w:val="28"/>
        </w:rPr>
      </w:pPr>
      <w:bookmarkStart w:id="644" w:name="_Toc40908645"/>
      <w:r>
        <w:rPr>
          <w:rFonts w:ascii="仿宋" w:hAnsi="仿宋" w:eastAsia="仿宋"/>
          <w:b/>
          <w:color w:val="auto"/>
          <w:sz w:val="28"/>
          <w:szCs w:val="28"/>
        </w:rPr>
        <w:t>4.系统定位</w:t>
      </w:r>
      <w:bookmarkEnd w:id="644"/>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海南省医疗保障信息平台严格遵照国家医疗保障信息平台建设指南的相关约束与要求，依照国家医疗保障信息平台的统一设计原则，贯彻使用全国统一的标准规范体系和中台服务，依托全国统一的技术体系和架构建设海南全新的医疗保障信息平台。</w:t>
      </w:r>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平台总体架构划分为公共服务区和核心业务区，其中核心业务区分为生产区、交换区和大数据区。</w:t>
      </w:r>
    </w:p>
    <w:p>
      <w:pPr>
        <w:autoSpaceDE w:val="0"/>
        <w:autoSpaceDN w:val="0"/>
        <w:spacing w:before="7" w:line="360" w:lineRule="auto"/>
        <w:jc w:val="left"/>
        <w:rPr>
          <w:rFonts w:ascii="仿宋" w:hAnsi="仿宋" w:eastAsia="仿宋" w:cs="宋体"/>
          <w:color w:val="auto"/>
          <w:kern w:val="0"/>
          <w:sz w:val="24"/>
          <w:lang w:val="zh-CN" w:bidi="zh-CN"/>
        </w:rPr>
      </w:pPr>
      <w:r>
        <w:rPr>
          <w:rFonts w:ascii="仿宋" w:hAnsi="仿宋" w:eastAsia="仿宋" w:cs="宋体"/>
          <w:color w:val="auto"/>
          <w:kern w:val="0"/>
          <w:sz w:val="24"/>
        </w:rPr>
        <w:drawing>
          <wp:inline distT="0" distB="0" distL="0" distR="0">
            <wp:extent cx="5227320"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rcRect/>
                    <a:stretch>
                      <a:fillRect/>
                    </a:stretch>
                  </pic:blipFill>
                  <pic:spPr>
                    <a:xfrm>
                      <a:off x="0" y="0"/>
                      <a:ext cx="5227320" cy="2849880"/>
                    </a:xfrm>
                    <a:prstGeom prst="rect">
                      <a:avLst/>
                    </a:prstGeom>
                    <a:noFill/>
                    <a:ln w="9525">
                      <a:noFill/>
                      <a:miter lim="800000"/>
                      <a:headEnd/>
                      <a:tailEnd/>
                    </a:ln>
                  </pic:spPr>
                </pic:pic>
              </a:graphicData>
            </a:graphic>
          </wp:inline>
        </w:drawing>
      </w:r>
    </w:p>
    <w:p>
      <w:pPr>
        <w:autoSpaceDE w:val="0"/>
        <w:autoSpaceDN w:val="0"/>
        <w:spacing w:line="360" w:lineRule="auto"/>
        <w:ind w:firstLine="482" w:firstLineChars="200"/>
        <w:jc w:val="center"/>
        <w:rPr>
          <w:rFonts w:ascii="仿宋" w:hAnsi="仿宋" w:eastAsia="仿宋"/>
          <w:b/>
          <w:color w:val="auto"/>
          <w:sz w:val="24"/>
        </w:rPr>
      </w:pPr>
      <w:r>
        <w:rPr>
          <w:rFonts w:ascii="仿宋" w:hAnsi="仿宋" w:eastAsia="仿宋"/>
          <w:b/>
          <w:color w:val="auto"/>
          <w:sz w:val="24"/>
        </w:rPr>
        <w:t>图</w:t>
      </w:r>
      <w:r>
        <w:rPr>
          <w:rFonts w:hint="eastAsia" w:ascii="仿宋" w:hAnsi="仿宋" w:eastAsia="仿宋"/>
          <w:b/>
          <w:color w:val="auto"/>
          <w:sz w:val="24"/>
        </w:rPr>
        <w:t>：海南省</w:t>
      </w:r>
      <w:r>
        <w:rPr>
          <w:rFonts w:ascii="仿宋" w:hAnsi="仿宋" w:eastAsia="仿宋"/>
          <w:b/>
          <w:color w:val="auto"/>
          <w:sz w:val="24"/>
        </w:rPr>
        <w:t>医疗保障信息平台总体架构图</w:t>
      </w:r>
    </w:p>
    <w:p>
      <w:pPr>
        <w:autoSpaceDE w:val="0"/>
        <w:autoSpaceDN w:val="0"/>
        <w:spacing w:line="360" w:lineRule="auto"/>
        <w:ind w:firstLine="480" w:firstLineChars="200"/>
        <w:rPr>
          <w:rFonts w:ascii="仿宋" w:hAnsi="仿宋" w:eastAsia="仿宋"/>
          <w:color w:val="auto"/>
          <w:sz w:val="24"/>
        </w:rPr>
      </w:pPr>
      <w:r>
        <w:rPr>
          <w:rFonts w:ascii="仿宋" w:hAnsi="仿宋" w:eastAsia="仿宋"/>
          <w:color w:val="auto"/>
          <w:sz w:val="24"/>
        </w:rPr>
        <w:t>本文涉及的支付方式管理</w:t>
      </w:r>
      <w:r>
        <w:rPr>
          <w:rFonts w:hint="eastAsia" w:ascii="仿宋" w:hAnsi="仿宋" w:eastAsia="仿宋"/>
          <w:color w:val="auto"/>
          <w:sz w:val="24"/>
        </w:rPr>
        <w:t>子系统作</w:t>
      </w:r>
      <w:r>
        <w:rPr>
          <w:rFonts w:ascii="仿宋" w:hAnsi="仿宋" w:eastAsia="仿宋"/>
          <w:color w:val="auto"/>
          <w:sz w:val="24"/>
        </w:rPr>
        <w:t>为医疗保障信息平台的</w:t>
      </w:r>
      <w:r>
        <w:rPr>
          <w:rFonts w:hint="eastAsia" w:ascii="仿宋" w:hAnsi="仿宋" w:eastAsia="仿宋"/>
          <w:color w:val="auto"/>
          <w:sz w:val="24"/>
        </w:rPr>
        <w:t>组成部分</w:t>
      </w:r>
      <w:r>
        <w:rPr>
          <w:rFonts w:ascii="仿宋" w:hAnsi="仿宋" w:eastAsia="仿宋"/>
          <w:color w:val="auto"/>
          <w:sz w:val="24"/>
        </w:rPr>
        <w:t>。</w:t>
      </w:r>
    </w:p>
    <w:p>
      <w:pPr>
        <w:spacing w:line="360" w:lineRule="auto"/>
        <w:rPr>
          <w:rFonts w:ascii="仿宋" w:hAnsi="仿宋" w:eastAsia="仿宋"/>
          <w:b/>
          <w:color w:val="auto"/>
          <w:sz w:val="28"/>
          <w:szCs w:val="28"/>
        </w:rPr>
      </w:pPr>
      <w:bookmarkStart w:id="645" w:name="_Toc40908646"/>
      <w:r>
        <w:rPr>
          <w:rFonts w:hint="eastAsia" w:ascii="仿宋" w:hAnsi="仿宋" w:eastAsia="仿宋"/>
          <w:b/>
          <w:color w:val="auto"/>
          <w:sz w:val="28"/>
          <w:szCs w:val="28"/>
        </w:rPr>
        <w:t>5.技术架构</w:t>
      </w:r>
      <w:r>
        <w:rPr>
          <w:rFonts w:ascii="仿宋" w:hAnsi="仿宋" w:eastAsia="仿宋"/>
          <w:b/>
          <w:color w:val="auto"/>
          <w:sz w:val="28"/>
          <w:szCs w:val="28"/>
        </w:rPr>
        <w:t>要求</w:t>
      </w:r>
      <w:bookmarkEnd w:id="645"/>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海南省医疗保障信息平台需要支撑1500余万用户的高并发访问和实时交易需求，并且需要考虑将来的医保改革的进一步深化的各项新需求，系统需要具备支撑高并发和实时交易的能力，同时能够灵活扩展，所以整个系统按照云化、分层架构设计。</w:t>
      </w:r>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所有业务应用系统都必须基于医疗保障应用框架（Healthcare Security Application Framework，简称：HSAF）开发。HSAF框架采用分布式云架构，封装核心云支撑服务适配接口，用于实现云产品解耦设计。HSAF适配层基于HSAF 的适配技术，将应用层依赖的分布式技术与具体厂商的分布式技术进行适配，实现应用层可以适配多家厂商的分布式技术。</w:t>
      </w:r>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（1）基础层：建设在云化基础设施上，以云虚拟机、多租户数据库、云存储、负载均衡及专有网络为底层，最大程度的利用了云计算横向扩展的能力；</w:t>
      </w:r>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2）中间件层：作为应用的支撑平台，提供应用所需要的基础能力，其中包括分布式应用及管理能力，集成接入点能力，异步服务的能力，缓存的能力，分布式数据库的能力等，这些中间件提供的能力可以很好的支撑应用应对高并发和实时交易的场景；</w:t>
      </w:r>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（3）后端服务：在基础设施和中间件之上进行构建，使用了众多开源高效的组件如依赖注入和反向控制框架Spring，持久层框架MyBatis，以及加密、定时任务，日志等框架；</w:t>
      </w:r>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4）前端服务：采用先进的前端技术H5、VUE等，并采用前后端分离的开发方式，将前端展示与后端服务进行解耦，为用户提供更好的体验；而前端和后端的协议，本项目兼容HTTP、RPC、WEBSERVICE等各种主流的通讯协议，为后续扩展做了很好的准备。</w:t>
      </w:r>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本项目周边的技术也采用了业界比较成熟的架构，代码版本管控工具可与代码构建框架构建和持续集成平台无缝衔接，达到快速开发、快速构建、快速集成的效果。整个服务平台也采用云计算的最佳实践与规范，充分利用到云计算的分布式能力，建设更稳定和高效的服务与应用。</w:t>
      </w:r>
    </w:p>
    <w:p>
      <w:pPr>
        <w:spacing w:line="360" w:lineRule="auto"/>
        <w:rPr>
          <w:rFonts w:ascii="仿宋" w:hAnsi="仿宋" w:eastAsia="仿宋"/>
          <w:b/>
          <w:color w:val="auto"/>
          <w:sz w:val="28"/>
          <w:szCs w:val="28"/>
        </w:rPr>
      </w:pPr>
      <w:bookmarkStart w:id="646" w:name="_Toc40908647"/>
      <w:r>
        <w:rPr>
          <w:rFonts w:ascii="仿宋" w:hAnsi="仿宋" w:eastAsia="仿宋"/>
          <w:b/>
          <w:color w:val="auto"/>
          <w:sz w:val="28"/>
          <w:szCs w:val="28"/>
        </w:rPr>
        <w:t>6.功能要求</w:t>
      </w:r>
      <w:bookmarkEnd w:id="646"/>
    </w:p>
    <w:p>
      <w:pPr>
        <w:spacing w:line="360" w:lineRule="auto"/>
        <w:ind w:firstLine="480" w:firstLineChars="200"/>
        <w:rPr>
          <w:rFonts w:ascii="仿宋" w:hAnsi="仿宋" w:eastAsia="仿宋"/>
          <w:color w:val="auto"/>
          <w:sz w:val="24"/>
        </w:rPr>
      </w:pPr>
      <w:bookmarkStart w:id="647" w:name="_Toc40908648"/>
      <w:r>
        <w:rPr>
          <w:rFonts w:hint="eastAsia" w:ascii="仿宋" w:hAnsi="仿宋" w:eastAsia="仿宋"/>
          <w:color w:val="auto"/>
          <w:sz w:val="24"/>
        </w:rPr>
        <w:t>建立基本医疗保险总额控制下的全省支付方式标准，实现对全省结算参数、结算类型、支付政策等参数的集中维护，在省级层面实现对支付方式（如：按项目付费、按病种付费、DRG付费等）统一管理，为大数据应用、公共服务、信用评价提供数据支撑。</w:t>
      </w:r>
    </w:p>
    <w:p>
      <w:pPr>
        <w:spacing w:line="360" w:lineRule="auto"/>
        <w:ind w:firstLine="482" w:firstLineChars="200"/>
        <w:rPr>
          <w:rFonts w:ascii="仿宋" w:hAnsi="仿宋" w:eastAsia="仿宋"/>
          <w:b/>
          <w:color w:val="auto"/>
          <w:sz w:val="24"/>
        </w:rPr>
      </w:pPr>
      <w:r>
        <w:rPr>
          <w:rFonts w:hint="eastAsia" w:ascii="仿宋" w:hAnsi="仿宋" w:eastAsia="仿宋"/>
          <w:b/>
          <w:color w:val="auto"/>
          <w:sz w:val="24"/>
        </w:rPr>
        <w:t>6.1支付方式管理</w:t>
      </w:r>
      <w:bookmarkEnd w:id="647"/>
    </w:p>
    <w:p>
      <w:pPr>
        <w:keepNext/>
        <w:keepLines/>
        <w:numPr>
          <w:ilvl w:val="0"/>
          <w:numId w:val="51"/>
        </w:numPr>
        <w:spacing w:line="360" w:lineRule="auto"/>
        <w:rPr>
          <w:rFonts w:ascii="仿宋" w:hAnsi="仿宋" w:eastAsia="仿宋"/>
          <w:b/>
          <w:bCs/>
          <w:vanish/>
          <w:color w:val="auto"/>
          <w:sz w:val="24"/>
        </w:rPr>
      </w:pPr>
      <w:bookmarkStart w:id="648" w:name="_Toc40908649"/>
    </w:p>
    <w:p>
      <w:pPr>
        <w:keepNext/>
        <w:keepLines/>
        <w:numPr>
          <w:ilvl w:val="0"/>
          <w:numId w:val="51"/>
        </w:numPr>
        <w:spacing w:line="360" w:lineRule="auto"/>
        <w:rPr>
          <w:rFonts w:ascii="仿宋" w:hAnsi="仿宋" w:eastAsia="仿宋"/>
          <w:b/>
          <w:bCs/>
          <w:vanish/>
          <w:color w:val="auto"/>
          <w:sz w:val="24"/>
        </w:rPr>
      </w:pPr>
    </w:p>
    <w:p>
      <w:pPr>
        <w:keepNext/>
        <w:keepLines/>
        <w:numPr>
          <w:ilvl w:val="0"/>
          <w:numId w:val="51"/>
        </w:numPr>
        <w:spacing w:line="360" w:lineRule="auto"/>
        <w:rPr>
          <w:rFonts w:ascii="仿宋" w:hAnsi="仿宋" w:eastAsia="仿宋"/>
          <w:b/>
          <w:bCs/>
          <w:vanish/>
          <w:color w:val="auto"/>
          <w:sz w:val="24"/>
        </w:rPr>
      </w:pPr>
    </w:p>
    <w:p>
      <w:pPr>
        <w:keepNext/>
        <w:keepLines/>
        <w:numPr>
          <w:ilvl w:val="0"/>
          <w:numId w:val="51"/>
        </w:numPr>
        <w:spacing w:line="360" w:lineRule="auto"/>
        <w:rPr>
          <w:rFonts w:ascii="仿宋" w:hAnsi="仿宋" w:eastAsia="仿宋"/>
          <w:b/>
          <w:bCs/>
          <w:vanish/>
          <w:color w:val="auto"/>
          <w:sz w:val="24"/>
        </w:rPr>
      </w:pPr>
    </w:p>
    <w:p>
      <w:pPr>
        <w:keepNext/>
        <w:keepLines/>
        <w:numPr>
          <w:ilvl w:val="0"/>
          <w:numId w:val="51"/>
        </w:numPr>
        <w:spacing w:line="360" w:lineRule="auto"/>
        <w:rPr>
          <w:rFonts w:ascii="仿宋" w:hAnsi="仿宋" w:eastAsia="仿宋"/>
          <w:b/>
          <w:bCs/>
          <w:vanish/>
          <w:color w:val="auto"/>
          <w:sz w:val="24"/>
        </w:rPr>
      </w:pPr>
    </w:p>
    <w:p>
      <w:pPr>
        <w:keepNext/>
        <w:keepLines/>
        <w:numPr>
          <w:ilvl w:val="0"/>
          <w:numId w:val="51"/>
        </w:numPr>
        <w:spacing w:line="360" w:lineRule="auto"/>
        <w:rPr>
          <w:rFonts w:ascii="仿宋" w:hAnsi="仿宋" w:eastAsia="仿宋"/>
          <w:b/>
          <w:bCs/>
          <w:vanish/>
          <w:color w:val="auto"/>
          <w:sz w:val="24"/>
        </w:rPr>
      </w:pPr>
    </w:p>
    <w:p>
      <w:pPr>
        <w:keepNext/>
        <w:keepLines/>
        <w:numPr>
          <w:ilvl w:val="1"/>
          <w:numId w:val="51"/>
        </w:numPr>
        <w:spacing w:line="360" w:lineRule="auto"/>
        <w:rPr>
          <w:rFonts w:ascii="仿宋" w:hAnsi="仿宋" w:eastAsia="仿宋"/>
          <w:b/>
          <w:bCs/>
          <w:vanish/>
          <w:color w:val="auto"/>
          <w:sz w:val="24"/>
        </w:rPr>
      </w:pPr>
    </w:p>
    <w:p>
      <w:pPr>
        <w:keepNext/>
        <w:keepLines/>
        <w:numPr>
          <w:ilvl w:val="0"/>
          <w:numId w:val="0"/>
        </w:numPr>
        <w:spacing w:line="360" w:lineRule="auto"/>
        <w:ind w:left="426" w:leftChars="0"/>
        <w:rPr>
          <w:rFonts w:ascii="仿宋" w:hAnsi="仿宋" w:eastAsia="仿宋"/>
          <w:b/>
          <w:bCs/>
          <w:color w:val="auto"/>
          <w:sz w:val="24"/>
        </w:rPr>
      </w:pPr>
      <w:r>
        <w:rPr>
          <w:rFonts w:hint="eastAsia" w:ascii="仿宋" w:hAnsi="仿宋" w:eastAsia="仿宋"/>
          <w:b/>
          <w:bCs/>
          <w:color w:val="auto"/>
          <w:sz w:val="24"/>
          <w:lang w:val="en-US" w:eastAsia="zh-CN"/>
        </w:rPr>
        <w:t>6.1.1</w:t>
      </w:r>
      <w:r>
        <w:rPr>
          <w:rFonts w:hint="eastAsia" w:ascii="仿宋" w:hAnsi="仿宋" w:eastAsia="仿宋"/>
          <w:b/>
          <w:bCs/>
          <w:color w:val="auto"/>
          <w:sz w:val="24"/>
        </w:rPr>
        <w:t>省级采集支付政策参数</w:t>
      </w:r>
      <w:bookmarkEnd w:id="648"/>
    </w:p>
    <w:p>
      <w:pPr>
        <w:spacing w:line="360" w:lineRule="auto"/>
        <w:ind w:firstLine="480"/>
        <w:jc w:val="left"/>
        <w:rPr>
          <w:rFonts w:ascii="仿宋" w:hAnsi="仿宋" w:eastAsia="仿宋"/>
          <w:color w:val="auto"/>
          <w:sz w:val="24"/>
        </w:rPr>
      </w:pPr>
      <w:r>
        <w:rPr>
          <w:rFonts w:hint="eastAsia" w:ascii="仿宋" w:hAnsi="仿宋" w:eastAsia="仿宋"/>
          <w:color w:val="auto"/>
          <w:sz w:val="24"/>
        </w:rPr>
        <w:t>对省级采集支付政策参数进行管理，包括录入、审核、保存等。</w:t>
      </w:r>
    </w:p>
    <w:p>
      <w:pPr>
        <w:keepNext/>
        <w:keepLines/>
        <w:numPr>
          <w:ilvl w:val="0"/>
          <w:numId w:val="0"/>
        </w:numPr>
        <w:tabs>
          <w:tab w:val="left" w:pos="816"/>
        </w:tabs>
        <w:spacing w:line="360" w:lineRule="auto"/>
        <w:ind w:left="426" w:leftChars="0"/>
        <w:rPr>
          <w:rFonts w:ascii="仿宋" w:hAnsi="仿宋" w:eastAsia="仿宋"/>
          <w:b/>
          <w:bCs/>
          <w:color w:val="auto"/>
          <w:sz w:val="24"/>
        </w:rPr>
      </w:pPr>
      <w:bookmarkStart w:id="649" w:name="_Toc40908650"/>
      <w:r>
        <w:rPr>
          <w:rFonts w:hint="eastAsia" w:ascii="仿宋" w:hAnsi="仿宋" w:eastAsia="仿宋"/>
          <w:b/>
          <w:bCs/>
          <w:color w:val="auto"/>
          <w:sz w:val="24"/>
          <w:lang w:val="en-US" w:eastAsia="zh-CN"/>
        </w:rPr>
        <w:t>6.1.2</w:t>
      </w:r>
      <w:r>
        <w:rPr>
          <w:rFonts w:hint="eastAsia" w:ascii="仿宋" w:hAnsi="仿宋" w:eastAsia="仿宋"/>
          <w:b/>
          <w:bCs/>
          <w:color w:val="auto"/>
          <w:sz w:val="24"/>
        </w:rPr>
        <w:t>支付方式类型管理</w:t>
      </w:r>
      <w:bookmarkEnd w:id="649"/>
    </w:p>
    <w:p>
      <w:pPr>
        <w:spacing w:line="360" w:lineRule="auto"/>
        <w:ind w:firstLine="480"/>
        <w:jc w:val="left"/>
        <w:rPr>
          <w:rFonts w:ascii="仿宋" w:hAnsi="仿宋" w:eastAsia="仿宋"/>
          <w:color w:val="auto"/>
          <w:sz w:val="24"/>
        </w:rPr>
      </w:pPr>
      <w:r>
        <w:rPr>
          <w:rFonts w:hint="eastAsia" w:ascii="仿宋" w:hAnsi="仿宋" w:eastAsia="仿宋"/>
          <w:color w:val="auto"/>
          <w:sz w:val="24"/>
        </w:rPr>
        <w:t>对支付方式类型进行管理，包括新增、启用、禁用、审核等，分按项目收付费、按病种收付费、DRG付费等多元支付方式管理的维护。</w:t>
      </w:r>
    </w:p>
    <w:p>
      <w:pPr>
        <w:keepNext/>
        <w:keepLines/>
        <w:numPr>
          <w:ilvl w:val="0"/>
          <w:numId w:val="0"/>
        </w:numPr>
        <w:spacing w:line="360" w:lineRule="auto"/>
        <w:ind w:left="426" w:leftChars="0"/>
        <w:rPr>
          <w:rFonts w:ascii="仿宋" w:hAnsi="仿宋" w:eastAsia="仿宋"/>
          <w:b/>
          <w:bCs/>
          <w:color w:val="auto"/>
          <w:sz w:val="24"/>
        </w:rPr>
      </w:pPr>
      <w:bookmarkStart w:id="650" w:name="_Toc40908651"/>
      <w:r>
        <w:rPr>
          <w:rFonts w:hint="eastAsia" w:ascii="仿宋" w:hAnsi="仿宋" w:eastAsia="仿宋"/>
          <w:b/>
          <w:bCs/>
          <w:color w:val="auto"/>
          <w:sz w:val="24"/>
          <w:lang w:val="en-US" w:eastAsia="zh-CN"/>
        </w:rPr>
        <w:t>6.1.3</w:t>
      </w:r>
      <w:r>
        <w:rPr>
          <w:rFonts w:hint="eastAsia" w:ascii="仿宋" w:hAnsi="仿宋" w:eastAsia="仿宋"/>
          <w:b/>
          <w:bCs/>
          <w:color w:val="auto"/>
          <w:sz w:val="24"/>
        </w:rPr>
        <w:t>支付参数管理</w:t>
      </w:r>
      <w:bookmarkEnd w:id="650"/>
    </w:p>
    <w:p>
      <w:pPr>
        <w:spacing w:line="360" w:lineRule="auto"/>
        <w:ind w:firstLine="480"/>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支付参数配置管理</w:t>
      </w:r>
    </w:p>
    <w:p>
      <w:pPr>
        <w:spacing w:line="360" w:lineRule="auto"/>
        <w:ind w:firstLine="480"/>
        <w:rPr>
          <w:rFonts w:ascii="仿宋" w:hAnsi="仿宋" w:eastAsia="仿宋"/>
          <w:color w:val="auto"/>
          <w:sz w:val="24"/>
        </w:rPr>
      </w:pPr>
      <w:r>
        <w:rPr>
          <w:rFonts w:hint="eastAsia" w:ascii="仿宋" w:hAnsi="仿宋" w:eastAsia="仿宋"/>
          <w:color w:val="auto"/>
          <w:sz w:val="24"/>
        </w:rPr>
        <w:t>对支付参数进行管理，对按项目收付费、按病种收付费、DRG付费等支付参数进行新增和变更。</w:t>
      </w:r>
    </w:p>
    <w:p>
      <w:pPr>
        <w:keepNext/>
        <w:keepLines/>
        <w:numPr>
          <w:ilvl w:val="0"/>
          <w:numId w:val="0"/>
        </w:numPr>
        <w:spacing w:line="360" w:lineRule="auto"/>
        <w:ind w:left="426" w:leftChars="0"/>
        <w:rPr>
          <w:rFonts w:ascii="仿宋" w:hAnsi="仿宋" w:eastAsia="仿宋"/>
          <w:b/>
          <w:bCs/>
          <w:color w:val="auto"/>
          <w:sz w:val="24"/>
        </w:rPr>
      </w:pPr>
      <w:bookmarkStart w:id="651" w:name="_Toc40908652"/>
      <w:r>
        <w:rPr>
          <w:rFonts w:hint="eastAsia" w:ascii="仿宋" w:hAnsi="仿宋" w:eastAsia="仿宋"/>
          <w:b/>
          <w:bCs/>
          <w:color w:val="auto"/>
          <w:sz w:val="24"/>
          <w:lang w:val="en-US" w:eastAsia="zh-CN"/>
        </w:rPr>
        <w:t>6.1.4</w:t>
      </w:r>
      <w:r>
        <w:rPr>
          <w:rFonts w:hint="eastAsia" w:ascii="仿宋" w:hAnsi="仿宋" w:eastAsia="仿宋"/>
          <w:b/>
          <w:bCs/>
          <w:color w:val="auto"/>
          <w:sz w:val="24"/>
        </w:rPr>
        <w:t>支付政策管理</w:t>
      </w:r>
      <w:bookmarkEnd w:id="651"/>
    </w:p>
    <w:p>
      <w:pPr>
        <w:spacing w:line="360" w:lineRule="auto"/>
        <w:ind w:firstLine="480"/>
        <w:rPr>
          <w:rFonts w:ascii="仿宋" w:hAnsi="仿宋" w:eastAsia="仿宋"/>
          <w:color w:val="auto"/>
          <w:sz w:val="24"/>
        </w:rPr>
      </w:pPr>
      <w:r>
        <w:rPr>
          <w:rFonts w:hint="eastAsia" w:ascii="仿宋" w:hAnsi="仿宋" w:eastAsia="仿宋"/>
          <w:color w:val="auto"/>
          <w:sz w:val="24"/>
        </w:rPr>
        <w:t>对各定点医疗机构按按项目收付费、按病种收付费、DRG付费等支付政策进行数据采集和查看。</w:t>
      </w:r>
    </w:p>
    <w:p>
      <w:pPr>
        <w:keepNext/>
        <w:keepLines/>
        <w:numPr>
          <w:ilvl w:val="0"/>
          <w:numId w:val="0"/>
        </w:numPr>
        <w:spacing w:line="360" w:lineRule="auto"/>
        <w:ind w:left="426" w:leftChars="0"/>
        <w:rPr>
          <w:rFonts w:ascii="仿宋" w:hAnsi="仿宋" w:eastAsia="仿宋"/>
          <w:b/>
          <w:bCs/>
          <w:color w:val="auto"/>
          <w:sz w:val="24"/>
        </w:rPr>
      </w:pPr>
      <w:bookmarkStart w:id="652" w:name="_Toc40908653"/>
      <w:r>
        <w:rPr>
          <w:rFonts w:hint="eastAsia" w:ascii="仿宋" w:hAnsi="仿宋" w:eastAsia="仿宋"/>
          <w:b/>
          <w:bCs/>
          <w:color w:val="auto"/>
          <w:sz w:val="24"/>
          <w:lang w:val="en-US" w:eastAsia="zh-CN"/>
        </w:rPr>
        <w:t>6.1.5</w:t>
      </w:r>
      <w:r>
        <w:rPr>
          <w:rFonts w:hint="eastAsia" w:ascii="仿宋" w:hAnsi="仿宋" w:eastAsia="仿宋"/>
          <w:b/>
          <w:bCs/>
          <w:color w:val="auto"/>
          <w:sz w:val="24"/>
        </w:rPr>
        <w:t>支付结算标准管理</w:t>
      </w:r>
      <w:bookmarkEnd w:id="652"/>
    </w:p>
    <w:p>
      <w:pPr>
        <w:spacing w:line="360" w:lineRule="auto"/>
        <w:ind w:firstLine="480"/>
        <w:rPr>
          <w:rFonts w:ascii="仿宋" w:hAnsi="仿宋" w:eastAsia="仿宋"/>
          <w:color w:val="auto"/>
          <w:sz w:val="24"/>
        </w:rPr>
      </w:pPr>
      <w:r>
        <w:rPr>
          <w:rFonts w:hint="eastAsia" w:ascii="仿宋" w:hAnsi="仿宋" w:eastAsia="仿宋"/>
          <w:color w:val="auto"/>
          <w:sz w:val="24"/>
        </w:rPr>
        <w:t>包含国家支付标准获取与下载、省级标准更新、审核和发布等功能</w:t>
      </w:r>
    </w:p>
    <w:p>
      <w:pPr>
        <w:keepNext/>
        <w:keepLines/>
        <w:numPr>
          <w:ilvl w:val="0"/>
          <w:numId w:val="0"/>
        </w:numPr>
        <w:spacing w:line="360" w:lineRule="auto"/>
        <w:ind w:left="426" w:leftChars="0"/>
        <w:rPr>
          <w:rFonts w:ascii="仿宋" w:hAnsi="仿宋" w:eastAsia="仿宋"/>
          <w:b/>
          <w:bCs/>
          <w:color w:val="auto"/>
          <w:sz w:val="24"/>
        </w:rPr>
      </w:pPr>
      <w:bookmarkStart w:id="653" w:name="_Toc40908654"/>
      <w:r>
        <w:rPr>
          <w:rFonts w:hint="eastAsia" w:ascii="仿宋" w:hAnsi="仿宋" w:eastAsia="仿宋"/>
          <w:b/>
          <w:bCs/>
          <w:color w:val="auto"/>
          <w:sz w:val="24"/>
          <w:lang w:val="en-US" w:eastAsia="zh-CN"/>
        </w:rPr>
        <w:t>6.1.6</w:t>
      </w:r>
      <w:r>
        <w:rPr>
          <w:rFonts w:hint="eastAsia" w:ascii="仿宋" w:hAnsi="仿宋" w:eastAsia="仿宋"/>
          <w:b/>
          <w:bCs/>
          <w:color w:val="auto"/>
          <w:sz w:val="24"/>
        </w:rPr>
        <w:t>支付模型管理</w:t>
      </w:r>
      <w:bookmarkEnd w:id="653"/>
    </w:p>
    <w:p>
      <w:pPr>
        <w:adjustRightInd w:val="0"/>
        <w:spacing w:line="360" w:lineRule="auto"/>
        <w:ind w:left="1152" w:right="240" w:hanging="472"/>
        <w:jc w:val="left"/>
        <w:rPr>
          <w:rFonts w:ascii="仿宋" w:hAnsi="仿宋" w:eastAsia="仿宋"/>
          <w:b/>
          <w:bCs/>
          <w:color w:val="auto"/>
          <w:sz w:val="24"/>
        </w:rPr>
      </w:pPr>
      <w:r>
        <w:rPr>
          <w:rFonts w:hint="eastAsia" w:ascii="仿宋" w:hAnsi="仿宋" w:eastAsia="仿宋"/>
          <w:b/>
          <w:bCs/>
          <w:color w:val="auto"/>
          <w:sz w:val="24"/>
        </w:rPr>
        <w:t>（1）支付模型新增</w:t>
      </w:r>
    </w:p>
    <w:p>
      <w:pPr>
        <w:spacing w:line="360" w:lineRule="auto"/>
        <w:ind w:firstLine="480"/>
        <w:rPr>
          <w:rFonts w:ascii="仿宋" w:hAnsi="仿宋" w:eastAsia="仿宋"/>
          <w:color w:val="auto"/>
          <w:sz w:val="24"/>
        </w:rPr>
      </w:pPr>
      <w:r>
        <w:rPr>
          <w:rFonts w:hint="eastAsia" w:ascii="仿宋" w:hAnsi="仿宋" w:eastAsia="仿宋"/>
          <w:color w:val="auto"/>
          <w:sz w:val="24"/>
        </w:rPr>
        <w:t>在支付模型管理界面进行支付模型新增，并选择结算类型，对支付参数进行维护，保存并提交支付模型。</w:t>
      </w:r>
    </w:p>
    <w:p>
      <w:pPr>
        <w:adjustRightInd w:val="0"/>
        <w:spacing w:line="360" w:lineRule="auto"/>
        <w:ind w:left="1152" w:right="240" w:hanging="472"/>
        <w:jc w:val="left"/>
        <w:rPr>
          <w:rFonts w:ascii="仿宋" w:hAnsi="仿宋" w:eastAsia="仿宋"/>
          <w:b/>
          <w:bCs/>
          <w:color w:val="auto"/>
          <w:sz w:val="24"/>
        </w:rPr>
      </w:pPr>
      <w:r>
        <w:rPr>
          <w:rFonts w:hint="eastAsia" w:ascii="仿宋" w:hAnsi="仿宋" w:eastAsia="仿宋"/>
          <w:b/>
          <w:bCs/>
          <w:color w:val="auto"/>
          <w:sz w:val="24"/>
        </w:rPr>
        <w:t>（2）支付模型变更</w:t>
      </w:r>
    </w:p>
    <w:p>
      <w:pPr>
        <w:spacing w:line="360" w:lineRule="auto"/>
        <w:ind w:firstLine="480"/>
        <w:rPr>
          <w:rFonts w:ascii="仿宋" w:hAnsi="仿宋" w:eastAsia="仿宋"/>
          <w:color w:val="auto"/>
          <w:sz w:val="24"/>
        </w:rPr>
      </w:pPr>
      <w:r>
        <w:rPr>
          <w:rFonts w:hint="eastAsia" w:ascii="仿宋" w:hAnsi="仿宋" w:eastAsia="仿宋"/>
          <w:color w:val="auto"/>
          <w:sz w:val="24"/>
        </w:rPr>
        <w:t>在支付模型管理界面进行支付模型变更，并选择结算类型，对支付参数进行维护，保存并提交支付模型。</w:t>
      </w:r>
    </w:p>
    <w:p>
      <w:pPr>
        <w:adjustRightInd w:val="0"/>
        <w:spacing w:line="360" w:lineRule="auto"/>
        <w:ind w:left="1152" w:right="240" w:hanging="472"/>
        <w:jc w:val="left"/>
        <w:rPr>
          <w:rFonts w:ascii="仿宋" w:hAnsi="仿宋" w:eastAsia="仿宋"/>
          <w:b/>
          <w:bCs/>
          <w:color w:val="auto"/>
          <w:sz w:val="24"/>
        </w:rPr>
      </w:pPr>
      <w:r>
        <w:rPr>
          <w:rFonts w:hint="eastAsia" w:ascii="仿宋" w:hAnsi="仿宋" w:eastAsia="仿宋"/>
          <w:b/>
          <w:bCs/>
          <w:color w:val="auto"/>
          <w:sz w:val="24"/>
        </w:rPr>
        <w:t>（3）支付模型审核</w:t>
      </w:r>
    </w:p>
    <w:p>
      <w:pPr>
        <w:spacing w:line="360" w:lineRule="auto"/>
        <w:ind w:firstLine="480"/>
        <w:rPr>
          <w:rFonts w:ascii="仿宋" w:hAnsi="仿宋" w:eastAsia="仿宋"/>
          <w:color w:val="auto"/>
          <w:sz w:val="24"/>
        </w:rPr>
      </w:pPr>
      <w:r>
        <w:rPr>
          <w:rFonts w:hint="eastAsia" w:ascii="仿宋" w:hAnsi="仿宋" w:eastAsia="仿宋"/>
          <w:color w:val="auto"/>
          <w:sz w:val="24"/>
        </w:rPr>
        <w:t>在支付模型管理界面对支付模型进行审核，审核通过后进入海南省支付模型发布流程，如审核未通过，返回审核不通过结果。</w:t>
      </w:r>
    </w:p>
    <w:p>
      <w:pPr>
        <w:adjustRightInd w:val="0"/>
        <w:spacing w:line="360" w:lineRule="auto"/>
        <w:ind w:left="1152" w:right="240" w:hanging="472"/>
        <w:jc w:val="left"/>
        <w:rPr>
          <w:rFonts w:ascii="仿宋" w:hAnsi="仿宋" w:eastAsia="仿宋"/>
          <w:b/>
          <w:bCs/>
          <w:color w:val="auto"/>
          <w:sz w:val="24"/>
        </w:rPr>
      </w:pPr>
      <w:r>
        <w:rPr>
          <w:rFonts w:hint="eastAsia" w:ascii="仿宋" w:hAnsi="仿宋" w:eastAsia="仿宋"/>
          <w:b/>
          <w:bCs/>
          <w:color w:val="auto"/>
          <w:sz w:val="24"/>
        </w:rPr>
        <w:t>（4）支付模型发布</w:t>
      </w:r>
    </w:p>
    <w:p>
      <w:pPr>
        <w:spacing w:line="360" w:lineRule="auto"/>
        <w:ind w:firstLine="480"/>
        <w:rPr>
          <w:rFonts w:ascii="仿宋" w:hAnsi="仿宋" w:eastAsia="仿宋"/>
          <w:color w:val="auto"/>
          <w:sz w:val="24"/>
        </w:rPr>
      </w:pPr>
      <w:r>
        <w:rPr>
          <w:rFonts w:hint="eastAsia" w:ascii="仿宋" w:hAnsi="仿宋" w:eastAsia="仿宋"/>
          <w:color w:val="auto"/>
          <w:sz w:val="24"/>
        </w:rPr>
        <w:t>将海南省支付模型发布到本系统，供医保经办工作人员查询，并形成可调用组件，支持国家局进行调用海南省支付模型。</w:t>
      </w:r>
    </w:p>
    <w:p>
      <w:pPr>
        <w:keepNext/>
        <w:keepLines/>
        <w:numPr>
          <w:ilvl w:val="0"/>
          <w:numId w:val="0"/>
        </w:numPr>
        <w:spacing w:line="360" w:lineRule="auto"/>
        <w:ind w:left="426" w:leftChars="0"/>
        <w:rPr>
          <w:rFonts w:ascii="仿宋" w:hAnsi="仿宋" w:eastAsia="仿宋"/>
          <w:b/>
          <w:bCs/>
          <w:color w:val="auto"/>
          <w:sz w:val="24"/>
        </w:rPr>
      </w:pPr>
      <w:bookmarkStart w:id="654" w:name="_Toc40908659"/>
      <w:r>
        <w:rPr>
          <w:rFonts w:hint="eastAsia" w:ascii="仿宋" w:hAnsi="仿宋" w:eastAsia="仿宋"/>
          <w:b/>
          <w:bCs/>
          <w:color w:val="auto"/>
          <w:sz w:val="24"/>
          <w:lang w:val="en-US" w:eastAsia="zh-CN"/>
        </w:rPr>
        <w:t>6.1.7</w:t>
      </w:r>
      <w:r>
        <w:rPr>
          <w:rFonts w:hint="eastAsia" w:ascii="仿宋" w:hAnsi="仿宋" w:eastAsia="仿宋"/>
          <w:b/>
          <w:bCs/>
          <w:color w:val="auto"/>
          <w:sz w:val="24"/>
        </w:rPr>
        <w:t>对接DRGs支付系统，实现全面监管</w:t>
      </w:r>
    </w:p>
    <w:p>
      <w:pPr>
        <w:spacing w:line="360" w:lineRule="auto"/>
        <w:ind w:firstLine="480" w:firstLineChars="200"/>
        <w:rPr>
          <w:rFonts w:ascii="仿宋" w:hAnsi="仿宋" w:eastAsia="仿宋"/>
          <w:color w:val="auto"/>
          <w:sz w:val="24"/>
        </w:rPr>
      </w:pPr>
      <w:r>
        <w:rPr>
          <w:rFonts w:hint="eastAsia" w:ascii="仿宋" w:hAnsi="仿宋" w:eastAsia="仿宋"/>
          <w:color w:val="auto"/>
          <w:sz w:val="24"/>
        </w:rPr>
        <w:t>以接口儋州市DRGs支付国家试点业务系统为基础，逐步拓展其他试点地区，在确保业务系统基本与国家支付方式管理系统一致下，实现对总额预付下DRGs支付方式的全面监管，通过监测评估、收集数据分析等功能模块，初步构建DRGs动态跟踪和评价体系。为我省下一步落实国家医保总局标准化建设要求，全省全面推广总额预付下的DRGs支付方式改革，做好业务结算系统对接和全面监管工作。</w:t>
      </w:r>
    </w:p>
    <w:p>
      <w:pPr>
        <w:keepNext/>
        <w:keepLines/>
        <w:numPr>
          <w:ilvl w:val="0"/>
          <w:numId w:val="0"/>
        </w:numPr>
        <w:spacing w:line="360" w:lineRule="auto"/>
        <w:ind w:left="426" w:leftChars="0"/>
        <w:rPr>
          <w:rFonts w:ascii="仿宋" w:hAnsi="仿宋" w:eastAsia="仿宋"/>
          <w:b/>
          <w:bCs/>
          <w:color w:val="auto"/>
          <w:sz w:val="24"/>
        </w:rPr>
      </w:pPr>
      <w:r>
        <w:rPr>
          <w:rFonts w:hint="eastAsia" w:ascii="仿宋" w:hAnsi="仿宋" w:eastAsia="仿宋"/>
          <w:b/>
          <w:bCs/>
          <w:color w:val="auto"/>
          <w:sz w:val="24"/>
          <w:lang w:val="en-US" w:eastAsia="zh-CN"/>
        </w:rPr>
        <w:t>6.1.9</w:t>
      </w:r>
      <w:r>
        <w:rPr>
          <w:rFonts w:hint="eastAsia" w:ascii="仿宋" w:hAnsi="仿宋" w:eastAsia="仿宋"/>
          <w:b/>
          <w:bCs/>
          <w:color w:val="auto"/>
          <w:sz w:val="24"/>
        </w:rPr>
        <w:t>支付方式管理报表</w:t>
      </w:r>
      <w:bookmarkEnd w:id="654"/>
    </w:p>
    <w:p>
      <w:pPr>
        <w:spacing w:line="360" w:lineRule="auto"/>
        <w:ind w:firstLine="480"/>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支付方式参数报表</w:t>
      </w:r>
    </w:p>
    <w:p>
      <w:pPr>
        <w:spacing w:line="360" w:lineRule="auto"/>
        <w:ind w:firstLine="480"/>
        <w:rPr>
          <w:rFonts w:ascii="仿宋" w:hAnsi="仿宋" w:eastAsia="仿宋"/>
          <w:color w:val="auto"/>
          <w:sz w:val="24"/>
        </w:rPr>
      </w:pPr>
      <w:r>
        <w:rPr>
          <w:rFonts w:hint="eastAsia" w:ascii="仿宋" w:hAnsi="仿宋" w:eastAsia="仿宋"/>
          <w:color w:val="auto"/>
          <w:sz w:val="24"/>
        </w:rPr>
        <w:t>实现支付方式参数报表。</w:t>
      </w:r>
    </w:p>
    <w:p>
      <w:pPr>
        <w:spacing w:line="360" w:lineRule="auto"/>
        <w:ind w:firstLine="480"/>
        <w:rPr>
          <w:rFonts w:ascii="仿宋" w:hAnsi="仿宋" w:eastAsia="仿宋"/>
          <w:color w:val="auto"/>
          <w:sz w:val="24"/>
        </w:rPr>
      </w:pPr>
      <w:r>
        <w:rPr>
          <w:rFonts w:hint="eastAsia" w:ascii="仿宋" w:hAnsi="仿宋" w:eastAsia="仿宋"/>
          <w:color w:val="auto"/>
          <w:sz w:val="24"/>
        </w:rPr>
        <w:t>（2）支付方式模型报表</w:t>
      </w:r>
    </w:p>
    <w:p>
      <w:pPr>
        <w:spacing w:line="360" w:lineRule="auto"/>
        <w:ind w:firstLine="480"/>
        <w:rPr>
          <w:rFonts w:ascii="仿宋" w:hAnsi="仿宋" w:eastAsia="仿宋"/>
          <w:color w:val="auto"/>
          <w:sz w:val="24"/>
        </w:rPr>
      </w:pPr>
      <w:r>
        <w:rPr>
          <w:rFonts w:hint="eastAsia" w:ascii="仿宋" w:hAnsi="仿宋" w:eastAsia="仿宋"/>
          <w:color w:val="auto"/>
          <w:sz w:val="24"/>
        </w:rPr>
        <w:t>实现支付方式模型报表。</w:t>
      </w:r>
    </w:p>
    <w:p>
      <w:pPr>
        <w:spacing w:line="360" w:lineRule="auto"/>
        <w:ind w:firstLine="480"/>
        <w:rPr>
          <w:rFonts w:ascii="仿宋" w:hAnsi="仿宋" w:eastAsia="仿宋"/>
          <w:color w:val="auto"/>
          <w:sz w:val="24"/>
        </w:rPr>
      </w:pPr>
      <w:r>
        <w:rPr>
          <w:rFonts w:hint="eastAsia" w:ascii="仿宋" w:hAnsi="仿宋" w:eastAsia="仿宋"/>
          <w:color w:val="auto"/>
          <w:sz w:val="24"/>
        </w:rPr>
        <w:t>（3） 支付方式区域报表</w:t>
      </w:r>
    </w:p>
    <w:p>
      <w:pPr>
        <w:spacing w:line="360" w:lineRule="auto"/>
        <w:ind w:firstLine="480"/>
        <w:rPr>
          <w:rFonts w:ascii="仿宋" w:hAnsi="仿宋" w:eastAsia="仿宋"/>
          <w:color w:val="auto"/>
          <w:sz w:val="24"/>
        </w:rPr>
      </w:pPr>
      <w:r>
        <w:rPr>
          <w:rFonts w:hint="eastAsia" w:ascii="仿宋" w:hAnsi="仿宋" w:eastAsia="仿宋"/>
          <w:color w:val="auto"/>
          <w:sz w:val="24"/>
        </w:rPr>
        <w:t>实现支付方式区域报表。</w:t>
      </w:r>
    </w:p>
    <w:p>
      <w:pPr>
        <w:spacing w:line="360" w:lineRule="auto"/>
        <w:ind w:firstLine="480"/>
        <w:rPr>
          <w:rFonts w:ascii="仿宋" w:hAnsi="仿宋" w:eastAsia="仿宋"/>
          <w:color w:val="auto"/>
          <w:sz w:val="24"/>
        </w:rPr>
      </w:pPr>
      <w:r>
        <w:rPr>
          <w:rFonts w:hint="eastAsia" w:ascii="仿宋" w:hAnsi="仿宋" w:eastAsia="仿宋"/>
          <w:color w:val="auto"/>
          <w:sz w:val="24"/>
        </w:rPr>
        <w:t>（4） 支付方式运行报表</w:t>
      </w:r>
    </w:p>
    <w:p>
      <w:pPr>
        <w:spacing w:line="360" w:lineRule="auto"/>
        <w:ind w:firstLine="480"/>
        <w:rPr>
          <w:rFonts w:ascii="仿宋" w:hAnsi="仿宋" w:eastAsia="仿宋"/>
          <w:color w:val="auto"/>
          <w:sz w:val="24"/>
        </w:rPr>
      </w:pPr>
      <w:r>
        <w:rPr>
          <w:rFonts w:hint="eastAsia" w:ascii="仿宋" w:hAnsi="仿宋" w:eastAsia="仿宋"/>
          <w:color w:val="auto"/>
          <w:sz w:val="24"/>
        </w:rPr>
        <w:t>实现支付方式运行报表。</w:t>
      </w:r>
    </w:p>
    <w:p>
      <w:pPr>
        <w:keepNext/>
        <w:keepLines/>
        <w:numPr>
          <w:ilvl w:val="0"/>
          <w:numId w:val="0"/>
        </w:numPr>
        <w:spacing w:line="360" w:lineRule="auto"/>
        <w:ind w:left="426" w:leftChars="0"/>
        <w:rPr>
          <w:rFonts w:ascii="仿宋" w:hAnsi="仿宋" w:eastAsia="仿宋"/>
          <w:b/>
          <w:bCs/>
          <w:color w:val="auto"/>
          <w:kern w:val="44"/>
          <w:sz w:val="24"/>
        </w:rPr>
      </w:pPr>
      <w:bookmarkStart w:id="655" w:name="_Toc40908660"/>
      <w:r>
        <w:rPr>
          <w:rFonts w:hint="eastAsia" w:ascii="仿宋" w:hAnsi="仿宋" w:eastAsia="仿宋"/>
          <w:b/>
          <w:bCs/>
          <w:color w:val="auto"/>
          <w:kern w:val="44"/>
          <w:sz w:val="24"/>
          <w:lang w:val="en-US" w:eastAsia="zh-CN"/>
        </w:rPr>
        <w:t>6.2</w:t>
      </w:r>
      <w:r>
        <w:rPr>
          <w:rFonts w:hint="eastAsia" w:ascii="仿宋" w:hAnsi="仿宋" w:eastAsia="仿宋"/>
          <w:b/>
          <w:bCs/>
          <w:color w:val="auto"/>
          <w:kern w:val="44"/>
          <w:sz w:val="24"/>
        </w:rPr>
        <w:t>接口服务</w:t>
      </w:r>
      <w:bookmarkEnd w:id="655"/>
    </w:p>
    <w:p>
      <w:pPr>
        <w:autoSpaceDE w:val="0"/>
        <w:autoSpaceDN w:val="0"/>
        <w:spacing w:line="360" w:lineRule="auto"/>
        <w:ind w:firstLine="480" w:firstLineChars="200"/>
        <w:rPr>
          <w:rFonts w:ascii="仿宋" w:hAnsi="仿宋" w:eastAsia="仿宋"/>
          <w:color w:val="auto"/>
          <w:sz w:val="24"/>
        </w:rPr>
      </w:pPr>
      <w:r>
        <w:rPr>
          <w:rFonts w:hint="eastAsia" w:ascii="仿宋" w:hAnsi="仿宋" w:eastAsia="仿宋"/>
          <w:color w:val="auto"/>
          <w:sz w:val="24"/>
        </w:rPr>
        <w:t>负责对接海南省数据交换共享平台、海南省政务服务一体化平台、海南省“互联网+监管”平台、DRG付费系统等，对接卫健委、财政厅、人社厅、民政厅、市场监督管理局、税务局、扶贫办等资源共享部门，对接医疗机构HIS系统、银行系统、商业保险公司等外部单位。中标方需要负责各业务子系统对外的相关接口对接、调测，确保业务顺利运行，并承担相关费用（含外部单位的接口开发与调测费用）。</w:t>
      </w:r>
    </w:p>
    <w:p>
      <w:pPr>
        <w:spacing w:line="360" w:lineRule="auto"/>
        <w:rPr>
          <w:rFonts w:ascii="仿宋" w:hAnsi="仿宋" w:eastAsia="仿宋"/>
          <w:b/>
          <w:color w:val="auto"/>
          <w:sz w:val="28"/>
          <w:szCs w:val="28"/>
        </w:rPr>
      </w:pPr>
      <w:bookmarkStart w:id="656" w:name="_Toc40908661"/>
      <w:r>
        <w:rPr>
          <w:rFonts w:hint="eastAsia" w:ascii="仿宋" w:hAnsi="仿宋" w:eastAsia="仿宋"/>
          <w:b/>
          <w:color w:val="auto"/>
          <w:sz w:val="28"/>
          <w:szCs w:val="28"/>
        </w:rPr>
        <w:t>7.软件安全要求</w:t>
      </w:r>
      <w:bookmarkEnd w:id="656"/>
    </w:p>
    <w:p>
      <w:pPr>
        <w:autoSpaceDE w:val="0"/>
        <w:autoSpaceDN w:val="0"/>
        <w:spacing w:line="460" w:lineRule="exact"/>
        <w:ind w:firstLine="480" w:firstLineChars="200"/>
        <w:rPr>
          <w:rFonts w:ascii="仿宋" w:hAnsi="仿宋" w:eastAsia="仿宋" w:cs="宋体"/>
          <w:color w:val="auto"/>
          <w:kern w:val="0"/>
          <w:sz w:val="24"/>
          <w:lang w:val="zh-CN"/>
        </w:rPr>
      </w:pPr>
      <w:r>
        <w:rPr>
          <w:rFonts w:hint="eastAsia" w:ascii="仿宋" w:hAnsi="仿宋" w:eastAsia="仿宋" w:cs="宋体"/>
          <w:color w:val="auto"/>
          <w:kern w:val="0"/>
          <w:sz w:val="24"/>
          <w:lang w:val="zh-CN"/>
        </w:rPr>
        <w:t>（1）投标方须严格按照国家医疗保障局《医保信息系统安全开发规范》要求组织系统开发和实施，并符合《信息安全技术网络安全等级保护基本要求》（GB/T 22239一2019）三级安全要求。</w:t>
      </w:r>
    </w:p>
    <w:p>
      <w:pPr>
        <w:widowControl/>
        <w:adjustRightInd w:val="0"/>
        <w:spacing w:line="360" w:lineRule="auto"/>
        <w:ind w:firstLine="436" w:firstLineChars="182"/>
        <w:jc w:val="left"/>
        <w:textAlignment w:val="baseline"/>
        <w:rPr>
          <w:rFonts w:ascii="仿宋" w:hAnsi="仿宋" w:eastAsia="仿宋" w:cs="宋体"/>
          <w:color w:val="auto"/>
          <w:kern w:val="0"/>
          <w:sz w:val="24"/>
          <w:lang w:val="zh-CN"/>
        </w:rPr>
      </w:pPr>
      <w:r>
        <w:rPr>
          <w:rFonts w:hint="eastAsia" w:ascii="仿宋" w:hAnsi="仿宋" w:eastAsia="仿宋"/>
          <w:bCs/>
          <w:color w:val="auto"/>
          <w:kern w:val="0"/>
          <w:sz w:val="24"/>
          <w:szCs w:val="28"/>
        </w:rPr>
        <w:t>（2）</w:t>
      </w:r>
      <w:r>
        <w:rPr>
          <w:rFonts w:hint="eastAsia" w:ascii="仿宋" w:hAnsi="仿宋" w:eastAsia="仿宋" w:cs="宋体"/>
          <w:color w:val="auto"/>
          <w:kern w:val="0"/>
          <w:sz w:val="24"/>
          <w:lang w:val="zh-CN"/>
        </w:rPr>
        <w:t>投标方所开发的系统须符合《信息系统密码应用基本要求》。</w:t>
      </w:r>
    </w:p>
    <w:p>
      <w:pPr>
        <w:widowControl/>
        <w:adjustRightInd w:val="0"/>
        <w:spacing w:line="360" w:lineRule="auto"/>
        <w:ind w:firstLine="436" w:firstLineChars="182"/>
        <w:jc w:val="left"/>
        <w:textAlignment w:val="baseline"/>
        <w:rPr>
          <w:rFonts w:ascii="仿宋" w:hAnsi="仿宋" w:eastAsia="仿宋" w:cs="宋体"/>
          <w:color w:val="auto"/>
          <w:kern w:val="0"/>
          <w:sz w:val="24"/>
          <w:lang w:val="zh-CN"/>
        </w:rPr>
      </w:pPr>
      <w:r>
        <w:rPr>
          <w:rFonts w:hint="eastAsia" w:ascii="仿宋" w:hAnsi="仿宋" w:eastAsia="仿宋"/>
          <w:bCs/>
          <w:color w:val="auto"/>
          <w:kern w:val="0"/>
          <w:sz w:val="24"/>
          <w:szCs w:val="28"/>
        </w:rPr>
        <w:t>（3）</w:t>
      </w:r>
      <w:r>
        <w:rPr>
          <w:rFonts w:hint="eastAsia" w:ascii="仿宋" w:hAnsi="仿宋" w:eastAsia="仿宋"/>
          <w:bCs/>
          <w:color w:val="auto"/>
          <w:kern w:val="0"/>
          <w:sz w:val="24"/>
        </w:rPr>
        <w:t>系统上线前，应按照招标方要求进行源代码安全扫描，并对发现的漏洞进行修复。</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szCs w:val="28"/>
        </w:rPr>
        <w:t>（4）</w:t>
      </w:r>
      <w:r>
        <w:rPr>
          <w:rFonts w:hint="eastAsia" w:ascii="仿宋" w:hAnsi="仿宋" w:eastAsia="仿宋"/>
          <w:bCs/>
          <w:color w:val="auto"/>
          <w:kern w:val="0"/>
          <w:sz w:val="24"/>
        </w:rPr>
        <w:t>投标方应提供详细的安全设计方案并详细说明在应用安全和数据安全方面采取的安全的措施。</w:t>
      </w:r>
    </w:p>
    <w:p>
      <w:pPr>
        <w:spacing w:line="360" w:lineRule="auto"/>
        <w:rPr>
          <w:rFonts w:ascii="仿宋" w:hAnsi="仿宋" w:eastAsia="仿宋"/>
          <w:b/>
          <w:color w:val="auto"/>
          <w:sz w:val="28"/>
          <w:szCs w:val="28"/>
        </w:rPr>
      </w:pPr>
      <w:bookmarkStart w:id="657" w:name="_Toc40908662"/>
      <w:r>
        <w:rPr>
          <w:rFonts w:hint="eastAsia" w:ascii="仿宋" w:hAnsi="仿宋" w:eastAsia="仿宋"/>
          <w:b/>
          <w:color w:val="auto"/>
          <w:sz w:val="28"/>
          <w:szCs w:val="28"/>
        </w:rPr>
        <w:t>8.软件技术要求</w:t>
      </w:r>
      <w:bookmarkEnd w:id="657"/>
    </w:p>
    <w:p>
      <w:pPr>
        <w:ind w:firstLine="482" w:firstLineChars="200"/>
        <w:rPr>
          <w:rFonts w:ascii="仿宋" w:hAnsi="仿宋" w:eastAsia="仿宋"/>
          <w:b/>
          <w:color w:val="auto"/>
          <w:sz w:val="24"/>
        </w:rPr>
      </w:pPr>
      <w:bookmarkStart w:id="658" w:name="_Toc40908663"/>
      <w:r>
        <w:rPr>
          <w:rFonts w:hint="eastAsia" w:ascii="仿宋" w:hAnsi="仿宋" w:eastAsia="仿宋"/>
          <w:b/>
          <w:color w:val="auto"/>
          <w:sz w:val="24"/>
        </w:rPr>
        <w:t>8.1总体技术要求</w:t>
      </w:r>
      <w:bookmarkEnd w:id="658"/>
    </w:p>
    <w:p>
      <w:pPr>
        <w:tabs>
          <w:tab w:val="left" w:pos="1301"/>
        </w:tabs>
        <w:autoSpaceDE w:val="0"/>
        <w:autoSpaceDN w:val="0"/>
        <w:spacing w:before="122" w:line="360" w:lineRule="auto"/>
        <w:ind w:left="220" w:right="315" w:firstLine="480"/>
        <w:rPr>
          <w:rFonts w:ascii="仿宋" w:hAnsi="仿宋" w:eastAsia="仿宋" w:cs="宋体"/>
          <w:color w:val="auto"/>
          <w:kern w:val="0"/>
          <w:sz w:val="24"/>
          <w:lang w:val="zh-CN" w:bidi="zh-CN"/>
        </w:rPr>
      </w:pPr>
      <w:r>
        <w:rPr>
          <w:rFonts w:hint="eastAsia" w:ascii="仿宋" w:hAnsi="仿宋" w:eastAsia="仿宋"/>
          <w:color w:val="auto"/>
          <w:sz w:val="24"/>
        </w:rPr>
        <w:t>（1）</w:t>
      </w:r>
      <w:r>
        <w:rPr>
          <w:rFonts w:hint="eastAsia" w:ascii="仿宋" w:hAnsi="仿宋" w:eastAsia="仿宋" w:cs="宋体"/>
          <w:color w:val="auto"/>
          <w:kern w:val="0"/>
          <w:sz w:val="24"/>
          <w:lang w:val="zh-CN" w:bidi="zh-CN"/>
        </w:rPr>
        <w:t>产品应该是企业级的解决方案，支持可分布的、可伸缩的体系结构。支持部署在主流的操作系统（</w:t>
      </w:r>
      <w:r>
        <w:rPr>
          <w:rFonts w:ascii="仿宋" w:hAnsi="仿宋" w:eastAsia="仿宋" w:cs="宋体"/>
          <w:color w:val="auto"/>
          <w:kern w:val="0"/>
          <w:sz w:val="24"/>
          <w:lang w:val="zh-CN" w:bidi="zh-CN"/>
        </w:rPr>
        <w:t>Linux</w:t>
      </w:r>
      <w:r>
        <w:rPr>
          <w:rFonts w:hint="eastAsia" w:ascii="仿宋" w:hAnsi="仿宋" w:eastAsia="仿宋" w:cs="宋体"/>
          <w:color w:val="auto"/>
          <w:kern w:val="0"/>
          <w:sz w:val="24"/>
          <w:lang w:val="zh-CN" w:bidi="zh-CN"/>
        </w:rPr>
        <w:t>）和硬件平台上，支持</w:t>
      </w:r>
      <w:r>
        <w:rPr>
          <w:rFonts w:ascii="仿宋" w:hAnsi="仿宋" w:eastAsia="仿宋" w:cs="宋体"/>
          <w:color w:val="auto"/>
          <w:kern w:val="0"/>
          <w:sz w:val="24"/>
          <w:lang w:val="zh-CN" w:bidi="zh-CN"/>
        </w:rPr>
        <w:t xml:space="preserve">B/S </w:t>
      </w:r>
      <w:r>
        <w:rPr>
          <w:rFonts w:hint="eastAsia" w:ascii="仿宋" w:hAnsi="仿宋" w:eastAsia="仿宋" w:cs="宋体"/>
          <w:color w:val="auto"/>
          <w:kern w:val="0"/>
          <w:sz w:val="24"/>
          <w:lang w:val="zh-CN" w:bidi="zh-CN"/>
        </w:rPr>
        <w:t>结构，支持云计算技术架构。</w:t>
      </w:r>
    </w:p>
    <w:p>
      <w:pPr>
        <w:tabs>
          <w:tab w:val="left" w:pos="1301"/>
        </w:tabs>
        <w:autoSpaceDE w:val="0"/>
        <w:autoSpaceDN w:val="0"/>
        <w:spacing w:before="122" w:line="360" w:lineRule="auto"/>
        <w:ind w:left="220" w:right="315" w:firstLine="480"/>
        <w:rPr>
          <w:rFonts w:ascii="仿宋" w:hAnsi="仿宋" w:eastAsia="仿宋" w:cs="宋体"/>
          <w:color w:val="auto"/>
          <w:kern w:val="0"/>
          <w:sz w:val="24"/>
          <w:lang w:val="zh-CN" w:bidi="zh-CN"/>
        </w:rPr>
      </w:pPr>
      <w:r>
        <w:rPr>
          <w:rFonts w:hint="eastAsia" w:ascii="仿宋" w:hAnsi="仿宋" w:eastAsia="仿宋"/>
          <w:color w:val="auto"/>
          <w:sz w:val="24"/>
        </w:rPr>
        <w:t>（2）</w:t>
      </w:r>
      <w:r>
        <w:rPr>
          <w:rFonts w:hint="eastAsia" w:ascii="仿宋" w:hAnsi="仿宋" w:eastAsia="仿宋" w:cs="宋体"/>
          <w:color w:val="auto"/>
          <w:kern w:val="0"/>
          <w:sz w:val="24"/>
          <w:lang w:val="zh-CN" w:bidi="zh-CN"/>
        </w:rPr>
        <w:t>投标方提供的软件应该部署国家局下发的药品和耗材采购统一版本，进行数据迁移、配套系统、外部接口对接等工作。</w:t>
      </w:r>
    </w:p>
    <w:p>
      <w:pPr>
        <w:tabs>
          <w:tab w:val="left" w:pos="1301"/>
        </w:tabs>
        <w:autoSpaceDE w:val="0"/>
        <w:autoSpaceDN w:val="0"/>
        <w:spacing w:before="122" w:line="360" w:lineRule="auto"/>
        <w:ind w:left="220" w:right="315" w:firstLine="480"/>
        <w:rPr>
          <w:rFonts w:ascii="仿宋" w:hAnsi="仿宋" w:eastAsia="仿宋" w:cs="宋体"/>
          <w:color w:val="auto"/>
          <w:kern w:val="0"/>
          <w:sz w:val="24"/>
          <w:lang w:val="zh-CN" w:bidi="zh-CN"/>
        </w:rPr>
      </w:pPr>
      <w:r>
        <w:rPr>
          <w:rFonts w:hint="eastAsia" w:ascii="仿宋" w:hAnsi="仿宋" w:eastAsia="仿宋"/>
          <w:color w:val="auto"/>
          <w:sz w:val="24"/>
        </w:rPr>
        <w:t>（3）</w:t>
      </w:r>
      <w:r>
        <w:rPr>
          <w:rFonts w:hint="eastAsia" w:ascii="仿宋" w:hAnsi="仿宋" w:eastAsia="仿宋" w:cs="宋体"/>
          <w:color w:val="auto"/>
          <w:kern w:val="0"/>
          <w:sz w:val="24"/>
          <w:lang w:val="zh-CN" w:bidi="zh-CN"/>
        </w:rPr>
        <w:t>投标方提供的软件必须是模块化设计，并且保证任何软件模块的维护和更新都不影响其它软件模块，软件具有容错能力。</w:t>
      </w:r>
    </w:p>
    <w:p>
      <w:pPr>
        <w:tabs>
          <w:tab w:val="left" w:pos="1301"/>
        </w:tabs>
        <w:autoSpaceDE w:val="0"/>
        <w:autoSpaceDN w:val="0"/>
        <w:spacing w:before="122" w:line="360" w:lineRule="auto"/>
        <w:ind w:left="220" w:right="315" w:firstLine="480"/>
        <w:rPr>
          <w:rFonts w:ascii="仿宋" w:hAnsi="仿宋" w:eastAsia="仿宋" w:cs="宋体"/>
          <w:color w:val="auto"/>
          <w:kern w:val="0"/>
          <w:sz w:val="24"/>
          <w:lang w:val="zh-CN" w:bidi="zh-CN"/>
        </w:rPr>
      </w:pPr>
      <w:r>
        <w:rPr>
          <w:rFonts w:hint="eastAsia" w:ascii="仿宋" w:hAnsi="仿宋" w:eastAsia="仿宋"/>
          <w:color w:val="auto"/>
          <w:sz w:val="24"/>
        </w:rPr>
        <w:t>（4）</w:t>
      </w:r>
      <w:r>
        <w:rPr>
          <w:rFonts w:hint="eastAsia" w:ascii="仿宋" w:hAnsi="仿宋" w:eastAsia="仿宋" w:cs="宋体"/>
          <w:color w:val="auto"/>
          <w:kern w:val="0"/>
          <w:sz w:val="24"/>
          <w:lang w:val="zh-CN" w:bidi="zh-CN"/>
        </w:rPr>
        <w:t>投标方提供的软件应具有自身故障监视和诊断能力，即软件能及时发现故障并发出告警。</w:t>
      </w:r>
    </w:p>
    <w:p>
      <w:pPr>
        <w:tabs>
          <w:tab w:val="left" w:pos="1301"/>
        </w:tabs>
        <w:autoSpaceDE w:val="0"/>
        <w:autoSpaceDN w:val="0"/>
        <w:spacing w:before="122" w:line="360" w:lineRule="auto"/>
        <w:ind w:left="220" w:right="315" w:firstLine="480"/>
        <w:rPr>
          <w:rFonts w:ascii="仿宋" w:hAnsi="仿宋" w:eastAsia="仿宋" w:cs="宋体"/>
          <w:color w:val="auto"/>
          <w:kern w:val="0"/>
          <w:sz w:val="24"/>
          <w:lang w:val="zh-CN" w:bidi="zh-CN"/>
        </w:rPr>
      </w:pPr>
      <w:r>
        <w:rPr>
          <w:rFonts w:hint="eastAsia" w:ascii="仿宋" w:hAnsi="仿宋" w:eastAsia="仿宋"/>
          <w:color w:val="auto"/>
          <w:sz w:val="24"/>
        </w:rPr>
        <w:t>（5）</w:t>
      </w:r>
      <w:r>
        <w:rPr>
          <w:rFonts w:hint="eastAsia" w:ascii="仿宋" w:hAnsi="仿宋" w:eastAsia="仿宋" w:cs="宋体"/>
          <w:color w:val="auto"/>
          <w:kern w:val="0"/>
          <w:sz w:val="24"/>
          <w:lang w:val="zh-CN" w:bidi="zh-CN"/>
        </w:rPr>
        <w:t>投标方提供的软件在不同时期软件版本应能向下兼容，软件版本易于升级，且在升级的过程中不影响业务的性能与运行。</w:t>
      </w:r>
    </w:p>
    <w:p>
      <w:pPr>
        <w:tabs>
          <w:tab w:val="left" w:pos="1301"/>
        </w:tabs>
        <w:autoSpaceDE w:val="0"/>
        <w:autoSpaceDN w:val="0"/>
        <w:spacing w:before="122" w:line="360" w:lineRule="auto"/>
        <w:ind w:left="220" w:right="315" w:firstLine="480"/>
        <w:rPr>
          <w:rFonts w:ascii="仿宋" w:hAnsi="仿宋" w:eastAsia="仿宋" w:cs="宋体"/>
          <w:color w:val="auto"/>
          <w:kern w:val="0"/>
          <w:sz w:val="24"/>
          <w:lang w:val="zh-CN" w:bidi="zh-CN"/>
        </w:rPr>
      </w:pPr>
      <w:r>
        <w:rPr>
          <w:rFonts w:hint="eastAsia" w:ascii="仿宋" w:hAnsi="仿宋" w:eastAsia="仿宋"/>
          <w:color w:val="auto"/>
          <w:sz w:val="24"/>
        </w:rPr>
        <w:t>（6）</w:t>
      </w:r>
      <w:r>
        <w:rPr>
          <w:rFonts w:hint="eastAsia" w:ascii="仿宋" w:hAnsi="仿宋" w:eastAsia="仿宋" w:cs="宋体"/>
          <w:color w:val="auto"/>
          <w:kern w:val="0"/>
          <w:sz w:val="24"/>
          <w:lang w:val="zh-CN" w:bidi="zh-CN"/>
        </w:rPr>
        <w:t>投标方应承诺在供货时提供最新版本的软件，但该软件必须是经过测试正式推出，其可靠性、稳定性经过严格验证。</w:t>
      </w:r>
    </w:p>
    <w:p>
      <w:pPr>
        <w:tabs>
          <w:tab w:val="left" w:pos="1301"/>
        </w:tabs>
        <w:autoSpaceDE w:val="0"/>
        <w:autoSpaceDN w:val="0"/>
        <w:spacing w:before="122" w:line="360" w:lineRule="auto"/>
        <w:ind w:left="220" w:right="315" w:firstLine="480"/>
        <w:rPr>
          <w:rFonts w:ascii="仿宋" w:hAnsi="仿宋" w:eastAsia="仿宋" w:cs="宋体"/>
          <w:color w:val="auto"/>
          <w:kern w:val="0"/>
          <w:sz w:val="24"/>
          <w:lang w:val="zh-CN" w:bidi="zh-CN"/>
        </w:rPr>
      </w:pPr>
      <w:r>
        <w:rPr>
          <w:rFonts w:hint="eastAsia" w:ascii="仿宋" w:hAnsi="仿宋" w:eastAsia="仿宋"/>
          <w:color w:val="auto"/>
          <w:sz w:val="24"/>
        </w:rPr>
        <w:t>（7）</w:t>
      </w:r>
      <w:r>
        <w:rPr>
          <w:rFonts w:hint="eastAsia" w:ascii="仿宋" w:hAnsi="仿宋" w:eastAsia="仿宋" w:cs="宋体"/>
          <w:color w:val="auto"/>
          <w:kern w:val="0"/>
          <w:sz w:val="24"/>
          <w:lang w:val="zh-CN" w:bidi="zh-CN"/>
        </w:rPr>
        <w:t>本项目运维期内，软件版本升级时，投标方应承诺免费更新软件版本，并提供相应的新版本软件功能说明书及修改说明书。</w:t>
      </w:r>
    </w:p>
    <w:p>
      <w:pPr>
        <w:tabs>
          <w:tab w:val="left" w:pos="1301"/>
        </w:tabs>
        <w:autoSpaceDE w:val="0"/>
        <w:autoSpaceDN w:val="0"/>
        <w:spacing w:before="122" w:line="360" w:lineRule="auto"/>
        <w:ind w:left="220" w:right="315" w:firstLine="480"/>
        <w:rPr>
          <w:rFonts w:ascii="仿宋" w:hAnsi="仿宋" w:eastAsia="仿宋" w:cs="宋体"/>
          <w:color w:val="auto"/>
          <w:kern w:val="0"/>
          <w:sz w:val="24"/>
          <w:lang w:val="zh-CN" w:bidi="zh-CN"/>
        </w:rPr>
      </w:pPr>
      <w:r>
        <w:rPr>
          <w:rFonts w:hint="eastAsia" w:ascii="仿宋" w:hAnsi="仿宋" w:eastAsia="仿宋"/>
          <w:color w:val="auto"/>
          <w:sz w:val="24"/>
        </w:rPr>
        <w:t>（8）</w:t>
      </w:r>
      <w:r>
        <w:rPr>
          <w:rFonts w:hint="eastAsia" w:ascii="仿宋" w:hAnsi="仿宋" w:eastAsia="仿宋" w:cs="宋体"/>
          <w:color w:val="auto"/>
          <w:kern w:val="0"/>
          <w:sz w:val="24"/>
          <w:lang w:val="zh-CN" w:bidi="zh-CN"/>
        </w:rPr>
        <w:t>投标方提供的应用软件要求具有较强的容错功能。</w:t>
      </w:r>
    </w:p>
    <w:p>
      <w:pPr>
        <w:spacing w:line="360" w:lineRule="auto"/>
        <w:rPr>
          <w:rFonts w:ascii="仿宋" w:hAnsi="仿宋" w:eastAsia="仿宋"/>
          <w:b/>
          <w:color w:val="auto"/>
          <w:sz w:val="28"/>
          <w:szCs w:val="28"/>
        </w:rPr>
      </w:pPr>
      <w:bookmarkStart w:id="659" w:name="_Toc40908664"/>
      <w:r>
        <w:rPr>
          <w:rFonts w:hint="eastAsia" w:ascii="仿宋" w:hAnsi="仿宋" w:eastAsia="仿宋"/>
          <w:b/>
          <w:color w:val="auto"/>
          <w:sz w:val="28"/>
          <w:szCs w:val="28"/>
        </w:rPr>
        <w:t>9.应用软件性能要求</w:t>
      </w:r>
      <w:bookmarkEnd w:id="659"/>
    </w:p>
    <w:p>
      <w:pPr>
        <w:numPr>
          <w:ilvl w:val="0"/>
          <w:numId w:val="61"/>
        </w:numPr>
        <w:autoSpaceDE w:val="0"/>
        <w:autoSpaceDN w:val="0"/>
        <w:spacing w:before="122" w:line="360" w:lineRule="auto"/>
        <w:ind w:left="426" w:right="315" w:firstLine="283"/>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应用软件系统的各个软件功能模块应满足本文相关功能要求。应用软件必须能够切实满足系统监控管理的需求，并且适应今后的业务增长和变化，随时可以按功能需要进行修改和维护。</w:t>
      </w:r>
    </w:p>
    <w:p>
      <w:pPr>
        <w:numPr>
          <w:ilvl w:val="0"/>
          <w:numId w:val="61"/>
        </w:numPr>
        <w:autoSpaceDE w:val="0"/>
        <w:autoSpaceDN w:val="0"/>
        <w:spacing w:before="122" w:line="360" w:lineRule="auto"/>
        <w:ind w:left="426" w:right="315" w:firstLine="283"/>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应用软件应采用通用软件开发平台进行开发，有很强的灵活性和扩展性，在今后开展新业务时可通过对参数等的简单更改迅速方便地实现，具有良好的适应能力。</w:t>
      </w:r>
    </w:p>
    <w:p>
      <w:pPr>
        <w:numPr>
          <w:ilvl w:val="0"/>
          <w:numId w:val="61"/>
        </w:numPr>
        <w:autoSpaceDE w:val="0"/>
        <w:autoSpaceDN w:val="0"/>
        <w:spacing w:before="122" w:line="360" w:lineRule="auto"/>
        <w:ind w:left="426" w:right="315" w:firstLine="283"/>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应用软件应采用友好的图形化窗口的用户操作界面，可操作性强，而且操作界面应力求简洁、直观，具有全中文界面，有向导性功能，支持工作台化管理，有利于简化操作，并提高操作效率。在考虑简化用户的操作的同时，应允许操作人员必要时做一些人工干预。</w:t>
      </w:r>
    </w:p>
    <w:p>
      <w:pPr>
        <w:numPr>
          <w:ilvl w:val="0"/>
          <w:numId w:val="61"/>
        </w:numPr>
        <w:autoSpaceDE w:val="0"/>
        <w:autoSpaceDN w:val="0"/>
        <w:spacing w:before="122" w:line="360" w:lineRule="auto"/>
        <w:ind w:left="426" w:right="315" w:firstLine="283"/>
        <w:rPr>
          <w:rFonts w:ascii="仿宋" w:hAnsi="仿宋" w:eastAsia="仿宋" w:cs="宋体"/>
          <w:color w:val="auto"/>
          <w:kern w:val="0"/>
          <w:sz w:val="24"/>
          <w:lang w:val="zh-CN" w:bidi="zh-CN"/>
        </w:rPr>
      </w:pPr>
      <w:r>
        <w:rPr>
          <w:rFonts w:ascii="仿宋" w:hAnsi="仿宋" w:eastAsia="仿宋" w:cs="宋体"/>
          <w:color w:val="auto"/>
          <w:kern w:val="0"/>
          <w:sz w:val="24"/>
          <w:lang w:val="zh-CN" w:bidi="zh-CN"/>
        </w:rPr>
        <w:t>应用软件应具备一套完备的数据管理系统和进程调度系统，以保证系统的安全可靠和整个系统的正常运转</w:t>
      </w:r>
    </w:p>
    <w:p>
      <w:pPr>
        <w:numPr>
          <w:ilvl w:val="0"/>
          <w:numId w:val="61"/>
        </w:numPr>
        <w:autoSpaceDE w:val="0"/>
        <w:autoSpaceDN w:val="0"/>
        <w:spacing w:before="122" w:line="360" w:lineRule="auto"/>
        <w:ind w:left="426" w:right="315" w:firstLine="283"/>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应用软件还应采用参数驱动的设计思想，在应用软件中，凡是不能确定的因素，应做到参数化，以达到通过对参数的设置就可适应不同的情况及不同时期的应用要求，并具备多用户和多任务操作能力。</w:t>
      </w:r>
    </w:p>
    <w:p>
      <w:pPr>
        <w:numPr>
          <w:ilvl w:val="0"/>
          <w:numId w:val="61"/>
        </w:numPr>
        <w:autoSpaceDE w:val="0"/>
        <w:autoSpaceDN w:val="0"/>
        <w:spacing w:before="122" w:line="360" w:lineRule="auto"/>
        <w:ind w:left="426" w:right="315" w:firstLine="283"/>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每个应用的功能由一个应用模块完成，应用模块之间应减少耦合度；应用模块与系统之间采用开放的应用接口（</w:t>
      </w:r>
      <w:r>
        <w:rPr>
          <w:rFonts w:ascii="仿宋" w:hAnsi="仿宋" w:eastAsia="仿宋" w:cs="宋体"/>
          <w:color w:val="auto"/>
          <w:kern w:val="0"/>
          <w:sz w:val="24"/>
          <w:lang w:val="zh-CN" w:bidi="zh-CN"/>
        </w:rPr>
        <w:t>API</w:t>
      </w:r>
      <w:r>
        <w:rPr>
          <w:rFonts w:hint="eastAsia" w:ascii="仿宋" w:hAnsi="仿宋" w:eastAsia="仿宋" w:cs="宋体"/>
          <w:color w:val="auto"/>
          <w:kern w:val="0"/>
          <w:sz w:val="24"/>
          <w:lang w:val="zh-CN" w:bidi="zh-CN"/>
        </w:rPr>
        <w:t>）进行通信；开发人员可灵活开发新的应用模块，并可在不需对原有系统进行重新编译的前提下，动态加载到系统使用。</w:t>
      </w:r>
    </w:p>
    <w:p>
      <w:pPr>
        <w:numPr>
          <w:ilvl w:val="0"/>
          <w:numId w:val="61"/>
        </w:numPr>
        <w:autoSpaceDE w:val="0"/>
        <w:autoSpaceDN w:val="0"/>
        <w:spacing w:before="122" w:line="360" w:lineRule="auto"/>
        <w:ind w:left="426" w:right="315" w:firstLine="283"/>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应用软件必须可制作打包安装盘（包），具有自动安装功能以及网络</w:t>
      </w:r>
      <w:r>
        <w:rPr>
          <w:rFonts w:ascii="仿宋" w:hAnsi="仿宋" w:eastAsia="仿宋" w:cs="宋体"/>
          <w:color w:val="auto"/>
          <w:kern w:val="0"/>
          <w:sz w:val="24"/>
          <w:lang w:val="zh-CN" w:bidi="zh-CN"/>
        </w:rPr>
        <w:t xml:space="preserve"> 远程安装功能。</w:t>
      </w:r>
    </w:p>
    <w:p>
      <w:pPr>
        <w:numPr>
          <w:ilvl w:val="0"/>
          <w:numId w:val="61"/>
        </w:numPr>
        <w:autoSpaceDE w:val="0"/>
        <w:autoSpaceDN w:val="0"/>
        <w:spacing w:before="122" w:line="360" w:lineRule="auto"/>
        <w:ind w:left="426" w:right="315" w:firstLine="283"/>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应用软件要遵循易操作性、健壮性、实用性、高效性和安全性的原则。</w:t>
      </w:r>
    </w:p>
    <w:p>
      <w:pPr>
        <w:numPr>
          <w:ilvl w:val="0"/>
          <w:numId w:val="61"/>
        </w:numPr>
        <w:autoSpaceDE w:val="0"/>
        <w:autoSpaceDN w:val="0"/>
        <w:spacing w:before="122" w:line="360" w:lineRule="auto"/>
        <w:ind w:left="426" w:right="315" w:firstLine="283"/>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灵活设计和详细规划系统操作权限，支持功能级、数据级权限控制，可按原子级业务、业务组件、业务流程分配系统操作权限；支持角色管理，个性化角色工作台展示业务组件、业务图表。</w:t>
      </w:r>
    </w:p>
    <w:p>
      <w:pPr>
        <w:numPr>
          <w:ilvl w:val="0"/>
          <w:numId w:val="61"/>
        </w:numPr>
        <w:autoSpaceDE w:val="0"/>
        <w:autoSpaceDN w:val="0"/>
        <w:spacing w:before="122" w:line="360" w:lineRule="auto"/>
        <w:ind w:left="426" w:right="315" w:firstLine="283"/>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应用软件应具有完整、严谨的操作权限管理机制和日志记录，确保系统的安全性和业务的可稽核性；系统采用业务回退机制，加强业务的可逆性。</w:t>
      </w:r>
    </w:p>
    <w:p>
      <w:pPr>
        <w:spacing w:line="360" w:lineRule="auto"/>
        <w:rPr>
          <w:rFonts w:ascii="仿宋" w:hAnsi="仿宋" w:eastAsia="仿宋"/>
          <w:b/>
          <w:color w:val="auto"/>
          <w:sz w:val="28"/>
          <w:szCs w:val="28"/>
        </w:rPr>
      </w:pPr>
      <w:bookmarkStart w:id="660" w:name="_Toc40908665"/>
      <w:r>
        <w:rPr>
          <w:rFonts w:hint="eastAsia" w:ascii="仿宋" w:hAnsi="仿宋" w:eastAsia="仿宋"/>
          <w:b/>
          <w:color w:val="auto"/>
          <w:sz w:val="28"/>
          <w:szCs w:val="28"/>
        </w:rPr>
        <w:t>10.应用软件说明要求</w:t>
      </w:r>
      <w:bookmarkEnd w:id="660"/>
    </w:p>
    <w:p>
      <w:pPr>
        <w:numPr>
          <w:ilvl w:val="0"/>
          <w:numId w:val="71"/>
        </w:numPr>
        <w:autoSpaceDE w:val="0"/>
        <w:autoSpaceDN w:val="0"/>
        <w:spacing w:before="122" w:line="360" w:lineRule="auto"/>
        <w:ind w:left="426" w:right="315" w:firstLine="283"/>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投标方产品应支持当前主流</w:t>
      </w:r>
      <w:r>
        <w:rPr>
          <w:rFonts w:ascii="仿宋" w:hAnsi="仿宋" w:eastAsia="仿宋" w:cs="宋体"/>
          <w:color w:val="auto"/>
          <w:kern w:val="0"/>
          <w:sz w:val="24"/>
          <w:lang w:val="zh-CN" w:bidi="zh-CN"/>
        </w:rPr>
        <w:t>X86</w:t>
      </w:r>
      <w:r>
        <w:rPr>
          <w:rFonts w:hint="eastAsia" w:ascii="仿宋" w:hAnsi="仿宋" w:eastAsia="仿宋" w:cs="宋体"/>
          <w:color w:val="auto"/>
          <w:kern w:val="0"/>
          <w:sz w:val="24"/>
          <w:lang w:val="zh-CN" w:bidi="zh-CN"/>
        </w:rPr>
        <w:t>服务器和主流操作系统（Linux），支持虚拟化，支持容器（</w:t>
      </w:r>
      <w:r>
        <w:rPr>
          <w:rFonts w:ascii="仿宋" w:hAnsi="仿宋" w:eastAsia="仿宋" w:cs="宋体"/>
          <w:color w:val="auto"/>
          <w:kern w:val="0"/>
          <w:sz w:val="24"/>
          <w:lang w:val="zh-CN" w:bidi="zh-CN"/>
        </w:rPr>
        <w:t>docker</w:t>
      </w:r>
      <w:r>
        <w:rPr>
          <w:rFonts w:hint="eastAsia" w:ascii="仿宋" w:hAnsi="仿宋" w:eastAsia="仿宋" w:cs="宋体"/>
          <w:color w:val="auto"/>
          <w:kern w:val="0"/>
          <w:sz w:val="24"/>
          <w:lang w:val="zh-CN" w:bidi="zh-CN"/>
        </w:rPr>
        <w:t>），支持主流云服务等。</w:t>
      </w:r>
    </w:p>
    <w:p>
      <w:pPr>
        <w:numPr>
          <w:ilvl w:val="0"/>
          <w:numId w:val="71"/>
        </w:numPr>
        <w:autoSpaceDE w:val="0"/>
        <w:autoSpaceDN w:val="0"/>
        <w:spacing w:before="122" w:line="360" w:lineRule="auto"/>
        <w:ind w:left="426" w:right="315" w:firstLine="283"/>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投标方产品应支持当前主流数据库、中间件及云数据库。数据库应支持两种，其中包含一种国产数据库。</w:t>
      </w:r>
    </w:p>
    <w:p>
      <w:pPr>
        <w:spacing w:line="360" w:lineRule="auto"/>
        <w:rPr>
          <w:rFonts w:ascii="仿宋" w:hAnsi="仿宋" w:eastAsia="仿宋"/>
          <w:b/>
          <w:color w:val="auto"/>
          <w:sz w:val="28"/>
          <w:szCs w:val="28"/>
        </w:rPr>
      </w:pPr>
      <w:bookmarkStart w:id="661" w:name="_Toc40908666"/>
      <w:r>
        <w:rPr>
          <w:rFonts w:hint="eastAsia" w:ascii="仿宋" w:hAnsi="仿宋" w:eastAsia="仿宋"/>
          <w:b/>
          <w:color w:val="auto"/>
          <w:sz w:val="28"/>
          <w:szCs w:val="28"/>
        </w:rPr>
        <w:t>11.投标方第三方软件技术要求</w:t>
      </w:r>
      <w:bookmarkEnd w:id="661"/>
    </w:p>
    <w:p>
      <w:pPr>
        <w:tabs>
          <w:tab w:val="left" w:pos="1301"/>
        </w:tabs>
        <w:autoSpaceDE w:val="0"/>
        <w:autoSpaceDN w:val="0"/>
        <w:spacing w:before="122" w:line="360" w:lineRule="auto"/>
        <w:ind w:left="220" w:right="315" w:firstLine="480"/>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投标方原则上须使用招标方所提供的第三方软件，如遇特殊情况，需使用其他第三方软件，在征得招标方同意后，由投标方自行解决。服务要求</w:t>
      </w:r>
    </w:p>
    <w:p>
      <w:pPr>
        <w:spacing w:line="360" w:lineRule="auto"/>
        <w:rPr>
          <w:rFonts w:ascii="仿宋" w:hAnsi="仿宋" w:eastAsia="仿宋"/>
          <w:b/>
          <w:color w:val="auto"/>
          <w:sz w:val="28"/>
          <w:szCs w:val="28"/>
        </w:rPr>
      </w:pPr>
      <w:bookmarkStart w:id="662" w:name="_Toc40908667"/>
      <w:r>
        <w:rPr>
          <w:rFonts w:hint="eastAsia" w:ascii="仿宋" w:hAnsi="仿宋" w:eastAsia="仿宋"/>
          <w:b/>
          <w:color w:val="auto"/>
          <w:sz w:val="28"/>
          <w:szCs w:val="28"/>
        </w:rPr>
        <w:t>12.服务要求</w:t>
      </w:r>
      <w:bookmarkEnd w:id="662"/>
    </w:p>
    <w:p>
      <w:pPr>
        <w:ind w:firstLine="482" w:firstLineChars="200"/>
        <w:rPr>
          <w:rFonts w:ascii="仿宋" w:hAnsi="仿宋" w:eastAsia="仿宋"/>
          <w:b/>
          <w:color w:val="auto"/>
          <w:sz w:val="24"/>
        </w:rPr>
      </w:pPr>
      <w:bookmarkStart w:id="663" w:name="_Toc40908668"/>
      <w:r>
        <w:rPr>
          <w:rFonts w:hint="eastAsia" w:ascii="仿宋" w:hAnsi="仿宋" w:eastAsia="仿宋"/>
          <w:b/>
          <w:color w:val="auto"/>
          <w:sz w:val="24"/>
        </w:rPr>
        <w:t>12.1集成要求</w:t>
      </w:r>
      <w:bookmarkEnd w:id="663"/>
    </w:p>
    <w:p>
      <w:pPr>
        <w:tabs>
          <w:tab w:val="left" w:pos="1301"/>
        </w:tabs>
        <w:autoSpaceDE w:val="0"/>
        <w:autoSpaceDN w:val="0"/>
        <w:spacing w:line="360" w:lineRule="auto"/>
        <w:ind w:left="220" w:right="315" w:firstLine="480"/>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投标方应配合招标方及系统集成商完成支付方式管理子系统的集成工作，包括相关软件部署，系统软件上线运行以及与其他子系统的互联等。并负责完成医保平台对外的全部接口对接、调测。</w:t>
      </w:r>
    </w:p>
    <w:p>
      <w:pPr>
        <w:spacing w:line="360" w:lineRule="auto"/>
        <w:rPr>
          <w:rFonts w:ascii="仿宋" w:hAnsi="仿宋" w:eastAsia="仿宋"/>
          <w:b/>
          <w:color w:val="auto"/>
          <w:sz w:val="28"/>
          <w:szCs w:val="28"/>
        </w:rPr>
      </w:pPr>
      <w:bookmarkStart w:id="664" w:name="_Toc40908669"/>
      <w:r>
        <w:rPr>
          <w:rFonts w:hint="eastAsia" w:ascii="仿宋" w:hAnsi="仿宋" w:eastAsia="仿宋"/>
          <w:b/>
          <w:color w:val="auto"/>
          <w:sz w:val="28"/>
          <w:szCs w:val="28"/>
        </w:rPr>
        <w:t>13.投标方项目管理要求</w:t>
      </w:r>
      <w:bookmarkEnd w:id="664"/>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中标单位须提供本次工程建设的项目管理方案。本包投入技术人员不少于</w:t>
      </w:r>
      <w:r>
        <w:rPr>
          <w:rFonts w:ascii="仿宋" w:hAnsi="仿宋" w:eastAsia="仿宋"/>
          <w:bCs/>
          <w:color w:val="auto"/>
          <w:kern w:val="0"/>
          <w:sz w:val="24"/>
        </w:rPr>
        <w:t>20</w:t>
      </w:r>
      <w:r>
        <w:rPr>
          <w:rFonts w:hint="eastAsia" w:ascii="仿宋" w:hAnsi="仿宋" w:eastAsia="仿宋"/>
          <w:bCs/>
          <w:color w:val="auto"/>
          <w:kern w:val="0"/>
          <w:sz w:val="24"/>
        </w:rPr>
        <w:t>人，包括项目人员名单（中标单位安排的项目人员必须固定，若有替换，必须与招标方协商，未经甲方同意，人员变动扣除项目1%/人，人员超过总人数10%，甲方有权终止项目。此外，中标单位所安排的开发和运维人员必须专职于本项目的开发）及角色分工、项目实施计划、项目变更管理方案以及项目风险管理方案等。投标方应承诺提供现场实施服务。基本要求如下：</w:t>
      </w:r>
    </w:p>
    <w:p>
      <w:pPr>
        <w:numPr>
          <w:ilvl w:val="1"/>
          <w:numId w:val="72"/>
        </w:numPr>
        <w:autoSpaceDE w:val="0"/>
        <w:autoSpaceDN w:val="0"/>
        <w:spacing w:line="360" w:lineRule="auto"/>
        <w:ind w:right="163"/>
        <w:jc w:val="left"/>
        <w:rPr>
          <w:rFonts w:ascii="仿宋" w:hAnsi="仿宋" w:eastAsia="仿宋" w:cs="宋体"/>
          <w:color w:val="auto"/>
          <w:spacing w:val="-4"/>
          <w:kern w:val="0"/>
          <w:sz w:val="24"/>
          <w:lang w:val="zh-CN" w:bidi="zh-CN"/>
        </w:rPr>
      </w:pPr>
      <w:r>
        <w:rPr>
          <w:rFonts w:hint="eastAsia" w:ascii="仿宋" w:hAnsi="仿宋" w:eastAsia="仿宋" w:cs="宋体"/>
          <w:color w:val="auto"/>
          <w:spacing w:val="-4"/>
          <w:kern w:val="0"/>
          <w:sz w:val="24"/>
          <w:lang w:val="zh-CN" w:bidi="zh-CN"/>
        </w:rPr>
        <w:t>项目经理</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具有</w:t>
      </w:r>
      <w:r>
        <w:rPr>
          <w:rFonts w:ascii="仿宋" w:hAnsi="仿宋" w:eastAsia="仿宋" w:cs="TimesNewRomanPSMT"/>
          <w:bCs/>
          <w:color w:val="auto"/>
          <w:kern w:val="0"/>
          <w:sz w:val="24"/>
        </w:rPr>
        <w:t xml:space="preserve">5 </w:t>
      </w:r>
      <w:r>
        <w:rPr>
          <w:rFonts w:hint="eastAsia" w:ascii="仿宋" w:hAnsi="仿宋" w:eastAsia="仿宋"/>
          <w:bCs/>
          <w:color w:val="auto"/>
          <w:kern w:val="0"/>
          <w:sz w:val="24"/>
        </w:rPr>
        <w:t>年以上的信息化规划和建设管理经验，具有信息化总体规划能力，具备省级及以上医疗、医保相关行业项目建设及管理经验，对医疗、医保领域信息化有深入理解，有良好的沟通能力、耐性和综合素质。</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中标单位参与的项目经理负责对</w:t>
      </w:r>
      <w:r>
        <w:rPr>
          <w:rFonts w:hint="eastAsia" w:ascii="仿宋" w:hAnsi="仿宋" w:eastAsia="仿宋" w:cs="宋体"/>
          <w:bCs/>
          <w:color w:val="auto"/>
          <w:kern w:val="0"/>
          <w:sz w:val="24"/>
          <w:lang w:val="zh-CN" w:bidi="zh-CN"/>
        </w:rPr>
        <w:t>支付方式管理子系统</w:t>
      </w:r>
      <w:r>
        <w:rPr>
          <w:rFonts w:hint="eastAsia" w:ascii="仿宋" w:hAnsi="仿宋" w:eastAsia="仿宋"/>
          <w:bCs/>
          <w:color w:val="auto"/>
          <w:kern w:val="0"/>
          <w:sz w:val="24"/>
        </w:rPr>
        <w:t>的项目管理工作。</w:t>
      </w:r>
    </w:p>
    <w:p>
      <w:pPr>
        <w:autoSpaceDE w:val="0"/>
        <w:autoSpaceDN w:val="0"/>
        <w:spacing w:line="360" w:lineRule="auto"/>
        <w:ind w:right="305" w:firstLine="420"/>
        <w:jc w:val="left"/>
        <w:rPr>
          <w:rFonts w:ascii="仿宋" w:hAnsi="仿宋" w:eastAsia="仿宋" w:cs="宋体"/>
          <w:color w:val="auto"/>
          <w:spacing w:val="-4"/>
          <w:kern w:val="0"/>
          <w:sz w:val="24"/>
          <w:lang w:val="zh-CN" w:bidi="zh-CN"/>
        </w:rPr>
      </w:pPr>
      <w:r>
        <w:rPr>
          <w:rFonts w:hint="eastAsia" w:ascii="仿宋" w:hAnsi="仿宋" w:eastAsia="仿宋" w:cs="宋体"/>
          <w:color w:val="auto"/>
          <w:spacing w:val="-4"/>
          <w:kern w:val="0"/>
          <w:sz w:val="24"/>
          <w:lang w:val="zh-CN" w:bidi="zh-CN"/>
        </w:rPr>
        <w:t>（2）需求分析阶段要求</w:t>
      </w:r>
    </w:p>
    <w:p>
      <w:pPr>
        <w:tabs>
          <w:tab w:val="left" w:pos="1301"/>
        </w:tabs>
        <w:autoSpaceDE w:val="0"/>
        <w:autoSpaceDN w:val="0"/>
        <w:spacing w:before="122" w:line="360" w:lineRule="auto"/>
        <w:ind w:left="220" w:right="315" w:firstLine="480"/>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中标单位须与海南省医疗保障局相关人员充分沟通，掌握本项目的需求。</w:t>
      </w:r>
    </w:p>
    <w:p>
      <w:pPr>
        <w:widowControl/>
        <w:numPr>
          <w:ilvl w:val="0"/>
          <w:numId w:val="63"/>
        </w:numPr>
        <w:adjustRightInd w:val="0"/>
        <w:spacing w:line="360" w:lineRule="auto"/>
        <w:jc w:val="left"/>
        <w:textAlignment w:val="baseline"/>
        <w:rPr>
          <w:rFonts w:ascii="仿宋" w:hAnsi="仿宋" w:eastAsia="仿宋"/>
          <w:bCs/>
          <w:color w:val="auto"/>
          <w:kern w:val="0"/>
          <w:sz w:val="24"/>
        </w:rPr>
      </w:pPr>
      <w:r>
        <w:rPr>
          <w:rFonts w:hint="eastAsia" w:ascii="仿宋" w:hAnsi="仿宋" w:eastAsia="仿宋"/>
          <w:bCs/>
          <w:color w:val="auto"/>
          <w:kern w:val="0"/>
          <w:sz w:val="24"/>
        </w:rPr>
        <w:t>中标单位参与人员数量，针对</w:t>
      </w:r>
      <w:r>
        <w:rPr>
          <w:rFonts w:hint="eastAsia" w:ascii="仿宋" w:hAnsi="仿宋" w:eastAsia="仿宋" w:cs="宋体"/>
          <w:bCs/>
          <w:color w:val="auto"/>
          <w:kern w:val="0"/>
          <w:sz w:val="24"/>
          <w:lang w:val="zh-CN" w:bidi="zh-CN"/>
        </w:rPr>
        <w:t>支付方式管理子系统</w:t>
      </w:r>
      <w:r>
        <w:rPr>
          <w:rFonts w:hint="eastAsia" w:ascii="仿宋" w:hAnsi="仿宋" w:eastAsia="仿宋"/>
          <w:bCs/>
          <w:color w:val="auto"/>
          <w:kern w:val="0"/>
          <w:sz w:val="24"/>
        </w:rPr>
        <w:t>：总数不少于 7人。</w:t>
      </w:r>
    </w:p>
    <w:p>
      <w:pPr>
        <w:widowControl/>
        <w:numPr>
          <w:ilvl w:val="0"/>
          <w:numId w:val="63"/>
        </w:numPr>
        <w:adjustRightInd w:val="0"/>
        <w:spacing w:line="360" w:lineRule="auto"/>
        <w:jc w:val="left"/>
        <w:textAlignment w:val="baseline"/>
        <w:rPr>
          <w:rFonts w:ascii="仿宋" w:hAnsi="仿宋" w:eastAsia="仿宋"/>
          <w:bCs/>
          <w:color w:val="auto"/>
          <w:kern w:val="0"/>
          <w:sz w:val="24"/>
        </w:rPr>
      </w:pPr>
      <w:r>
        <w:rPr>
          <w:rFonts w:hint="eastAsia" w:ascii="仿宋" w:hAnsi="仿宋" w:eastAsia="仿宋"/>
          <w:bCs/>
          <w:color w:val="auto"/>
          <w:kern w:val="0"/>
          <w:sz w:val="24"/>
        </w:rPr>
        <w:t>投标方至少需提交的文档：业务需求调研报告、应用系统需求分析规格说明书。</w:t>
      </w:r>
    </w:p>
    <w:p>
      <w:pPr>
        <w:numPr>
          <w:ilvl w:val="0"/>
          <w:numId w:val="72"/>
        </w:numPr>
        <w:autoSpaceDE w:val="0"/>
        <w:autoSpaceDN w:val="0"/>
        <w:spacing w:line="360" w:lineRule="auto"/>
        <w:ind w:right="305"/>
        <w:jc w:val="left"/>
        <w:rPr>
          <w:rFonts w:ascii="仿宋" w:hAnsi="仿宋" w:eastAsia="仿宋" w:cs="宋体"/>
          <w:color w:val="auto"/>
          <w:spacing w:val="-4"/>
          <w:kern w:val="0"/>
          <w:sz w:val="24"/>
          <w:lang w:val="zh-CN" w:bidi="zh-CN"/>
        </w:rPr>
      </w:pPr>
      <w:r>
        <w:rPr>
          <w:rFonts w:hint="eastAsia" w:ascii="仿宋" w:hAnsi="仿宋" w:eastAsia="仿宋" w:cs="宋体"/>
          <w:color w:val="auto"/>
          <w:spacing w:val="-4"/>
          <w:kern w:val="0"/>
          <w:sz w:val="24"/>
          <w:lang w:val="zh-CN" w:bidi="zh-CN"/>
        </w:rPr>
        <w:t>系统设计研发阶段要求：</w:t>
      </w:r>
    </w:p>
    <w:p>
      <w:pPr>
        <w:widowControl/>
        <w:numPr>
          <w:ilvl w:val="0"/>
          <w:numId w:val="64"/>
        </w:numPr>
        <w:adjustRightInd w:val="0"/>
        <w:spacing w:line="360" w:lineRule="auto"/>
        <w:jc w:val="left"/>
        <w:textAlignment w:val="baseline"/>
        <w:rPr>
          <w:rFonts w:ascii="仿宋" w:hAnsi="仿宋" w:eastAsia="仿宋"/>
          <w:bCs/>
          <w:color w:val="auto"/>
          <w:kern w:val="0"/>
          <w:sz w:val="24"/>
        </w:rPr>
      </w:pPr>
      <w:r>
        <w:rPr>
          <w:rFonts w:hint="eastAsia" w:ascii="仿宋" w:hAnsi="仿宋" w:eastAsia="仿宋"/>
          <w:bCs/>
          <w:color w:val="auto"/>
          <w:kern w:val="0"/>
          <w:sz w:val="24"/>
        </w:rPr>
        <w:t>中标单位参与人员数量，针对支付方式管理子系统：总数不少于 10人。</w:t>
      </w:r>
    </w:p>
    <w:p>
      <w:pPr>
        <w:widowControl/>
        <w:numPr>
          <w:ilvl w:val="0"/>
          <w:numId w:val="64"/>
        </w:numPr>
        <w:adjustRightInd w:val="0"/>
        <w:spacing w:line="360" w:lineRule="auto"/>
        <w:jc w:val="left"/>
        <w:textAlignment w:val="baseline"/>
        <w:rPr>
          <w:rFonts w:ascii="仿宋" w:hAnsi="仿宋" w:eastAsia="仿宋"/>
          <w:bCs/>
          <w:color w:val="auto"/>
          <w:kern w:val="0"/>
          <w:sz w:val="24"/>
        </w:rPr>
      </w:pPr>
      <w:r>
        <w:rPr>
          <w:rFonts w:hint="eastAsia" w:ascii="仿宋" w:hAnsi="仿宋" w:eastAsia="仿宋"/>
          <w:bCs/>
          <w:color w:val="auto"/>
          <w:kern w:val="0"/>
          <w:sz w:val="24"/>
        </w:rPr>
        <w:t>投标方至少需提交的文档：系统架构设计说明书，系统详细设计说明书，数据库设计说明书，各软件功能模块、流程、数据、接口模块的详细说明及内部测试报告。</w:t>
      </w:r>
    </w:p>
    <w:p>
      <w:pPr>
        <w:autoSpaceDE w:val="0"/>
        <w:autoSpaceDN w:val="0"/>
        <w:spacing w:line="360" w:lineRule="auto"/>
        <w:ind w:right="305" w:firstLine="420"/>
        <w:jc w:val="left"/>
        <w:rPr>
          <w:rFonts w:ascii="仿宋" w:hAnsi="仿宋" w:eastAsia="仿宋" w:cs="宋体"/>
          <w:color w:val="auto"/>
          <w:spacing w:val="-4"/>
          <w:kern w:val="0"/>
          <w:sz w:val="24"/>
          <w:lang w:val="zh-CN" w:bidi="zh-CN"/>
        </w:rPr>
      </w:pPr>
      <w:r>
        <w:rPr>
          <w:rFonts w:hint="eastAsia" w:ascii="仿宋" w:hAnsi="仿宋" w:eastAsia="仿宋" w:cs="宋体"/>
          <w:color w:val="auto"/>
          <w:spacing w:val="-4"/>
          <w:kern w:val="0"/>
          <w:sz w:val="24"/>
          <w:lang w:val="zh-CN" w:bidi="zh-CN"/>
        </w:rPr>
        <w:t>（4）系统测试阶段要求：</w:t>
      </w:r>
    </w:p>
    <w:p>
      <w:pPr>
        <w:widowControl/>
        <w:numPr>
          <w:ilvl w:val="0"/>
          <w:numId w:val="65"/>
        </w:numPr>
        <w:adjustRightInd w:val="0"/>
        <w:spacing w:line="360" w:lineRule="auto"/>
        <w:jc w:val="left"/>
        <w:textAlignment w:val="baseline"/>
        <w:rPr>
          <w:rFonts w:ascii="仿宋" w:hAnsi="仿宋" w:eastAsia="仿宋"/>
          <w:bCs/>
          <w:color w:val="auto"/>
          <w:kern w:val="0"/>
          <w:sz w:val="24"/>
        </w:rPr>
      </w:pPr>
      <w:r>
        <w:rPr>
          <w:rFonts w:hint="eastAsia" w:ascii="仿宋" w:hAnsi="仿宋" w:eastAsia="仿宋"/>
          <w:bCs/>
          <w:color w:val="auto"/>
          <w:kern w:val="0"/>
          <w:sz w:val="24"/>
        </w:rPr>
        <w:t>中标单位参与人员数量，针对支付方式管理子系统：总数不少于10人。</w:t>
      </w:r>
    </w:p>
    <w:p>
      <w:pPr>
        <w:widowControl/>
        <w:numPr>
          <w:ilvl w:val="0"/>
          <w:numId w:val="65"/>
        </w:numPr>
        <w:adjustRightInd w:val="0"/>
        <w:spacing w:line="360" w:lineRule="auto"/>
        <w:jc w:val="left"/>
        <w:textAlignment w:val="baseline"/>
        <w:rPr>
          <w:rFonts w:ascii="仿宋" w:hAnsi="仿宋" w:eastAsia="仿宋"/>
          <w:bCs/>
          <w:color w:val="auto"/>
          <w:kern w:val="0"/>
          <w:sz w:val="24"/>
        </w:rPr>
      </w:pPr>
      <w:r>
        <w:rPr>
          <w:rFonts w:hint="eastAsia" w:ascii="仿宋" w:hAnsi="仿宋" w:eastAsia="仿宋"/>
          <w:bCs/>
          <w:color w:val="auto"/>
          <w:kern w:val="0"/>
          <w:sz w:val="24"/>
        </w:rPr>
        <w:t>投标方至少需提交的文档：测试方案、测试过程文档、系统整体测试报告。</w:t>
      </w:r>
    </w:p>
    <w:p>
      <w:pPr>
        <w:autoSpaceDE w:val="0"/>
        <w:autoSpaceDN w:val="0"/>
        <w:spacing w:line="360" w:lineRule="auto"/>
        <w:ind w:right="305" w:firstLine="420"/>
        <w:jc w:val="left"/>
        <w:rPr>
          <w:rFonts w:ascii="仿宋" w:hAnsi="仿宋" w:eastAsia="仿宋" w:cs="宋体"/>
          <w:color w:val="auto"/>
          <w:spacing w:val="-4"/>
          <w:kern w:val="0"/>
          <w:sz w:val="24"/>
          <w:lang w:val="zh-CN" w:bidi="zh-CN"/>
        </w:rPr>
      </w:pPr>
      <w:r>
        <w:rPr>
          <w:rFonts w:hint="eastAsia" w:ascii="仿宋" w:hAnsi="仿宋" w:eastAsia="仿宋" w:cs="宋体"/>
          <w:color w:val="auto"/>
          <w:spacing w:val="-4"/>
          <w:kern w:val="0"/>
          <w:sz w:val="24"/>
          <w:lang w:val="zh-CN" w:bidi="zh-CN"/>
        </w:rPr>
        <w:t>（5</w:t>
      </w:r>
      <w:r>
        <w:rPr>
          <w:rFonts w:ascii="仿宋" w:hAnsi="仿宋" w:eastAsia="仿宋" w:cs="宋体"/>
          <w:color w:val="auto"/>
          <w:spacing w:val="-4"/>
          <w:kern w:val="0"/>
          <w:sz w:val="24"/>
          <w:lang w:val="zh-CN" w:bidi="zh-CN"/>
        </w:rPr>
        <w:t>）</w:t>
      </w:r>
      <w:r>
        <w:rPr>
          <w:rFonts w:hint="eastAsia" w:ascii="仿宋" w:hAnsi="仿宋" w:eastAsia="仿宋" w:cs="宋体"/>
          <w:color w:val="auto"/>
          <w:spacing w:val="-4"/>
          <w:kern w:val="0"/>
          <w:sz w:val="24"/>
          <w:lang w:val="zh-CN" w:bidi="zh-CN"/>
        </w:rPr>
        <w:t>系统实施阶段要求</w:t>
      </w:r>
      <w:r>
        <w:rPr>
          <w:rFonts w:hint="eastAsia" w:ascii="仿宋" w:hAnsi="仿宋" w:eastAsia="仿宋"/>
          <w:color w:val="auto"/>
          <w:sz w:val="24"/>
        </w:rPr>
        <w:t>：</w:t>
      </w:r>
    </w:p>
    <w:p>
      <w:pPr>
        <w:widowControl/>
        <w:numPr>
          <w:ilvl w:val="0"/>
          <w:numId w:val="66"/>
        </w:numPr>
        <w:adjustRightInd w:val="0"/>
        <w:spacing w:line="360" w:lineRule="auto"/>
        <w:jc w:val="left"/>
        <w:textAlignment w:val="baseline"/>
        <w:rPr>
          <w:rFonts w:ascii="仿宋" w:hAnsi="仿宋" w:eastAsia="仿宋"/>
          <w:bCs/>
          <w:color w:val="auto"/>
          <w:kern w:val="0"/>
          <w:sz w:val="24"/>
        </w:rPr>
      </w:pPr>
      <w:r>
        <w:rPr>
          <w:rFonts w:hint="eastAsia" w:ascii="仿宋" w:hAnsi="仿宋" w:eastAsia="仿宋"/>
          <w:bCs/>
          <w:color w:val="auto"/>
          <w:kern w:val="0"/>
          <w:sz w:val="24"/>
        </w:rPr>
        <w:t>中标单位驻场参与人员数量，针对支付方式管理子系统：总数不少于10人。</w:t>
      </w:r>
    </w:p>
    <w:p>
      <w:pPr>
        <w:widowControl/>
        <w:numPr>
          <w:ilvl w:val="0"/>
          <w:numId w:val="66"/>
        </w:numPr>
        <w:adjustRightInd w:val="0"/>
        <w:spacing w:line="360" w:lineRule="auto"/>
        <w:jc w:val="left"/>
        <w:textAlignment w:val="baseline"/>
        <w:rPr>
          <w:rFonts w:ascii="仿宋" w:hAnsi="仿宋" w:eastAsia="仿宋"/>
          <w:bCs/>
          <w:color w:val="auto"/>
          <w:kern w:val="0"/>
          <w:sz w:val="24"/>
        </w:rPr>
      </w:pPr>
      <w:r>
        <w:rPr>
          <w:rFonts w:hint="eastAsia" w:ascii="仿宋" w:hAnsi="仿宋" w:eastAsia="仿宋"/>
          <w:bCs/>
          <w:color w:val="auto"/>
          <w:kern w:val="0"/>
          <w:sz w:val="24"/>
        </w:rPr>
        <w:t>投标方至少需提交的文档：系统实施计划、过程文档、试运行报告。</w:t>
      </w:r>
    </w:p>
    <w:p>
      <w:pPr>
        <w:autoSpaceDE w:val="0"/>
        <w:autoSpaceDN w:val="0"/>
        <w:spacing w:line="360" w:lineRule="auto"/>
        <w:ind w:right="305" w:firstLine="420"/>
        <w:jc w:val="left"/>
        <w:rPr>
          <w:rFonts w:ascii="仿宋" w:hAnsi="仿宋" w:eastAsia="仿宋" w:cs="宋体"/>
          <w:color w:val="auto"/>
          <w:spacing w:val="-4"/>
          <w:kern w:val="0"/>
          <w:sz w:val="24"/>
          <w:lang w:val="zh-CN" w:bidi="zh-CN"/>
        </w:rPr>
      </w:pPr>
      <w:r>
        <w:rPr>
          <w:rFonts w:hint="eastAsia" w:ascii="仿宋" w:hAnsi="仿宋" w:eastAsia="仿宋" w:cs="宋体"/>
          <w:color w:val="auto"/>
          <w:spacing w:val="-4"/>
          <w:kern w:val="0"/>
          <w:sz w:val="24"/>
          <w:lang w:val="zh-CN" w:bidi="zh-CN"/>
        </w:rPr>
        <w:t>（6）驻场服务</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本项目运维期内需提供至少7</w:t>
      </w:r>
      <w:r>
        <w:rPr>
          <w:rFonts w:ascii="仿宋" w:hAnsi="仿宋" w:eastAsia="仿宋"/>
          <w:bCs/>
          <w:color w:val="auto"/>
          <w:kern w:val="0"/>
          <w:sz w:val="24"/>
        </w:rPr>
        <w:t>名本项目专职长期驻场工程师，驻场工程师工作量不额外计费，驻场工程师具备本系统进行修改、 调整能力，并按客户要求调整本系统（包括驻场工程师工作量内的新需求）。</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人员要求：驻场负责人具有</w:t>
      </w:r>
      <w:r>
        <w:rPr>
          <w:rFonts w:ascii="仿宋" w:hAnsi="仿宋" w:eastAsia="仿宋"/>
          <w:bCs/>
          <w:color w:val="auto"/>
          <w:kern w:val="0"/>
          <w:sz w:val="24"/>
        </w:rPr>
        <w:t>5年以上的</w:t>
      </w:r>
      <w:r>
        <w:rPr>
          <w:rFonts w:hint="eastAsia" w:ascii="仿宋" w:hAnsi="仿宋" w:eastAsia="仿宋"/>
          <w:bCs/>
          <w:color w:val="auto"/>
          <w:kern w:val="0"/>
          <w:sz w:val="24"/>
        </w:rPr>
        <w:t>医保</w:t>
      </w:r>
      <w:r>
        <w:rPr>
          <w:rFonts w:ascii="仿宋" w:hAnsi="仿宋" w:eastAsia="仿宋"/>
          <w:bCs/>
          <w:color w:val="auto"/>
          <w:kern w:val="0"/>
          <w:sz w:val="24"/>
        </w:rPr>
        <w:t>相关领域信息化研发</w:t>
      </w:r>
      <w:r>
        <w:rPr>
          <w:rFonts w:hint="eastAsia" w:ascii="仿宋" w:hAnsi="仿宋" w:eastAsia="仿宋"/>
          <w:bCs/>
          <w:color w:val="auto"/>
          <w:kern w:val="0"/>
          <w:sz w:val="24"/>
        </w:rPr>
        <w:t>或实施维护</w:t>
      </w:r>
      <w:r>
        <w:rPr>
          <w:rFonts w:ascii="仿宋" w:hAnsi="仿宋" w:eastAsia="仿宋"/>
          <w:bCs/>
          <w:color w:val="auto"/>
          <w:kern w:val="0"/>
          <w:sz w:val="24"/>
        </w:rPr>
        <w:t>经验，对</w:t>
      </w:r>
      <w:r>
        <w:rPr>
          <w:rFonts w:hint="eastAsia" w:ascii="仿宋" w:hAnsi="仿宋" w:eastAsia="仿宋"/>
          <w:bCs/>
          <w:color w:val="auto"/>
          <w:kern w:val="0"/>
          <w:sz w:val="24"/>
        </w:rPr>
        <w:t>医保</w:t>
      </w:r>
      <w:r>
        <w:rPr>
          <w:rFonts w:ascii="仿宋" w:hAnsi="仿宋" w:eastAsia="仿宋"/>
          <w:bCs/>
          <w:color w:val="auto"/>
          <w:kern w:val="0"/>
          <w:sz w:val="24"/>
        </w:rPr>
        <w:t>相关领域信息化有深入理解，有良好的沟通能力、 耐性和综合素质。</w:t>
      </w:r>
    </w:p>
    <w:p>
      <w:pPr>
        <w:numPr>
          <w:ilvl w:val="0"/>
          <w:numId w:val="73"/>
        </w:numPr>
        <w:autoSpaceDE w:val="0"/>
        <w:autoSpaceDN w:val="0"/>
        <w:spacing w:line="360" w:lineRule="auto"/>
        <w:ind w:right="305"/>
        <w:jc w:val="left"/>
        <w:rPr>
          <w:rFonts w:ascii="仿宋" w:hAnsi="仿宋" w:eastAsia="仿宋" w:cs="宋体"/>
          <w:color w:val="auto"/>
          <w:spacing w:val="-4"/>
          <w:kern w:val="0"/>
          <w:sz w:val="24"/>
          <w:lang w:val="zh-CN" w:bidi="zh-CN"/>
        </w:rPr>
      </w:pPr>
      <w:r>
        <w:rPr>
          <w:rFonts w:hint="eastAsia" w:ascii="仿宋" w:hAnsi="仿宋" w:eastAsia="仿宋" w:cs="宋体"/>
          <w:color w:val="auto"/>
          <w:spacing w:val="-4"/>
          <w:kern w:val="0"/>
          <w:sz w:val="24"/>
          <w:lang w:val="zh-CN" w:bidi="zh-CN"/>
        </w:rPr>
        <w:t>系统优化服务</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本项目运维期内至少每半年进行一次系统性数据梳理和整体优化，确保数据</w:t>
      </w:r>
      <w:r>
        <w:rPr>
          <w:rFonts w:ascii="仿宋" w:hAnsi="仿宋" w:eastAsia="仿宋"/>
          <w:bCs/>
          <w:color w:val="auto"/>
          <w:kern w:val="0"/>
          <w:sz w:val="24"/>
        </w:rPr>
        <w:t>管理效率。</w:t>
      </w:r>
    </w:p>
    <w:p>
      <w:pPr>
        <w:numPr>
          <w:ilvl w:val="0"/>
          <w:numId w:val="73"/>
        </w:numPr>
        <w:autoSpaceDE w:val="0"/>
        <w:autoSpaceDN w:val="0"/>
        <w:spacing w:line="360" w:lineRule="auto"/>
        <w:ind w:right="305"/>
        <w:jc w:val="left"/>
        <w:rPr>
          <w:rFonts w:ascii="仿宋" w:hAnsi="仿宋" w:eastAsia="仿宋" w:cs="宋体"/>
          <w:color w:val="auto"/>
          <w:spacing w:val="-4"/>
          <w:kern w:val="0"/>
          <w:sz w:val="24"/>
          <w:lang w:val="zh-CN" w:bidi="zh-CN"/>
        </w:rPr>
      </w:pPr>
      <w:r>
        <w:rPr>
          <w:rFonts w:hint="eastAsia" w:ascii="仿宋" w:hAnsi="仿宋" w:eastAsia="仿宋" w:cs="宋体"/>
          <w:color w:val="auto"/>
          <w:spacing w:val="-4"/>
          <w:kern w:val="0"/>
          <w:sz w:val="24"/>
          <w:lang w:val="zh-CN" w:bidi="zh-CN"/>
        </w:rPr>
        <w:t>保密内容</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投标方需在投标文件中明确，本项目中数据（包含原始数据和衍生数据）全部为招标方所有，全部列入保密范围，投标方不得未经用户许可的情况下导出、分析以及移作他用。</w:t>
      </w:r>
    </w:p>
    <w:p>
      <w:pPr>
        <w:autoSpaceDE w:val="0"/>
        <w:autoSpaceDN w:val="0"/>
        <w:spacing w:line="360" w:lineRule="auto"/>
        <w:ind w:right="305" w:firstLine="420"/>
        <w:jc w:val="left"/>
        <w:rPr>
          <w:rFonts w:ascii="仿宋" w:hAnsi="仿宋" w:eastAsia="仿宋" w:cs="宋体"/>
          <w:color w:val="auto"/>
          <w:spacing w:val="-4"/>
          <w:kern w:val="0"/>
          <w:sz w:val="24"/>
          <w:lang w:val="zh-CN" w:bidi="zh-CN"/>
        </w:rPr>
      </w:pPr>
      <w:r>
        <w:rPr>
          <w:rFonts w:hint="eastAsia" w:ascii="仿宋" w:hAnsi="仿宋" w:eastAsia="仿宋" w:cs="宋体"/>
          <w:color w:val="auto"/>
          <w:spacing w:val="-4"/>
          <w:kern w:val="0"/>
          <w:sz w:val="24"/>
          <w:lang w:val="zh-CN" w:bidi="zh-CN"/>
        </w:rPr>
        <w:t>（9）源代码和产权要求</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投标方需在投标文件中明确，本项目中的全部源代码（不包含既有知识产权</w:t>
      </w:r>
      <w:r>
        <w:rPr>
          <w:rFonts w:ascii="仿宋" w:hAnsi="仿宋" w:eastAsia="仿宋"/>
          <w:bCs/>
          <w:color w:val="auto"/>
          <w:kern w:val="0"/>
          <w:sz w:val="24"/>
        </w:rPr>
        <w:t>类和工具）和知识产权全部为招标方所有，投标方需在合作期间及合作终止后 5 年内，在招标方提出要求的 3 天内无条件提供本项目源代码。</w:t>
      </w:r>
    </w:p>
    <w:p>
      <w:pPr>
        <w:spacing w:line="360" w:lineRule="auto"/>
        <w:rPr>
          <w:rFonts w:ascii="仿宋" w:hAnsi="仿宋" w:eastAsia="仿宋"/>
          <w:b/>
          <w:color w:val="auto"/>
          <w:sz w:val="28"/>
          <w:szCs w:val="28"/>
        </w:rPr>
      </w:pPr>
      <w:bookmarkStart w:id="665" w:name="_Toc40908670"/>
      <w:r>
        <w:rPr>
          <w:rFonts w:hint="eastAsia" w:ascii="仿宋" w:hAnsi="仿宋" w:eastAsia="仿宋"/>
          <w:b/>
          <w:color w:val="auto"/>
          <w:sz w:val="28"/>
          <w:szCs w:val="28"/>
        </w:rPr>
        <w:t>14.培训要求</w:t>
      </w:r>
      <w:bookmarkEnd w:id="665"/>
    </w:p>
    <w:p>
      <w:pPr>
        <w:autoSpaceDE w:val="0"/>
        <w:autoSpaceDN w:val="0"/>
        <w:spacing w:line="360" w:lineRule="auto"/>
        <w:ind w:firstLine="464" w:firstLineChars="200"/>
        <w:jc w:val="left"/>
        <w:rPr>
          <w:rFonts w:ascii="仿宋" w:hAnsi="仿宋" w:eastAsia="仿宋" w:cs="宋体"/>
          <w:color w:val="auto"/>
          <w:spacing w:val="-4"/>
          <w:kern w:val="0"/>
          <w:sz w:val="24"/>
          <w:lang w:val="zh-CN" w:bidi="zh-CN"/>
        </w:rPr>
      </w:pPr>
      <w:r>
        <w:rPr>
          <w:rFonts w:hint="eastAsia" w:ascii="仿宋" w:hAnsi="仿宋" w:eastAsia="仿宋" w:cs="宋体"/>
          <w:color w:val="auto"/>
          <w:spacing w:val="-4"/>
          <w:kern w:val="0"/>
          <w:sz w:val="24"/>
          <w:lang w:val="zh-CN" w:bidi="zh-CN"/>
        </w:rPr>
        <w:t>（1）对项目相关其它承建商人员的培训</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与本项目有关联的其它系统中标单位，对其相关人员进行系统培训。</w:t>
      </w:r>
    </w:p>
    <w:p>
      <w:pPr>
        <w:autoSpaceDE w:val="0"/>
        <w:autoSpaceDN w:val="0"/>
        <w:spacing w:line="360" w:lineRule="auto"/>
        <w:ind w:firstLine="464" w:firstLineChars="200"/>
        <w:jc w:val="left"/>
        <w:rPr>
          <w:rFonts w:ascii="仿宋" w:hAnsi="仿宋" w:eastAsia="仿宋" w:cs="宋体"/>
          <w:color w:val="auto"/>
          <w:spacing w:val="-4"/>
          <w:kern w:val="0"/>
          <w:sz w:val="24"/>
          <w:lang w:val="zh-CN" w:bidi="zh-CN"/>
        </w:rPr>
      </w:pPr>
      <w:r>
        <w:rPr>
          <w:rFonts w:hint="eastAsia" w:ascii="仿宋" w:hAnsi="仿宋" w:eastAsia="仿宋" w:cs="宋体"/>
          <w:color w:val="auto"/>
          <w:spacing w:val="-4"/>
          <w:kern w:val="0"/>
          <w:sz w:val="24"/>
          <w:lang w:val="zh-CN" w:bidi="zh-CN"/>
        </w:rPr>
        <w:t>（2）对应用部门各级系统应用人员的培训</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使之能够了解信息系统的建设思想、主要功能和操作规程，能够熟练应用这一系统辅助开展工作，并能结合实际工作需要提出各种改进意见。根据人员对系统的使用特点不同，对应用人员的培训分为两个层次：</w:t>
      </w:r>
    </w:p>
    <w:p>
      <w:pPr>
        <w:widowControl/>
        <w:numPr>
          <w:ilvl w:val="0"/>
          <w:numId w:val="46"/>
        </w:numPr>
        <w:adjustRightInd w:val="0"/>
        <w:spacing w:line="360" w:lineRule="auto"/>
        <w:ind w:left="0"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对领导培训的主要目的是使有关主管领导对系统有一定的了解，同时能够应用系统进行决策、指挥工作；</w:t>
      </w:r>
    </w:p>
    <w:p>
      <w:pPr>
        <w:widowControl/>
        <w:numPr>
          <w:ilvl w:val="0"/>
          <w:numId w:val="46"/>
        </w:numPr>
        <w:adjustRightInd w:val="0"/>
        <w:spacing w:line="360" w:lineRule="auto"/>
        <w:ind w:left="0"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对其他应用人员的培训，主要使他们在各业务环境下能够很好地利用系统完成相应的专业工作，提高工作效率，提高信息的准确性和全面性。</w:t>
      </w:r>
    </w:p>
    <w:p>
      <w:pPr>
        <w:autoSpaceDE w:val="0"/>
        <w:autoSpaceDN w:val="0"/>
        <w:spacing w:line="360" w:lineRule="auto"/>
        <w:ind w:firstLine="464" w:firstLineChars="200"/>
        <w:jc w:val="left"/>
        <w:rPr>
          <w:rFonts w:ascii="仿宋" w:hAnsi="仿宋" w:eastAsia="仿宋" w:cs="宋体"/>
          <w:color w:val="auto"/>
          <w:spacing w:val="-4"/>
          <w:kern w:val="0"/>
          <w:sz w:val="24"/>
          <w:lang w:val="zh-CN" w:bidi="zh-CN"/>
        </w:rPr>
      </w:pPr>
      <w:r>
        <w:rPr>
          <w:rFonts w:hint="eastAsia" w:ascii="仿宋" w:hAnsi="仿宋" w:eastAsia="仿宋" w:cs="宋体"/>
          <w:color w:val="auto"/>
          <w:spacing w:val="-4"/>
          <w:kern w:val="0"/>
          <w:sz w:val="24"/>
          <w:lang w:val="zh-CN" w:bidi="zh-CN"/>
        </w:rPr>
        <w:t>（3）系统运行维护人员的培训</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运维人员培训主要包括以下几个方面：系统整体知识培训、业务系统培训等。通过培训使项目运维队伍能够充分了解本项目。</w:t>
      </w:r>
    </w:p>
    <w:p>
      <w:pPr>
        <w:spacing w:line="360" w:lineRule="auto"/>
        <w:rPr>
          <w:rFonts w:ascii="仿宋" w:hAnsi="仿宋" w:eastAsia="仿宋"/>
          <w:b/>
          <w:color w:val="auto"/>
          <w:sz w:val="28"/>
          <w:szCs w:val="28"/>
        </w:rPr>
      </w:pPr>
      <w:bookmarkStart w:id="666" w:name="_Toc40908671"/>
      <w:r>
        <w:rPr>
          <w:rFonts w:hint="eastAsia" w:ascii="仿宋" w:hAnsi="仿宋" w:eastAsia="仿宋"/>
          <w:b/>
          <w:color w:val="auto"/>
          <w:sz w:val="28"/>
          <w:szCs w:val="28"/>
        </w:rPr>
        <w:t>15.维护及技术支持要求</w:t>
      </w:r>
      <w:bookmarkEnd w:id="666"/>
    </w:p>
    <w:p>
      <w:pPr>
        <w:numPr>
          <w:ilvl w:val="0"/>
          <w:numId w:val="67"/>
        </w:numPr>
        <w:spacing w:line="360" w:lineRule="auto"/>
        <w:ind w:left="0" w:firstLine="480" w:firstLineChars="200"/>
        <w:rPr>
          <w:rFonts w:ascii="仿宋" w:hAnsi="仿宋" w:eastAsia="仿宋"/>
          <w:color w:val="auto"/>
          <w:sz w:val="24"/>
        </w:rPr>
      </w:pPr>
      <w:r>
        <w:rPr>
          <w:rFonts w:hint="eastAsia" w:ascii="仿宋" w:hAnsi="仿宋" w:eastAsia="仿宋"/>
          <w:color w:val="auto"/>
          <w:sz w:val="24"/>
        </w:rPr>
        <w:t>针对所有软件，中标单位应提供项目终验合格后2年的免费运维服务。</w:t>
      </w:r>
    </w:p>
    <w:p>
      <w:pPr>
        <w:numPr>
          <w:ilvl w:val="0"/>
          <w:numId w:val="67"/>
        </w:numPr>
        <w:spacing w:line="360" w:lineRule="auto"/>
        <w:ind w:left="0" w:firstLine="480" w:firstLineChars="200"/>
        <w:rPr>
          <w:rFonts w:ascii="仿宋" w:hAnsi="仿宋" w:eastAsia="仿宋"/>
          <w:color w:val="auto"/>
          <w:sz w:val="24"/>
        </w:rPr>
      </w:pPr>
      <w:r>
        <w:rPr>
          <w:rFonts w:hint="eastAsia" w:ascii="仿宋" w:hAnsi="仿宋" w:eastAsia="仿宋"/>
          <w:color w:val="auto"/>
          <w:sz w:val="24"/>
        </w:rPr>
        <w:t>在软件运维期内，中标单位应提供灵活、多样的通信手段（包括但不限于场地、设备及人员、专用服务电话），提供</w:t>
      </w:r>
      <w:r>
        <w:rPr>
          <w:rFonts w:ascii="仿宋" w:hAnsi="仿宋" w:eastAsia="仿宋"/>
          <w:color w:val="auto"/>
          <w:sz w:val="24"/>
        </w:rPr>
        <w:t xml:space="preserve">7*24 </w:t>
      </w:r>
      <w:r>
        <w:rPr>
          <w:rFonts w:hint="eastAsia" w:ascii="仿宋" w:hAnsi="仿宋" w:eastAsia="仿宋"/>
          <w:color w:val="auto"/>
          <w:sz w:val="24"/>
        </w:rPr>
        <w:t>小时的响应服务，保证在任何时候招标方人员都能及时找到中标单位的服务人员。如遇驻场人员无法解决的问题或招标方认为需要，中标单位的技术人员应在</w:t>
      </w:r>
      <w:r>
        <w:rPr>
          <w:rFonts w:ascii="仿宋" w:hAnsi="仿宋" w:eastAsia="仿宋"/>
          <w:color w:val="auto"/>
          <w:sz w:val="24"/>
        </w:rPr>
        <w:t xml:space="preserve">12 </w:t>
      </w:r>
      <w:r>
        <w:rPr>
          <w:rFonts w:hint="eastAsia" w:ascii="仿宋" w:hAnsi="仿宋" w:eastAsia="仿宋"/>
          <w:color w:val="auto"/>
          <w:sz w:val="24"/>
        </w:rPr>
        <w:t>小时内赶到现场支持。</w:t>
      </w:r>
    </w:p>
    <w:p>
      <w:pPr>
        <w:numPr>
          <w:ilvl w:val="0"/>
          <w:numId w:val="67"/>
        </w:numPr>
        <w:spacing w:line="360" w:lineRule="auto"/>
        <w:ind w:left="0" w:firstLine="480" w:firstLineChars="200"/>
        <w:rPr>
          <w:rFonts w:ascii="仿宋" w:hAnsi="仿宋" w:eastAsia="仿宋"/>
          <w:color w:val="auto"/>
          <w:sz w:val="24"/>
        </w:rPr>
      </w:pPr>
      <w:r>
        <w:rPr>
          <w:rFonts w:hint="eastAsia" w:ascii="仿宋" w:hAnsi="仿宋" w:eastAsia="仿宋"/>
          <w:color w:val="auto"/>
          <w:sz w:val="24"/>
        </w:rPr>
        <w:t>所供软件出现问题时，其响应时间不超过</w:t>
      </w:r>
      <w:r>
        <w:rPr>
          <w:rFonts w:ascii="仿宋" w:hAnsi="仿宋" w:eastAsia="仿宋"/>
          <w:color w:val="auto"/>
          <w:sz w:val="24"/>
        </w:rPr>
        <w:t xml:space="preserve">15 </w:t>
      </w:r>
      <w:r>
        <w:rPr>
          <w:rFonts w:hint="eastAsia" w:ascii="仿宋" w:hAnsi="仿宋" w:eastAsia="仿宋"/>
          <w:color w:val="auto"/>
          <w:sz w:val="24"/>
        </w:rPr>
        <w:t>分钟，一般故障处理时间不大于</w:t>
      </w:r>
      <w:r>
        <w:rPr>
          <w:rFonts w:ascii="仿宋" w:hAnsi="仿宋" w:eastAsia="仿宋"/>
          <w:color w:val="auto"/>
          <w:sz w:val="24"/>
        </w:rPr>
        <w:t xml:space="preserve">2 </w:t>
      </w:r>
      <w:r>
        <w:rPr>
          <w:rFonts w:hint="eastAsia" w:ascii="仿宋" w:hAnsi="仿宋" w:eastAsia="仿宋"/>
          <w:color w:val="auto"/>
          <w:sz w:val="24"/>
        </w:rPr>
        <w:t>小时；特殊情况下，故障修复时间不大于</w:t>
      </w:r>
      <w:r>
        <w:rPr>
          <w:rFonts w:ascii="仿宋" w:hAnsi="仿宋" w:eastAsia="仿宋"/>
          <w:color w:val="auto"/>
          <w:sz w:val="24"/>
        </w:rPr>
        <w:t xml:space="preserve">24 </w:t>
      </w:r>
      <w:r>
        <w:rPr>
          <w:rFonts w:hint="eastAsia" w:ascii="仿宋" w:hAnsi="仿宋" w:eastAsia="仿宋"/>
          <w:color w:val="auto"/>
          <w:sz w:val="24"/>
        </w:rPr>
        <w:t>小时。</w:t>
      </w:r>
    </w:p>
    <w:p>
      <w:pPr>
        <w:numPr>
          <w:ilvl w:val="0"/>
          <w:numId w:val="67"/>
        </w:numPr>
        <w:spacing w:line="360" w:lineRule="auto"/>
        <w:ind w:left="0" w:firstLine="480" w:firstLineChars="200"/>
        <w:rPr>
          <w:rFonts w:ascii="仿宋" w:hAnsi="仿宋" w:eastAsia="仿宋"/>
          <w:color w:val="auto"/>
          <w:sz w:val="24"/>
        </w:rPr>
      </w:pPr>
      <w:r>
        <w:rPr>
          <w:rFonts w:hint="eastAsia" w:ascii="仿宋" w:hAnsi="仿宋" w:eastAsia="仿宋"/>
          <w:color w:val="auto"/>
          <w:sz w:val="24"/>
        </w:rPr>
        <w:t>中标单位应提供排除故障响应的具体流程。</w:t>
      </w:r>
    </w:p>
    <w:p>
      <w:pPr>
        <w:numPr>
          <w:ilvl w:val="0"/>
          <w:numId w:val="67"/>
        </w:numPr>
        <w:spacing w:line="360" w:lineRule="auto"/>
        <w:ind w:left="0" w:firstLine="480" w:firstLineChars="200"/>
        <w:rPr>
          <w:rFonts w:ascii="仿宋" w:hAnsi="仿宋" w:eastAsia="仿宋"/>
          <w:color w:val="auto"/>
          <w:sz w:val="24"/>
        </w:rPr>
      </w:pPr>
      <w:r>
        <w:rPr>
          <w:rFonts w:hint="eastAsia" w:ascii="仿宋" w:hAnsi="仿宋" w:eastAsia="仿宋"/>
          <w:color w:val="auto"/>
          <w:sz w:val="24"/>
        </w:rPr>
        <w:t>中标单位应在项目方案中说明技术指导和技术支持的范围和程度，承建商应提供技术服务流程，技术服务内容和价格清单，若维保期内与期外不同，则应分别列出。</w:t>
      </w:r>
    </w:p>
    <w:p>
      <w:pPr>
        <w:spacing w:line="360" w:lineRule="auto"/>
        <w:rPr>
          <w:rFonts w:ascii="仿宋" w:hAnsi="仿宋" w:eastAsia="仿宋"/>
          <w:b/>
          <w:color w:val="auto"/>
          <w:sz w:val="28"/>
          <w:szCs w:val="28"/>
        </w:rPr>
      </w:pPr>
      <w:bookmarkStart w:id="667" w:name="_Toc40908672"/>
      <w:r>
        <w:rPr>
          <w:rFonts w:hint="eastAsia" w:ascii="仿宋" w:hAnsi="仿宋" w:eastAsia="仿宋"/>
          <w:b/>
          <w:color w:val="auto"/>
          <w:sz w:val="28"/>
          <w:szCs w:val="28"/>
        </w:rPr>
        <w:t>16.技术文件要求</w:t>
      </w:r>
      <w:bookmarkEnd w:id="667"/>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中标人提供的书面技术资料必须能够满足确保系统正常运行所需的管理、运营、验收及维护的全套文件。中标人提供的技术文件必须包括但不限于：</w:t>
      </w:r>
    </w:p>
    <w:p>
      <w:pPr>
        <w:numPr>
          <w:ilvl w:val="1"/>
          <w:numId w:val="38"/>
        </w:numPr>
        <w:spacing w:line="360" w:lineRule="auto"/>
        <w:rPr>
          <w:rFonts w:ascii="仿宋" w:hAnsi="仿宋" w:eastAsia="仿宋"/>
          <w:color w:val="auto"/>
          <w:sz w:val="24"/>
        </w:rPr>
      </w:pPr>
      <w:r>
        <w:rPr>
          <w:rFonts w:hint="eastAsia" w:ascii="仿宋" w:hAnsi="仿宋" w:eastAsia="仿宋"/>
          <w:color w:val="auto"/>
          <w:sz w:val="24"/>
        </w:rPr>
        <w:t>系统说明文件</w:t>
      </w:r>
    </w:p>
    <w:p>
      <w:pPr>
        <w:numPr>
          <w:ilvl w:val="1"/>
          <w:numId w:val="38"/>
        </w:numPr>
        <w:spacing w:line="360" w:lineRule="auto"/>
        <w:rPr>
          <w:rFonts w:ascii="仿宋" w:hAnsi="仿宋" w:eastAsia="仿宋"/>
          <w:color w:val="auto"/>
          <w:sz w:val="24"/>
        </w:rPr>
      </w:pPr>
      <w:r>
        <w:rPr>
          <w:rFonts w:hint="eastAsia" w:ascii="仿宋" w:hAnsi="仿宋" w:eastAsia="仿宋"/>
          <w:color w:val="auto"/>
          <w:sz w:val="24"/>
        </w:rPr>
        <w:t>技术手册（安装、操作、维护、故障排除、培训文档等）</w:t>
      </w:r>
    </w:p>
    <w:p>
      <w:pPr>
        <w:numPr>
          <w:ilvl w:val="1"/>
          <w:numId w:val="38"/>
        </w:numPr>
        <w:spacing w:line="360" w:lineRule="auto"/>
        <w:rPr>
          <w:rFonts w:ascii="仿宋" w:hAnsi="仿宋" w:eastAsia="仿宋"/>
          <w:color w:val="auto"/>
          <w:sz w:val="24"/>
        </w:rPr>
      </w:pPr>
      <w:r>
        <w:rPr>
          <w:rFonts w:hint="eastAsia" w:ascii="仿宋" w:hAnsi="仿宋" w:eastAsia="仿宋"/>
          <w:color w:val="auto"/>
          <w:sz w:val="24"/>
        </w:rPr>
        <w:t>详细的工程日志</w:t>
      </w:r>
    </w:p>
    <w:p>
      <w:pPr>
        <w:numPr>
          <w:ilvl w:val="1"/>
          <w:numId w:val="38"/>
        </w:numPr>
        <w:spacing w:line="360" w:lineRule="auto"/>
        <w:rPr>
          <w:rFonts w:ascii="仿宋" w:hAnsi="仿宋" w:eastAsia="仿宋"/>
          <w:color w:val="auto"/>
          <w:sz w:val="24"/>
        </w:rPr>
      </w:pPr>
      <w:r>
        <w:rPr>
          <w:rFonts w:hint="eastAsia" w:ascii="仿宋" w:hAnsi="仿宋" w:eastAsia="仿宋"/>
          <w:color w:val="auto"/>
          <w:sz w:val="24"/>
        </w:rPr>
        <w:t>系统完整文档</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其中，（</w:t>
      </w:r>
      <w:r>
        <w:rPr>
          <w:rFonts w:ascii="仿宋" w:hAnsi="仿宋" w:eastAsia="仿宋" w:cs="TimesNewRomanPSMT"/>
          <w:bCs/>
          <w:color w:val="auto"/>
          <w:kern w:val="0"/>
          <w:sz w:val="24"/>
        </w:rPr>
        <w:t>1</w:t>
      </w:r>
      <w:r>
        <w:rPr>
          <w:rFonts w:hint="eastAsia" w:ascii="仿宋" w:hAnsi="仿宋" w:eastAsia="仿宋"/>
          <w:bCs/>
          <w:color w:val="auto"/>
          <w:kern w:val="0"/>
          <w:sz w:val="24"/>
        </w:rPr>
        <w:t>）、（</w:t>
      </w:r>
      <w:r>
        <w:rPr>
          <w:rFonts w:ascii="仿宋" w:hAnsi="仿宋" w:eastAsia="仿宋" w:cs="TimesNewRomanPSMT"/>
          <w:bCs/>
          <w:color w:val="auto"/>
          <w:kern w:val="0"/>
          <w:sz w:val="24"/>
        </w:rPr>
        <w:t>2</w:t>
      </w:r>
      <w:r>
        <w:rPr>
          <w:rFonts w:hint="eastAsia" w:ascii="仿宋" w:hAnsi="仿宋" w:eastAsia="仿宋"/>
          <w:bCs/>
          <w:color w:val="auto"/>
          <w:kern w:val="0"/>
          <w:sz w:val="24"/>
        </w:rPr>
        <w:t>）项必须在安装调测前提供，（</w:t>
      </w:r>
      <w:r>
        <w:rPr>
          <w:rFonts w:ascii="仿宋" w:hAnsi="仿宋" w:eastAsia="仿宋" w:cs="TimesNewRomanPSMT"/>
          <w:bCs/>
          <w:color w:val="auto"/>
          <w:kern w:val="0"/>
          <w:sz w:val="24"/>
        </w:rPr>
        <w:t>3</w:t>
      </w:r>
      <w:r>
        <w:rPr>
          <w:rFonts w:hint="eastAsia" w:ascii="仿宋" w:hAnsi="仿宋" w:eastAsia="仿宋"/>
          <w:bCs/>
          <w:color w:val="auto"/>
          <w:kern w:val="0"/>
          <w:sz w:val="24"/>
        </w:rPr>
        <w:t>）必须在工程实施过程中随时提供，并在工程实施后</w:t>
      </w:r>
      <w:r>
        <w:rPr>
          <w:rFonts w:ascii="仿宋" w:hAnsi="仿宋" w:eastAsia="仿宋" w:cs="TimesNewRomanPSMT"/>
          <w:bCs/>
          <w:color w:val="auto"/>
          <w:kern w:val="0"/>
          <w:sz w:val="24"/>
        </w:rPr>
        <w:t xml:space="preserve">1 </w:t>
      </w:r>
      <w:r>
        <w:rPr>
          <w:rFonts w:hint="eastAsia" w:ascii="仿宋" w:hAnsi="仿宋" w:eastAsia="仿宋"/>
          <w:bCs/>
          <w:color w:val="auto"/>
          <w:kern w:val="0"/>
          <w:sz w:val="24"/>
        </w:rPr>
        <w:t>个月内汇总移交。所有的文档必须包括书面和电子两种形式。（</w:t>
      </w:r>
      <w:r>
        <w:rPr>
          <w:rFonts w:ascii="仿宋" w:hAnsi="仿宋" w:eastAsia="仿宋" w:cs="TimesNewRomanPSMT"/>
          <w:bCs/>
          <w:color w:val="auto"/>
          <w:kern w:val="0"/>
          <w:sz w:val="24"/>
        </w:rPr>
        <w:t>4</w:t>
      </w:r>
      <w:r>
        <w:rPr>
          <w:rFonts w:hint="eastAsia" w:ascii="仿宋" w:hAnsi="仿宋" w:eastAsia="仿宋"/>
          <w:bCs/>
          <w:color w:val="auto"/>
          <w:kern w:val="0"/>
          <w:sz w:val="24"/>
        </w:rPr>
        <w:t>）在工程完成初验后，厂家提供完整的技术文档。</w:t>
      </w:r>
    </w:p>
    <w:p>
      <w:pPr>
        <w:spacing w:line="360" w:lineRule="auto"/>
        <w:ind w:firstLine="420"/>
        <w:rPr>
          <w:rFonts w:ascii="仿宋" w:hAnsi="仿宋" w:eastAsia="仿宋"/>
          <w:color w:val="auto"/>
          <w:sz w:val="24"/>
        </w:rPr>
      </w:pPr>
      <w:r>
        <w:rPr>
          <w:rFonts w:hint="eastAsia" w:ascii="仿宋" w:hAnsi="仿宋" w:eastAsia="仿宋"/>
          <w:color w:val="auto"/>
          <w:sz w:val="24"/>
        </w:rPr>
        <w:t>请投标方在项目方案中列出提供的书面技术资料详细清单。</w:t>
      </w:r>
    </w:p>
    <w:p>
      <w:pPr>
        <w:spacing w:line="360" w:lineRule="auto"/>
        <w:rPr>
          <w:rFonts w:ascii="仿宋" w:hAnsi="仿宋" w:eastAsia="仿宋"/>
          <w:b/>
          <w:color w:val="auto"/>
          <w:sz w:val="28"/>
          <w:szCs w:val="28"/>
        </w:rPr>
      </w:pPr>
      <w:bookmarkStart w:id="668" w:name="_Toc40908673"/>
      <w:r>
        <w:rPr>
          <w:rFonts w:hint="eastAsia" w:ascii="仿宋" w:hAnsi="仿宋" w:eastAsia="仿宋"/>
          <w:b/>
          <w:color w:val="auto"/>
          <w:sz w:val="28"/>
          <w:szCs w:val="28"/>
        </w:rPr>
        <w:t>17.项目协作要求</w:t>
      </w:r>
      <w:bookmarkEnd w:id="668"/>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中标单位须配合其它相关子系统中标人。</w:t>
      </w:r>
    </w:p>
    <w:p>
      <w:pPr>
        <w:spacing w:line="360" w:lineRule="auto"/>
        <w:rPr>
          <w:rFonts w:ascii="仿宋" w:hAnsi="仿宋" w:eastAsia="仿宋"/>
          <w:b/>
          <w:color w:val="auto"/>
          <w:sz w:val="28"/>
          <w:szCs w:val="28"/>
        </w:rPr>
      </w:pPr>
      <w:bookmarkStart w:id="669" w:name="_Toc40908674"/>
      <w:r>
        <w:rPr>
          <w:rFonts w:hint="eastAsia" w:ascii="仿宋" w:hAnsi="仿宋" w:eastAsia="仿宋"/>
          <w:b/>
          <w:color w:val="auto"/>
          <w:sz w:val="28"/>
          <w:szCs w:val="28"/>
        </w:rPr>
        <w:t>18.项目计划要求</w:t>
      </w:r>
      <w:bookmarkEnd w:id="669"/>
    </w:p>
    <w:p>
      <w:pPr>
        <w:autoSpaceDE w:val="0"/>
        <w:autoSpaceDN w:val="0"/>
        <w:spacing w:line="460" w:lineRule="exact"/>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服务期限：签订合同之日起至2021年</w:t>
      </w:r>
      <w:r>
        <w:rPr>
          <w:rFonts w:hint="eastAsia" w:ascii="仿宋" w:hAnsi="仿宋" w:eastAsia="仿宋" w:cs="宋体"/>
          <w:color w:val="auto"/>
          <w:kern w:val="0"/>
          <w:sz w:val="24"/>
        </w:rPr>
        <w:t>6</w:t>
      </w:r>
      <w:r>
        <w:rPr>
          <w:rFonts w:hint="eastAsia" w:ascii="仿宋" w:hAnsi="仿宋" w:eastAsia="仿宋" w:cs="宋体"/>
          <w:color w:val="auto"/>
          <w:kern w:val="0"/>
          <w:sz w:val="24"/>
          <w:lang w:val="zh-CN"/>
        </w:rPr>
        <w:t>底前完成系统初验，进入试运行，试运行期至少3个月，2021年底前完成系统终验。</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在工程实施全过程中，招</w:t>
      </w:r>
      <w:r>
        <w:rPr>
          <w:rFonts w:hint="eastAsia" w:ascii="仿宋" w:hAnsi="仿宋" w:eastAsia="仿宋"/>
          <w:color w:val="auto"/>
          <w:kern w:val="0"/>
          <w:sz w:val="24"/>
        </w:rPr>
        <w:t>标</w:t>
      </w:r>
      <w:r>
        <w:rPr>
          <w:rFonts w:hint="eastAsia" w:ascii="仿宋" w:hAnsi="仿宋" w:eastAsia="仿宋"/>
          <w:bCs/>
          <w:color w:val="auto"/>
          <w:kern w:val="0"/>
          <w:sz w:val="24"/>
        </w:rPr>
        <w:t>方有对工程质量进行监督控制的职责和权利，中标人应按照项目管理要求进行严格的质量控制，并制定详细合理的沟通计划，至少包括周报、月报和项目例会，应确保双方能及时了解所需的信息。</w:t>
      </w:r>
    </w:p>
    <w:p>
      <w:pPr>
        <w:spacing w:line="360" w:lineRule="auto"/>
        <w:rPr>
          <w:rFonts w:ascii="仿宋" w:hAnsi="仿宋" w:eastAsia="仿宋"/>
          <w:b/>
          <w:color w:val="auto"/>
          <w:sz w:val="28"/>
          <w:szCs w:val="28"/>
        </w:rPr>
      </w:pPr>
      <w:bookmarkStart w:id="670" w:name="_Toc40908675"/>
      <w:r>
        <w:rPr>
          <w:rFonts w:hint="eastAsia" w:ascii="仿宋" w:hAnsi="仿宋" w:eastAsia="仿宋"/>
          <w:b/>
          <w:color w:val="auto"/>
          <w:sz w:val="28"/>
          <w:szCs w:val="28"/>
        </w:rPr>
        <w:t>19.保密要求</w:t>
      </w:r>
      <w:bookmarkEnd w:id="670"/>
    </w:p>
    <w:p>
      <w:pPr>
        <w:widowControl/>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中标人</w:t>
      </w:r>
      <w:r>
        <w:rPr>
          <w:rFonts w:ascii="仿宋" w:hAnsi="仿宋" w:eastAsia="仿宋"/>
          <w:color w:val="auto"/>
          <w:sz w:val="24"/>
        </w:rPr>
        <w:t>(</w:t>
      </w:r>
      <w:r>
        <w:rPr>
          <w:rFonts w:hint="eastAsia" w:ascii="仿宋" w:hAnsi="仿宋" w:eastAsia="仿宋"/>
          <w:color w:val="auto"/>
          <w:sz w:val="24"/>
        </w:rPr>
        <w:t>含项目组所有成员</w:t>
      </w:r>
      <w:r>
        <w:rPr>
          <w:rFonts w:ascii="仿宋" w:hAnsi="仿宋" w:eastAsia="仿宋"/>
          <w:color w:val="auto"/>
          <w:sz w:val="24"/>
        </w:rPr>
        <w:t>)</w:t>
      </w:r>
      <w:r>
        <w:rPr>
          <w:rFonts w:hint="eastAsia" w:ascii="仿宋" w:hAnsi="仿宋" w:eastAsia="仿宋"/>
          <w:color w:val="auto"/>
          <w:sz w:val="24"/>
        </w:rPr>
        <w:t>必须对项目技术文件以及由招标人提供的所有内部资料、技术文档、数据和信息予以保密。中标人必须与招标人签订保密协议并严格遵守，未经招标人书面许可，中标人不得以任何形式向第三方透露本项目标书以及本项目的任何内容。</w:t>
      </w:r>
    </w:p>
    <w:p>
      <w:pPr>
        <w:spacing w:line="360" w:lineRule="auto"/>
        <w:rPr>
          <w:rFonts w:ascii="仿宋" w:hAnsi="仿宋" w:eastAsia="仿宋"/>
          <w:b/>
          <w:color w:val="auto"/>
          <w:sz w:val="28"/>
          <w:szCs w:val="28"/>
        </w:rPr>
      </w:pPr>
      <w:bookmarkStart w:id="671" w:name="_Toc40908676"/>
      <w:r>
        <w:rPr>
          <w:rFonts w:hint="eastAsia" w:ascii="仿宋" w:hAnsi="仿宋" w:eastAsia="仿宋"/>
          <w:b/>
          <w:color w:val="auto"/>
          <w:sz w:val="28"/>
          <w:szCs w:val="28"/>
        </w:rPr>
        <w:t>20.项目验收标准与要求</w:t>
      </w:r>
      <w:bookmarkEnd w:id="671"/>
    </w:p>
    <w:p>
      <w:pPr>
        <w:spacing w:line="360" w:lineRule="auto"/>
        <w:ind w:left="360"/>
        <w:rPr>
          <w:rFonts w:ascii="仿宋" w:hAnsi="仿宋" w:eastAsia="仿宋"/>
          <w:b/>
          <w:color w:val="auto"/>
          <w:sz w:val="24"/>
        </w:rPr>
      </w:pPr>
      <w:r>
        <w:rPr>
          <w:rFonts w:hint="eastAsia" w:ascii="仿宋" w:hAnsi="仿宋" w:eastAsia="仿宋"/>
          <w:b/>
          <w:color w:val="auto"/>
          <w:sz w:val="24"/>
        </w:rPr>
        <w:t>20.1验收总体要求</w:t>
      </w:r>
    </w:p>
    <w:p>
      <w:pPr>
        <w:tabs>
          <w:tab w:val="left" w:pos="1301"/>
        </w:tabs>
        <w:autoSpaceDE w:val="0"/>
        <w:autoSpaceDN w:val="0"/>
        <w:spacing w:line="360" w:lineRule="auto"/>
        <w:ind w:left="220" w:right="315" w:firstLine="480"/>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项目验收标准：按照国家</w:t>
      </w:r>
      <w:r>
        <w:rPr>
          <w:rFonts w:ascii="仿宋" w:hAnsi="仿宋" w:eastAsia="仿宋" w:cs="宋体"/>
          <w:color w:val="auto"/>
          <w:kern w:val="0"/>
          <w:sz w:val="24"/>
          <w:lang w:val="zh-CN" w:bidi="zh-CN"/>
        </w:rPr>
        <w:t>医疗</w:t>
      </w:r>
      <w:r>
        <w:rPr>
          <w:rFonts w:hint="eastAsia" w:ascii="仿宋" w:hAnsi="仿宋" w:eastAsia="仿宋" w:cs="宋体"/>
          <w:color w:val="auto"/>
          <w:kern w:val="0"/>
          <w:sz w:val="24"/>
          <w:lang w:val="zh-CN" w:bidi="zh-CN"/>
        </w:rPr>
        <w:t>保障局</w:t>
      </w:r>
      <w:r>
        <w:rPr>
          <w:rFonts w:ascii="仿宋" w:hAnsi="仿宋" w:eastAsia="仿宋" w:cs="宋体"/>
          <w:color w:val="auto"/>
          <w:kern w:val="0"/>
          <w:sz w:val="24"/>
          <w:lang w:val="zh-CN" w:bidi="zh-CN"/>
        </w:rPr>
        <w:t>和</w:t>
      </w:r>
      <w:r>
        <w:rPr>
          <w:rFonts w:hint="eastAsia" w:ascii="仿宋" w:hAnsi="仿宋" w:eastAsia="仿宋" w:cs="宋体"/>
          <w:color w:val="auto"/>
          <w:kern w:val="0"/>
          <w:sz w:val="24"/>
          <w:lang w:val="zh-CN" w:bidi="zh-CN"/>
        </w:rPr>
        <w:t>海南省</w:t>
      </w:r>
      <w:r>
        <w:rPr>
          <w:rFonts w:ascii="仿宋" w:hAnsi="仿宋" w:eastAsia="仿宋" w:cs="宋体"/>
          <w:color w:val="auto"/>
          <w:kern w:val="0"/>
          <w:sz w:val="24"/>
          <w:lang w:val="zh-CN" w:bidi="zh-CN"/>
        </w:rPr>
        <w:t>医疗保障局</w:t>
      </w:r>
      <w:r>
        <w:rPr>
          <w:rFonts w:hint="eastAsia" w:ascii="仿宋" w:hAnsi="仿宋" w:eastAsia="仿宋" w:cs="宋体"/>
          <w:color w:val="auto"/>
          <w:kern w:val="0"/>
          <w:sz w:val="24"/>
          <w:lang w:val="zh-CN" w:bidi="zh-CN"/>
        </w:rPr>
        <w:t>要求，协同其他业务子系统，满足采购人提出的业务需求。如果项目未完成验收前，由于相关政策导致业务发生变化进行升级或调整，中标人应按照最新政策和最新技术标准方案完成本项建设。</w:t>
      </w:r>
    </w:p>
    <w:p>
      <w:pPr>
        <w:tabs>
          <w:tab w:val="left" w:pos="1301"/>
        </w:tabs>
        <w:autoSpaceDE w:val="0"/>
        <w:autoSpaceDN w:val="0"/>
        <w:spacing w:line="360" w:lineRule="auto"/>
        <w:ind w:left="220" w:right="315" w:firstLine="480"/>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投标人负责组织所投电子签章产品制造厂商合格的技术人员完成供货设备及软件的安装、测试和安装验收以及终验，并解决此过程中出现的有关问题，系统调试结束后，由投标人和原厂商签字后交给采购人验收，提供项目与技术服务以及安装验收过程中应提供的完整文档。</w:t>
      </w:r>
    </w:p>
    <w:p>
      <w:pPr>
        <w:tabs>
          <w:tab w:val="left" w:pos="1301"/>
        </w:tabs>
        <w:autoSpaceDE w:val="0"/>
        <w:autoSpaceDN w:val="0"/>
        <w:spacing w:line="360" w:lineRule="auto"/>
        <w:ind w:left="220" w:right="315" w:firstLine="480"/>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由海南省医疗</w:t>
      </w:r>
      <w:r>
        <w:rPr>
          <w:rFonts w:ascii="仿宋" w:hAnsi="仿宋" w:eastAsia="仿宋" w:cs="宋体"/>
          <w:color w:val="auto"/>
          <w:kern w:val="0"/>
          <w:sz w:val="24"/>
          <w:lang w:val="zh-CN" w:bidi="zh-CN"/>
        </w:rPr>
        <w:t>保障局</w:t>
      </w:r>
      <w:r>
        <w:rPr>
          <w:rFonts w:hint="eastAsia" w:ascii="仿宋" w:hAnsi="仿宋" w:eastAsia="仿宋" w:cs="宋体"/>
          <w:color w:val="auto"/>
          <w:kern w:val="0"/>
          <w:sz w:val="24"/>
          <w:lang w:val="zh-CN" w:bidi="zh-CN"/>
        </w:rPr>
        <w:t>统一组织，招标人与相关人员组成验收小组完成验收。双方根据最终验收情况，编写最终验收报告。中标人应完成项目验收资料的准备。</w:t>
      </w:r>
    </w:p>
    <w:p>
      <w:pPr>
        <w:tabs>
          <w:tab w:val="left" w:pos="1301"/>
        </w:tabs>
        <w:autoSpaceDE w:val="0"/>
        <w:autoSpaceDN w:val="0"/>
        <w:spacing w:line="360" w:lineRule="auto"/>
        <w:ind w:left="220" w:right="315" w:firstLine="480"/>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在服务过程中出现性能指标或功能上不符合标书和合同要求时，由中标人负责解决，招标人有拒绝验收的权利并保留索赔权利。</w:t>
      </w:r>
    </w:p>
    <w:p>
      <w:pPr>
        <w:tabs>
          <w:tab w:val="left" w:pos="1301"/>
        </w:tabs>
        <w:autoSpaceDE w:val="0"/>
        <w:autoSpaceDN w:val="0"/>
        <w:spacing w:line="360" w:lineRule="auto"/>
        <w:ind w:left="220" w:right="315" w:firstLine="480"/>
        <w:rPr>
          <w:rFonts w:ascii="仿宋" w:hAnsi="仿宋" w:eastAsia="仿宋" w:cs="宋体"/>
          <w:color w:val="auto"/>
          <w:kern w:val="0"/>
          <w:sz w:val="24"/>
          <w:lang w:val="zh-CN" w:bidi="zh-CN"/>
        </w:rPr>
      </w:pPr>
      <w:r>
        <w:rPr>
          <w:rFonts w:hint="eastAsia" w:ascii="仿宋" w:hAnsi="仿宋" w:eastAsia="仿宋" w:cs="宋体"/>
          <w:color w:val="auto"/>
          <w:kern w:val="0"/>
          <w:sz w:val="24"/>
          <w:lang w:val="zh-CN" w:bidi="zh-CN"/>
        </w:rPr>
        <w:t>本项目的实施过程中将产生大量的技术及管理文档，中标人应协助招标人，负责建立、维护、交接项目实施过程中产生的各类文档，确保项目文档的内容体现本项目的实施过程，并确保项目文档的完整性和准确性。</w:t>
      </w:r>
    </w:p>
    <w:p>
      <w:pPr>
        <w:spacing w:line="360" w:lineRule="auto"/>
        <w:ind w:left="359" w:leftChars="171" w:firstLine="480" w:firstLineChars="200"/>
        <w:rPr>
          <w:rFonts w:ascii="仿宋" w:hAnsi="仿宋" w:eastAsia="仿宋"/>
          <w:color w:val="auto"/>
          <w:sz w:val="24"/>
        </w:rPr>
      </w:pPr>
      <w:r>
        <w:rPr>
          <w:rFonts w:hint="eastAsia" w:ascii="仿宋" w:hAnsi="仿宋" w:eastAsia="仿宋"/>
          <w:color w:val="auto"/>
          <w:sz w:val="24"/>
        </w:rPr>
        <w:t>投标人按照要求提交全部文档，通过验收，视为本项工作完成。</w:t>
      </w:r>
    </w:p>
    <w:p>
      <w:pPr>
        <w:spacing w:line="360" w:lineRule="auto"/>
        <w:rPr>
          <w:rFonts w:ascii="仿宋" w:hAnsi="仿宋" w:eastAsia="仿宋"/>
          <w:color w:val="auto"/>
          <w:sz w:val="24"/>
        </w:rPr>
      </w:pPr>
      <w:r>
        <w:rPr>
          <w:rFonts w:hint="eastAsia" w:ascii="仿宋" w:hAnsi="仿宋" w:eastAsia="仿宋"/>
          <w:color w:val="auto"/>
          <w:sz w:val="24"/>
        </w:rPr>
        <w:t>（1）验收组织</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项目验收分为初验和终验，都由招标方组织进行。</w:t>
      </w:r>
    </w:p>
    <w:p>
      <w:pPr>
        <w:spacing w:line="360" w:lineRule="auto"/>
        <w:rPr>
          <w:rFonts w:ascii="仿宋" w:hAnsi="仿宋" w:eastAsia="仿宋"/>
          <w:color w:val="auto"/>
          <w:sz w:val="24"/>
        </w:rPr>
      </w:pPr>
      <w:r>
        <w:rPr>
          <w:rFonts w:hint="eastAsia" w:ascii="仿宋" w:hAnsi="仿宋" w:eastAsia="仿宋"/>
          <w:color w:val="auto"/>
          <w:sz w:val="24"/>
        </w:rPr>
        <w:t>（2）初验流程</w:t>
      </w:r>
    </w:p>
    <w:p>
      <w:pPr>
        <w:numPr>
          <w:ilvl w:val="0"/>
          <w:numId w:val="69"/>
        </w:numPr>
        <w:spacing w:line="360" w:lineRule="auto"/>
        <w:rPr>
          <w:rFonts w:ascii="仿宋" w:hAnsi="仿宋" w:eastAsia="仿宋"/>
          <w:color w:val="auto"/>
          <w:sz w:val="24"/>
        </w:rPr>
      </w:pPr>
      <w:r>
        <w:rPr>
          <w:rFonts w:hint="eastAsia" w:ascii="仿宋" w:hAnsi="仿宋" w:eastAsia="仿宋"/>
          <w:color w:val="auto"/>
          <w:sz w:val="24"/>
        </w:rPr>
        <w:t>招标方依据相关批复文件、招标采购文件、合同，对项目的工程、技术、财务和档案等进行验收，形成验收报告。</w:t>
      </w:r>
    </w:p>
    <w:p>
      <w:pPr>
        <w:numPr>
          <w:ilvl w:val="0"/>
          <w:numId w:val="69"/>
        </w:numPr>
        <w:spacing w:line="360" w:lineRule="auto"/>
        <w:rPr>
          <w:rFonts w:ascii="仿宋" w:hAnsi="仿宋" w:eastAsia="仿宋"/>
          <w:color w:val="auto"/>
          <w:sz w:val="24"/>
        </w:rPr>
      </w:pPr>
      <w:r>
        <w:rPr>
          <w:rFonts w:hint="eastAsia" w:ascii="仿宋" w:hAnsi="仿宋" w:eastAsia="仿宋"/>
          <w:color w:val="auto"/>
          <w:sz w:val="24"/>
        </w:rPr>
        <w:t>项目初验后进入试运行，试运行期至少</w:t>
      </w:r>
      <w:r>
        <w:rPr>
          <w:rFonts w:ascii="仿宋" w:hAnsi="仿宋" w:eastAsia="仿宋"/>
          <w:color w:val="auto"/>
          <w:sz w:val="24"/>
        </w:rPr>
        <w:t xml:space="preserve">3 </w:t>
      </w:r>
      <w:r>
        <w:rPr>
          <w:rFonts w:hint="eastAsia" w:ascii="仿宋" w:hAnsi="仿宋" w:eastAsia="仿宋"/>
          <w:color w:val="auto"/>
          <w:sz w:val="24"/>
        </w:rPr>
        <w:t>个月。</w:t>
      </w:r>
    </w:p>
    <w:p>
      <w:pPr>
        <w:spacing w:line="360" w:lineRule="auto"/>
        <w:rPr>
          <w:rFonts w:ascii="仿宋" w:hAnsi="仿宋" w:eastAsia="仿宋"/>
          <w:color w:val="auto"/>
          <w:sz w:val="24"/>
        </w:rPr>
      </w:pPr>
      <w:r>
        <w:rPr>
          <w:rFonts w:hint="eastAsia" w:ascii="仿宋" w:hAnsi="仿宋" w:eastAsia="仿宋"/>
          <w:color w:val="auto"/>
          <w:sz w:val="24"/>
        </w:rPr>
        <w:t>（3）终验流程</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招标方组织成立验收组，负责开展终验的先期基础性工作，重点检查项目建设、设计、监理、施工、招标采购、档案资料、预（概）算执行和财务决算等情况，提出验收评价意见和建议。</w:t>
      </w:r>
    </w:p>
    <w:p>
      <w:pPr>
        <w:spacing w:line="360" w:lineRule="auto"/>
        <w:rPr>
          <w:rFonts w:ascii="仿宋" w:hAnsi="仿宋" w:eastAsia="仿宋"/>
          <w:color w:val="auto"/>
          <w:sz w:val="24"/>
        </w:rPr>
      </w:pPr>
      <w:r>
        <w:rPr>
          <w:rFonts w:hint="eastAsia" w:ascii="仿宋" w:hAnsi="仿宋" w:eastAsia="仿宋"/>
          <w:color w:val="auto"/>
          <w:sz w:val="24"/>
        </w:rPr>
        <w:t>（4）验收内容</w:t>
      </w:r>
    </w:p>
    <w:p>
      <w:pPr>
        <w:numPr>
          <w:ilvl w:val="0"/>
          <w:numId w:val="70"/>
        </w:numPr>
        <w:spacing w:line="360" w:lineRule="auto"/>
        <w:rPr>
          <w:rFonts w:ascii="仿宋" w:hAnsi="仿宋" w:eastAsia="仿宋"/>
          <w:color w:val="auto"/>
          <w:sz w:val="24"/>
        </w:rPr>
      </w:pPr>
      <w:r>
        <w:rPr>
          <w:rFonts w:hint="eastAsia" w:ascii="仿宋" w:hAnsi="仿宋" w:eastAsia="仿宋"/>
          <w:color w:val="auto"/>
          <w:sz w:val="24"/>
        </w:rPr>
        <w:t>审查项目的建设目标、规模、内容、质量及资金使用等情况。</w:t>
      </w:r>
    </w:p>
    <w:p>
      <w:pPr>
        <w:numPr>
          <w:ilvl w:val="0"/>
          <w:numId w:val="70"/>
        </w:numPr>
        <w:spacing w:line="360" w:lineRule="auto"/>
        <w:rPr>
          <w:rFonts w:ascii="仿宋" w:hAnsi="仿宋" w:eastAsia="仿宋"/>
          <w:color w:val="auto"/>
          <w:sz w:val="24"/>
        </w:rPr>
      </w:pPr>
      <w:r>
        <w:rPr>
          <w:rFonts w:hint="eastAsia" w:ascii="仿宋" w:hAnsi="仿宋" w:eastAsia="仿宋"/>
          <w:color w:val="auto"/>
          <w:sz w:val="24"/>
        </w:rPr>
        <w:t>审核项目形成的资产情况。</w:t>
      </w:r>
    </w:p>
    <w:p>
      <w:pPr>
        <w:numPr>
          <w:ilvl w:val="0"/>
          <w:numId w:val="70"/>
        </w:numPr>
        <w:spacing w:line="360" w:lineRule="auto"/>
        <w:rPr>
          <w:rFonts w:ascii="仿宋" w:hAnsi="仿宋" w:eastAsia="仿宋"/>
          <w:color w:val="auto"/>
          <w:sz w:val="24"/>
        </w:rPr>
      </w:pPr>
      <w:r>
        <w:rPr>
          <w:rFonts w:hint="eastAsia" w:ascii="仿宋" w:hAnsi="仿宋" w:eastAsia="仿宋"/>
          <w:color w:val="auto"/>
          <w:sz w:val="24"/>
        </w:rPr>
        <w:t>评价项目交付使用情况。</w:t>
      </w:r>
    </w:p>
    <w:p>
      <w:pPr>
        <w:numPr>
          <w:ilvl w:val="0"/>
          <w:numId w:val="70"/>
        </w:numPr>
        <w:spacing w:line="360" w:lineRule="auto"/>
        <w:rPr>
          <w:rFonts w:ascii="仿宋" w:hAnsi="仿宋" w:eastAsia="仿宋"/>
          <w:color w:val="auto"/>
          <w:sz w:val="24"/>
        </w:rPr>
      </w:pPr>
      <w:r>
        <w:rPr>
          <w:rFonts w:hint="eastAsia" w:ascii="仿宋" w:hAnsi="仿宋" w:eastAsia="仿宋"/>
          <w:color w:val="auto"/>
          <w:sz w:val="24"/>
        </w:rPr>
        <w:t>检查项目建设单位执行国家法律、法规情况。</w:t>
      </w:r>
    </w:p>
    <w:p>
      <w:pPr>
        <w:spacing w:line="360" w:lineRule="auto"/>
        <w:rPr>
          <w:rFonts w:ascii="仿宋" w:hAnsi="仿宋" w:eastAsia="仿宋"/>
          <w:color w:val="auto"/>
          <w:sz w:val="24"/>
        </w:rPr>
      </w:pPr>
      <w:r>
        <w:rPr>
          <w:rFonts w:hint="eastAsia" w:ascii="仿宋" w:hAnsi="仿宋" w:eastAsia="仿宋"/>
          <w:color w:val="auto"/>
          <w:sz w:val="24"/>
        </w:rPr>
        <w:t>（5）验收相关材料</w:t>
      </w:r>
    </w:p>
    <w:p>
      <w:pPr>
        <w:widowControl/>
        <w:adjustRightInd w:val="0"/>
        <w:spacing w:line="360" w:lineRule="auto"/>
        <w:ind w:firstLine="480" w:firstLineChars="200"/>
        <w:jc w:val="left"/>
        <w:textAlignment w:val="baseline"/>
        <w:rPr>
          <w:rFonts w:ascii="仿宋" w:hAnsi="仿宋" w:eastAsia="仿宋"/>
          <w:bCs/>
          <w:color w:val="auto"/>
          <w:kern w:val="0"/>
          <w:sz w:val="24"/>
        </w:rPr>
      </w:pPr>
      <w:r>
        <w:rPr>
          <w:rFonts w:hint="eastAsia" w:ascii="仿宋" w:hAnsi="仿宋" w:eastAsia="仿宋"/>
          <w:bCs/>
          <w:color w:val="auto"/>
          <w:kern w:val="0"/>
          <w:sz w:val="24"/>
        </w:rPr>
        <w:t>中标人须负责整理并提供以下验收材料，包括但不限于：项目实施方案、项目合同、项目建设总结、项目建设相关文档、初步验收报告、软件测试报告等。</w:t>
      </w:r>
    </w:p>
    <w:p>
      <w:pPr>
        <w:spacing w:line="360" w:lineRule="auto"/>
        <w:rPr>
          <w:rFonts w:ascii="仿宋" w:hAnsi="仿宋" w:eastAsia="仿宋"/>
          <w:b/>
          <w:color w:val="auto"/>
          <w:sz w:val="28"/>
          <w:szCs w:val="28"/>
        </w:rPr>
      </w:pPr>
      <w:bookmarkStart w:id="672" w:name="_Toc40908677"/>
      <w:r>
        <w:rPr>
          <w:rFonts w:hint="eastAsia" w:ascii="仿宋" w:hAnsi="仿宋" w:eastAsia="仿宋"/>
          <w:b/>
          <w:color w:val="auto"/>
          <w:sz w:val="28"/>
          <w:szCs w:val="28"/>
        </w:rPr>
        <w:t>21.其它要求</w:t>
      </w:r>
      <w:bookmarkEnd w:id="672"/>
    </w:p>
    <w:p>
      <w:pPr>
        <w:tabs>
          <w:tab w:val="left" w:pos="1301"/>
        </w:tabs>
        <w:autoSpaceDE w:val="0"/>
        <w:autoSpaceDN w:val="0"/>
        <w:spacing w:line="360" w:lineRule="auto"/>
        <w:ind w:right="318" w:firstLine="440" w:firstLineChars="200"/>
        <w:rPr>
          <w:rFonts w:ascii="仿宋" w:hAnsi="仿宋" w:eastAsia="仿宋"/>
          <w:color w:val="auto"/>
          <w:spacing w:val="-10"/>
          <w:sz w:val="24"/>
        </w:rPr>
      </w:pPr>
      <w:r>
        <w:rPr>
          <w:rFonts w:hint="eastAsia" w:ascii="仿宋" w:hAnsi="仿宋" w:eastAsia="仿宋"/>
          <w:color w:val="auto"/>
          <w:spacing w:val="-10"/>
          <w:sz w:val="24"/>
        </w:rPr>
        <w:t>（1）投标方承诺：如投标单位在海南省无分公司或办事处，须承诺中标后在海南省注册分公司或办事处，办公地址须在海南省医疗保障局周边半径</w:t>
      </w:r>
      <w:r>
        <w:rPr>
          <w:rFonts w:ascii="仿宋" w:hAnsi="仿宋" w:eastAsia="仿宋"/>
          <w:color w:val="auto"/>
          <w:spacing w:val="-10"/>
          <w:sz w:val="24"/>
        </w:rPr>
        <w:t>2公里范围内。</w:t>
      </w:r>
    </w:p>
    <w:p>
      <w:pPr>
        <w:tabs>
          <w:tab w:val="left" w:pos="1301"/>
        </w:tabs>
        <w:autoSpaceDE w:val="0"/>
        <w:autoSpaceDN w:val="0"/>
        <w:spacing w:line="360" w:lineRule="auto"/>
        <w:ind w:right="318" w:firstLine="476" w:firstLineChars="200"/>
        <w:rPr>
          <w:rFonts w:ascii="仿宋" w:hAnsi="仿宋" w:eastAsia="仿宋"/>
          <w:color w:val="auto"/>
          <w:sz w:val="24"/>
        </w:rPr>
      </w:pPr>
      <w:r>
        <w:rPr>
          <w:rFonts w:ascii="仿宋" w:hAnsi="仿宋" w:eastAsia="仿宋"/>
          <w:color w:val="auto"/>
          <w:spacing w:val="-1"/>
          <w:sz w:val="24"/>
        </w:rPr>
        <w:t>（2）当招标方有新需求，而本文又未包括或与本文不符时，则应符合招标</w:t>
      </w:r>
      <w:r>
        <w:rPr>
          <w:rFonts w:ascii="仿宋" w:hAnsi="仿宋" w:eastAsia="仿宋"/>
          <w:color w:val="auto"/>
          <w:spacing w:val="-10"/>
          <w:sz w:val="24"/>
        </w:rPr>
        <w:t>方新需求；对于招标方尚未有标准的，而本文又未提及的部分，中标人提出其标</w:t>
      </w:r>
      <w:r>
        <w:rPr>
          <w:rFonts w:ascii="仿宋" w:hAnsi="仿宋" w:eastAsia="仿宋"/>
          <w:color w:val="auto"/>
          <w:sz w:val="24"/>
        </w:rPr>
        <w:t>准，留待双方认可后执行。</w:t>
      </w:r>
    </w:p>
    <w:p>
      <w:pPr>
        <w:tabs>
          <w:tab w:val="left" w:pos="1301"/>
        </w:tabs>
        <w:autoSpaceDE w:val="0"/>
        <w:autoSpaceDN w:val="0"/>
        <w:spacing w:line="360" w:lineRule="auto"/>
        <w:ind w:right="318" w:firstLine="440" w:firstLineChars="200"/>
        <w:rPr>
          <w:rFonts w:ascii="仿宋" w:hAnsi="仿宋" w:eastAsia="仿宋"/>
          <w:color w:val="auto"/>
          <w:spacing w:val="-10"/>
          <w:sz w:val="24"/>
        </w:rPr>
      </w:pPr>
      <w:r>
        <w:rPr>
          <w:rFonts w:hint="eastAsia" w:ascii="仿宋" w:hAnsi="仿宋" w:eastAsia="仿宋"/>
          <w:color w:val="auto"/>
          <w:spacing w:val="-10"/>
          <w:sz w:val="24"/>
        </w:rPr>
        <w:t>（3）中标人应确保其技术建议的可行性以及所提供服务和产品的完整性，若出现由于中标人所提供的服务和产品不全面而导致系统功能无法实现或不能完全实现，由中标人及时无偿补足，并负全部责任。</w:t>
      </w:r>
    </w:p>
    <w:p>
      <w:pPr>
        <w:tabs>
          <w:tab w:val="left" w:pos="1301"/>
        </w:tabs>
        <w:autoSpaceDE w:val="0"/>
        <w:autoSpaceDN w:val="0"/>
        <w:spacing w:line="360" w:lineRule="auto"/>
        <w:ind w:right="318" w:firstLine="440" w:firstLineChars="200"/>
        <w:rPr>
          <w:rFonts w:ascii="仿宋" w:hAnsi="仿宋" w:eastAsia="仿宋"/>
          <w:color w:val="auto"/>
          <w:spacing w:val="-10"/>
          <w:sz w:val="24"/>
        </w:rPr>
      </w:pPr>
      <w:r>
        <w:rPr>
          <w:rFonts w:hint="eastAsia" w:ascii="仿宋" w:hAnsi="仿宋" w:eastAsia="仿宋"/>
          <w:color w:val="auto"/>
          <w:spacing w:val="-10"/>
          <w:sz w:val="24"/>
        </w:rPr>
        <w:t>（4）投标方应答应真实、客观，如果发现应答与实际情况不符或系统初验后</w:t>
      </w:r>
      <w:r>
        <w:rPr>
          <w:rFonts w:ascii="仿宋" w:hAnsi="仿宋" w:eastAsia="仿宋"/>
          <w:color w:val="auto"/>
          <w:spacing w:val="-10"/>
          <w:sz w:val="24"/>
        </w:rPr>
        <w:t>6</w:t>
      </w:r>
      <w:r>
        <w:rPr>
          <w:rFonts w:hint="eastAsia" w:ascii="仿宋" w:hAnsi="仿宋" w:eastAsia="仿宋"/>
          <w:color w:val="auto"/>
          <w:spacing w:val="-10"/>
          <w:sz w:val="24"/>
        </w:rPr>
        <w:t>个月仍达不到验收要求，则招标方有权取消合同、无条件收回已付合同款、并向投标方追加全部合同款额度的</w:t>
      </w:r>
      <w:r>
        <w:rPr>
          <w:rFonts w:ascii="仿宋" w:hAnsi="仿宋" w:eastAsia="仿宋"/>
          <w:color w:val="auto"/>
          <w:spacing w:val="-10"/>
          <w:sz w:val="24"/>
        </w:rPr>
        <w:t>15%</w:t>
      </w:r>
      <w:r>
        <w:rPr>
          <w:rFonts w:hint="eastAsia" w:ascii="仿宋" w:hAnsi="仿宋" w:eastAsia="仿宋"/>
          <w:color w:val="auto"/>
          <w:spacing w:val="-10"/>
          <w:sz w:val="24"/>
        </w:rPr>
        <w:t>的罚款和全部合同款额度的银行同期商业贷款利息。</w:t>
      </w:r>
    </w:p>
    <w:p>
      <w:pPr>
        <w:tabs>
          <w:tab w:val="left" w:pos="1301"/>
        </w:tabs>
        <w:autoSpaceDE w:val="0"/>
        <w:autoSpaceDN w:val="0"/>
        <w:spacing w:line="360" w:lineRule="auto"/>
        <w:ind w:right="318" w:firstLine="440" w:firstLineChars="200"/>
        <w:rPr>
          <w:rFonts w:ascii="仿宋" w:hAnsi="仿宋" w:eastAsia="仿宋"/>
          <w:color w:val="auto"/>
          <w:spacing w:val="-10"/>
          <w:sz w:val="24"/>
        </w:rPr>
      </w:pPr>
      <w:r>
        <w:rPr>
          <w:rFonts w:hint="eastAsia" w:ascii="仿宋" w:hAnsi="仿宋" w:eastAsia="仿宋"/>
          <w:color w:val="auto"/>
          <w:spacing w:val="-10"/>
          <w:sz w:val="24"/>
        </w:rPr>
        <w:t>（5）投标方承诺承担驻场工程师就餐和相关差旅费用，并提供驻场工程师办公电脑、打印机等设备。</w:t>
      </w:r>
    </w:p>
    <w:p>
      <w:pPr>
        <w:tabs>
          <w:tab w:val="left" w:pos="1301"/>
        </w:tabs>
        <w:autoSpaceDE w:val="0"/>
        <w:autoSpaceDN w:val="0"/>
        <w:spacing w:line="360" w:lineRule="auto"/>
        <w:ind w:right="318" w:firstLine="440" w:firstLineChars="200"/>
        <w:rPr>
          <w:rFonts w:ascii="仿宋" w:hAnsi="仿宋" w:eastAsia="仿宋"/>
          <w:color w:val="auto"/>
          <w:spacing w:val="-10"/>
          <w:sz w:val="24"/>
        </w:rPr>
      </w:pPr>
      <w:r>
        <w:rPr>
          <w:rFonts w:hint="eastAsia" w:ascii="仿宋" w:hAnsi="仿宋" w:eastAsia="仿宋"/>
          <w:color w:val="auto"/>
          <w:spacing w:val="-10"/>
          <w:sz w:val="24"/>
        </w:rPr>
        <w:t>（6）投标方承诺本项目合作终止后</w:t>
      </w:r>
      <w:r>
        <w:rPr>
          <w:rFonts w:ascii="仿宋" w:hAnsi="仿宋" w:eastAsia="仿宋"/>
          <w:color w:val="auto"/>
          <w:spacing w:val="-10"/>
          <w:sz w:val="24"/>
        </w:rPr>
        <w:t>1</w:t>
      </w:r>
      <w:r>
        <w:rPr>
          <w:rFonts w:hint="eastAsia" w:ascii="仿宋" w:hAnsi="仿宋" w:eastAsia="仿宋"/>
          <w:color w:val="auto"/>
          <w:spacing w:val="-10"/>
          <w:sz w:val="24"/>
        </w:rPr>
        <w:t>年内，无条件配合招标方进行数据迁移、数据字典提供、数据结构提供、对相关实现方式讲解。</w:t>
      </w:r>
    </w:p>
    <w:p>
      <w:pPr>
        <w:tabs>
          <w:tab w:val="left" w:pos="1301"/>
        </w:tabs>
        <w:autoSpaceDE w:val="0"/>
        <w:autoSpaceDN w:val="0"/>
        <w:spacing w:line="360" w:lineRule="auto"/>
        <w:ind w:right="318" w:firstLine="440" w:firstLineChars="200"/>
        <w:rPr>
          <w:rFonts w:ascii="仿宋" w:hAnsi="仿宋" w:eastAsia="仿宋"/>
          <w:color w:val="auto"/>
          <w:spacing w:val="-10"/>
          <w:sz w:val="24"/>
        </w:rPr>
      </w:pPr>
      <w:r>
        <w:rPr>
          <w:rFonts w:hint="eastAsia" w:ascii="仿宋" w:hAnsi="仿宋" w:eastAsia="仿宋"/>
          <w:color w:val="auto"/>
          <w:spacing w:val="-10"/>
          <w:sz w:val="24"/>
        </w:rPr>
        <w:t>（7）本项目建设内容、需求若有变化，与本文不符的，则按照招标方与投标方友好协商修订为准。</w:t>
      </w:r>
    </w:p>
    <w:p>
      <w:pPr>
        <w:keepNext/>
        <w:keepLines/>
        <w:tabs>
          <w:tab w:val="left" w:pos="3532"/>
          <w:tab w:val="center" w:pos="4153"/>
        </w:tabs>
        <w:spacing w:line="360" w:lineRule="auto"/>
        <w:jc w:val="left"/>
        <w:rPr>
          <w:rFonts w:ascii="仿宋" w:hAnsi="仿宋" w:eastAsia="仿宋" w:cs="仿宋"/>
          <w:b/>
          <w:bCs/>
          <w:color w:val="auto"/>
          <w:sz w:val="24"/>
        </w:rPr>
      </w:pPr>
      <w:r>
        <w:rPr>
          <w:rFonts w:ascii="仿宋" w:hAnsi="仿宋" w:eastAsia="仿宋" w:cs="仿宋"/>
          <w:b/>
          <w:bCs/>
          <w:color w:val="auto"/>
          <w:sz w:val="24"/>
        </w:rPr>
        <w:tab/>
      </w:r>
      <w:r>
        <w:rPr>
          <w:rFonts w:hint="eastAsia" w:ascii="仿宋" w:hAnsi="仿宋" w:eastAsia="仿宋" w:cs="仿宋"/>
          <w:b/>
          <w:bCs/>
          <w:color w:val="auto"/>
          <w:sz w:val="24"/>
        </w:rPr>
        <w:t>9包系统软件</w:t>
      </w:r>
    </w:p>
    <w:p>
      <w:pPr>
        <w:keepNext/>
        <w:keepLines/>
        <w:spacing w:line="360" w:lineRule="auto"/>
        <w:rPr>
          <w:rFonts w:ascii="仿宋" w:hAnsi="仿宋" w:eastAsia="仿宋"/>
          <w:b/>
          <w:bCs/>
          <w:color w:val="auto"/>
          <w:kern w:val="44"/>
          <w:sz w:val="28"/>
          <w:szCs w:val="44"/>
        </w:rPr>
      </w:pPr>
      <w:r>
        <w:rPr>
          <w:rFonts w:hint="eastAsia" w:ascii="仿宋" w:hAnsi="仿宋" w:eastAsia="仿宋"/>
          <w:b/>
          <w:bCs/>
          <w:color w:val="auto"/>
          <w:kern w:val="44"/>
          <w:sz w:val="28"/>
          <w:szCs w:val="44"/>
        </w:rPr>
        <w:t>1.建设背景</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习近平新时代中国特色社会主义思想为指导，全面贯彻落实党的十九大和十九届二中、三中全会精神，坚持以人民为中心的发展思想，认真贯彻落实习近平总书记对医疗保障工作的重要指示精神和全国医疗保障工作会议精神，以政治建设为引领、以自身建设为基础、以改革创新为动力，坚持保基本、兜底线、建机制、强监管，聚焦基金安全，推进“三医联动”改革，切实解决群众反映强烈的突出问题，不断提高人民群众的获得感、幸福感和安全感，努力开创全省医疗保障工作新局面。以国家医疗保障局《关于医疗保障信息化工作的指导意见》为指导，以《医疗保障信息平台建设指南》为依据，以建设全国统一、高效、兼容、便捷、安全的医疗保障信息系统为起点，构建海南省大集中的医疗保障信息平台，实现设备大集中、数据大集中、应用系统大集中，面对全省各族人民在医疗保障领域日益增长的美好生活需要与当前医疗保障管理机制、服务能力、决策水平和监督手段不平衡不充分的发展之间的矛盾，构建更加公平、更加可持续的医疗保障体系。</w:t>
      </w:r>
    </w:p>
    <w:p>
      <w:pPr>
        <w:keepNext/>
        <w:keepLines/>
        <w:spacing w:line="360" w:lineRule="auto"/>
        <w:rPr>
          <w:rFonts w:ascii="仿宋" w:hAnsi="仿宋" w:eastAsia="仿宋"/>
          <w:b/>
          <w:bCs/>
          <w:color w:val="auto"/>
          <w:kern w:val="44"/>
          <w:sz w:val="28"/>
          <w:szCs w:val="44"/>
        </w:rPr>
      </w:pPr>
      <w:r>
        <w:rPr>
          <w:rFonts w:hint="eastAsia" w:ascii="仿宋" w:hAnsi="仿宋" w:eastAsia="仿宋"/>
          <w:b/>
          <w:bCs/>
          <w:color w:val="auto"/>
          <w:kern w:val="44"/>
          <w:sz w:val="28"/>
          <w:szCs w:val="44"/>
        </w:rPr>
        <w:t>2.建设目标</w:t>
      </w:r>
    </w:p>
    <w:p>
      <w:pPr>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立足</w:t>
      </w:r>
      <w:r>
        <w:rPr>
          <w:rFonts w:ascii="仿宋" w:hAnsi="仿宋" w:eastAsia="仿宋" w:cs="仿宋"/>
          <w:color w:val="auto"/>
          <w:sz w:val="24"/>
        </w:rPr>
        <w:t>“</w:t>
      </w:r>
      <w:r>
        <w:rPr>
          <w:rFonts w:hint="eastAsia" w:ascii="仿宋" w:hAnsi="仿宋" w:eastAsia="仿宋" w:cs="仿宋"/>
          <w:color w:val="auto"/>
          <w:sz w:val="24"/>
        </w:rPr>
        <w:t>努力建成更加公平、更加可持续的医疗保障体系，更好满足人民群众日益增长的医疗保障需求</w:t>
      </w:r>
      <w:r>
        <w:rPr>
          <w:rFonts w:ascii="仿宋" w:hAnsi="仿宋" w:eastAsia="仿宋" w:cs="仿宋"/>
          <w:color w:val="auto"/>
          <w:sz w:val="24"/>
        </w:rPr>
        <w:t>”</w:t>
      </w:r>
      <w:r>
        <w:rPr>
          <w:rFonts w:hint="eastAsia" w:ascii="仿宋" w:hAnsi="仿宋" w:eastAsia="仿宋" w:cs="仿宋"/>
          <w:color w:val="auto"/>
          <w:sz w:val="24"/>
        </w:rPr>
        <w:t>目标，围绕医疗保障的重要领域和关键环节，全面开展海南省医疗保障信息平台建设，努力构建全国医保便捷可及的</w:t>
      </w:r>
      <w:r>
        <w:rPr>
          <w:rFonts w:ascii="仿宋" w:hAnsi="仿宋" w:eastAsia="仿宋" w:cs="仿宋"/>
          <w:color w:val="auto"/>
          <w:sz w:val="24"/>
        </w:rPr>
        <w:t>“</w:t>
      </w:r>
      <w:r>
        <w:rPr>
          <w:rFonts w:hint="eastAsia" w:ascii="仿宋" w:hAnsi="仿宋" w:eastAsia="仿宋" w:cs="仿宋"/>
          <w:color w:val="auto"/>
          <w:sz w:val="24"/>
        </w:rPr>
        <w:t>大服务</w:t>
      </w:r>
      <w:r>
        <w:rPr>
          <w:rFonts w:ascii="仿宋" w:hAnsi="仿宋" w:eastAsia="仿宋" w:cs="仿宋"/>
          <w:color w:val="auto"/>
          <w:sz w:val="24"/>
        </w:rPr>
        <w:t>”</w:t>
      </w:r>
      <w:r>
        <w:rPr>
          <w:rFonts w:hint="eastAsia" w:ascii="仿宋" w:hAnsi="仿宋" w:eastAsia="仿宋" w:cs="仿宋"/>
          <w:color w:val="auto"/>
          <w:sz w:val="24"/>
        </w:rPr>
        <w:t>体系、规范高效的</w:t>
      </w:r>
      <w:r>
        <w:rPr>
          <w:rFonts w:ascii="仿宋" w:hAnsi="仿宋" w:eastAsia="仿宋" w:cs="仿宋"/>
          <w:color w:val="auto"/>
          <w:sz w:val="24"/>
        </w:rPr>
        <w:t>“</w:t>
      </w:r>
      <w:r>
        <w:rPr>
          <w:rFonts w:hint="eastAsia" w:ascii="仿宋" w:hAnsi="仿宋" w:eastAsia="仿宋" w:cs="仿宋"/>
          <w:color w:val="auto"/>
          <w:sz w:val="24"/>
        </w:rPr>
        <w:t>大经办</w:t>
      </w:r>
      <w:r>
        <w:rPr>
          <w:rFonts w:ascii="仿宋" w:hAnsi="仿宋" w:eastAsia="仿宋" w:cs="仿宋"/>
          <w:color w:val="auto"/>
          <w:sz w:val="24"/>
        </w:rPr>
        <w:t>”</w:t>
      </w:r>
      <w:r>
        <w:rPr>
          <w:rFonts w:hint="eastAsia" w:ascii="仿宋" w:hAnsi="仿宋" w:eastAsia="仿宋" w:cs="仿宋"/>
          <w:color w:val="auto"/>
          <w:sz w:val="24"/>
        </w:rPr>
        <w:t>体系、智能精准的</w:t>
      </w:r>
      <w:r>
        <w:rPr>
          <w:rFonts w:ascii="仿宋" w:hAnsi="仿宋" w:eastAsia="仿宋" w:cs="仿宋"/>
          <w:color w:val="auto"/>
          <w:sz w:val="24"/>
        </w:rPr>
        <w:t>“</w:t>
      </w:r>
      <w:r>
        <w:rPr>
          <w:rFonts w:hint="eastAsia" w:ascii="仿宋" w:hAnsi="仿宋" w:eastAsia="仿宋" w:cs="仿宋"/>
          <w:color w:val="auto"/>
          <w:sz w:val="24"/>
        </w:rPr>
        <w:t>大治理</w:t>
      </w:r>
      <w:r>
        <w:rPr>
          <w:rFonts w:ascii="仿宋" w:hAnsi="仿宋" w:eastAsia="仿宋" w:cs="仿宋"/>
          <w:color w:val="auto"/>
          <w:sz w:val="24"/>
        </w:rPr>
        <w:t>”</w:t>
      </w:r>
      <w:r>
        <w:rPr>
          <w:rFonts w:hint="eastAsia" w:ascii="仿宋" w:hAnsi="仿宋" w:eastAsia="仿宋" w:cs="仿宋"/>
          <w:color w:val="auto"/>
          <w:sz w:val="24"/>
        </w:rPr>
        <w:t>体系、融合共享的</w:t>
      </w:r>
      <w:r>
        <w:rPr>
          <w:rFonts w:ascii="仿宋" w:hAnsi="仿宋" w:eastAsia="仿宋" w:cs="仿宋"/>
          <w:color w:val="auto"/>
          <w:sz w:val="24"/>
        </w:rPr>
        <w:t>“</w:t>
      </w:r>
      <w:r>
        <w:rPr>
          <w:rFonts w:hint="eastAsia" w:ascii="仿宋" w:hAnsi="仿宋" w:eastAsia="仿宋" w:cs="仿宋"/>
          <w:color w:val="auto"/>
          <w:sz w:val="24"/>
        </w:rPr>
        <w:t>大协作</w:t>
      </w:r>
      <w:r>
        <w:rPr>
          <w:rFonts w:ascii="仿宋" w:hAnsi="仿宋" w:eastAsia="仿宋" w:cs="仿宋"/>
          <w:color w:val="auto"/>
          <w:sz w:val="24"/>
        </w:rPr>
        <w:t>”</w:t>
      </w:r>
      <w:r>
        <w:rPr>
          <w:rFonts w:hint="eastAsia" w:ascii="仿宋" w:hAnsi="仿宋" w:eastAsia="仿宋" w:cs="仿宋"/>
          <w:color w:val="auto"/>
          <w:sz w:val="24"/>
        </w:rPr>
        <w:t>体系、在线可用的</w:t>
      </w:r>
      <w:r>
        <w:rPr>
          <w:rFonts w:ascii="仿宋" w:hAnsi="仿宋" w:eastAsia="仿宋" w:cs="仿宋"/>
          <w:color w:val="auto"/>
          <w:sz w:val="24"/>
        </w:rPr>
        <w:t>“</w:t>
      </w:r>
      <w:r>
        <w:rPr>
          <w:rFonts w:hint="eastAsia" w:ascii="仿宋" w:hAnsi="仿宋" w:eastAsia="仿宋" w:cs="仿宋"/>
          <w:color w:val="auto"/>
          <w:sz w:val="24"/>
        </w:rPr>
        <w:t>大数据</w:t>
      </w:r>
      <w:r>
        <w:rPr>
          <w:rFonts w:ascii="仿宋" w:hAnsi="仿宋" w:eastAsia="仿宋" w:cs="仿宋"/>
          <w:color w:val="auto"/>
          <w:sz w:val="24"/>
        </w:rPr>
        <w:t>”</w:t>
      </w:r>
      <w:r>
        <w:rPr>
          <w:rFonts w:hint="eastAsia" w:ascii="仿宋" w:hAnsi="仿宋" w:eastAsia="仿宋" w:cs="仿宋"/>
          <w:color w:val="auto"/>
          <w:sz w:val="24"/>
        </w:rPr>
        <w:t>体系、安全可靠的</w:t>
      </w:r>
      <w:r>
        <w:rPr>
          <w:rFonts w:ascii="仿宋" w:hAnsi="仿宋" w:eastAsia="仿宋" w:cs="仿宋"/>
          <w:color w:val="auto"/>
          <w:sz w:val="24"/>
        </w:rPr>
        <w:t>“</w:t>
      </w:r>
      <w:r>
        <w:rPr>
          <w:rFonts w:hint="eastAsia" w:ascii="仿宋" w:hAnsi="仿宋" w:eastAsia="仿宋" w:cs="仿宋"/>
          <w:color w:val="auto"/>
          <w:sz w:val="24"/>
        </w:rPr>
        <w:t>大支撑</w:t>
      </w:r>
      <w:r>
        <w:rPr>
          <w:rFonts w:ascii="仿宋" w:hAnsi="仿宋" w:eastAsia="仿宋" w:cs="仿宋"/>
          <w:color w:val="auto"/>
          <w:sz w:val="24"/>
        </w:rPr>
        <w:t>”</w:t>
      </w:r>
      <w:r>
        <w:rPr>
          <w:rFonts w:hint="eastAsia" w:ascii="仿宋" w:hAnsi="仿宋" w:eastAsia="仿宋" w:cs="仿宋"/>
          <w:color w:val="auto"/>
          <w:sz w:val="24"/>
        </w:rPr>
        <w:t>体系，实现全国医疗保障基础设施集约化、监督管理智能化、公共服务精准化、决策依据大数据化、业务经办一体化、社会协作多元化、安全保障全息化，为新时代医疗保障事业高质量发展提供新动能，促进国家治理体系和治理能力现代化，增强人民群众的获得感、幸福感、安全感。</w:t>
      </w:r>
    </w:p>
    <w:p>
      <w:pPr>
        <w:keepNext/>
        <w:keepLines/>
        <w:spacing w:line="360" w:lineRule="auto"/>
        <w:rPr>
          <w:rFonts w:ascii="仿宋" w:hAnsi="仿宋" w:eastAsia="仿宋"/>
          <w:b/>
          <w:bCs/>
          <w:color w:val="auto"/>
          <w:kern w:val="44"/>
          <w:sz w:val="28"/>
          <w:szCs w:val="44"/>
        </w:rPr>
      </w:pPr>
      <w:r>
        <w:rPr>
          <w:rFonts w:hint="eastAsia" w:ascii="仿宋" w:hAnsi="仿宋" w:eastAsia="仿宋"/>
          <w:b/>
          <w:bCs/>
          <w:color w:val="auto"/>
          <w:kern w:val="44"/>
          <w:sz w:val="28"/>
          <w:szCs w:val="44"/>
        </w:rPr>
        <w:t>3.技术架构要求</w:t>
      </w:r>
    </w:p>
    <w:p>
      <w:pPr>
        <w:autoSpaceDE w:val="0"/>
        <w:autoSpaceDN w:val="0"/>
        <w:spacing w:line="360" w:lineRule="auto"/>
        <w:ind w:firstLine="400" w:firstLineChars="200"/>
        <w:rPr>
          <w:rFonts w:ascii="仿宋" w:hAnsi="仿宋" w:eastAsia="仿宋" w:cs="仿宋"/>
          <w:color w:val="auto"/>
          <w:sz w:val="24"/>
        </w:rPr>
      </w:pPr>
      <w:r>
        <w:rPr>
          <w:rFonts w:hint="eastAsia" w:ascii="仿宋" w:hAnsi="仿宋" w:eastAsia="仿宋" w:cs="仿宋"/>
          <w:color w:val="auto"/>
          <w:kern w:val="0"/>
          <w:sz w:val="20"/>
          <w:szCs w:val="20"/>
        </w:rPr>
        <w:t>▲</w:t>
      </w:r>
      <w:r>
        <w:rPr>
          <w:rFonts w:hint="eastAsia" w:ascii="仿宋" w:hAnsi="仿宋" w:eastAsia="仿宋" w:cs="仿宋"/>
          <w:color w:val="auto"/>
          <w:sz w:val="24"/>
        </w:rPr>
        <w:t>本项目建设须遵循</w:t>
      </w:r>
      <w:r>
        <w:rPr>
          <w:rFonts w:ascii="仿宋" w:hAnsi="仿宋" w:eastAsia="仿宋" w:cs="仿宋"/>
          <w:color w:val="auto"/>
          <w:sz w:val="24"/>
        </w:rPr>
        <w:t>《XJ-A01-2019医疗保障信息平台云计算平台规范》</w:t>
      </w:r>
      <w:r>
        <w:rPr>
          <w:rFonts w:hint="eastAsia" w:ascii="仿宋" w:hAnsi="仿宋" w:eastAsia="仿宋" w:cs="仿宋"/>
          <w:color w:val="auto"/>
          <w:sz w:val="24"/>
        </w:rPr>
        <w:t>、《</w:t>
      </w:r>
      <w:r>
        <w:rPr>
          <w:rFonts w:ascii="仿宋" w:hAnsi="仿宋" w:eastAsia="仿宋" w:cs="仿宋"/>
          <w:color w:val="auto"/>
          <w:sz w:val="24"/>
        </w:rPr>
        <w:t>XJ-B01-2019医疗保障信息平台应用系统技术架构规范</w:t>
      </w:r>
      <w:r>
        <w:rPr>
          <w:rFonts w:hint="eastAsia" w:ascii="仿宋" w:hAnsi="仿宋" w:eastAsia="仿宋" w:cs="仿宋"/>
          <w:color w:val="auto"/>
          <w:sz w:val="24"/>
        </w:rPr>
        <w:t>》等标准规范的要求，采用分布式云架构，在私有化的云基础设施层上，提供分布式应用服务、分布式数据库访问服务、分布式日志服务、分布式消息队列、云服务总线、分布式缓存、对象存储服务、关系型数据库、大数据管理软件等服务支撑，为上层H</w:t>
      </w:r>
      <w:r>
        <w:rPr>
          <w:rFonts w:ascii="仿宋" w:hAnsi="仿宋" w:eastAsia="仿宋" w:cs="仿宋"/>
          <w:color w:val="auto"/>
          <w:sz w:val="24"/>
        </w:rPr>
        <w:t>SAF</w:t>
      </w:r>
      <w:r>
        <w:rPr>
          <w:rFonts w:hint="eastAsia" w:ascii="仿宋" w:hAnsi="仿宋" w:eastAsia="仿宋" w:cs="仿宋"/>
          <w:color w:val="auto"/>
          <w:sz w:val="24"/>
        </w:rPr>
        <w:t>框架及应用系统提供标准化支撑。</w:t>
      </w:r>
    </w:p>
    <w:p>
      <w:pPr>
        <w:keepNext/>
        <w:keepLines/>
        <w:spacing w:line="360" w:lineRule="auto"/>
        <w:rPr>
          <w:rFonts w:ascii="仿宋" w:hAnsi="仿宋" w:eastAsia="仿宋"/>
          <w:b/>
          <w:bCs/>
          <w:color w:val="auto"/>
          <w:kern w:val="44"/>
          <w:sz w:val="28"/>
          <w:szCs w:val="44"/>
        </w:rPr>
      </w:pPr>
      <w:r>
        <w:rPr>
          <w:rFonts w:ascii="仿宋" w:hAnsi="仿宋" w:eastAsia="仿宋"/>
          <w:b/>
          <w:bCs/>
          <w:color w:val="auto"/>
          <w:kern w:val="44"/>
          <w:sz w:val="28"/>
          <w:szCs w:val="44"/>
        </w:rPr>
        <w:t>4</w:t>
      </w:r>
      <w:r>
        <w:rPr>
          <w:rFonts w:hint="eastAsia" w:ascii="仿宋" w:hAnsi="仿宋" w:eastAsia="仿宋"/>
          <w:b/>
          <w:bCs/>
          <w:color w:val="auto"/>
          <w:kern w:val="44"/>
          <w:sz w:val="28"/>
          <w:szCs w:val="44"/>
        </w:rPr>
        <w:t>.建设内容要求</w:t>
      </w:r>
    </w:p>
    <w:p>
      <w:pPr>
        <w:keepNext/>
        <w:keepLines/>
        <w:spacing w:line="360" w:lineRule="auto"/>
        <w:rPr>
          <w:rFonts w:ascii="仿宋" w:hAnsi="仿宋" w:eastAsia="仿宋"/>
          <w:b/>
          <w:bCs/>
          <w:color w:val="auto"/>
          <w:sz w:val="28"/>
          <w:szCs w:val="28"/>
        </w:rPr>
      </w:pPr>
      <w:r>
        <w:rPr>
          <w:rFonts w:hint="eastAsia" w:ascii="仿宋" w:hAnsi="仿宋" w:eastAsia="仿宋"/>
          <w:b/>
          <w:bCs/>
          <w:color w:val="auto"/>
          <w:sz w:val="28"/>
          <w:szCs w:val="28"/>
        </w:rPr>
        <w:t>4</w:t>
      </w:r>
      <w:r>
        <w:rPr>
          <w:rFonts w:ascii="仿宋" w:hAnsi="仿宋" w:eastAsia="仿宋"/>
          <w:b/>
          <w:bCs/>
          <w:color w:val="auto"/>
          <w:sz w:val="28"/>
          <w:szCs w:val="28"/>
        </w:rPr>
        <w:t>.1</w:t>
      </w:r>
      <w:r>
        <w:rPr>
          <w:rFonts w:hint="eastAsia" w:ascii="仿宋" w:hAnsi="仿宋" w:eastAsia="仿宋"/>
          <w:b/>
          <w:bCs/>
          <w:color w:val="auto"/>
          <w:sz w:val="28"/>
          <w:szCs w:val="28"/>
        </w:rPr>
        <w:t>建设清单</w:t>
      </w:r>
    </w:p>
    <w:tbl>
      <w:tblPr>
        <w:tblStyle w:val="14"/>
        <w:tblW w:w="8417" w:type="dxa"/>
        <w:tblInd w:w="113" w:type="dxa"/>
        <w:tblLayout w:type="autofit"/>
        <w:tblCellMar>
          <w:top w:w="0" w:type="dxa"/>
          <w:left w:w="108" w:type="dxa"/>
          <w:bottom w:w="0" w:type="dxa"/>
          <w:right w:w="108" w:type="dxa"/>
        </w:tblCellMar>
      </w:tblPr>
      <w:tblGrid>
        <w:gridCol w:w="1583"/>
        <w:gridCol w:w="2837"/>
        <w:gridCol w:w="1134"/>
        <w:gridCol w:w="2863"/>
      </w:tblGrid>
      <w:tr>
        <w:tblPrEx>
          <w:tblCellMar>
            <w:top w:w="0" w:type="dxa"/>
            <w:left w:w="108" w:type="dxa"/>
            <w:bottom w:w="0" w:type="dxa"/>
            <w:right w:w="108" w:type="dxa"/>
          </w:tblCellMar>
        </w:tblPrEx>
        <w:trPr>
          <w:trHeight w:val="348" w:hRule="atLeast"/>
        </w:trPr>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b/>
                <w:bCs/>
                <w:color w:val="auto"/>
                <w:kern w:val="0"/>
                <w:szCs w:val="21"/>
              </w:rPr>
            </w:pPr>
            <w:r>
              <w:rPr>
                <w:rFonts w:hint="eastAsia" w:ascii="仿宋" w:hAnsi="仿宋" w:eastAsia="仿宋"/>
                <w:b/>
                <w:bCs/>
                <w:color w:val="auto"/>
                <w:kern w:val="0"/>
                <w:szCs w:val="21"/>
              </w:rPr>
              <w:t>序号</w:t>
            </w:r>
          </w:p>
        </w:tc>
        <w:tc>
          <w:tcPr>
            <w:tcW w:w="2835"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b/>
                <w:bCs/>
                <w:color w:val="auto"/>
                <w:kern w:val="0"/>
                <w:szCs w:val="21"/>
              </w:rPr>
            </w:pPr>
            <w:r>
              <w:rPr>
                <w:rFonts w:hint="eastAsia" w:ascii="仿宋" w:hAnsi="仿宋" w:eastAsia="仿宋"/>
                <w:b/>
                <w:bCs/>
                <w:color w:val="auto"/>
                <w:kern w:val="0"/>
                <w:szCs w:val="21"/>
              </w:rPr>
              <w:t>设备及软件名称</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b/>
                <w:bCs/>
                <w:color w:val="auto"/>
                <w:kern w:val="0"/>
                <w:szCs w:val="21"/>
              </w:rPr>
            </w:pPr>
            <w:r>
              <w:rPr>
                <w:rFonts w:hint="eastAsia" w:ascii="仿宋" w:hAnsi="仿宋" w:eastAsia="仿宋"/>
                <w:b/>
                <w:bCs/>
                <w:color w:val="auto"/>
                <w:kern w:val="0"/>
                <w:szCs w:val="21"/>
              </w:rPr>
              <w:t>数量（套）</w:t>
            </w:r>
          </w:p>
        </w:tc>
        <w:tc>
          <w:tcPr>
            <w:tcW w:w="2863"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b/>
                <w:bCs/>
                <w:color w:val="auto"/>
                <w:kern w:val="0"/>
                <w:szCs w:val="21"/>
              </w:rPr>
            </w:pPr>
            <w:r>
              <w:rPr>
                <w:rFonts w:hint="eastAsia" w:ascii="仿宋" w:hAnsi="仿宋" w:eastAsia="仿宋"/>
                <w:b/>
                <w:bCs/>
                <w:color w:val="auto"/>
                <w:kern w:val="0"/>
                <w:szCs w:val="21"/>
              </w:rPr>
              <w:t>备注</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b/>
                <w:bCs/>
                <w:color w:val="auto"/>
                <w:kern w:val="0"/>
                <w:sz w:val="20"/>
                <w:szCs w:val="20"/>
              </w:rPr>
            </w:pPr>
            <w:r>
              <w:rPr>
                <w:rFonts w:hint="eastAsia" w:ascii="仿宋" w:hAnsi="仿宋" w:eastAsia="仿宋"/>
                <w:b/>
                <w:bCs/>
                <w:color w:val="auto"/>
                <w:kern w:val="0"/>
                <w:sz w:val="20"/>
                <w:szCs w:val="20"/>
              </w:rPr>
              <w:t>一、云平台系统软件</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b/>
                <w:bCs/>
                <w:color w:val="auto"/>
                <w:kern w:val="0"/>
                <w:sz w:val="20"/>
                <w:szCs w:val="20"/>
              </w:rPr>
            </w:pPr>
            <w:r>
              <w:rPr>
                <w:rFonts w:ascii="仿宋" w:hAnsi="仿宋" w:eastAsia="仿宋"/>
                <w:b/>
                <w:bCs/>
                <w:color w:val="auto"/>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b/>
                <w:bCs/>
                <w:color w:val="auto"/>
                <w:kern w:val="0"/>
                <w:sz w:val="20"/>
                <w:szCs w:val="20"/>
              </w:rPr>
            </w:pPr>
            <w:r>
              <w:rPr>
                <w:rFonts w:ascii="仿宋" w:hAnsi="仿宋" w:eastAsia="仿宋"/>
                <w:b/>
                <w:bCs/>
                <w:color w:val="auto"/>
                <w:kern w:val="0"/>
                <w:sz w:val="20"/>
                <w:szCs w:val="20"/>
              </w:rPr>
              <w:t>　</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ascii="仿宋" w:hAnsi="仿宋" w:eastAsia="仿宋"/>
                <w:color w:val="auto"/>
                <w:kern w:val="0"/>
                <w:sz w:val="20"/>
                <w:szCs w:val="20"/>
              </w:rPr>
              <w:t>　</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hint="eastAsia" w:ascii="仿宋" w:hAnsi="仿宋" w:eastAsia="仿宋"/>
                <w:color w:val="auto"/>
                <w:kern w:val="0"/>
                <w:sz w:val="20"/>
                <w:szCs w:val="20"/>
              </w:rPr>
              <w:t>（一）</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云支撑服务软件</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　</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ascii="仿宋" w:hAnsi="仿宋" w:eastAsia="仿宋"/>
                <w:color w:val="auto"/>
                <w:kern w:val="0"/>
                <w:sz w:val="20"/>
                <w:szCs w:val="20"/>
              </w:rPr>
              <w:t>　</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1</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分布式应用服务</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4</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每分区</w:t>
            </w:r>
            <w:r>
              <w:rPr>
                <w:rFonts w:ascii="仿宋" w:hAnsi="仿宋" w:eastAsia="仿宋"/>
                <w:color w:val="auto"/>
                <w:kern w:val="0"/>
                <w:sz w:val="20"/>
                <w:szCs w:val="20"/>
              </w:rPr>
              <w:t>1</w:t>
            </w:r>
            <w:r>
              <w:rPr>
                <w:rFonts w:hint="eastAsia" w:ascii="仿宋" w:hAnsi="仿宋" w:eastAsia="仿宋"/>
                <w:color w:val="auto"/>
                <w:kern w:val="0"/>
                <w:sz w:val="20"/>
                <w:szCs w:val="20"/>
              </w:rPr>
              <w:t>套</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2</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分布式数据库访问服务</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4</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每分区</w:t>
            </w:r>
            <w:r>
              <w:rPr>
                <w:rFonts w:ascii="仿宋" w:hAnsi="仿宋" w:eastAsia="仿宋"/>
                <w:color w:val="auto"/>
                <w:kern w:val="0"/>
                <w:sz w:val="20"/>
                <w:szCs w:val="20"/>
              </w:rPr>
              <w:t>1</w:t>
            </w:r>
            <w:r>
              <w:rPr>
                <w:rFonts w:hint="eastAsia" w:ascii="仿宋" w:hAnsi="仿宋" w:eastAsia="仿宋"/>
                <w:color w:val="auto"/>
                <w:kern w:val="0"/>
                <w:sz w:val="20"/>
                <w:szCs w:val="20"/>
              </w:rPr>
              <w:t>套</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3</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分布式日志服务</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4</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每分区</w:t>
            </w:r>
            <w:r>
              <w:rPr>
                <w:rFonts w:ascii="仿宋" w:hAnsi="仿宋" w:eastAsia="仿宋"/>
                <w:color w:val="auto"/>
                <w:kern w:val="0"/>
                <w:sz w:val="20"/>
                <w:szCs w:val="20"/>
              </w:rPr>
              <w:t>1</w:t>
            </w:r>
            <w:r>
              <w:rPr>
                <w:rFonts w:hint="eastAsia" w:ascii="仿宋" w:hAnsi="仿宋" w:eastAsia="仿宋"/>
                <w:color w:val="auto"/>
                <w:kern w:val="0"/>
                <w:sz w:val="20"/>
                <w:szCs w:val="20"/>
              </w:rPr>
              <w:t>套</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4</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分布式消息队列</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4</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每分区</w:t>
            </w:r>
            <w:r>
              <w:rPr>
                <w:rFonts w:ascii="仿宋" w:hAnsi="仿宋" w:eastAsia="仿宋"/>
                <w:color w:val="auto"/>
                <w:kern w:val="0"/>
                <w:sz w:val="20"/>
                <w:szCs w:val="20"/>
              </w:rPr>
              <w:t>1</w:t>
            </w:r>
            <w:r>
              <w:rPr>
                <w:rFonts w:hint="eastAsia" w:ascii="仿宋" w:hAnsi="仿宋" w:eastAsia="仿宋"/>
                <w:color w:val="auto"/>
                <w:kern w:val="0"/>
                <w:sz w:val="20"/>
                <w:szCs w:val="20"/>
              </w:rPr>
              <w:t>套</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5</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云服务总线</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4</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每分区</w:t>
            </w:r>
            <w:r>
              <w:rPr>
                <w:rFonts w:ascii="仿宋" w:hAnsi="仿宋" w:eastAsia="仿宋"/>
                <w:color w:val="auto"/>
                <w:kern w:val="0"/>
                <w:sz w:val="20"/>
                <w:szCs w:val="20"/>
              </w:rPr>
              <w:t>1</w:t>
            </w:r>
            <w:r>
              <w:rPr>
                <w:rFonts w:hint="eastAsia" w:ascii="仿宋" w:hAnsi="仿宋" w:eastAsia="仿宋"/>
                <w:color w:val="auto"/>
                <w:kern w:val="0"/>
                <w:sz w:val="20"/>
                <w:szCs w:val="20"/>
              </w:rPr>
              <w:t>套</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6</w:t>
            </w:r>
          </w:p>
        </w:tc>
        <w:tc>
          <w:tcPr>
            <w:tcW w:w="2835" w:type="dxa"/>
            <w:tcBorders>
              <w:top w:val="nil"/>
              <w:left w:val="nil"/>
              <w:bottom w:val="single" w:color="auto" w:sz="4" w:space="0"/>
              <w:right w:val="single" w:color="auto" w:sz="4" w:space="0"/>
            </w:tcBorders>
            <w:shd w:val="clear" w:color="000000" w:fill="FFFFFF"/>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分布式缓存</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2</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Cs w:val="21"/>
              </w:rPr>
            </w:pPr>
            <w:r>
              <w:rPr>
                <w:rFonts w:hint="eastAsia" w:ascii="仿宋" w:hAnsi="仿宋" w:eastAsia="仿宋"/>
                <w:color w:val="auto"/>
                <w:kern w:val="0"/>
                <w:sz w:val="20"/>
                <w:szCs w:val="20"/>
              </w:rPr>
              <w:t>每数据中心</w:t>
            </w:r>
            <w:r>
              <w:rPr>
                <w:rFonts w:ascii="仿宋" w:hAnsi="仿宋" w:eastAsia="仿宋"/>
                <w:color w:val="auto"/>
                <w:kern w:val="0"/>
                <w:sz w:val="20"/>
                <w:szCs w:val="20"/>
              </w:rPr>
              <w:t>1</w:t>
            </w:r>
            <w:r>
              <w:rPr>
                <w:rFonts w:hint="eastAsia" w:ascii="仿宋" w:hAnsi="仿宋" w:eastAsia="仿宋"/>
                <w:color w:val="auto"/>
                <w:kern w:val="0"/>
                <w:sz w:val="20"/>
                <w:szCs w:val="20"/>
              </w:rPr>
              <w:t>套</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hint="eastAsia" w:ascii="仿宋" w:hAnsi="仿宋" w:eastAsia="仿宋"/>
                <w:color w:val="auto"/>
                <w:kern w:val="0"/>
                <w:sz w:val="20"/>
                <w:szCs w:val="20"/>
              </w:rPr>
              <w:t>7</w:t>
            </w:r>
          </w:p>
        </w:tc>
        <w:tc>
          <w:tcPr>
            <w:tcW w:w="2835" w:type="dxa"/>
            <w:tcBorders>
              <w:top w:val="nil"/>
              <w:left w:val="nil"/>
              <w:bottom w:val="single" w:color="auto" w:sz="4" w:space="0"/>
              <w:right w:val="single" w:color="auto" w:sz="4" w:space="0"/>
            </w:tcBorders>
            <w:shd w:val="clear" w:color="000000" w:fill="FFFFFF"/>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对象存储服务</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4</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Cs w:val="21"/>
              </w:rPr>
            </w:pPr>
            <w:r>
              <w:rPr>
                <w:rFonts w:hint="eastAsia" w:ascii="仿宋" w:hAnsi="仿宋" w:eastAsia="仿宋"/>
                <w:color w:val="auto"/>
                <w:kern w:val="0"/>
                <w:sz w:val="20"/>
                <w:szCs w:val="20"/>
              </w:rPr>
              <w:t>每分区</w:t>
            </w:r>
            <w:r>
              <w:rPr>
                <w:rFonts w:ascii="仿宋" w:hAnsi="仿宋" w:eastAsia="仿宋"/>
                <w:color w:val="auto"/>
                <w:kern w:val="0"/>
                <w:sz w:val="20"/>
                <w:szCs w:val="20"/>
              </w:rPr>
              <w:t>1</w:t>
            </w:r>
            <w:r>
              <w:rPr>
                <w:rFonts w:hint="eastAsia" w:ascii="仿宋" w:hAnsi="仿宋" w:eastAsia="仿宋"/>
                <w:color w:val="auto"/>
                <w:kern w:val="0"/>
                <w:sz w:val="20"/>
                <w:szCs w:val="20"/>
              </w:rPr>
              <w:t>套</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8</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关系型数据库</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4</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每分区</w:t>
            </w:r>
            <w:r>
              <w:rPr>
                <w:rFonts w:ascii="仿宋" w:hAnsi="仿宋" w:eastAsia="仿宋"/>
                <w:color w:val="auto"/>
                <w:kern w:val="0"/>
                <w:sz w:val="20"/>
                <w:szCs w:val="20"/>
              </w:rPr>
              <w:t>1</w:t>
            </w:r>
            <w:r>
              <w:rPr>
                <w:rFonts w:hint="eastAsia" w:ascii="仿宋" w:hAnsi="仿宋" w:eastAsia="仿宋"/>
                <w:color w:val="auto"/>
                <w:kern w:val="0"/>
                <w:sz w:val="20"/>
                <w:szCs w:val="20"/>
              </w:rPr>
              <w:t>套</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hint="eastAsia" w:ascii="仿宋" w:hAnsi="仿宋" w:eastAsia="仿宋"/>
                <w:color w:val="auto"/>
                <w:kern w:val="0"/>
                <w:sz w:val="20"/>
                <w:szCs w:val="20"/>
              </w:rPr>
              <w:t>（二）</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大数据软件</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　</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ascii="仿宋" w:hAnsi="仿宋" w:eastAsia="仿宋"/>
                <w:color w:val="auto"/>
                <w:kern w:val="0"/>
                <w:sz w:val="20"/>
                <w:szCs w:val="20"/>
              </w:rPr>
              <w:t>　</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1</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大数据管理软件</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1</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数据中心</w:t>
            </w:r>
            <w:r>
              <w:rPr>
                <w:rFonts w:ascii="仿宋" w:hAnsi="仿宋" w:eastAsia="仿宋"/>
                <w:color w:val="auto"/>
                <w:kern w:val="0"/>
                <w:sz w:val="20"/>
                <w:szCs w:val="20"/>
              </w:rPr>
              <w:t>A 1</w:t>
            </w:r>
            <w:r>
              <w:rPr>
                <w:rFonts w:hint="eastAsia" w:ascii="仿宋" w:hAnsi="仿宋" w:eastAsia="仿宋"/>
                <w:color w:val="auto"/>
                <w:kern w:val="0"/>
                <w:sz w:val="20"/>
                <w:szCs w:val="20"/>
              </w:rPr>
              <w:t>套</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2</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ascii="仿宋" w:hAnsi="仿宋" w:eastAsia="仿宋"/>
                <w:color w:val="auto"/>
                <w:kern w:val="0"/>
                <w:sz w:val="20"/>
                <w:szCs w:val="20"/>
              </w:rPr>
              <w:t>BI</w:t>
            </w:r>
            <w:r>
              <w:rPr>
                <w:rFonts w:hint="eastAsia" w:ascii="仿宋" w:hAnsi="仿宋" w:eastAsia="仿宋"/>
                <w:color w:val="auto"/>
                <w:kern w:val="0"/>
                <w:sz w:val="20"/>
                <w:szCs w:val="20"/>
              </w:rPr>
              <w:t>报表工具</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1</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数据中心</w:t>
            </w:r>
            <w:r>
              <w:rPr>
                <w:rFonts w:ascii="仿宋" w:hAnsi="仿宋" w:eastAsia="仿宋"/>
                <w:color w:val="auto"/>
                <w:kern w:val="0"/>
                <w:sz w:val="20"/>
                <w:szCs w:val="20"/>
              </w:rPr>
              <w:t>A 1</w:t>
            </w:r>
            <w:r>
              <w:rPr>
                <w:rFonts w:hint="eastAsia" w:ascii="仿宋" w:hAnsi="仿宋" w:eastAsia="仿宋"/>
                <w:color w:val="auto"/>
                <w:kern w:val="0"/>
                <w:sz w:val="20"/>
                <w:szCs w:val="20"/>
              </w:rPr>
              <w:t>套</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3</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可视化大屏展示软件</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1</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数据中心</w:t>
            </w:r>
            <w:r>
              <w:rPr>
                <w:rFonts w:ascii="仿宋" w:hAnsi="仿宋" w:eastAsia="仿宋"/>
                <w:color w:val="auto"/>
                <w:kern w:val="0"/>
                <w:sz w:val="20"/>
                <w:szCs w:val="20"/>
              </w:rPr>
              <w:t>A 1</w:t>
            </w:r>
            <w:r>
              <w:rPr>
                <w:rFonts w:hint="eastAsia" w:ascii="仿宋" w:hAnsi="仿宋" w:eastAsia="仿宋"/>
                <w:color w:val="auto"/>
                <w:kern w:val="0"/>
                <w:sz w:val="20"/>
                <w:szCs w:val="20"/>
              </w:rPr>
              <w:t>套</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Cs w:val="21"/>
              </w:rPr>
            </w:pPr>
            <w:r>
              <w:rPr>
                <w:rFonts w:hint="eastAsia" w:ascii="仿宋" w:hAnsi="仿宋" w:eastAsia="仿宋"/>
                <w:color w:val="auto"/>
                <w:kern w:val="0"/>
                <w:szCs w:val="21"/>
              </w:rPr>
              <w:t>（三）</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rPr>
                <w:rFonts w:ascii="仿宋" w:hAnsi="仿宋" w:eastAsia="仿宋"/>
                <w:color w:val="auto"/>
                <w:kern w:val="0"/>
                <w:szCs w:val="21"/>
              </w:rPr>
            </w:pPr>
            <w:r>
              <w:rPr>
                <w:rFonts w:hint="eastAsia" w:ascii="仿宋" w:hAnsi="仿宋" w:eastAsia="仿宋"/>
                <w:color w:val="auto"/>
                <w:kern w:val="0"/>
                <w:szCs w:val="21"/>
              </w:rPr>
              <w:t>管理软件</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ascii="仿宋" w:hAnsi="仿宋" w:eastAsia="仿宋"/>
                <w:color w:val="auto"/>
                <w:kern w:val="0"/>
                <w:sz w:val="20"/>
                <w:szCs w:val="20"/>
              </w:rPr>
              <w:t>　</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ascii="仿宋" w:hAnsi="仿宋" w:eastAsia="仿宋"/>
                <w:color w:val="auto"/>
                <w:kern w:val="0"/>
                <w:sz w:val="20"/>
                <w:szCs w:val="20"/>
              </w:rPr>
              <w:t>　</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Cs w:val="21"/>
              </w:rPr>
            </w:pPr>
            <w:r>
              <w:rPr>
                <w:rFonts w:ascii="仿宋" w:hAnsi="仿宋" w:eastAsia="仿宋"/>
                <w:color w:val="auto"/>
                <w:kern w:val="0"/>
                <w:szCs w:val="21"/>
              </w:rPr>
              <w:t>2</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容灾管理软件</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Cs w:val="21"/>
              </w:rPr>
            </w:pPr>
            <w:r>
              <w:rPr>
                <w:rFonts w:ascii="仿宋" w:hAnsi="仿宋" w:eastAsia="仿宋"/>
                <w:color w:val="auto"/>
                <w:kern w:val="0"/>
                <w:szCs w:val="21"/>
              </w:rPr>
              <w:t>4</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每分区</w:t>
            </w:r>
            <w:r>
              <w:rPr>
                <w:rFonts w:ascii="仿宋" w:hAnsi="仿宋" w:eastAsia="仿宋"/>
                <w:color w:val="auto"/>
                <w:kern w:val="0"/>
                <w:sz w:val="20"/>
                <w:szCs w:val="20"/>
              </w:rPr>
              <w:t>1</w:t>
            </w:r>
            <w:r>
              <w:rPr>
                <w:rFonts w:hint="eastAsia" w:ascii="仿宋" w:hAnsi="仿宋" w:eastAsia="仿宋"/>
                <w:color w:val="auto"/>
                <w:kern w:val="0"/>
                <w:sz w:val="20"/>
                <w:szCs w:val="20"/>
              </w:rPr>
              <w:t>套</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Cs w:val="21"/>
              </w:rPr>
            </w:pPr>
            <w:r>
              <w:rPr>
                <w:rFonts w:ascii="仿宋" w:hAnsi="仿宋" w:eastAsia="仿宋"/>
                <w:color w:val="auto"/>
                <w:kern w:val="0"/>
                <w:szCs w:val="21"/>
              </w:rPr>
              <w:t>3</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ascii="仿宋" w:hAnsi="仿宋" w:eastAsia="仿宋"/>
                <w:color w:val="auto"/>
                <w:kern w:val="0"/>
                <w:sz w:val="20"/>
                <w:szCs w:val="20"/>
              </w:rPr>
              <w:t>DNS</w:t>
            </w:r>
            <w:r>
              <w:rPr>
                <w:rFonts w:hint="eastAsia" w:ascii="仿宋" w:hAnsi="仿宋" w:eastAsia="仿宋"/>
                <w:color w:val="auto"/>
                <w:kern w:val="0"/>
                <w:sz w:val="20"/>
                <w:szCs w:val="20"/>
              </w:rPr>
              <w:t>软件</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Cs w:val="21"/>
              </w:rPr>
            </w:pPr>
            <w:r>
              <w:rPr>
                <w:rFonts w:ascii="仿宋" w:hAnsi="仿宋" w:eastAsia="仿宋"/>
                <w:color w:val="auto"/>
                <w:kern w:val="0"/>
                <w:szCs w:val="21"/>
              </w:rPr>
              <w:t>4</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每分区</w:t>
            </w:r>
            <w:r>
              <w:rPr>
                <w:rFonts w:ascii="仿宋" w:hAnsi="仿宋" w:eastAsia="仿宋"/>
                <w:color w:val="auto"/>
                <w:kern w:val="0"/>
                <w:sz w:val="20"/>
                <w:szCs w:val="20"/>
              </w:rPr>
              <w:t>1</w:t>
            </w:r>
            <w:r>
              <w:rPr>
                <w:rFonts w:hint="eastAsia" w:ascii="仿宋" w:hAnsi="仿宋" w:eastAsia="仿宋"/>
                <w:color w:val="auto"/>
                <w:kern w:val="0"/>
                <w:sz w:val="20"/>
                <w:szCs w:val="20"/>
              </w:rPr>
              <w:t>套</w:t>
            </w:r>
          </w:p>
        </w:tc>
      </w:tr>
      <w:tr>
        <w:tblPrEx>
          <w:tblCellMar>
            <w:top w:w="0" w:type="dxa"/>
            <w:left w:w="108" w:type="dxa"/>
            <w:bottom w:w="0" w:type="dxa"/>
            <w:right w:w="108" w:type="dxa"/>
          </w:tblCellMar>
        </w:tblPrEx>
        <w:trPr>
          <w:trHeight w:val="348" w:hRule="atLeast"/>
        </w:trPr>
        <w:tc>
          <w:tcPr>
            <w:tcW w:w="442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宋体"/>
                <w:b/>
                <w:bCs/>
                <w:color w:val="auto"/>
                <w:kern w:val="0"/>
                <w:szCs w:val="21"/>
              </w:rPr>
            </w:pPr>
            <w:r>
              <w:rPr>
                <w:rFonts w:hint="eastAsia" w:ascii="仿宋" w:hAnsi="仿宋" w:eastAsia="仿宋" w:cs="宋体"/>
                <w:b/>
                <w:bCs/>
                <w:color w:val="auto"/>
                <w:kern w:val="0"/>
                <w:szCs w:val="21"/>
              </w:rPr>
              <w:t>二、安全软件</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ascii="仿宋" w:hAnsi="仿宋" w:eastAsia="仿宋"/>
                <w:color w:val="auto"/>
                <w:kern w:val="0"/>
                <w:sz w:val="20"/>
                <w:szCs w:val="20"/>
              </w:rPr>
              <w:t>　</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ascii="仿宋" w:hAnsi="仿宋" w:eastAsia="仿宋"/>
                <w:color w:val="auto"/>
                <w:kern w:val="0"/>
                <w:sz w:val="20"/>
                <w:szCs w:val="20"/>
              </w:rPr>
              <w:t>　</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b/>
                <w:bCs/>
                <w:color w:val="auto"/>
                <w:kern w:val="0"/>
                <w:szCs w:val="21"/>
              </w:rPr>
            </w:pPr>
            <w:r>
              <w:rPr>
                <w:rFonts w:hint="eastAsia" w:ascii="仿宋" w:hAnsi="仿宋" w:eastAsia="仿宋"/>
                <w:b/>
                <w:bCs/>
                <w:color w:val="auto"/>
                <w:kern w:val="0"/>
                <w:szCs w:val="21"/>
              </w:rPr>
              <w:t>（一）</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b/>
                <w:bCs/>
                <w:color w:val="auto"/>
                <w:kern w:val="0"/>
                <w:szCs w:val="21"/>
              </w:rPr>
            </w:pPr>
            <w:r>
              <w:rPr>
                <w:rFonts w:hint="eastAsia" w:ascii="仿宋" w:hAnsi="仿宋" w:eastAsia="仿宋"/>
                <w:b/>
                <w:bCs/>
                <w:color w:val="auto"/>
                <w:kern w:val="0"/>
                <w:szCs w:val="21"/>
              </w:rPr>
              <w:t>核心业务区</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ascii="仿宋" w:hAnsi="仿宋" w:eastAsia="仿宋"/>
                <w:color w:val="auto"/>
                <w:kern w:val="0"/>
                <w:sz w:val="20"/>
                <w:szCs w:val="20"/>
              </w:rPr>
              <w:t>　</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ascii="仿宋" w:hAnsi="仿宋" w:eastAsia="仿宋"/>
                <w:color w:val="auto"/>
                <w:kern w:val="0"/>
                <w:sz w:val="20"/>
                <w:szCs w:val="20"/>
              </w:rPr>
              <w:t>　</w:t>
            </w:r>
          </w:p>
        </w:tc>
      </w:tr>
      <w:tr>
        <w:tblPrEx>
          <w:tblCellMar>
            <w:top w:w="0" w:type="dxa"/>
            <w:left w:w="108" w:type="dxa"/>
            <w:bottom w:w="0" w:type="dxa"/>
            <w:right w:w="108" w:type="dxa"/>
          </w:tblCellMar>
        </w:tblPrEx>
        <w:trPr>
          <w:trHeight w:val="5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1</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hint="eastAsia" w:ascii="仿宋" w:hAnsi="仿宋" w:eastAsia="仿宋"/>
                <w:color w:val="auto"/>
                <w:kern w:val="0"/>
                <w:sz w:val="20"/>
                <w:szCs w:val="20"/>
              </w:rPr>
              <w:t>安全资源池</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2</w:t>
            </w:r>
          </w:p>
        </w:tc>
        <w:tc>
          <w:tcPr>
            <w:tcW w:w="2863"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ascii="仿宋" w:hAnsi="仿宋" w:eastAsia="仿宋"/>
                <w:color w:val="auto"/>
                <w:kern w:val="0"/>
                <w:sz w:val="22"/>
                <w:szCs w:val="22"/>
              </w:rPr>
            </w:pPr>
            <w:r>
              <w:rPr>
                <w:rFonts w:hint="eastAsia" w:ascii="仿宋" w:hAnsi="仿宋" w:eastAsia="仿宋"/>
                <w:color w:val="auto"/>
                <w:kern w:val="0"/>
                <w:sz w:val="22"/>
                <w:szCs w:val="22"/>
              </w:rPr>
              <w:t>数据中心</w:t>
            </w:r>
            <w:r>
              <w:rPr>
                <w:rFonts w:ascii="仿宋" w:hAnsi="仿宋" w:eastAsia="仿宋"/>
                <w:color w:val="auto"/>
                <w:kern w:val="0"/>
                <w:sz w:val="22"/>
                <w:szCs w:val="22"/>
              </w:rPr>
              <w:t>A&amp;B</w:t>
            </w:r>
            <w:r>
              <w:rPr>
                <w:rFonts w:hint="eastAsia" w:ascii="仿宋" w:hAnsi="仿宋" w:eastAsia="仿宋"/>
                <w:color w:val="auto"/>
                <w:kern w:val="0"/>
                <w:sz w:val="22"/>
                <w:szCs w:val="22"/>
              </w:rPr>
              <w:t>核心业务区</w:t>
            </w:r>
          </w:p>
        </w:tc>
      </w:tr>
      <w:tr>
        <w:tblPrEx>
          <w:tblCellMar>
            <w:top w:w="0" w:type="dxa"/>
            <w:left w:w="108" w:type="dxa"/>
            <w:bottom w:w="0" w:type="dxa"/>
            <w:right w:w="108" w:type="dxa"/>
          </w:tblCellMar>
        </w:tblPrEx>
        <w:trPr>
          <w:trHeight w:val="348"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b/>
                <w:bCs/>
                <w:color w:val="auto"/>
                <w:kern w:val="0"/>
                <w:szCs w:val="21"/>
              </w:rPr>
            </w:pPr>
            <w:r>
              <w:rPr>
                <w:rFonts w:hint="eastAsia" w:ascii="仿宋" w:hAnsi="仿宋" w:eastAsia="仿宋"/>
                <w:b/>
                <w:bCs/>
                <w:color w:val="auto"/>
                <w:kern w:val="0"/>
                <w:szCs w:val="21"/>
              </w:rPr>
              <w:t>（二）</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b/>
                <w:bCs/>
                <w:color w:val="auto"/>
                <w:kern w:val="0"/>
                <w:szCs w:val="21"/>
              </w:rPr>
            </w:pPr>
            <w:r>
              <w:rPr>
                <w:rFonts w:hint="eastAsia" w:ascii="仿宋" w:hAnsi="仿宋" w:eastAsia="仿宋"/>
                <w:b/>
                <w:bCs/>
                <w:color w:val="auto"/>
                <w:kern w:val="0"/>
                <w:szCs w:val="21"/>
              </w:rPr>
              <w:t>公共服务区</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ascii="仿宋" w:hAnsi="仿宋" w:eastAsia="仿宋"/>
                <w:color w:val="auto"/>
                <w:kern w:val="0"/>
                <w:sz w:val="20"/>
                <w:szCs w:val="20"/>
              </w:rPr>
              <w:t>　</w:t>
            </w:r>
          </w:p>
        </w:tc>
        <w:tc>
          <w:tcPr>
            <w:tcW w:w="286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0"/>
                <w:szCs w:val="20"/>
              </w:rPr>
            </w:pPr>
            <w:r>
              <w:rPr>
                <w:rFonts w:ascii="仿宋" w:hAnsi="仿宋" w:eastAsia="仿宋"/>
                <w:color w:val="auto"/>
                <w:kern w:val="0"/>
                <w:sz w:val="20"/>
                <w:szCs w:val="20"/>
              </w:rPr>
              <w:t>　</w:t>
            </w:r>
          </w:p>
        </w:tc>
      </w:tr>
      <w:tr>
        <w:tblPrEx>
          <w:tblCellMar>
            <w:top w:w="0" w:type="dxa"/>
            <w:left w:w="108" w:type="dxa"/>
            <w:bottom w:w="0" w:type="dxa"/>
            <w:right w:w="108" w:type="dxa"/>
          </w:tblCellMar>
        </w:tblPrEx>
        <w:trPr>
          <w:trHeight w:val="137" w:hRule="atLeast"/>
        </w:trPr>
        <w:tc>
          <w:tcPr>
            <w:tcW w:w="158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0"/>
                <w:szCs w:val="20"/>
              </w:rPr>
            </w:pPr>
            <w:r>
              <w:rPr>
                <w:rFonts w:ascii="仿宋" w:hAnsi="仿宋" w:eastAsia="仿宋"/>
                <w:color w:val="auto"/>
                <w:kern w:val="0"/>
                <w:sz w:val="20"/>
                <w:szCs w:val="20"/>
              </w:rPr>
              <w:t>1</w:t>
            </w:r>
          </w:p>
        </w:tc>
        <w:tc>
          <w:tcPr>
            <w:tcW w:w="2835"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olor w:val="auto"/>
                <w:kern w:val="0"/>
                <w:sz w:val="22"/>
                <w:szCs w:val="22"/>
              </w:rPr>
            </w:pPr>
            <w:r>
              <w:rPr>
                <w:rFonts w:hint="eastAsia" w:ascii="仿宋" w:hAnsi="仿宋" w:eastAsia="仿宋"/>
                <w:color w:val="auto"/>
                <w:kern w:val="0"/>
                <w:sz w:val="22"/>
                <w:szCs w:val="22"/>
              </w:rPr>
              <w:t>安全资源池</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olor w:val="auto"/>
                <w:kern w:val="0"/>
                <w:sz w:val="22"/>
                <w:szCs w:val="22"/>
              </w:rPr>
            </w:pPr>
            <w:r>
              <w:rPr>
                <w:rFonts w:ascii="仿宋" w:hAnsi="仿宋" w:eastAsia="仿宋"/>
                <w:color w:val="auto"/>
                <w:kern w:val="0"/>
                <w:sz w:val="22"/>
                <w:szCs w:val="22"/>
              </w:rPr>
              <w:t>2</w:t>
            </w:r>
          </w:p>
        </w:tc>
        <w:tc>
          <w:tcPr>
            <w:tcW w:w="2863"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ascii="仿宋" w:hAnsi="仿宋" w:eastAsia="仿宋"/>
                <w:color w:val="auto"/>
                <w:kern w:val="0"/>
                <w:sz w:val="22"/>
                <w:szCs w:val="22"/>
              </w:rPr>
            </w:pPr>
            <w:r>
              <w:rPr>
                <w:rFonts w:hint="eastAsia" w:ascii="仿宋" w:hAnsi="仿宋" w:eastAsia="仿宋"/>
                <w:color w:val="auto"/>
                <w:kern w:val="0"/>
                <w:sz w:val="22"/>
                <w:szCs w:val="22"/>
              </w:rPr>
              <w:t>数据中心</w:t>
            </w:r>
            <w:r>
              <w:rPr>
                <w:rFonts w:ascii="仿宋" w:hAnsi="仿宋" w:eastAsia="仿宋"/>
                <w:color w:val="auto"/>
                <w:kern w:val="0"/>
                <w:sz w:val="22"/>
                <w:szCs w:val="22"/>
              </w:rPr>
              <w:t>A&amp;B</w:t>
            </w:r>
            <w:r>
              <w:rPr>
                <w:rFonts w:hint="eastAsia" w:ascii="仿宋" w:hAnsi="仿宋" w:eastAsia="仿宋"/>
                <w:color w:val="auto"/>
                <w:kern w:val="0"/>
                <w:sz w:val="22"/>
                <w:szCs w:val="22"/>
              </w:rPr>
              <w:t>公共服务区</w:t>
            </w:r>
          </w:p>
        </w:tc>
      </w:tr>
    </w:tbl>
    <w:p>
      <w:pPr>
        <w:keepNext/>
        <w:keepLines/>
        <w:spacing w:line="360" w:lineRule="auto"/>
        <w:rPr>
          <w:rFonts w:ascii="仿宋" w:hAnsi="仿宋" w:eastAsia="仿宋"/>
          <w:b/>
          <w:bCs/>
          <w:color w:val="auto"/>
          <w:sz w:val="24"/>
        </w:rPr>
      </w:pPr>
      <w:r>
        <w:rPr>
          <w:rFonts w:ascii="仿宋" w:hAnsi="仿宋" w:eastAsia="仿宋"/>
          <w:b/>
          <w:bCs/>
          <w:color w:val="auto"/>
          <w:sz w:val="24"/>
        </w:rPr>
        <w:t>4.2</w:t>
      </w:r>
      <w:r>
        <w:rPr>
          <w:rFonts w:hint="eastAsia" w:ascii="仿宋" w:hAnsi="仿宋" w:eastAsia="仿宋"/>
          <w:b/>
          <w:bCs/>
          <w:color w:val="auto"/>
          <w:sz w:val="24"/>
        </w:rPr>
        <w:t>云平台系统软件</w:t>
      </w:r>
    </w:p>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.2.1</w:t>
      </w:r>
      <w:r>
        <w:rPr>
          <w:rFonts w:hint="eastAsia" w:ascii="仿宋" w:hAnsi="仿宋" w:eastAsia="仿宋"/>
          <w:b/>
          <w:bCs/>
          <w:color w:val="auto"/>
          <w:sz w:val="24"/>
        </w:rPr>
        <w:t>云支撑服务软件</w:t>
      </w:r>
    </w:p>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.2.1.1</w:t>
      </w:r>
      <w:r>
        <w:rPr>
          <w:rFonts w:hint="eastAsia" w:ascii="仿宋" w:hAnsi="仿宋" w:eastAsia="仿宋"/>
          <w:b/>
          <w:bCs/>
          <w:color w:val="auto"/>
          <w:sz w:val="24"/>
        </w:rPr>
        <w:t>分布式应用服务</w:t>
      </w:r>
    </w:p>
    <w:p>
      <w:pPr>
        <w:spacing w:line="360" w:lineRule="auto"/>
        <w:ind w:firstLine="420"/>
        <w:rPr>
          <w:rFonts w:ascii="仿宋" w:hAnsi="仿宋" w:eastAsia="仿宋" w:cs="仿宋"/>
          <w:b/>
          <w:bCs/>
          <w:color w:val="auto"/>
          <w:sz w:val="28"/>
          <w:szCs w:val="28"/>
        </w:rPr>
      </w:pPr>
      <w:r>
        <w:rPr>
          <w:rFonts w:hint="eastAsia" w:ascii="仿宋" w:hAnsi="仿宋" w:eastAsia="仿宋"/>
          <w:color w:val="auto"/>
          <w:sz w:val="24"/>
          <w:szCs w:val="22"/>
        </w:rPr>
        <w:t>分布式应用</w:t>
      </w:r>
      <w:r>
        <w:rPr>
          <w:rFonts w:hint="eastAsia" w:ascii="仿宋" w:hAnsi="仿宋" w:eastAsia="仿宋" w:cs="宋体"/>
          <w:color w:val="auto"/>
          <w:sz w:val="24"/>
          <w:szCs w:val="22"/>
        </w:rPr>
        <w:t>服务包括分布式服务框架、服务治理、统</w:t>
      </w:r>
      <w:r>
        <w:rPr>
          <w:rFonts w:hint="eastAsia" w:ascii="仿宋" w:hAnsi="微软雅黑" w:eastAsia="微软雅黑" w:cs="微软雅黑"/>
          <w:color w:val="auto"/>
          <w:sz w:val="24"/>
          <w:szCs w:val="22"/>
        </w:rPr>
        <w:t>⼀</w:t>
      </w:r>
      <w:r>
        <w:rPr>
          <w:rFonts w:hint="eastAsia" w:ascii="仿宋" w:hAnsi="仿宋" w:eastAsia="仿宋" w:cs="宋体"/>
          <w:color w:val="auto"/>
          <w:sz w:val="24"/>
          <w:szCs w:val="22"/>
        </w:rPr>
        <w:t>配置管理、分布式链路跟踪、高可用及数据化运行等。</w:t>
      </w:r>
    </w:p>
    <w:tbl>
      <w:tblPr>
        <w:tblStyle w:val="1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9"/>
        <w:gridCol w:w="1173"/>
        <w:gridCol w:w="64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序号</w:t>
            </w:r>
          </w:p>
        </w:tc>
        <w:tc>
          <w:tcPr>
            <w:tcW w:w="688" w:type="pct"/>
            <w:tcBorders>
              <w:tl2br w:val="nil"/>
              <w:tr2bl w:val="nil"/>
            </w:tcBorders>
            <w:shd w:val="clear" w:color="auto" w:fill="auto"/>
            <w:noWrap/>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指标项</w:t>
            </w:r>
          </w:p>
        </w:tc>
        <w:tc>
          <w:tcPr>
            <w:tcW w:w="3802" w:type="pct"/>
            <w:tcBorders>
              <w:tl2br w:val="nil"/>
              <w:tr2bl w:val="nil"/>
            </w:tcBorders>
            <w:shd w:val="clear" w:color="auto" w:fill="auto"/>
            <w:noWrap/>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规格要求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开放性支持</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支持SpringCloud\Dubbo等多种协议。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服务版本管理</w:t>
            </w:r>
          </w:p>
        </w:tc>
        <w:tc>
          <w:tcPr>
            <w:tcW w:w="3802" w:type="pct"/>
            <w:tcBorders>
              <w:tl2br w:val="nil"/>
              <w:tr2bl w:val="nil"/>
            </w:tcBorders>
            <w:shd w:val="clear" w:color="auto" w:fill="auto"/>
            <w:vAlign w:val="bottom"/>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支持对服务进行版本管理。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伸缩性</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注册中心为对等集群，可动态增加机器部署实例，所有客户端将自动发现新的注册中心。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服务提供者无状态，可根据请求流量变化手工或动态增加和减少机器部署实例，注册中心将推送新的服务提供者信息给消费者。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基于预先定义的指标判断进行应用自动伸缩，指标有cpu使用率、内存使用率、load的值。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提供手动扩容能力，直接基于虚拟机资源进行手动扩容。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在扩容的过程中，应用为自动部署，不需要用户干预。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RPC多种序列化方式支持</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RPC框架支持java,hession, hession2序列化方式。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RPC框架提供可以配置的序列化方式。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链路跟踪</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支持Web界面可视化的分布式系统调用链路的展现。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能够控制链路跟踪采样率，即能精细化的控制调用链路的收集数。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支持Web界面可视化的按照应用、服务名、耗时、出错率，对服务调用链进行检索和查询。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降级能力</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应用依赖的服务，如果其中的一个或者多个出现调用耗时过大，可以通过配置的方式，选择是否对该服务进行降级。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发布能力</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支持一个应用的多个版本并存，可以控制每个版本运行在哪些机器上，并且对机器进行分组管理。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支持分组的轮流发布，保证分组发布的过程中的业务连续性。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可以控制分组之间手工控制还是自动发起下一组发布。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如果发布出现问题，提供通过web界面一键回滚的能力。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应用发布部署支持发布单方式，能够可视化展现应用的一次发布过程各个环节，便于清晰的了解发布过程中各个环节的成功或者失败情况；此外，支持对发布单的中止。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提供对于HTTP的限流（基于URL限流）。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8"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应用生命周期管理</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Web界面形式的运维管控平台，对应用进行生命周期管理，包括应用的创建、部署、启动、扩容、停止和下线等。通过统一平台，可以管理账户下的所有应用，并能通过图形化界面查看部署的机器，应用状态，通过WEB界面对应用进行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提供Web界面形式的应用底层容器的版本升级与回滚。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提供Web界面形式的应用底层容器的版本查询。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应用运行环境参数配置</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通过平台界面提供配置JVM参数功能。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通过平台界面提供配置tomcat参数功能。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应用日志可视化</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提供应用实时日志的Web界面可视化展示。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平台与第三方系统集成OpenAPI能力</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提供API 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查询应用列表、创建应用、给应用添加机器、部署应用、查询部署结果、启动应用、停止应用、删除应用。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提供帐户相关API支持：创建帐号、查询所有权限列表、查询所有角色列表、子帐号授权、创建资源组、修改资源组、创建角色、更新角色权限、删除角色。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提供基于主账户的调用安全能力，提供角色、权限控制和资源组定义，能够精细的控制不同子账号的操作权限、资源权限。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安全性</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具备完善的主子账号体系，能够实现同一个主账号将自己的资源按需分配给多个子账号。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提供角色、权限控制和资源组定义，能够精细的控制不同子账号之前的操作权限、资源权限。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审计</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平台上提供快捷扩容，自动扩容，缩容的记录查询。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提供按1天、7天，所有操作的查询。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提供excel导出功能。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平台提供审计，对所有的用户操作能记录，并且提供审计日志的查询WEB。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技术成熟</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远程过程调用服务的技术方案应具有不短于5年的实际应用案例。在公共云环境中已经能够实际支撑到周千亿次的调用量。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服务能力</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在单连接、100并发、100字节请求与响应信息体场景下，硬件配置8核CPU、24G内存、千兆网卡，服务端处理远程过程调用的TPS不少于4万。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硬件配置4核，8G内存，平均每个负责服务注册订阅的服务器，能管理的服务应用实例个数不低于5000，即连接数不低于5000。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基于服务的监控告警接入</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可以基于cpu,内存，网卡，磁盘的使用情况设置报警规则。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可以基于HTTP 入口耗时，QPS设置报警规则。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可以基于RPC服务提供端和消费端的耗时，QPS 设置报警规则。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可以对报警联系人管理。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提供对报警联系人的添加。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提供对报警联系人的删除。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提供对报警记录进行查看。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应用服务监控</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对于服务提供者以及消费者的集群以及单机的CPU、内存、磁盘以及LOAD的监控，网络速度数据统计，磁盘数据统计，磁盘读写速度数据统计，磁盘读写次数数据统计，并以图形化形式按照小时、天、周进行曲线展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提供区间段监控曲线展现。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 xml:space="preserve">从服务提供者或消费者的维度，能够提供调用入口流量，调用依赖，提供的RPC 服务以及消费的RPC服务等。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提供应用纬度的整体的QPS(提供者，消费者），以及CPU、内存、负载、磁盘、网络的整体大盘展示以及曲线。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分布式服务平台自身监控工具与能力</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提供对分布式服务平台本身的监控平台，方便运维。具体提供对分布式平台组件部署的物理机的以下指标以及曲线：CPU、内存、负载、磁盘使用率、磁盘IO、磁盘读写、网络收发等。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同时提供对于分布式平台组件JVM相关监控：YoungGC次数、FullGC次数、Eden区使用率、Survivor区使用率、Teundred区使用率、Perm区使用率。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8"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分布式服务平台自身监控工具与第三方监控系统对接</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提供定制能力实现与客户的监控告警系统的定制，实现与客户告警系统集成。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应用诊断</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控制台实时展示应用线程运行情况和堆栈信息。在控制台上，能够对应用的线程根据运行时状态进行过滤，并计算线程占用 CPU 时间。支持按照线程名、ID 和状态的搜索。支持对线程堆栈的查看。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控制台实时展示应用内存分布情况，并按照占用大小排序。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单机进程内方法追踪：方法追踪是对当前分布式调用链路追踪的补充，解决在使用调用链路追踪功能定位到单机某一个服务的问题后，进一步诊断该服务方法本地执行的时序细节、各执行环节的耗时、入参/返回值和异常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510" w:type="pct"/>
            <w:tcBorders>
              <w:tl2br w:val="nil"/>
              <w:tr2bl w:val="nil"/>
            </w:tcBorders>
          </w:tcPr>
          <w:p>
            <w:pPr>
              <w:numPr>
                <w:ilvl w:val="0"/>
                <w:numId w:val="74"/>
              </w:numPr>
              <w:spacing w:line="360" w:lineRule="auto"/>
              <w:jc w:val="center"/>
              <w:rPr>
                <w:rFonts w:ascii="仿宋" w:hAnsi="仿宋" w:eastAsia="仿宋"/>
                <w:color w:val="auto"/>
                <w:szCs w:val="21"/>
                <w:shd w:val="clear" w:color="auto" w:fill="FFFFFF"/>
              </w:rPr>
            </w:pPr>
          </w:p>
        </w:tc>
        <w:tc>
          <w:tcPr>
            <w:tcW w:w="688" w:type="pct"/>
            <w:tcBorders>
              <w:tl2br w:val="nil"/>
              <w:tr2bl w:val="nil"/>
            </w:tcBorders>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适配要求</w:t>
            </w:r>
          </w:p>
        </w:tc>
        <w:tc>
          <w:tcPr>
            <w:tcW w:w="3802"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投标产品采用技术架构中要求的《</w:t>
            </w:r>
            <w:r>
              <w:rPr>
                <w:rFonts w:ascii="仿宋" w:hAnsi="仿宋" w:eastAsia="仿宋"/>
                <w:color w:val="auto"/>
                <w:szCs w:val="21"/>
                <w:shd w:val="clear" w:color="auto" w:fill="FFFFFF"/>
              </w:rPr>
              <w:t>XJ-B01-2019医疗保障信息平台应用系统技术架构规范》</w:t>
            </w:r>
            <w:r>
              <w:rPr>
                <w:rFonts w:hint="eastAsia" w:ascii="仿宋" w:hAnsi="仿宋" w:eastAsia="仿宋"/>
                <w:color w:val="auto"/>
                <w:szCs w:val="21"/>
                <w:shd w:val="clear" w:color="auto" w:fill="FFFFFF"/>
              </w:rPr>
              <w:t>中明确适配的成熟产品，提供标准规范截图证明材料，加盖云产品原厂商公章。</w:t>
            </w:r>
          </w:p>
        </w:tc>
      </w:tr>
    </w:tbl>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.2.1.2</w:t>
      </w:r>
      <w:r>
        <w:rPr>
          <w:rFonts w:hint="eastAsia" w:ascii="仿宋" w:hAnsi="仿宋" w:eastAsia="仿宋"/>
          <w:b/>
          <w:bCs/>
          <w:color w:val="auto"/>
          <w:sz w:val="24"/>
        </w:rPr>
        <w:t>分布式数据库访问服务</w:t>
      </w:r>
    </w:p>
    <w:p>
      <w:pPr>
        <w:spacing w:line="360" w:lineRule="auto"/>
        <w:ind w:firstLine="420"/>
        <w:rPr>
          <w:rFonts w:ascii="仿宋" w:hAnsi="仿宋" w:eastAsia="仿宋" w:cs="宋体"/>
          <w:color w:val="auto"/>
          <w:sz w:val="24"/>
          <w:szCs w:val="22"/>
        </w:rPr>
      </w:pPr>
      <w:r>
        <w:rPr>
          <w:rFonts w:hint="eastAsia" w:ascii="仿宋" w:hAnsi="仿宋" w:eastAsia="仿宋" w:cs="宋体"/>
          <w:color w:val="auto"/>
          <w:sz w:val="24"/>
          <w:szCs w:val="22"/>
        </w:rPr>
        <w:t>分布式数据库访问服务是支撑医保业务平台分库分表，跨库事务的重要支撑服务，通过分布式关系型数据库服务，各应用子系统可以在海量数据量场景下，像操作单库一样操作分库分表，数据库容量可以无限扩展，读写分离。</w:t>
      </w:r>
    </w:p>
    <w:tbl>
      <w:tblPr>
        <w:tblStyle w:val="14"/>
        <w:tblW w:w="5000" w:type="pct"/>
        <w:tblInd w:w="0" w:type="dxa"/>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Layout w:type="autofit"/>
        <w:tblCellMar>
          <w:top w:w="0" w:type="dxa"/>
          <w:left w:w="108" w:type="dxa"/>
          <w:bottom w:w="0" w:type="dxa"/>
          <w:right w:w="108" w:type="dxa"/>
        </w:tblCellMar>
      </w:tblPr>
      <w:tblGrid>
        <w:gridCol w:w="1235"/>
        <w:gridCol w:w="1236"/>
        <w:gridCol w:w="6051"/>
      </w:tblGrid>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序号</w:t>
            </w:r>
          </w:p>
        </w:tc>
        <w:tc>
          <w:tcPr>
            <w:tcW w:w="72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指标项</w:t>
            </w: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规格要求</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功能指标</w:t>
            </w: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支持数据的水平拆分和复杂结果合并(应用端单MYSQL体验)。</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支持MySQL交互协议，兼容市面上主流MySQL驱动，支持多语言接入。</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提供SQL详细性能分析的命令和方法。</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支持使用哈希函数做分库分表拆分。</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分布式数据库访问服务与分布式数据库可分离为独立集群部署。</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提供全SQL日志和慢SQL日志。</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支持负载均衡、分布式数据库服务节点的无间断扩缩容，支持数据节点平滑扩容。</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支持分布式数据库无间断平滑扩容功能，扩容无需应用改造，扩容进度支持可视化跟踪。</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支持小表广播功能，解决跨库查询效率低的问题。</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具备分布式数据库全生命周期的运维管控能力，提供前台运维平台、后台管控系统、指标监控系统、运维管理指令。</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支持XA强一致分布式事务。</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提供分布式数据库平滑扩容功能。</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提供对应用无侵入的读写分离。</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可支持横向水平扩展。</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兼容性/开放性（接口、引擎等）</w:t>
            </w: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支持MySQL交互协议，兼容市面上主流MySQL驱动，支持多语言接入。</w:t>
            </w:r>
          </w:p>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提供开放API，包括实例、库、表等资源创建、查询、修改和删除。</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性能指标</w:t>
            </w: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访问性能：简单单条SQL benchmark ,后端数据节点单次操作返回2ms以下，1KB单条结果数据，支持水平能力扩展。</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数据容量:最大单个服务实例挂载后端200+数据节点(MYSQL实例or RDS)。</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可靠性指标</w:t>
            </w: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组件集群化，包括负载均衡、分布式数据库服务节点、数据节点。</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安全性</w:t>
            </w: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具备完善的多用户隔离机制。</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具备防DDoS攻击能力。</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支持配置IP白名单。</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适配要求</w:t>
            </w:r>
          </w:p>
        </w:tc>
        <w:tc>
          <w:tcPr>
            <w:tcW w:w="3550" w:type="pct"/>
            <w:tcBorders>
              <w:tl2br w:val="nil"/>
              <w:tr2bl w:val="nil"/>
            </w:tcBorders>
            <w:shd w:val="clear" w:color="auto" w:fill="auto"/>
            <w:vAlign w:val="center"/>
          </w:tcPr>
          <w:p>
            <w:pPr>
              <w:spacing w:line="360" w:lineRule="auto"/>
              <w:rPr>
                <w:rFonts w:ascii="仿宋" w:hAnsi="仿宋" w:eastAsia="仿宋"/>
                <w:color w:val="auto"/>
                <w:sz w:val="18"/>
                <w:szCs w:val="22"/>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投标产品采用技术架构中要求的《</w:t>
            </w:r>
            <w:r>
              <w:rPr>
                <w:rFonts w:ascii="仿宋" w:hAnsi="仿宋" w:eastAsia="仿宋"/>
                <w:color w:val="auto"/>
                <w:szCs w:val="21"/>
                <w:shd w:val="clear" w:color="auto" w:fill="FFFFFF"/>
              </w:rPr>
              <w:t>XJ-B01-2019医疗保障信息平台应用系统技术架构规范》</w:t>
            </w:r>
            <w:r>
              <w:rPr>
                <w:rFonts w:hint="eastAsia" w:ascii="仿宋" w:hAnsi="仿宋" w:eastAsia="仿宋"/>
                <w:color w:val="auto"/>
                <w:szCs w:val="21"/>
                <w:shd w:val="clear" w:color="auto" w:fill="FFFFFF"/>
              </w:rPr>
              <w:t>中明确适配的成熟产品，提供标准规范截图证明材料，加盖云产品原厂商公章。</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725" w:type="pct"/>
            <w:tcBorders>
              <w:tl2br w:val="nil"/>
              <w:tr2bl w:val="nil"/>
            </w:tcBorders>
            <w:shd w:val="clear" w:color="auto" w:fill="auto"/>
          </w:tcPr>
          <w:p>
            <w:pPr>
              <w:numPr>
                <w:ilvl w:val="0"/>
                <w:numId w:val="75"/>
              </w:numPr>
              <w:spacing w:line="360" w:lineRule="auto"/>
              <w:jc w:val="center"/>
              <w:rPr>
                <w:rFonts w:ascii="仿宋" w:hAnsi="仿宋" w:eastAsia="仿宋"/>
                <w:color w:val="auto"/>
                <w:szCs w:val="21"/>
                <w:shd w:val="clear" w:color="auto" w:fill="FFFFFF"/>
              </w:rPr>
            </w:pPr>
          </w:p>
        </w:tc>
        <w:tc>
          <w:tcPr>
            <w:tcW w:w="72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测评要求</w:t>
            </w:r>
          </w:p>
        </w:tc>
        <w:tc>
          <w:tcPr>
            <w:tcW w:w="355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所投产品通过中国信息通信研究院的事务型数据库基础能力测评，提供证书（含投标产品名称）复印件，加盖云产品原厂商公章。</w:t>
            </w:r>
          </w:p>
        </w:tc>
      </w:tr>
    </w:tbl>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.2.1.3</w:t>
      </w:r>
      <w:r>
        <w:rPr>
          <w:rFonts w:hint="eastAsia" w:ascii="仿宋" w:hAnsi="仿宋" w:eastAsia="仿宋"/>
          <w:b/>
          <w:bCs/>
          <w:color w:val="auto"/>
          <w:sz w:val="24"/>
        </w:rPr>
        <w:t>分布式日志服务</w:t>
      </w:r>
    </w:p>
    <w:p>
      <w:pPr>
        <w:spacing w:line="360" w:lineRule="auto"/>
        <w:ind w:firstLine="420"/>
        <w:rPr>
          <w:rFonts w:ascii="仿宋" w:hAnsi="仿宋" w:eastAsia="仿宋" w:cs="宋体"/>
          <w:color w:val="auto"/>
          <w:sz w:val="24"/>
          <w:szCs w:val="22"/>
        </w:rPr>
      </w:pPr>
      <w:r>
        <w:rPr>
          <w:rFonts w:hint="eastAsia" w:ascii="仿宋" w:hAnsi="仿宋" w:eastAsia="仿宋" w:cs="宋体"/>
          <w:color w:val="auto"/>
          <w:sz w:val="24"/>
          <w:szCs w:val="22"/>
        </w:rPr>
        <w:t>分布式日志服务提供分布式日志采集、日志存储、日志内容搜索、统计分析等服务。</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00"/>
        <w:gridCol w:w="982"/>
        <w:gridCol w:w="664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528" w:type="pct"/>
            <w:shd w:val="clear" w:color="auto" w:fill="auto"/>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序号</w:t>
            </w:r>
          </w:p>
        </w:tc>
        <w:tc>
          <w:tcPr>
            <w:tcW w:w="576" w:type="pct"/>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指标项</w:t>
            </w:r>
          </w:p>
        </w:tc>
        <w:tc>
          <w:tcPr>
            <w:tcW w:w="3896" w:type="pct"/>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规格要求</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528" w:type="pct"/>
            <w:shd w:val="clear" w:color="auto" w:fill="auto"/>
          </w:tcPr>
          <w:p>
            <w:pPr>
              <w:numPr>
                <w:ilvl w:val="0"/>
                <w:numId w:val="76"/>
              </w:numPr>
              <w:spacing w:line="360" w:lineRule="auto"/>
              <w:ind w:firstLine="420"/>
              <w:jc w:val="center"/>
              <w:rPr>
                <w:rFonts w:ascii="仿宋" w:hAnsi="仿宋" w:eastAsia="仿宋"/>
                <w:color w:val="auto"/>
                <w:szCs w:val="21"/>
                <w:shd w:val="clear" w:color="auto" w:fill="FFFFFF"/>
              </w:rPr>
            </w:pPr>
          </w:p>
        </w:tc>
        <w:tc>
          <w:tcPr>
            <w:tcW w:w="576" w:type="pct"/>
            <w:vMerge w:val="restart"/>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功能指标</w:t>
            </w:r>
          </w:p>
        </w:tc>
        <w:tc>
          <w:tcPr>
            <w:tcW w:w="3896" w:type="pct"/>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支持大规模接入各种实时日志数据。</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528" w:type="pct"/>
            <w:shd w:val="clear" w:color="auto" w:fill="auto"/>
          </w:tcPr>
          <w:p>
            <w:pPr>
              <w:numPr>
                <w:ilvl w:val="0"/>
                <w:numId w:val="76"/>
              </w:numPr>
              <w:spacing w:line="360" w:lineRule="auto"/>
              <w:ind w:firstLine="420"/>
              <w:jc w:val="center"/>
              <w:rPr>
                <w:rFonts w:ascii="仿宋" w:hAnsi="仿宋" w:eastAsia="仿宋"/>
                <w:color w:val="auto"/>
                <w:szCs w:val="21"/>
                <w:shd w:val="clear" w:color="auto" w:fill="FFFFFF"/>
              </w:rPr>
            </w:pPr>
          </w:p>
        </w:tc>
        <w:tc>
          <w:tcPr>
            <w:tcW w:w="576" w:type="pct"/>
            <w:vMerge w:val="continue"/>
            <w:shd w:val="clear" w:color="auto" w:fill="auto"/>
            <w:vAlign w:val="center"/>
          </w:tcPr>
          <w:p>
            <w:pPr>
              <w:spacing w:line="360" w:lineRule="auto"/>
              <w:rPr>
                <w:rFonts w:ascii="仿宋" w:hAnsi="仿宋" w:eastAsia="仿宋"/>
                <w:color w:val="auto"/>
                <w:szCs w:val="21"/>
                <w:shd w:val="clear" w:color="auto" w:fill="FFFFFF"/>
              </w:rPr>
            </w:pPr>
          </w:p>
        </w:tc>
        <w:tc>
          <w:tcPr>
            <w:tcW w:w="3896" w:type="pct"/>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支持与各种实时计算及服务对接，并提供完整的进度监控，报警等功能。</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528" w:type="pct"/>
            <w:shd w:val="clear" w:color="auto" w:fill="auto"/>
          </w:tcPr>
          <w:p>
            <w:pPr>
              <w:numPr>
                <w:ilvl w:val="0"/>
                <w:numId w:val="76"/>
              </w:numPr>
              <w:spacing w:line="360" w:lineRule="auto"/>
              <w:ind w:firstLine="420"/>
              <w:jc w:val="center"/>
              <w:rPr>
                <w:rFonts w:ascii="仿宋" w:hAnsi="仿宋" w:eastAsia="仿宋"/>
                <w:color w:val="auto"/>
                <w:szCs w:val="21"/>
                <w:shd w:val="clear" w:color="auto" w:fill="FFFFFF"/>
              </w:rPr>
            </w:pPr>
          </w:p>
        </w:tc>
        <w:tc>
          <w:tcPr>
            <w:tcW w:w="576" w:type="pct"/>
            <w:vMerge w:val="continue"/>
            <w:shd w:val="clear" w:color="auto" w:fill="auto"/>
            <w:vAlign w:val="center"/>
          </w:tcPr>
          <w:p>
            <w:pPr>
              <w:spacing w:line="360" w:lineRule="auto"/>
              <w:rPr>
                <w:rFonts w:ascii="仿宋" w:hAnsi="仿宋" w:eastAsia="仿宋"/>
                <w:color w:val="auto"/>
                <w:szCs w:val="21"/>
                <w:shd w:val="clear" w:color="auto" w:fill="FFFFFF"/>
              </w:rPr>
            </w:pPr>
          </w:p>
        </w:tc>
        <w:tc>
          <w:tcPr>
            <w:tcW w:w="3896" w:type="pct"/>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支持日志投递功能，并将日志数据投递至存储类服务，过程支持压缩、自定义分区、以及行列等各种存储格式。</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528" w:type="pct"/>
            <w:shd w:val="clear" w:color="auto" w:fill="auto"/>
          </w:tcPr>
          <w:p>
            <w:pPr>
              <w:numPr>
                <w:ilvl w:val="0"/>
                <w:numId w:val="76"/>
              </w:numPr>
              <w:spacing w:line="360" w:lineRule="auto"/>
              <w:ind w:firstLine="420"/>
              <w:jc w:val="center"/>
              <w:rPr>
                <w:rFonts w:ascii="仿宋" w:hAnsi="仿宋" w:eastAsia="仿宋"/>
                <w:color w:val="auto"/>
                <w:szCs w:val="21"/>
                <w:shd w:val="clear" w:color="auto" w:fill="FFFFFF"/>
              </w:rPr>
            </w:pPr>
          </w:p>
        </w:tc>
        <w:tc>
          <w:tcPr>
            <w:tcW w:w="576" w:type="pct"/>
            <w:vMerge w:val="continue"/>
            <w:shd w:val="clear" w:color="auto" w:fill="auto"/>
            <w:vAlign w:val="center"/>
          </w:tcPr>
          <w:p>
            <w:pPr>
              <w:spacing w:line="360" w:lineRule="auto"/>
              <w:rPr>
                <w:rFonts w:ascii="仿宋" w:hAnsi="仿宋" w:eastAsia="仿宋"/>
                <w:color w:val="auto"/>
                <w:szCs w:val="21"/>
                <w:shd w:val="clear" w:color="auto" w:fill="FFFFFF"/>
              </w:rPr>
            </w:pPr>
          </w:p>
        </w:tc>
        <w:tc>
          <w:tcPr>
            <w:tcW w:w="3896" w:type="pct"/>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支持实时检索日志数据，提供关键词、模糊、上下文、范围、SQL聚合等丰富查询手段，提供仪表盘及报警功能。</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528" w:type="pct"/>
            <w:shd w:val="clear" w:color="auto" w:fill="auto"/>
          </w:tcPr>
          <w:p>
            <w:pPr>
              <w:numPr>
                <w:ilvl w:val="0"/>
                <w:numId w:val="76"/>
              </w:numPr>
              <w:spacing w:line="360" w:lineRule="auto"/>
              <w:ind w:firstLine="420"/>
              <w:jc w:val="center"/>
              <w:rPr>
                <w:rFonts w:ascii="仿宋" w:hAnsi="仿宋" w:eastAsia="仿宋"/>
                <w:color w:val="auto"/>
                <w:szCs w:val="21"/>
                <w:shd w:val="clear" w:color="auto" w:fill="FFFFFF"/>
              </w:rPr>
            </w:pPr>
          </w:p>
        </w:tc>
        <w:tc>
          <w:tcPr>
            <w:tcW w:w="576" w:type="pct"/>
            <w:vMerge w:val="continue"/>
            <w:shd w:val="clear" w:color="auto" w:fill="auto"/>
            <w:vAlign w:val="center"/>
          </w:tcPr>
          <w:p>
            <w:pPr>
              <w:spacing w:line="360" w:lineRule="auto"/>
              <w:rPr>
                <w:rFonts w:ascii="仿宋" w:hAnsi="仿宋" w:eastAsia="仿宋"/>
                <w:color w:val="auto"/>
                <w:szCs w:val="21"/>
                <w:shd w:val="clear" w:color="auto" w:fill="FFFFFF"/>
              </w:rPr>
            </w:pPr>
          </w:p>
        </w:tc>
        <w:tc>
          <w:tcPr>
            <w:tcW w:w="3896" w:type="pct"/>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支持多租户隔离，访问控制，日志审计</w:t>
            </w:r>
            <w:r>
              <w:rPr>
                <w:rFonts w:hint="eastAsia" w:ascii="仿宋" w:hAnsi="仿宋" w:eastAsia="仿宋"/>
                <w:color w:val="auto"/>
                <w:szCs w:val="21"/>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528" w:type="pct"/>
            <w:shd w:val="clear" w:color="auto" w:fill="auto"/>
          </w:tcPr>
          <w:p>
            <w:pPr>
              <w:numPr>
                <w:ilvl w:val="0"/>
                <w:numId w:val="76"/>
              </w:numPr>
              <w:spacing w:line="360" w:lineRule="auto"/>
              <w:ind w:firstLine="420"/>
              <w:jc w:val="center"/>
              <w:rPr>
                <w:rFonts w:ascii="仿宋" w:hAnsi="仿宋" w:eastAsia="仿宋"/>
                <w:color w:val="auto"/>
                <w:szCs w:val="21"/>
                <w:shd w:val="clear" w:color="auto" w:fill="FFFFFF"/>
              </w:rPr>
            </w:pPr>
          </w:p>
        </w:tc>
        <w:tc>
          <w:tcPr>
            <w:tcW w:w="576" w:type="pct"/>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适配要求</w:t>
            </w:r>
          </w:p>
        </w:tc>
        <w:tc>
          <w:tcPr>
            <w:tcW w:w="3896" w:type="pct"/>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投标产品采用技术架构中要求的《</w:t>
            </w:r>
            <w:r>
              <w:rPr>
                <w:rFonts w:ascii="仿宋" w:hAnsi="仿宋" w:eastAsia="仿宋"/>
                <w:color w:val="auto"/>
                <w:szCs w:val="21"/>
                <w:shd w:val="clear" w:color="auto" w:fill="FFFFFF"/>
              </w:rPr>
              <w:t>XJ-B01-2019医疗保障信息平台应用系统技术架构规范》</w:t>
            </w:r>
            <w:r>
              <w:rPr>
                <w:rFonts w:hint="eastAsia" w:ascii="仿宋" w:hAnsi="仿宋" w:eastAsia="仿宋"/>
                <w:color w:val="auto"/>
                <w:szCs w:val="21"/>
                <w:shd w:val="clear" w:color="auto" w:fill="FFFFFF"/>
              </w:rPr>
              <w:t>中明确适配的成熟产品，提供标准规范截图证明材料，加盖云产品原厂商公章。</w:t>
            </w:r>
          </w:p>
        </w:tc>
      </w:tr>
    </w:tbl>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.2.1.4</w:t>
      </w:r>
      <w:r>
        <w:rPr>
          <w:rFonts w:hint="eastAsia" w:ascii="仿宋" w:hAnsi="仿宋" w:eastAsia="仿宋"/>
          <w:b/>
          <w:bCs/>
          <w:color w:val="auto"/>
          <w:sz w:val="24"/>
        </w:rPr>
        <w:t>分布式消息队列</w:t>
      </w:r>
    </w:p>
    <w:p>
      <w:pPr>
        <w:spacing w:line="360" w:lineRule="auto"/>
        <w:ind w:firstLine="420"/>
        <w:rPr>
          <w:rFonts w:ascii="仿宋" w:hAnsi="仿宋" w:eastAsia="仿宋" w:cs="宋体"/>
          <w:color w:val="auto"/>
          <w:sz w:val="24"/>
          <w:szCs w:val="22"/>
        </w:rPr>
      </w:pPr>
      <w:r>
        <w:rPr>
          <w:rFonts w:hint="eastAsia" w:ascii="仿宋" w:hAnsi="仿宋" w:eastAsia="仿宋" w:cs="宋体"/>
          <w:color w:val="auto"/>
          <w:sz w:val="24"/>
          <w:szCs w:val="22"/>
        </w:rPr>
        <w:t>分布式消息队列是构建分布式应用的基础设施，消息队列用于实现松耦合架构设计，以提高系统可用性以及可扩展性，是医保平台解决高流量激增场景下，削峰填谷的有效支撑。消息队列基于分布式技术架构，横向扩展，满足可扩展性需求。通过发布订阅模型进行消息接收和处理。</w:t>
      </w:r>
    </w:p>
    <w:tbl>
      <w:tblPr>
        <w:tblStyle w:val="14"/>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19"/>
        <w:gridCol w:w="1019"/>
        <w:gridCol w:w="648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0" w:hRule="atLeast"/>
        </w:trPr>
        <w:tc>
          <w:tcPr>
            <w:tcW w:w="598" w:type="pct"/>
            <w:tcBorders>
              <w:tl2br w:val="nil"/>
              <w:tr2bl w:val="nil"/>
            </w:tcBorders>
            <w:shd w:val="clear" w:color="auto" w:fill="FFFFFF"/>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序号</w:t>
            </w:r>
          </w:p>
        </w:tc>
        <w:tc>
          <w:tcPr>
            <w:tcW w:w="598" w:type="pct"/>
            <w:tcBorders>
              <w:tl2br w:val="nil"/>
              <w:tr2bl w:val="nil"/>
            </w:tcBorders>
            <w:shd w:val="clear" w:color="auto" w:fill="FFFFFF"/>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指标项</w:t>
            </w:r>
          </w:p>
        </w:tc>
        <w:tc>
          <w:tcPr>
            <w:tcW w:w="3804" w:type="pct"/>
            <w:tcBorders>
              <w:tl2br w:val="nil"/>
              <w:tr2bl w:val="nil"/>
            </w:tcBorders>
            <w:shd w:val="clear" w:color="auto" w:fill="FFFFFF"/>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规格要求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7"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w:t>
            </w:r>
          </w:p>
        </w:tc>
        <w:tc>
          <w:tcPr>
            <w:tcW w:w="598"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低延迟</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可实现毫秒级消息发送延迟与投递延迟。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4"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2</w:t>
            </w:r>
          </w:p>
        </w:tc>
        <w:tc>
          <w:tcPr>
            <w:tcW w:w="598"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消息堆积</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在支持海量消息堆积的情况下，始终保证高性能，不影响集群的正常服务。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3</w:t>
            </w:r>
          </w:p>
        </w:tc>
        <w:tc>
          <w:tcPr>
            <w:tcW w:w="598"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高可用</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采用大</w:t>
            </w:r>
            <w:r>
              <w:rPr>
                <w:rFonts w:ascii="仿宋" w:hAnsi="仿宋" w:eastAsia="仿宋"/>
                <w:color w:val="auto"/>
                <w:szCs w:val="21"/>
                <w:shd w:val="clear" w:color="auto" w:fill="FFFFFF"/>
              </w:rPr>
              <w:t>规模分布式</w:t>
            </w:r>
            <w:r>
              <w:rPr>
                <w:rFonts w:hint="eastAsia" w:ascii="仿宋" w:hAnsi="仿宋" w:eastAsia="仿宋"/>
                <w:color w:val="auto"/>
                <w:szCs w:val="21"/>
                <w:shd w:val="clear" w:color="auto" w:fill="FFFFFF"/>
              </w:rPr>
              <w:t>集群架构，无单点故障。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4</w:t>
            </w:r>
          </w:p>
        </w:tc>
        <w:tc>
          <w:tcPr>
            <w:tcW w:w="598"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高可靠</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底层采用分布式文件系统，数据存储可达到2份副本冗余可靠</w:t>
            </w:r>
            <w:r>
              <w:rPr>
                <w:rFonts w:ascii="仿宋" w:hAnsi="仿宋" w:eastAsia="仿宋"/>
                <w:color w:val="auto"/>
                <w:szCs w:val="21"/>
                <w:shd w:val="clear" w:color="auto" w:fill="FFFFFF"/>
              </w:rPr>
              <w:t>存储</w:t>
            </w:r>
            <w:r>
              <w:rPr>
                <w:rFonts w:hint="eastAsia" w:ascii="仿宋" w:hAnsi="仿宋" w:eastAsia="仿宋"/>
                <w:color w:val="auto"/>
                <w:szCs w:val="21"/>
                <w:shd w:val="clear" w:color="auto" w:fill="FFFFFF"/>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7"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5</w:t>
            </w:r>
          </w:p>
        </w:tc>
        <w:tc>
          <w:tcPr>
            <w:tcW w:w="598"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持久化</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支持数据同步刷盘以及异步刷盘方式，确保数据持久化。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5"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6</w:t>
            </w:r>
          </w:p>
        </w:tc>
        <w:tc>
          <w:tcPr>
            <w:tcW w:w="598"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灾备</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支持同城多机房部署，多机房高可用互备。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4"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7</w:t>
            </w:r>
          </w:p>
        </w:tc>
        <w:tc>
          <w:tcPr>
            <w:tcW w:w="598"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发布/订阅</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一对多消费模式，发布者可以将消息发送到主题，被一个或多个消费者同时消费，灵活，可扩展性强。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7"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8</w:t>
            </w:r>
          </w:p>
        </w:tc>
        <w:tc>
          <w:tcPr>
            <w:tcW w:w="598"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消费模式</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支持集群消费与广播消费模式。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7"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9</w:t>
            </w:r>
          </w:p>
        </w:tc>
        <w:tc>
          <w:tcPr>
            <w:tcW w:w="598"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管理控制台</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提供WEB管理界面和管理命令集，用户可以通过管理界面完成消息查询、资源报表、监控告警等管理；提供健康巡检系统，生成巡检日报。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7"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10</w:t>
            </w:r>
          </w:p>
        </w:tc>
        <w:tc>
          <w:tcPr>
            <w:tcW w:w="598"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多协议支持</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 TCP、HTTP、MQTT多种协议接入，提供java、C/C++、.NET等多语言SDK。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9"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11</w:t>
            </w:r>
          </w:p>
        </w:tc>
        <w:tc>
          <w:tcPr>
            <w:tcW w:w="598" w:type="pct"/>
            <w:vMerge w:val="restar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消息类型丰富</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普通消息：默认消息类型，解决异步通知、系统(微服务)间解耦，削峰填谷，缓存同步，实时计算等。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9"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12</w:t>
            </w:r>
          </w:p>
        </w:tc>
        <w:tc>
          <w:tcPr>
            <w:tcW w:w="598" w:type="pct"/>
            <w:vMerge w:val="continue"/>
            <w:tcBorders>
              <w:tl2br w:val="nil"/>
              <w:tr2bl w:val="nil"/>
            </w:tcBorders>
          </w:tcPr>
          <w:p>
            <w:pPr>
              <w:spacing w:line="360" w:lineRule="auto"/>
              <w:rPr>
                <w:rFonts w:ascii="仿宋" w:hAnsi="仿宋" w:eastAsia="仿宋"/>
                <w:color w:val="auto"/>
                <w:szCs w:val="21"/>
                <w:shd w:val="clear" w:color="auto" w:fill="FFFFFF"/>
              </w:rPr>
            </w:pP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顺序消息：按照消息的发布顺序进行顺序消费（FIFO），支持全局顺序与分区顺序。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5"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13</w:t>
            </w:r>
          </w:p>
        </w:tc>
        <w:tc>
          <w:tcPr>
            <w:tcW w:w="598" w:type="pct"/>
            <w:vMerge w:val="continue"/>
            <w:tcBorders>
              <w:tl2br w:val="nil"/>
              <w:tr2bl w:val="nil"/>
            </w:tcBorders>
          </w:tcPr>
          <w:p>
            <w:pPr>
              <w:spacing w:line="360" w:lineRule="auto"/>
              <w:rPr>
                <w:rFonts w:ascii="仿宋" w:hAnsi="仿宋" w:eastAsia="仿宋"/>
                <w:color w:val="auto"/>
                <w:szCs w:val="21"/>
                <w:shd w:val="clear" w:color="auto" w:fill="FFFFFF"/>
              </w:rPr>
            </w:pP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分布式事务消息：分布事务功能，既可做到系统间的解耦，又能保证数据的最终一致性。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3"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14</w:t>
            </w:r>
          </w:p>
        </w:tc>
        <w:tc>
          <w:tcPr>
            <w:tcW w:w="598" w:type="pct"/>
            <w:vMerge w:val="continue"/>
            <w:tcBorders>
              <w:tl2br w:val="nil"/>
              <w:tr2bl w:val="nil"/>
            </w:tcBorders>
          </w:tcPr>
          <w:p>
            <w:pPr>
              <w:spacing w:line="360" w:lineRule="auto"/>
              <w:rPr>
                <w:rFonts w:ascii="仿宋" w:hAnsi="仿宋" w:eastAsia="仿宋"/>
                <w:color w:val="auto"/>
                <w:szCs w:val="21"/>
                <w:shd w:val="clear" w:color="auto" w:fill="FFFFFF"/>
              </w:rPr>
            </w:pP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定时消息/延时消息：消息可在指定的时间点(如2019/01/01 15:00:00)或延迟时间(如30分钟后)进行投递。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7"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15</w:t>
            </w:r>
          </w:p>
        </w:tc>
        <w:tc>
          <w:tcPr>
            <w:tcW w:w="598" w:type="pct"/>
            <w:vMerge w:val="continue"/>
            <w:tcBorders>
              <w:tl2br w:val="nil"/>
              <w:tr2bl w:val="nil"/>
            </w:tcBorders>
          </w:tcPr>
          <w:p>
            <w:pPr>
              <w:spacing w:line="360" w:lineRule="auto"/>
              <w:rPr>
                <w:rFonts w:ascii="仿宋" w:hAnsi="仿宋" w:eastAsia="仿宋"/>
                <w:color w:val="auto"/>
                <w:szCs w:val="21"/>
                <w:shd w:val="clear" w:color="auto" w:fill="FFFFFF"/>
              </w:rPr>
            </w:pP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消息轨迹：全程追踪消息在生产者、消息服务器、消费者之间的流动轨迹，并将数据进行汇聚分析后可视化输出。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7"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16</w:t>
            </w:r>
          </w:p>
        </w:tc>
        <w:tc>
          <w:tcPr>
            <w:tcW w:w="598" w:type="pct"/>
            <w:vMerge w:val="restar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高级特性</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消息回溯：支持对已消费过的消息进行重新回放或清除堆积的消息。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1"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17</w:t>
            </w:r>
          </w:p>
        </w:tc>
        <w:tc>
          <w:tcPr>
            <w:tcW w:w="598" w:type="pct"/>
            <w:vMerge w:val="continue"/>
            <w:tcBorders>
              <w:tl2br w:val="nil"/>
              <w:tr2bl w:val="nil"/>
            </w:tcBorders>
          </w:tcPr>
          <w:p>
            <w:pPr>
              <w:spacing w:line="360" w:lineRule="auto"/>
              <w:rPr>
                <w:rFonts w:ascii="仿宋" w:hAnsi="仿宋" w:eastAsia="仿宋"/>
                <w:color w:val="auto"/>
                <w:szCs w:val="21"/>
                <w:shd w:val="clear" w:color="auto" w:fill="FFFFFF"/>
              </w:rPr>
            </w:pP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消息查询：支持 Topic、Message ID、Message Key 多维度方式查询消息详细信息。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9"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18</w:t>
            </w:r>
          </w:p>
        </w:tc>
        <w:tc>
          <w:tcPr>
            <w:tcW w:w="598" w:type="pct"/>
            <w:vMerge w:val="continue"/>
            <w:tcBorders>
              <w:tl2br w:val="nil"/>
              <w:tr2bl w:val="nil"/>
            </w:tcBorders>
          </w:tcPr>
          <w:p>
            <w:pPr>
              <w:spacing w:line="360" w:lineRule="auto"/>
              <w:rPr>
                <w:rFonts w:ascii="仿宋" w:hAnsi="仿宋" w:eastAsia="仿宋"/>
                <w:color w:val="auto"/>
                <w:szCs w:val="21"/>
                <w:shd w:val="clear" w:color="auto" w:fill="FFFFFF"/>
              </w:rPr>
            </w:pP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资源报表：支持 Topic、Group 维度的资源报表查看功能。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5"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19</w:t>
            </w:r>
          </w:p>
        </w:tc>
        <w:tc>
          <w:tcPr>
            <w:tcW w:w="598" w:type="pct"/>
            <w:vMerge w:val="continue"/>
            <w:tcBorders>
              <w:tl2br w:val="nil"/>
              <w:tr2bl w:val="nil"/>
            </w:tcBorders>
          </w:tcPr>
          <w:p>
            <w:pPr>
              <w:spacing w:line="360" w:lineRule="auto"/>
              <w:rPr>
                <w:rFonts w:ascii="仿宋" w:hAnsi="仿宋" w:eastAsia="仿宋"/>
                <w:color w:val="auto"/>
                <w:szCs w:val="21"/>
                <w:shd w:val="clear" w:color="auto" w:fill="FFFFFF"/>
              </w:rPr>
            </w:pP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监控告警：实时统计消息的生产与消费，并可对消费延时、消息堆积等进行监控告警，帮助用户及时发现问题。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9"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20</w:t>
            </w:r>
          </w:p>
        </w:tc>
        <w:tc>
          <w:tcPr>
            <w:tcW w:w="598" w:type="pct"/>
            <w:vMerge w:val="continue"/>
            <w:tcBorders>
              <w:tl2br w:val="nil"/>
              <w:tr2bl w:val="nil"/>
            </w:tcBorders>
          </w:tcPr>
          <w:p>
            <w:pPr>
              <w:spacing w:line="360" w:lineRule="auto"/>
              <w:rPr>
                <w:rFonts w:ascii="仿宋" w:hAnsi="仿宋" w:eastAsia="仿宋"/>
                <w:color w:val="auto"/>
                <w:szCs w:val="21"/>
                <w:shd w:val="clear" w:color="auto" w:fill="FFFFFF"/>
              </w:rPr>
            </w:pP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支持主-主账号授权及主-子账号授权模式。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8"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21</w:t>
            </w:r>
          </w:p>
        </w:tc>
        <w:tc>
          <w:tcPr>
            <w:tcW w:w="598" w:type="pct"/>
            <w:vMerge w:val="restar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安全性</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具备完善的多用户隔离机制，保障用户数据的私密性。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8"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22</w:t>
            </w:r>
          </w:p>
        </w:tc>
        <w:tc>
          <w:tcPr>
            <w:tcW w:w="598" w:type="pct"/>
            <w:vMerge w:val="continue"/>
            <w:tcBorders>
              <w:tl2br w:val="nil"/>
              <w:tr2bl w:val="nil"/>
            </w:tcBorders>
          </w:tcPr>
          <w:p>
            <w:pPr>
              <w:spacing w:line="360" w:lineRule="auto"/>
              <w:rPr>
                <w:rFonts w:ascii="仿宋" w:hAnsi="仿宋" w:eastAsia="仿宋"/>
                <w:color w:val="auto"/>
                <w:szCs w:val="21"/>
                <w:shd w:val="clear" w:color="auto" w:fill="FFFFFF"/>
              </w:rPr>
            </w:pP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提供健康巡检系统，生成巡检日报，支持同步告警。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7"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23</w:t>
            </w:r>
          </w:p>
        </w:tc>
        <w:tc>
          <w:tcPr>
            <w:tcW w:w="598"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健康巡检</w:t>
            </w:r>
          </w:p>
        </w:tc>
        <w:tc>
          <w:tcPr>
            <w:tcW w:w="3804" w:type="pct"/>
            <w:tcBorders>
              <w:tl2br w:val="nil"/>
              <w:tr2bl w:val="nil"/>
            </w:tcBorders>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完善的管控类 Open API 帮助用户实现自助资源管理和运维，采用 RESTful 标准，灵活便捷。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7" w:hRule="atLeast"/>
        </w:trPr>
        <w:tc>
          <w:tcPr>
            <w:tcW w:w="598"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24</w:t>
            </w:r>
          </w:p>
        </w:tc>
        <w:tc>
          <w:tcPr>
            <w:tcW w:w="598" w:type="pct"/>
            <w:tcBorders>
              <w:tl2br w:val="nil"/>
              <w:tr2bl w:val="nil"/>
            </w:tcBorders>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适配要求</w:t>
            </w:r>
          </w:p>
        </w:tc>
        <w:tc>
          <w:tcPr>
            <w:tcW w:w="3804" w:type="pct"/>
            <w:tcBorders>
              <w:tl2br w:val="nil"/>
              <w:tr2bl w:val="nil"/>
            </w:tcBorders>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投标产品采用技术架构中要求的《</w:t>
            </w:r>
            <w:r>
              <w:rPr>
                <w:rFonts w:ascii="仿宋" w:hAnsi="仿宋" w:eastAsia="仿宋"/>
                <w:color w:val="auto"/>
                <w:szCs w:val="21"/>
                <w:shd w:val="clear" w:color="auto" w:fill="FFFFFF"/>
              </w:rPr>
              <w:t>XJ-B01-2019医疗保障信息平台应用系统技术架构规范》</w:t>
            </w:r>
            <w:r>
              <w:rPr>
                <w:rFonts w:hint="eastAsia" w:ascii="仿宋" w:hAnsi="仿宋" w:eastAsia="仿宋"/>
                <w:color w:val="auto"/>
                <w:szCs w:val="21"/>
                <w:shd w:val="clear" w:color="auto" w:fill="FFFFFF"/>
              </w:rPr>
              <w:t>中明确适配的成熟产品，提供标准规范截图证明材料，加盖云产品原厂商公章。</w:t>
            </w:r>
          </w:p>
        </w:tc>
      </w:tr>
    </w:tbl>
    <w:p>
      <w:pPr>
        <w:keepNext/>
        <w:keepLines/>
        <w:spacing w:line="360" w:lineRule="auto"/>
        <w:rPr>
          <w:rFonts w:ascii="仿宋" w:hAnsi="仿宋" w:eastAsia="仿宋"/>
          <w:b/>
          <w:bCs/>
          <w:color w:val="auto"/>
          <w:sz w:val="28"/>
          <w:szCs w:val="28"/>
        </w:rPr>
      </w:pPr>
      <w:r>
        <w:rPr>
          <w:rFonts w:hint="eastAsia" w:ascii="仿宋" w:hAnsi="仿宋" w:eastAsia="仿宋"/>
          <w:b/>
          <w:bCs/>
          <w:color w:val="auto"/>
          <w:sz w:val="28"/>
          <w:szCs w:val="28"/>
        </w:rPr>
        <w:t>4</w:t>
      </w:r>
      <w:r>
        <w:rPr>
          <w:rFonts w:ascii="仿宋" w:hAnsi="仿宋" w:eastAsia="仿宋"/>
          <w:b/>
          <w:bCs/>
          <w:color w:val="auto"/>
          <w:sz w:val="28"/>
          <w:szCs w:val="28"/>
        </w:rPr>
        <w:t>.2.1.5</w:t>
      </w:r>
      <w:r>
        <w:rPr>
          <w:rFonts w:hint="eastAsia" w:ascii="仿宋" w:hAnsi="仿宋" w:eastAsia="仿宋"/>
          <w:b/>
          <w:bCs/>
          <w:color w:val="auto"/>
          <w:sz w:val="28"/>
          <w:szCs w:val="28"/>
        </w:rPr>
        <w:t>云服务总线</w:t>
      </w:r>
    </w:p>
    <w:p>
      <w:pPr>
        <w:spacing w:line="360" w:lineRule="auto"/>
        <w:ind w:firstLine="420"/>
        <w:rPr>
          <w:rFonts w:ascii="仿宋" w:hAnsi="仿宋" w:eastAsia="仿宋" w:cs="宋体"/>
          <w:color w:val="auto"/>
          <w:sz w:val="24"/>
          <w:szCs w:val="22"/>
        </w:rPr>
      </w:pPr>
      <w:r>
        <w:rPr>
          <w:rFonts w:hint="eastAsia" w:ascii="仿宋" w:hAnsi="仿宋" w:eastAsia="仿宋" w:cs="宋体"/>
          <w:color w:val="auto"/>
          <w:sz w:val="24"/>
          <w:szCs w:val="22"/>
        </w:rPr>
        <w:t>云服务总线是跨区业务访问的支撑平台，对API服务接口提供完整生命周期管理功能，包括注册、发布、授权、审核、监控等。在核心业务区与公共服务区，省级平台与国家级平台服务对接，需要借助服务网关的能力来实现服务互联。服务网关支持HTTP/HTTPS、Dubbo通讯协议等常用协议服务的适配和互联，支持包括加密、鉴权、流量控制保护、黑白名单等访问控制的服务安全调用，采用无状态API服务的集群结构，设计多级缓存系统保障大规模服务调用场景下的性能需求。</w:t>
      </w:r>
    </w:p>
    <w:p>
      <w:pPr>
        <w:spacing w:line="360" w:lineRule="auto"/>
        <w:ind w:firstLine="420"/>
        <w:rPr>
          <w:rFonts w:ascii="仿宋" w:hAnsi="仿宋" w:eastAsia="仿宋" w:cs="宋体"/>
          <w:color w:val="auto"/>
          <w:sz w:val="24"/>
          <w:szCs w:val="22"/>
        </w:rPr>
      </w:pPr>
      <w:r>
        <w:rPr>
          <w:rFonts w:hint="eastAsia" w:ascii="仿宋" w:hAnsi="仿宋" w:eastAsia="仿宋" w:cs="宋体"/>
          <w:color w:val="auto"/>
          <w:sz w:val="24"/>
          <w:szCs w:val="22"/>
        </w:rPr>
        <w:t>医保服务网关采用去中心化的系统架构，避免服务总线“雪崩”情况的发生，影响医保业务的正常运行。</w:t>
      </w:r>
    </w:p>
    <w:tbl>
      <w:tblPr>
        <w:tblStyle w:val="14"/>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61"/>
        <w:gridCol w:w="1430"/>
        <w:gridCol w:w="59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序号</w:t>
            </w:r>
          </w:p>
        </w:tc>
        <w:tc>
          <w:tcPr>
            <w:tcW w:w="884"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指标项</w:t>
            </w: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规格要求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w:t>
            </w:r>
          </w:p>
        </w:tc>
        <w:tc>
          <w:tcPr>
            <w:tcW w:w="884"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总体描述</w:t>
            </w: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云</w:t>
            </w:r>
            <w:r>
              <w:rPr>
                <w:rFonts w:hint="eastAsia" w:ascii="仿宋" w:hAnsi="仿宋" w:eastAsia="仿宋"/>
                <w:color w:val="auto"/>
                <w:szCs w:val="21"/>
                <w:shd w:val="clear" w:color="auto" w:fill="FFFFFF"/>
              </w:rPr>
              <w:t>服务</w:t>
            </w:r>
            <w:r>
              <w:rPr>
                <w:rFonts w:ascii="仿宋" w:hAnsi="仿宋" w:eastAsia="仿宋"/>
                <w:color w:val="auto"/>
                <w:szCs w:val="21"/>
                <w:shd w:val="clear" w:color="auto" w:fill="FFFFFF"/>
              </w:rPr>
              <w:t>总线是</w:t>
            </w:r>
            <w:r>
              <w:rPr>
                <w:rFonts w:hint="eastAsia" w:ascii="Microsoft JhengHei" w:hAnsi="Microsoft JhengHei" w:eastAsia="Microsoft JhengHei" w:cs="Microsoft JhengHei"/>
                <w:color w:val="auto"/>
                <w:szCs w:val="21"/>
                <w:shd w:val="clear" w:color="auto" w:fill="FFFFFF"/>
              </w:rPr>
              <w:t>⼀</w:t>
            </w:r>
            <w:r>
              <w:rPr>
                <w:rFonts w:hint="eastAsia" w:ascii="仿宋" w:hAnsi="仿宋" w:eastAsia="仿宋"/>
                <w:color w:val="auto"/>
                <w:szCs w:val="21"/>
                <w:shd w:val="clear" w:color="auto" w:fill="FFFFFF"/>
              </w:rPr>
              <w:t>个服务能力开放平台，用于实现专有云和混合云场景</w:t>
            </w:r>
            <w:r>
              <w:rPr>
                <w:rFonts w:ascii="仿宋" w:hAnsi="仿宋" w:eastAsia="仿宋"/>
                <w:color w:val="auto"/>
                <w:szCs w:val="21"/>
                <w:shd w:val="clear" w:color="auto" w:fill="FFFFFF"/>
              </w:rPr>
              <w:t>下的跨系统、跨协议的服务互通。主要对系统间服务访问和对外开放进</w:t>
            </w:r>
            <w:r>
              <w:rPr>
                <w:rFonts w:hint="eastAsia" w:ascii="仿宋" w:hAnsi="仿宋" w:eastAsia="仿宋"/>
                <w:color w:val="auto"/>
                <w:szCs w:val="21"/>
                <w:shd w:val="clear" w:color="auto" w:fill="FFFFFF"/>
              </w:rPr>
              <w:t>行管理和控制，包括安全授</w:t>
            </w:r>
            <w:r>
              <w:rPr>
                <w:rFonts w:ascii="仿宋" w:hAnsi="仿宋" w:eastAsia="仿宋"/>
                <w:color w:val="auto"/>
                <w:szCs w:val="21"/>
                <w:shd w:val="clear" w:color="auto" w:fill="FFFFFF"/>
              </w:rPr>
              <w:t>权、流量限制。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2</w:t>
            </w:r>
          </w:p>
        </w:tc>
        <w:tc>
          <w:tcPr>
            <w:tcW w:w="884" w:type="pct"/>
            <w:vMerge w:val="restart"/>
            <w:tcBorders>
              <w:tl2br w:val="nil"/>
              <w:tr2bl w:val="nil"/>
            </w:tcBorders>
            <w:shd w:val="clear" w:color="auto" w:fill="auto"/>
          </w:tcPr>
          <w:p>
            <w:pPr>
              <w:spacing w:line="360" w:lineRule="auto"/>
              <w:rPr>
                <w:rFonts w:ascii="仿宋" w:hAnsi="仿宋" w:eastAsia="仿宋"/>
                <w:color w:val="auto"/>
                <w:szCs w:val="21"/>
                <w:shd w:val="clear" w:color="auto" w:fill="FFFFFF"/>
              </w:rPr>
            </w:pPr>
          </w:p>
          <w:p>
            <w:pPr>
              <w:spacing w:line="360" w:lineRule="auto"/>
              <w:rPr>
                <w:rFonts w:ascii="仿宋" w:hAnsi="仿宋" w:eastAsia="仿宋"/>
                <w:color w:val="auto"/>
                <w:szCs w:val="21"/>
                <w:shd w:val="clear" w:color="auto" w:fill="FFFFFF"/>
              </w:rPr>
            </w:pPr>
          </w:p>
          <w:p>
            <w:pPr>
              <w:spacing w:line="360" w:lineRule="auto"/>
              <w:rPr>
                <w:rFonts w:ascii="仿宋" w:hAnsi="仿宋" w:eastAsia="仿宋"/>
                <w:color w:val="auto"/>
                <w:szCs w:val="21"/>
                <w:shd w:val="clear" w:color="auto" w:fill="FFFFFF"/>
              </w:rPr>
            </w:pPr>
          </w:p>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基本功能</w:t>
            </w: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多协议服务互联，支持HTTP Open API, Dubbo, Web Service等常用协议。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3</w:t>
            </w:r>
          </w:p>
        </w:tc>
        <w:tc>
          <w:tcPr>
            <w:tcW w:w="884" w:type="pct"/>
            <w:vMerge w:val="continue"/>
            <w:tcBorders>
              <w:tl2br w:val="nil"/>
              <w:tr2bl w:val="nil"/>
            </w:tcBorders>
            <w:shd w:val="clear" w:color="auto" w:fill="auto"/>
          </w:tcPr>
          <w:p>
            <w:pPr>
              <w:spacing w:line="360" w:lineRule="auto"/>
              <w:rPr>
                <w:rFonts w:ascii="仿宋" w:hAnsi="仿宋" w:eastAsia="仿宋"/>
                <w:color w:val="auto"/>
                <w:szCs w:val="21"/>
                <w:shd w:val="clear" w:color="auto" w:fill="FFFFFF"/>
              </w:rPr>
            </w:pP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提供完备的服务安全调用，包括加密，鉴权，流量控制保护，黑白名单等访问控制。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ind w:left="840"/>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4</w:t>
            </w:r>
          </w:p>
        </w:tc>
        <w:tc>
          <w:tcPr>
            <w:tcW w:w="884" w:type="pct"/>
            <w:vMerge w:val="continue"/>
            <w:tcBorders>
              <w:tl2br w:val="nil"/>
              <w:tr2bl w:val="nil"/>
            </w:tcBorders>
            <w:shd w:val="clear" w:color="auto" w:fill="auto"/>
          </w:tcPr>
          <w:p>
            <w:pPr>
              <w:spacing w:line="360" w:lineRule="auto"/>
              <w:rPr>
                <w:rFonts w:ascii="仿宋" w:hAnsi="仿宋" w:eastAsia="仿宋"/>
                <w:color w:val="auto"/>
                <w:szCs w:val="21"/>
                <w:shd w:val="clear" w:color="auto" w:fill="FFFFFF"/>
              </w:rPr>
            </w:pP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提供多个服务节点集群之间的级联API发布管理。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ind w:left="840"/>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5</w:t>
            </w:r>
          </w:p>
        </w:tc>
        <w:tc>
          <w:tcPr>
            <w:tcW w:w="884" w:type="pct"/>
            <w:vMerge w:val="continue"/>
            <w:tcBorders>
              <w:tl2br w:val="nil"/>
              <w:tr2bl w:val="nil"/>
            </w:tcBorders>
            <w:shd w:val="clear" w:color="auto" w:fill="auto"/>
          </w:tcPr>
          <w:p>
            <w:pPr>
              <w:spacing w:line="360" w:lineRule="auto"/>
              <w:rPr>
                <w:rFonts w:ascii="仿宋" w:hAnsi="仿宋" w:eastAsia="仿宋"/>
                <w:color w:val="auto"/>
                <w:szCs w:val="21"/>
                <w:shd w:val="clear" w:color="auto" w:fill="FFFFFF"/>
              </w:rPr>
            </w:pP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支持服务总线节点的无间断扩容，能够水平扩展服务总线节点，线性增加服务能力；要求提供多个服务节点集群之间的级联API发布管理。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6</w:t>
            </w:r>
          </w:p>
        </w:tc>
        <w:tc>
          <w:tcPr>
            <w:tcW w:w="884" w:type="pct"/>
            <w:vMerge w:val="continue"/>
            <w:tcBorders>
              <w:tl2br w:val="nil"/>
              <w:tr2bl w:val="nil"/>
            </w:tcBorders>
            <w:shd w:val="clear" w:color="auto" w:fill="auto"/>
          </w:tcPr>
          <w:p>
            <w:pPr>
              <w:spacing w:line="360" w:lineRule="auto"/>
              <w:rPr>
                <w:rFonts w:ascii="仿宋" w:hAnsi="仿宋" w:eastAsia="仿宋"/>
                <w:color w:val="auto"/>
                <w:szCs w:val="21"/>
                <w:shd w:val="clear" w:color="auto" w:fill="FFFFFF"/>
              </w:rPr>
            </w:pP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支持从发布、订购、消费到注销的API全生命周期管理。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ind w:left="840"/>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7</w:t>
            </w:r>
          </w:p>
        </w:tc>
        <w:tc>
          <w:tcPr>
            <w:tcW w:w="884" w:type="pct"/>
            <w:vMerge w:val="continue"/>
            <w:tcBorders>
              <w:tl2br w:val="nil"/>
              <w:tr2bl w:val="nil"/>
            </w:tcBorders>
            <w:shd w:val="clear" w:color="auto" w:fill="auto"/>
          </w:tcPr>
          <w:p>
            <w:pPr>
              <w:spacing w:line="360" w:lineRule="auto"/>
              <w:rPr>
                <w:rFonts w:ascii="仿宋" w:hAnsi="仿宋" w:eastAsia="仿宋"/>
                <w:color w:val="auto"/>
                <w:szCs w:val="21"/>
                <w:shd w:val="clear" w:color="auto" w:fill="FFFFFF"/>
              </w:rPr>
            </w:pP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提供完善的服务访问授权管理机制。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ind w:left="840"/>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8</w:t>
            </w:r>
          </w:p>
        </w:tc>
        <w:tc>
          <w:tcPr>
            <w:tcW w:w="884" w:type="pct"/>
            <w:vMerge w:val="continue"/>
            <w:tcBorders>
              <w:tl2br w:val="nil"/>
              <w:tr2bl w:val="nil"/>
            </w:tcBorders>
            <w:shd w:val="clear" w:color="auto" w:fill="auto"/>
          </w:tcPr>
          <w:p>
            <w:pPr>
              <w:spacing w:line="360" w:lineRule="auto"/>
              <w:rPr>
                <w:rFonts w:ascii="仿宋" w:hAnsi="仿宋" w:eastAsia="仿宋"/>
                <w:color w:val="auto"/>
                <w:szCs w:val="21"/>
                <w:shd w:val="clear" w:color="auto" w:fill="FFFFFF"/>
              </w:rPr>
            </w:pP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提供及时详细的服务消费统计与质量报告。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9</w:t>
            </w:r>
          </w:p>
        </w:tc>
        <w:tc>
          <w:tcPr>
            <w:tcW w:w="884" w:type="pct"/>
            <w:vMerge w:val="continue"/>
            <w:tcBorders>
              <w:tl2br w:val="nil"/>
              <w:tr2bl w:val="nil"/>
            </w:tcBorders>
            <w:shd w:val="clear" w:color="auto" w:fill="auto"/>
          </w:tcPr>
          <w:p>
            <w:pPr>
              <w:spacing w:line="360" w:lineRule="auto"/>
              <w:rPr>
                <w:rFonts w:ascii="仿宋" w:hAnsi="仿宋" w:eastAsia="仿宋"/>
                <w:color w:val="auto"/>
                <w:szCs w:val="21"/>
                <w:shd w:val="clear" w:color="auto" w:fill="FFFFFF"/>
              </w:rPr>
            </w:pP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提供完整的针对服务链路和系统指标的日志、巡检和监控。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10</w:t>
            </w:r>
          </w:p>
        </w:tc>
        <w:tc>
          <w:tcPr>
            <w:tcW w:w="884" w:type="pct"/>
            <w:vMerge w:val="continue"/>
            <w:tcBorders>
              <w:tl2br w:val="nil"/>
              <w:tr2bl w:val="nil"/>
            </w:tcBorders>
            <w:shd w:val="clear" w:color="auto" w:fill="auto"/>
          </w:tcPr>
          <w:p>
            <w:pPr>
              <w:spacing w:line="360" w:lineRule="auto"/>
              <w:rPr>
                <w:rFonts w:ascii="仿宋" w:hAnsi="仿宋" w:eastAsia="仿宋"/>
                <w:color w:val="auto"/>
                <w:szCs w:val="21"/>
                <w:shd w:val="clear" w:color="auto" w:fill="FFFFFF"/>
              </w:rPr>
            </w:pP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提供系统用户管理，以及跨实例链路的规则配置管理。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11</w:t>
            </w:r>
          </w:p>
        </w:tc>
        <w:tc>
          <w:tcPr>
            <w:tcW w:w="884" w:type="pct"/>
            <w:vMerge w:val="restart"/>
            <w:tcBorders>
              <w:tl2br w:val="nil"/>
              <w:tr2bl w:val="nil"/>
            </w:tcBorders>
            <w:shd w:val="clear" w:color="auto" w:fill="auto"/>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可靠性</w:t>
            </w: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数据系统采用多级缓存和主备存储方案。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12</w:t>
            </w:r>
          </w:p>
        </w:tc>
        <w:tc>
          <w:tcPr>
            <w:tcW w:w="884" w:type="pct"/>
            <w:vMerge w:val="continue"/>
            <w:tcBorders>
              <w:tl2br w:val="nil"/>
              <w:tr2bl w:val="nil"/>
            </w:tcBorders>
            <w:shd w:val="clear" w:color="auto" w:fill="auto"/>
          </w:tcPr>
          <w:p>
            <w:pPr>
              <w:spacing w:line="360" w:lineRule="auto"/>
              <w:jc w:val="center"/>
              <w:rPr>
                <w:rFonts w:ascii="仿宋" w:hAnsi="仿宋" w:eastAsia="仿宋"/>
                <w:color w:val="auto"/>
                <w:szCs w:val="21"/>
                <w:shd w:val="clear" w:color="auto" w:fill="FFFFFF"/>
              </w:rPr>
            </w:pP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API服务系统采用无状态的集群结构，采用多级缓存系统，后端的数据库宕机，不影响开放平台提供服务。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13</w:t>
            </w:r>
          </w:p>
        </w:tc>
        <w:tc>
          <w:tcPr>
            <w:tcW w:w="884" w:type="pct"/>
            <w:vMerge w:val="restart"/>
            <w:tcBorders>
              <w:tl2br w:val="nil"/>
              <w:tr2bl w:val="nil"/>
            </w:tcBorders>
            <w:shd w:val="clear" w:color="auto" w:fill="auto"/>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高可用性</w:t>
            </w: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组件集群化，包括负载均衡、网关、缓存、数据库服务节点、数据节点。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14</w:t>
            </w:r>
          </w:p>
        </w:tc>
        <w:tc>
          <w:tcPr>
            <w:tcW w:w="884" w:type="pct"/>
            <w:vMerge w:val="continue"/>
            <w:tcBorders>
              <w:tl2br w:val="nil"/>
              <w:tr2bl w:val="nil"/>
            </w:tcBorders>
            <w:shd w:val="clear" w:color="auto" w:fill="auto"/>
          </w:tcPr>
          <w:p>
            <w:pPr>
              <w:spacing w:line="360" w:lineRule="auto"/>
              <w:jc w:val="center"/>
              <w:rPr>
                <w:rFonts w:ascii="仿宋" w:hAnsi="仿宋" w:eastAsia="仿宋"/>
                <w:color w:val="auto"/>
                <w:szCs w:val="21"/>
                <w:shd w:val="clear" w:color="auto" w:fill="FFFFFF"/>
              </w:rPr>
            </w:pP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数据系统采用多级缓存和主备存储方案。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15</w:t>
            </w:r>
          </w:p>
        </w:tc>
        <w:tc>
          <w:tcPr>
            <w:tcW w:w="884" w:type="pct"/>
            <w:tcBorders>
              <w:tl2br w:val="nil"/>
              <w:tr2bl w:val="nil"/>
            </w:tcBorders>
            <w:shd w:val="clear" w:color="auto" w:fill="auto"/>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扩展性</w:t>
            </w: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支持服务节点的水平扩容。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16</w:t>
            </w:r>
          </w:p>
        </w:tc>
        <w:tc>
          <w:tcPr>
            <w:tcW w:w="884" w:type="pct"/>
            <w:tcBorders>
              <w:tl2br w:val="nil"/>
              <w:tr2bl w:val="nil"/>
            </w:tcBorders>
            <w:shd w:val="clear" w:color="auto" w:fill="auto"/>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O</w:t>
            </w:r>
            <w:r>
              <w:rPr>
                <w:rFonts w:ascii="仿宋" w:hAnsi="仿宋" w:eastAsia="仿宋"/>
                <w:color w:val="auto"/>
                <w:szCs w:val="21"/>
                <w:shd w:val="clear" w:color="auto" w:fill="FFFFFF"/>
              </w:rPr>
              <w:t>pen API</w:t>
            </w:r>
          </w:p>
        </w:tc>
        <w:tc>
          <w:tcPr>
            <w:tcW w:w="3525" w:type="pct"/>
            <w:tcBorders>
              <w:tl2br w:val="nil"/>
              <w:tr2bl w:val="nil"/>
            </w:tcBorders>
            <w:shd w:val="clear" w:color="auto" w:fill="auto"/>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提供完善的 OpenAPI可用于集成自建管理运维机制。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17</w:t>
            </w:r>
          </w:p>
        </w:tc>
        <w:tc>
          <w:tcPr>
            <w:tcW w:w="884"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适配要求</w:t>
            </w:r>
          </w:p>
        </w:tc>
        <w:tc>
          <w:tcPr>
            <w:tcW w:w="352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投标产品采用技术架构中要求的《</w:t>
            </w:r>
            <w:r>
              <w:rPr>
                <w:rFonts w:ascii="仿宋" w:hAnsi="仿宋" w:eastAsia="仿宋"/>
                <w:color w:val="auto"/>
                <w:szCs w:val="21"/>
                <w:shd w:val="clear" w:color="auto" w:fill="FFFFFF"/>
              </w:rPr>
              <w:t>XJ-B01-2019医疗保障信息平台应用系统技术架构规范》</w:t>
            </w:r>
            <w:r>
              <w:rPr>
                <w:rFonts w:hint="eastAsia" w:ascii="仿宋" w:hAnsi="仿宋" w:eastAsia="仿宋"/>
                <w:color w:val="auto"/>
                <w:szCs w:val="21"/>
                <w:shd w:val="clear" w:color="auto" w:fill="FFFFFF"/>
              </w:rPr>
              <w:t>中明确适配的成熟产品，提供标准规范截图证明材料，加盖云产品原厂商公章。</w:t>
            </w:r>
          </w:p>
        </w:tc>
      </w:tr>
    </w:tbl>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.2.1.6</w:t>
      </w:r>
      <w:r>
        <w:rPr>
          <w:rFonts w:hint="eastAsia" w:ascii="仿宋" w:hAnsi="仿宋" w:eastAsia="仿宋"/>
          <w:b/>
          <w:bCs/>
          <w:color w:val="auto"/>
          <w:sz w:val="24"/>
        </w:rPr>
        <w:t>分布式缓存</w:t>
      </w:r>
    </w:p>
    <w:p>
      <w:pPr>
        <w:spacing w:line="360" w:lineRule="auto"/>
        <w:ind w:firstLine="420"/>
        <w:rPr>
          <w:rFonts w:ascii="仿宋" w:hAnsi="仿宋" w:eastAsia="仿宋" w:cs="宋体"/>
          <w:color w:val="auto"/>
          <w:sz w:val="24"/>
          <w:szCs w:val="22"/>
        </w:rPr>
      </w:pPr>
      <w:r>
        <w:rPr>
          <w:rFonts w:hint="eastAsia" w:ascii="仿宋" w:hAnsi="仿宋" w:eastAsia="仿宋" w:cs="宋体"/>
          <w:color w:val="auto"/>
          <w:sz w:val="24"/>
          <w:szCs w:val="22"/>
        </w:rPr>
        <w:t>分布式缓存提供兼容开源Redis协议的在线Key-Value存储服务，通过内存加硬盘的存储方式，提供高速数据读写能力的同时满足数据持久化需求。</w:t>
      </w:r>
    </w:p>
    <w:tbl>
      <w:tblPr>
        <w:tblStyle w:val="14"/>
        <w:tblpPr w:leftFromText="180" w:rightFromText="180" w:vertAnchor="text" w:tblpY="1"/>
        <w:tblOverlap w:val="never"/>
        <w:tblW w:w="5000" w:type="pct"/>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autofit"/>
        <w:tblCellMar>
          <w:top w:w="0" w:type="dxa"/>
          <w:left w:w="108" w:type="dxa"/>
          <w:bottom w:w="0" w:type="dxa"/>
          <w:right w:w="108" w:type="dxa"/>
        </w:tblCellMar>
      </w:tblPr>
      <w:tblGrid>
        <w:gridCol w:w="1201"/>
        <w:gridCol w:w="1202"/>
        <w:gridCol w:w="6119"/>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85"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序号</w:t>
            </w:r>
          </w:p>
        </w:tc>
        <w:tc>
          <w:tcPr>
            <w:tcW w:w="70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指标项</w:t>
            </w: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规格要求</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0"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w:t>
            </w:r>
          </w:p>
        </w:tc>
        <w:tc>
          <w:tcPr>
            <w:tcW w:w="705"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功能指标</w:t>
            </w: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支持主从、集群、读写分离不同形态，用户可以在任意形态之间进行变化不修改代码。</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0"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2</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支持备份恢复，用户可以设置全量备份时间，同时可以通过备份集合克隆或者恢复一个实例。</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0"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3</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 w:val="18"/>
                <w:szCs w:val="22"/>
                <w:shd w:val="clear" w:color="auto" w:fill="FFFFFF"/>
              </w:rPr>
              <w:t>★</w:t>
            </w:r>
            <w:r>
              <w:rPr>
                <w:rFonts w:ascii="仿宋" w:hAnsi="仿宋" w:eastAsia="仿宋"/>
                <w:color w:val="auto"/>
                <w:szCs w:val="21"/>
                <w:shd w:val="clear" w:color="auto" w:fill="FFFFFF"/>
              </w:rPr>
              <w:t>支持</w:t>
            </w:r>
            <w:r>
              <w:rPr>
                <w:rFonts w:hint="eastAsia" w:ascii="仿宋" w:hAnsi="仿宋" w:eastAsia="仿宋"/>
                <w:color w:val="auto"/>
                <w:szCs w:val="21"/>
                <w:shd w:val="clear" w:color="auto" w:fill="FFFFFF"/>
              </w:rPr>
              <w:t>虚拟专有网络</w:t>
            </w:r>
            <w:r>
              <w:rPr>
                <w:rFonts w:ascii="仿宋" w:hAnsi="仿宋" w:eastAsia="仿宋"/>
                <w:color w:val="auto"/>
                <w:szCs w:val="21"/>
                <w:shd w:val="clear" w:color="auto" w:fill="FFFFFF"/>
              </w:rPr>
              <w:t>，可</w:t>
            </w:r>
            <w:r>
              <w:rPr>
                <w:rFonts w:hint="eastAsia" w:ascii="仿宋" w:hAnsi="仿宋" w:eastAsia="仿宋"/>
                <w:color w:val="auto"/>
                <w:szCs w:val="21"/>
                <w:shd w:val="clear" w:color="auto" w:fill="FFFFFF"/>
              </w:rPr>
              <w:t>支持指定虚拟网络创建数据库</w:t>
            </w:r>
            <w:r>
              <w:rPr>
                <w:rFonts w:ascii="仿宋" w:hAnsi="仿宋" w:eastAsia="仿宋"/>
                <w:color w:val="auto"/>
                <w:szCs w:val="21"/>
                <w:shd w:val="clear" w:color="auto" w:fill="FFFFFF"/>
              </w:rPr>
              <w:t>实例。</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0"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4</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支持自动负载均衡机制，支持高并发读写</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0"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5</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支持大Key缓存分析，能够定位大Key进行针对性业务优化。</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6</w:t>
            </w:r>
          </w:p>
        </w:tc>
        <w:tc>
          <w:tcPr>
            <w:tcW w:w="70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兼容性</w:t>
            </w:r>
            <w:r>
              <w:rPr>
                <w:rFonts w:hint="eastAsia" w:ascii="仿宋" w:hAnsi="仿宋" w:eastAsia="仿宋"/>
                <w:color w:val="auto"/>
                <w:szCs w:val="21"/>
                <w:shd w:val="clear" w:color="auto" w:fill="FFFFFF"/>
              </w:rPr>
              <w:t>/开放性（接口、引擎等）</w:t>
            </w: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兼容主流</w:t>
            </w:r>
            <w:r>
              <w:rPr>
                <w:rFonts w:ascii="仿宋" w:hAnsi="仿宋" w:eastAsia="仿宋"/>
                <w:color w:val="auto"/>
                <w:szCs w:val="21"/>
                <w:shd w:val="clear" w:color="auto" w:fill="FFFFFF"/>
              </w:rPr>
              <w:t>如</w:t>
            </w:r>
            <w:r>
              <w:rPr>
                <w:rFonts w:hint="eastAsia" w:ascii="仿宋" w:hAnsi="仿宋" w:eastAsia="仿宋"/>
                <w:color w:val="auto"/>
                <w:szCs w:val="21"/>
                <w:shd w:val="clear" w:color="auto" w:fill="FFFFFF"/>
              </w:rPr>
              <w:t>Redis等协议。</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330"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7</w:t>
            </w:r>
          </w:p>
        </w:tc>
        <w:tc>
          <w:tcPr>
            <w:tcW w:w="705"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高可用性要求</w:t>
            </w: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采用两副本技术。</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330"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8</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全冗余架构，无单点故障。</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330"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9</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采用RDB+Binlog的持久化机制，同时保证同步的稳定性。</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330"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10</w:t>
            </w:r>
          </w:p>
        </w:tc>
        <w:tc>
          <w:tcPr>
            <w:tcW w:w="705"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安全性要求</w:t>
            </w: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支持白名单，对位置访问采取阻拦策略。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330"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11</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支持云监控配置告警短信。</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330"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12</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支持RAM主子账号体系。</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330" w:hRule="atLeast"/>
        </w:trPr>
        <w:tc>
          <w:tcPr>
            <w:tcW w:w="705"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13</w:t>
            </w:r>
          </w:p>
        </w:tc>
        <w:tc>
          <w:tcPr>
            <w:tcW w:w="70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适配要求</w:t>
            </w: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投标产品采用技术架构中要求的《</w:t>
            </w:r>
            <w:r>
              <w:rPr>
                <w:rFonts w:ascii="仿宋" w:hAnsi="仿宋" w:eastAsia="仿宋"/>
                <w:color w:val="auto"/>
                <w:szCs w:val="21"/>
                <w:shd w:val="clear" w:color="auto" w:fill="FFFFFF"/>
              </w:rPr>
              <w:t>XJ-B01-2019医疗保障信息平台应用系统技术架构规范》</w:t>
            </w:r>
            <w:r>
              <w:rPr>
                <w:rFonts w:hint="eastAsia" w:ascii="仿宋" w:hAnsi="仿宋" w:eastAsia="仿宋"/>
                <w:color w:val="auto"/>
                <w:szCs w:val="21"/>
                <w:shd w:val="clear" w:color="auto" w:fill="FFFFFF"/>
              </w:rPr>
              <w:t>中明确适配的成熟产品，提供标准规范截图证明材料，加盖云产品原厂商公章。</w:t>
            </w:r>
          </w:p>
        </w:tc>
      </w:tr>
    </w:tbl>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.2.1.7</w:t>
      </w:r>
      <w:r>
        <w:rPr>
          <w:rFonts w:hint="eastAsia" w:ascii="仿宋" w:hAnsi="仿宋" w:eastAsia="仿宋"/>
          <w:b/>
          <w:bCs/>
          <w:color w:val="auto"/>
          <w:sz w:val="24"/>
        </w:rPr>
        <w:t>对象存储服务</w:t>
      </w:r>
    </w:p>
    <w:p>
      <w:pPr>
        <w:spacing w:line="360" w:lineRule="auto"/>
        <w:ind w:firstLine="420"/>
        <w:rPr>
          <w:rFonts w:ascii="仿宋" w:hAnsi="仿宋" w:eastAsia="仿宋" w:cs="宋体"/>
          <w:color w:val="auto"/>
          <w:sz w:val="24"/>
          <w:szCs w:val="22"/>
        </w:rPr>
      </w:pPr>
      <w:r>
        <w:rPr>
          <w:rFonts w:hint="eastAsia" w:ascii="仿宋" w:hAnsi="仿宋" w:eastAsia="仿宋" w:cs="宋体"/>
          <w:color w:val="auto"/>
          <w:sz w:val="24"/>
          <w:szCs w:val="22"/>
        </w:rPr>
        <w:t>对象存储服务提供的海量、安全、低成本、高可靠的云存储服务。对象存储将数据文件以对象/文件（Object）的形式上传到存储空间中。提供的是一个Key-Value 键值对形式的对象存储服务。对象存储用于存储云数据库备份文件、虚拟机文件和非结构化数据文件。</w:t>
      </w:r>
    </w:p>
    <w:tbl>
      <w:tblPr>
        <w:tblStyle w:val="14"/>
        <w:tblW w:w="5000" w:type="pct"/>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autofit"/>
        <w:tblCellMar>
          <w:top w:w="0" w:type="dxa"/>
          <w:left w:w="108" w:type="dxa"/>
          <w:bottom w:w="0" w:type="dxa"/>
          <w:right w:w="108" w:type="dxa"/>
        </w:tblCellMar>
      </w:tblPr>
      <w:tblGrid>
        <w:gridCol w:w="1007"/>
        <w:gridCol w:w="1021"/>
        <w:gridCol w:w="6494"/>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序号</w:t>
            </w:r>
          </w:p>
        </w:tc>
        <w:tc>
          <w:tcPr>
            <w:tcW w:w="599"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ascii="仿宋" w:hAnsi="仿宋" w:eastAsia="仿宋"/>
                <w:color w:val="auto"/>
                <w:szCs w:val="21"/>
                <w:shd w:val="clear" w:color="auto" w:fill="FFFFFF"/>
              </w:rPr>
              <w:t>指标项</w:t>
            </w:r>
          </w:p>
        </w:tc>
        <w:tc>
          <w:tcPr>
            <w:tcW w:w="3810"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规格要求</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w:t>
            </w:r>
          </w:p>
        </w:tc>
        <w:tc>
          <w:tcPr>
            <w:tcW w:w="599" w:type="pct"/>
            <w:vMerge w:val="restar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ascii="仿宋" w:hAnsi="仿宋" w:eastAsia="仿宋"/>
                <w:color w:val="auto"/>
                <w:szCs w:val="21"/>
                <w:shd w:val="clear" w:color="auto" w:fill="FFFFFF"/>
              </w:rPr>
              <w:t>功能指标</w:t>
            </w:r>
          </w:p>
          <w:p>
            <w:pPr>
              <w:spacing w:line="360" w:lineRule="auto"/>
              <w:ind w:firstLine="360"/>
              <w:rPr>
                <w:rFonts w:ascii="仿宋" w:hAnsi="仿宋" w:eastAsia="仿宋"/>
                <w:color w:val="auto"/>
                <w:szCs w:val="21"/>
                <w:shd w:val="clear" w:color="auto" w:fill="FFFFFF"/>
              </w:rPr>
            </w:pP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ascii="仿宋" w:hAnsi="仿宋" w:eastAsia="仿宋"/>
                <w:color w:val="auto"/>
                <w:szCs w:val="21"/>
                <w:shd w:val="clear" w:color="auto" w:fill="FFFFFF"/>
              </w:rPr>
              <w:t>支持RESTful API接口和S3接口。</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2</w:t>
            </w:r>
          </w:p>
        </w:tc>
        <w:tc>
          <w:tcPr>
            <w:tcW w:w="599" w:type="pct"/>
            <w:vMerge w:val="continue"/>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基于标准的X</w:t>
            </w:r>
            <w:r>
              <w:rPr>
                <w:rFonts w:ascii="仿宋" w:hAnsi="仿宋" w:eastAsia="仿宋"/>
                <w:color w:val="auto"/>
                <w:szCs w:val="21"/>
                <w:shd w:val="clear" w:color="auto" w:fill="FFFFFF"/>
              </w:rPr>
              <w:t>86</w:t>
            </w:r>
            <w:r>
              <w:rPr>
                <w:rFonts w:hint="eastAsia" w:ascii="仿宋" w:hAnsi="仿宋" w:eastAsia="仿宋"/>
                <w:color w:val="auto"/>
                <w:szCs w:val="21"/>
                <w:shd w:val="clear" w:color="auto" w:fill="FFFFFF"/>
              </w:rPr>
              <w:t>服务器构建。</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3</w:t>
            </w:r>
          </w:p>
        </w:tc>
        <w:tc>
          <w:tcPr>
            <w:tcW w:w="599" w:type="pct"/>
            <w:vMerge w:val="continue"/>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采用自主可控的分布式技术架构。</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4</w:t>
            </w:r>
          </w:p>
        </w:tc>
        <w:tc>
          <w:tcPr>
            <w:tcW w:w="599" w:type="pct"/>
            <w:vMerge w:val="continue"/>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支持原生图片处理服务: 创建图片处理规则、获取图片信息、图片格式转换、图片缩放、裁剪、旋转、图片效果处理、原图保护、添加图片、文字混合水印、自定义图片处理样式功能。</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5</w:t>
            </w:r>
          </w:p>
        </w:tc>
        <w:tc>
          <w:tcPr>
            <w:tcW w:w="599" w:type="pct"/>
            <w:vMerge w:val="continue"/>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ascii="仿宋" w:hAnsi="仿宋" w:eastAsia="仿宋"/>
                <w:color w:val="auto"/>
                <w:szCs w:val="21"/>
                <w:shd w:val="clear" w:color="auto" w:fill="FFFFFF"/>
              </w:rPr>
              <w:t>采用</w:t>
            </w:r>
            <w:r>
              <w:rPr>
                <w:rFonts w:hint="eastAsia" w:ascii="仿宋" w:hAnsi="仿宋" w:eastAsia="仿宋"/>
                <w:color w:val="auto"/>
                <w:szCs w:val="21"/>
                <w:shd w:val="clear" w:color="auto" w:fill="FFFFFF"/>
              </w:rPr>
              <w:t>存储空间</w:t>
            </w:r>
            <w:r>
              <w:rPr>
                <w:rFonts w:ascii="仿宋" w:hAnsi="仿宋" w:eastAsia="仿宋"/>
                <w:color w:val="auto"/>
                <w:szCs w:val="21"/>
                <w:shd w:val="clear" w:color="auto" w:fill="FFFFFF"/>
              </w:rPr>
              <w:t>同名的模式同城容灾，根据配置自动开启集群级别的容灾。</w:t>
            </w:r>
            <w:r>
              <w:rPr>
                <w:rFonts w:hint="eastAsia" w:ascii="仿宋" w:hAnsi="仿宋" w:eastAsia="仿宋"/>
                <w:color w:val="auto"/>
                <w:szCs w:val="21"/>
                <w:shd w:val="clear" w:color="auto" w:fill="FFFFFF"/>
              </w:rPr>
              <w:t>即</w:t>
            </w:r>
            <w:r>
              <w:rPr>
                <w:rFonts w:ascii="仿宋" w:hAnsi="仿宋" w:eastAsia="仿宋"/>
                <w:color w:val="auto"/>
                <w:szCs w:val="21"/>
                <w:shd w:val="clear" w:color="auto" w:fill="FFFFFF"/>
              </w:rPr>
              <w:t>用户创建一个主</w:t>
            </w:r>
            <w:r>
              <w:rPr>
                <w:rFonts w:hint="eastAsia" w:ascii="仿宋" w:hAnsi="仿宋" w:eastAsia="仿宋"/>
                <w:color w:val="auto"/>
                <w:szCs w:val="21"/>
                <w:shd w:val="clear" w:color="auto" w:fill="FFFFFF"/>
              </w:rPr>
              <w:t>存储空间</w:t>
            </w:r>
            <w:r>
              <w:rPr>
                <w:rFonts w:ascii="仿宋" w:hAnsi="仿宋" w:eastAsia="仿宋"/>
                <w:color w:val="auto"/>
                <w:szCs w:val="21"/>
                <w:shd w:val="clear" w:color="auto" w:fill="FFFFFF"/>
              </w:rPr>
              <w:t>后，会自动的创建一个同名的备</w:t>
            </w:r>
            <w:r>
              <w:rPr>
                <w:rFonts w:hint="eastAsia" w:ascii="仿宋" w:hAnsi="仿宋" w:eastAsia="仿宋"/>
                <w:color w:val="auto"/>
                <w:szCs w:val="21"/>
                <w:shd w:val="clear" w:color="auto" w:fill="FFFFFF"/>
              </w:rPr>
              <w:t>存储空间</w:t>
            </w:r>
            <w:r>
              <w:rPr>
                <w:rFonts w:ascii="仿宋" w:hAnsi="仿宋" w:eastAsia="仿宋"/>
                <w:color w:val="auto"/>
                <w:szCs w:val="21"/>
                <w:shd w:val="clear" w:color="auto" w:fill="FFFFFF"/>
              </w:rPr>
              <w:t>，并自动开启主</w:t>
            </w:r>
            <w:r>
              <w:rPr>
                <w:rFonts w:hint="eastAsia" w:ascii="仿宋" w:hAnsi="仿宋" w:eastAsia="仿宋"/>
                <w:color w:val="auto"/>
                <w:szCs w:val="21"/>
                <w:shd w:val="clear" w:color="auto" w:fill="FFFFFF"/>
              </w:rPr>
              <w:t>存储空间</w:t>
            </w:r>
            <w:r>
              <w:rPr>
                <w:rFonts w:ascii="仿宋" w:hAnsi="仿宋" w:eastAsia="仿宋"/>
                <w:color w:val="auto"/>
                <w:szCs w:val="21"/>
                <w:shd w:val="clear" w:color="auto" w:fill="FFFFFF"/>
              </w:rPr>
              <w:t>到备</w:t>
            </w:r>
            <w:r>
              <w:rPr>
                <w:rFonts w:hint="eastAsia" w:ascii="仿宋" w:hAnsi="仿宋" w:eastAsia="仿宋"/>
                <w:color w:val="auto"/>
                <w:szCs w:val="21"/>
                <w:shd w:val="clear" w:color="auto" w:fill="FFFFFF"/>
              </w:rPr>
              <w:t>存储空间</w:t>
            </w:r>
            <w:r>
              <w:rPr>
                <w:rFonts w:ascii="仿宋" w:hAnsi="仿宋" w:eastAsia="仿宋"/>
                <w:color w:val="auto"/>
                <w:szCs w:val="21"/>
                <w:shd w:val="clear" w:color="auto" w:fill="FFFFFF"/>
              </w:rPr>
              <w:t>的同步。</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6</w:t>
            </w:r>
          </w:p>
        </w:tc>
        <w:tc>
          <w:tcPr>
            <w:tcW w:w="599" w:type="pct"/>
            <w:vMerge w:val="continue"/>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支持多租户资源隔离机制。</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7</w:t>
            </w:r>
          </w:p>
        </w:tc>
        <w:tc>
          <w:tcPr>
            <w:tcW w:w="599" w:type="pct"/>
            <w:vMerge w:val="continue"/>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支持存储空间的创建/删除/批量删除/列举，禁用，变更容量，设置标签，变更归属，所属区域设置，容量限制，静态网站托管，防盗链，跨域访问，lifecycle（生命周期）设置，存储碎片管理。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8</w:t>
            </w:r>
          </w:p>
        </w:tc>
        <w:tc>
          <w:tcPr>
            <w:tcW w:w="599" w:type="pct"/>
            <w:vMerge w:val="continue"/>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支持对象简单上传/表单上传/追加上传/分片上传/断点续传上传/下载/流式下载/下载到本地文件/断点续传下载/范围下载/删除/批量删除/列举/复制/获取对象地址/上传任务的删除与取消/生命周期管理。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9</w:t>
            </w:r>
          </w:p>
        </w:tc>
        <w:tc>
          <w:tcPr>
            <w:tcW w:w="599" w:type="pct"/>
            <w:vMerge w:val="continue"/>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支持</w:t>
            </w:r>
            <w:r>
              <w:rPr>
                <w:rFonts w:ascii="仿宋" w:hAnsi="仿宋" w:eastAsia="仿宋"/>
                <w:color w:val="auto"/>
                <w:szCs w:val="21"/>
                <w:shd w:val="clear" w:color="auto" w:fill="FFFFFF"/>
              </w:rPr>
              <w:t>http status</w:t>
            </w:r>
            <w:r>
              <w:rPr>
                <w:rFonts w:hint="eastAsia" w:ascii="仿宋" w:hAnsi="仿宋" w:eastAsia="仿宋"/>
                <w:color w:val="auto"/>
                <w:szCs w:val="21"/>
                <w:shd w:val="clear" w:color="auto" w:fill="FFFFFF"/>
              </w:rPr>
              <w:t>统计：</w:t>
            </w:r>
            <w:r>
              <w:rPr>
                <w:rFonts w:ascii="仿宋" w:hAnsi="仿宋" w:eastAsia="仿宋"/>
                <w:color w:val="auto"/>
                <w:szCs w:val="21"/>
                <w:shd w:val="clear" w:color="auto" w:fill="FFFFFF"/>
              </w:rPr>
              <w:t>5XX</w:t>
            </w:r>
            <w:r>
              <w:rPr>
                <w:rFonts w:hint="eastAsia" w:ascii="仿宋" w:hAnsi="仿宋" w:eastAsia="仿宋"/>
                <w:color w:val="auto"/>
                <w:szCs w:val="21"/>
                <w:shd w:val="clear" w:color="auto" w:fill="FFFFFF"/>
              </w:rPr>
              <w:t>、</w:t>
            </w:r>
            <w:r>
              <w:rPr>
                <w:rFonts w:ascii="仿宋" w:hAnsi="仿宋" w:eastAsia="仿宋"/>
                <w:color w:val="auto"/>
                <w:szCs w:val="21"/>
                <w:shd w:val="clear" w:color="auto" w:fill="FFFFFF"/>
              </w:rPr>
              <w:t>403</w:t>
            </w:r>
            <w:r>
              <w:rPr>
                <w:rFonts w:hint="eastAsia" w:ascii="仿宋" w:hAnsi="仿宋" w:eastAsia="仿宋"/>
                <w:color w:val="auto"/>
                <w:szCs w:val="21"/>
                <w:shd w:val="clear" w:color="auto" w:fill="FFFFFF"/>
              </w:rPr>
              <w:t>、</w:t>
            </w:r>
            <w:r>
              <w:rPr>
                <w:rFonts w:ascii="仿宋" w:hAnsi="仿宋" w:eastAsia="仿宋"/>
                <w:color w:val="auto"/>
                <w:szCs w:val="21"/>
                <w:shd w:val="clear" w:color="auto" w:fill="FFFFFF"/>
              </w:rPr>
              <w:t>404</w:t>
            </w:r>
            <w:r>
              <w:rPr>
                <w:rFonts w:hint="eastAsia" w:ascii="仿宋" w:hAnsi="仿宋" w:eastAsia="仿宋"/>
                <w:color w:val="auto"/>
                <w:szCs w:val="21"/>
                <w:shd w:val="clear" w:color="auto" w:fill="FFFFFF"/>
              </w:rPr>
              <w:t>、</w:t>
            </w:r>
            <w:r>
              <w:rPr>
                <w:rFonts w:ascii="仿宋" w:hAnsi="仿宋" w:eastAsia="仿宋"/>
                <w:color w:val="auto"/>
                <w:szCs w:val="21"/>
                <w:shd w:val="clear" w:color="auto" w:fill="FFFFFF"/>
              </w:rPr>
              <w:t>499</w:t>
            </w:r>
            <w:r>
              <w:rPr>
                <w:rFonts w:hint="eastAsia" w:ascii="仿宋" w:hAnsi="仿宋" w:eastAsia="仿宋"/>
                <w:color w:val="auto"/>
                <w:szCs w:val="21"/>
                <w:shd w:val="clear" w:color="auto" w:fill="FFFFFF"/>
              </w:rPr>
              <w:t>、</w:t>
            </w:r>
            <w:r>
              <w:rPr>
                <w:rFonts w:ascii="仿宋" w:hAnsi="仿宋" w:eastAsia="仿宋"/>
                <w:color w:val="auto"/>
                <w:szCs w:val="21"/>
                <w:shd w:val="clear" w:color="auto" w:fill="FFFFFF"/>
              </w:rPr>
              <w:t>4XX_other</w:t>
            </w:r>
            <w:r>
              <w:rPr>
                <w:rFonts w:hint="eastAsia" w:ascii="仿宋" w:hAnsi="仿宋" w:eastAsia="仿宋"/>
                <w:color w:val="auto"/>
                <w:szCs w:val="21"/>
                <w:shd w:val="clear" w:color="auto" w:fill="FFFFFF"/>
              </w:rPr>
              <w:t>、</w:t>
            </w:r>
            <w:r>
              <w:rPr>
                <w:rFonts w:ascii="仿宋" w:hAnsi="仿宋" w:eastAsia="仿宋"/>
                <w:color w:val="auto"/>
                <w:szCs w:val="21"/>
                <w:shd w:val="clear" w:color="auto" w:fill="FFFFFF"/>
              </w:rPr>
              <w:t>2XX</w:t>
            </w:r>
            <w:r>
              <w:rPr>
                <w:rFonts w:hint="eastAsia" w:ascii="仿宋" w:hAnsi="仿宋" w:eastAsia="仿宋"/>
                <w:color w:val="auto"/>
                <w:szCs w:val="21"/>
                <w:shd w:val="clear" w:color="auto" w:fill="FFFFFF"/>
              </w:rPr>
              <w:t>、</w:t>
            </w:r>
            <w:r>
              <w:rPr>
                <w:rFonts w:ascii="仿宋" w:hAnsi="仿宋" w:eastAsia="仿宋"/>
                <w:color w:val="auto"/>
                <w:szCs w:val="21"/>
                <w:shd w:val="clear" w:color="auto" w:fill="FFFFFF"/>
              </w:rPr>
              <w:t>3XX</w:t>
            </w:r>
            <w:r>
              <w:rPr>
                <w:rFonts w:hint="eastAsia" w:ascii="仿宋" w:hAnsi="仿宋" w:eastAsia="仿宋"/>
                <w:color w:val="auto"/>
                <w:szCs w:val="21"/>
                <w:shd w:val="clear" w:color="auto" w:fill="FFFFFF"/>
              </w:rPr>
              <w:t>返回状态码个数、统计和请求占比。</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194" w:hRule="atLeast"/>
        </w:trPr>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10</w:t>
            </w:r>
          </w:p>
        </w:tc>
        <w:tc>
          <w:tcPr>
            <w:tcW w:w="599" w:type="pct"/>
            <w:vMerge w:val="continue"/>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ascii="仿宋" w:hAnsi="仿宋" w:eastAsia="仿宋"/>
                <w:color w:val="auto"/>
                <w:szCs w:val="21"/>
                <w:shd w:val="clear" w:color="auto" w:fill="FFFFFF"/>
              </w:rPr>
              <w:t>提供权限认证、服务器端</w:t>
            </w:r>
            <w:r>
              <w:rPr>
                <w:rFonts w:hint="eastAsia" w:ascii="仿宋" w:hAnsi="仿宋" w:eastAsia="仿宋"/>
                <w:color w:val="auto"/>
                <w:szCs w:val="21"/>
                <w:shd w:val="clear" w:color="auto" w:fill="FFFFFF"/>
              </w:rPr>
              <w:t>加密和</w:t>
            </w:r>
            <w:r>
              <w:rPr>
                <w:rFonts w:ascii="仿宋" w:hAnsi="仿宋" w:eastAsia="仿宋"/>
                <w:color w:val="auto"/>
                <w:szCs w:val="21"/>
                <w:shd w:val="clear" w:color="auto" w:fill="FFFFFF"/>
              </w:rPr>
              <w:t>传输加密HTTPS等功能</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11</w:t>
            </w:r>
          </w:p>
        </w:tc>
        <w:tc>
          <w:tcPr>
            <w:tcW w:w="599" w:type="pct"/>
            <w:vMerge w:val="continue"/>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提供基于三副本或EC校验模式的数据多重冗余备份，既</w:t>
            </w:r>
            <w:r>
              <w:rPr>
                <w:rFonts w:ascii="仿宋" w:hAnsi="仿宋" w:eastAsia="仿宋"/>
                <w:color w:val="auto"/>
                <w:szCs w:val="21"/>
                <w:shd w:val="clear" w:color="auto" w:fill="FFFFFF"/>
              </w:rPr>
              <w:t>保障性能，也提升了利用率</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12</w:t>
            </w:r>
          </w:p>
        </w:tc>
        <w:tc>
          <w:tcPr>
            <w:tcW w:w="599" w:type="pct"/>
            <w:vMerge w:val="continue"/>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支持子账号/STS临时凭证的权限管理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13</w:t>
            </w:r>
          </w:p>
        </w:tc>
        <w:tc>
          <w:tcPr>
            <w:tcW w:w="599" w:type="pct"/>
            <w:vMerge w:val="continue"/>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支持存储空间/对象级别的ACL</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91"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14</w:t>
            </w:r>
          </w:p>
        </w:tc>
        <w:tc>
          <w:tcPr>
            <w:tcW w:w="599"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适配要求</w:t>
            </w:r>
          </w:p>
        </w:tc>
        <w:tc>
          <w:tcPr>
            <w:tcW w:w="3810" w:type="pct"/>
            <w:tcBorders>
              <w:tl2br w:val="nil"/>
              <w:tr2bl w:val="nil"/>
            </w:tcBorders>
            <w:shd w:val="clear" w:color="auto" w:fill="auto"/>
            <w:vAlign w:val="center"/>
          </w:tcPr>
          <w:p>
            <w:pPr>
              <w:spacing w:line="360" w:lineRule="auto"/>
              <w:ind w:firstLine="360"/>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投标产品采用技术架构中要求的《</w:t>
            </w:r>
            <w:r>
              <w:rPr>
                <w:rFonts w:ascii="仿宋" w:hAnsi="仿宋" w:eastAsia="仿宋"/>
                <w:color w:val="auto"/>
                <w:szCs w:val="21"/>
                <w:shd w:val="clear" w:color="auto" w:fill="FFFFFF"/>
              </w:rPr>
              <w:t>XJ-B01-2019医疗保障信息平台应用系统技术架构规范》</w:t>
            </w:r>
            <w:r>
              <w:rPr>
                <w:rFonts w:hint="eastAsia" w:ascii="仿宋" w:hAnsi="仿宋" w:eastAsia="仿宋"/>
                <w:color w:val="auto"/>
                <w:szCs w:val="21"/>
                <w:shd w:val="clear" w:color="auto" w:fill="FFFFFF"/>
              </w:rPr>
              <w:t>中明确适配的成熟产品，提供标准规范截图证明材料，加盖云产品原厂商公章。</w:t>
            </w:r>
          </w:p>
        </w:tc>
      </w:tr>
    </w:tbl>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.2.1.8</w:t>
      </w:r>
      <w:r>
        <w:rPr>
          <w:rFonts w:hint="eastAsia" w:ascii="仿宋" w:hAnsi="仿宋" w:eastAsia="仿宋"/>
          <w:b/>
          <w:bCs/>
          <w:color w:val="auto"/>
          <w:sz w:val="24"/>
        </w:rPr>
        <w:t>关系型数据库</w:t>
      </w:r>
    </w:p>
    <w:p>
      <w:pPr>
        <w:spacing w:line="360" w:lineRule="auto"/>
        <w:ind w:firstLine="420"/>
        <w:rPr>
          <w:rFonts w:ascii="仿宋" w:hAnsi="仿宋" w:eastAsia="仿宋" w:cs="宋体"/>
          <w:color w:val="auto"/>
          <w:sz w:val="24"/>
          <w:szCs w:val="22"/>
        </w:rPr>
      </w:pPr>
      <w:r>
        <w:rPr>
          <w:rFonts w:hint="eastAsia" w:ascii="仿宋" w:hAnsi="仿宋" w:eastAsia="仿宋" w:cs="宋体"/>
          <w:color w:val="auto"/>
          <w:sz w:val="24"/>
          <w:szCs w:val="22"/>
        </w:rPr>
        <w:t>关系型数据库提供稳定可靠、可弹性伸缩的分布式在线数据库服务，支持实例管理、帐号管理、数据库管理、备份恢复、白名单、透明数据加密以及数据迁移等基本功能。</w:t>
      </w:r>
    </w:p>
    <w:tbl>
      <w:tblPr>
        <w:tblStyle w:val="14"/>
        <w:tblW w:w="5000" w:type="pct"/>
        <w:jc w:val="right"/>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autofit"/>
        <w:tblCellMar>
          <w:top w:w="0" w:type="dxa"/>
          <w:left w:w="108" w:type="dxa"/>
          <w:bottom w:w="0" w:type="dxa"/>
          <w:right w:w="108" w:type="dxa"/>
        </w:tblCellMar>
      </w:tblPr>
      <w:tblGrid>
        <w:gridCol w:w="1201"/>
        <w:gridCol w:w="1202"/>
        <w:gridCol w:w="6119"/>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85" w:hRule="atLeast"/>
          <w:jc w:val="right"/>
        </w:trPr>
        <w:tc>
          <w:tcPr>
            <w:tcW w:w="705"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序号</w:t>
            </w:r>
          </w:p>
        </w:tc>
        <w:tc>
          <w:tcPr>
            <w:tcW w:w="705"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指标项</w:t>
            </w: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规格要求</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0" w:hRule="atLeast"/>
          <w:jc w:val="right"/>
        </w:trPr>
        <w:tc>
          <w:tcPr>
            <w:tcW w:w="705"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w:t>
            </w:r>
          </w:p>
        </w:tc>
        <w:tc>
          <w:tcPr>
            <w:tcW w:w="705"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功能指标</w:t>
            </w: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事务支持：支持分布式事务，事务隔离级别可配置。</w:t>
            </w:r>
          </w:p>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支持全部DML，事务中的DML操作可见。</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0" w:hRule="atLeast"/>
          <w:jc w:val="right"/>
        </w:trPr>
        <w:tc>
          <w:tcPr>
            <w:tcW w:w="705"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2</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支持主备两副本在两个数据中心部署，主本在主数据中心，副本在备数据中心。</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0" w:hRule="atLeast"/>
          <w:jc w:val="right"/>
        </w:trPr>
        <w:tc>
          <w:tcPr>
            <w:tcW w:w="705"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3</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可扩展性</w:t>
            </w:r>
            <w:r>
              <w:rPr>
                <w:rFonts w:ascii="仿宋" w:hAnsi="仿宋" w:eastAsia="仿宋"/>
                <w:color w:val="auto"/>
                <w:szCs w:val="21"/>
                <w:shd w:val="clear" w:color="auto" w:fill="FFFFFF"/>
              </w:rPr>
              <w:t>：系统能够通过增加服务器节点对系统的计算和存储能力进行扩容。支持在线扩展，不中断当前系统的运行，性能线性提升。可扩展节点数量达到百个节点以上规模。</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0" w:hRule="atLeast"/>
          <w:jc w:val="right"/>
        </w:trPr>
        <w:tc>
          <w:tcPr>
            <w:tcW w:w="705"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4</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可管理性</w:t>
            </w:r>
            <w:r>
              <w:rPr>
                <w:rFonts w:ascii="仿宋" w:hAnsi="仿宋" w:eastAsia="仿宋"/>
                <w:color w:val="auto"/>
                <w:szCs w:val="21"/>
                <w:shd w:val="clear" w:color="auto" w:fill="FFFFFF"/>
              </w:rPr>
              <w:t>：</w:t>
            </w:r>
            <w:r>
              <w:rPr>
                <w:rFonts w:hint="eastAsia" w:ascii="仿宋" w:hAnsi="仿宋" w:eastAsia="仿宋"/>
                <w:color w:val="auto"/>
                <w:szCs w:val="21"/>
                <w:shd w:val="clear" w:color="auto" w:fill="FFFFFF"/>
              </w:rPr>
              <w:t>能提供</w:t>
            </w:r>
            <w:r>
              <w:rPr>
                <w:rFonts w:ascii="仿宋" w:hAnsi="仿宋" w:eastAsia="仿宋"/>
                <w:color w:val="auto"/>
                <w:szCs w:val="21"/>
                <w:shd w:val="clear" w:color="auto" w:fill="FFFFFF"/>
              </w:rPr>
              <w:t>企业管理工具和集群监控工具，可以对数据库的各项功能进行集中式统一管理，同时对系统运行状态、资源占用、任务执行情况进行监控。</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0" w:hRule="atLeast"/>
          <w:jc w:val="right"/>
        </w:trPr>
        <w:tc>
          <w:tcPr>
            <w:tcW w:w="705"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5</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分布式数据库访问服务与分布式数据库可分离为独立集群部署。</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0" w:hRule="atLeast"/>
          <w:jc w:val="right"/>
        </w:trPr>
        <w:tc>
          <w:tcPr>
            <w:tcW w:w="705"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6</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高可用性</w:t>
            </w:r>
            <w:r>
              <w:rPr>
                <w:rFonts w:ascii="仿宋" w:hAnsi="仿宋" w:eastAsia="仿宋"/>
                <w:color w:val="auto"/>
                <w:szCs w:val="21"/>
                <w:shd w:val="clear" w:color="auto" w:fill="FFFFFF"/>
              </w:rPr>
              <w:t>：产品通过冗余机制来保证集群的高可用特性</w:t>
            </w:r>
            <w:r>
              <w:rPr>
                <w:rFonts w:hint="eastAsia" w:ascii="仿宋" w:hAnsi="仿宋" w:eastAsia="仿宋"/>
                <w:color w:val="auto"/>
                <w:szCs w:val="21"/>
                <w:shd w:val="clear" w:color="auto" w:fill="FFFFFF"/>
              </w:rPr>
              <w:t>，互备的分片数据间可实现自动同步</w:t>
            </w:r>
            <w:r>
              <w:rPr>
                <w:rFonts w:ascii="仿宋" w:hAnsi="仿宋" w:eastAsia="仿宋"/>
                <w:color w:val="auto"/>
                <w:szCs w:val="21"/>
                <w:shd w:val="clear" w:color="auto" w:fill="FFFFFF"/>
              </w:rPr>
              <w:t>。</w:t>
            </w:r>
          </w:p>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数据库集群要求有数据备份恢复能力，支持全量、增量备份/恢复</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0" w:hRule="atLeast"/>
          <w:jc w:val="right"/>
        </w:trPr>
        <w:tc>
          <w:tcPr>
            <w:tcW w:w="705"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7</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支持业务无中断在线方式升级数据库规格及存储空间</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0" w:hRule="atLeast"/>
          <w:jc w:val="right"/>
        </w:trPr>
        <w:tc>
          <w:tcPr>
            <w:tcW w:w="705"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8</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w:t>
            </w:r>
            <w:r>
              <w:rPr>
                <w:rFonts w:ascii="仿宋" w:hAnsi="仿宋" w:eastAsia="仿宋"/>
                <w:color w:val="auto"/>
                <w:szCs w:val="21"/>
                <w:shd w:val="clear" w:color="auto" w:fill="FFFFFF"/>
              </w:rPr>
              <w:t>冷数据分离</w:t>
            </w:r>
            <w:r>
              <w:rPr>
                <w:rFonts w:hint="eastAsia" w:ascii="仿宋" w:hAnsi="仿宋" w:eastAsia="仿宋"/>
                <w:color w:val="auto"/>
                <w:szCs w:val="21"/>
                <w:shd w:val="clear" w:color="auto" w:fill="FFFFFF"/>
              </w:rPr>
              <w:t>至其他介质</w:t>
            </w:r>
            <w:r>
              <w:rPr>
                <w:rFonts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jc w:val="right"/>
        </w:trPr>
        <w:tc>
          <w:tcPr>
            <w:tcW w:w="705"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9</w:t>
            </w:r>
          </w:p>
        </w:tc>
        <w:tc>
          <w:tcPr>
            <w:tcW w:w="70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兼容性</w:t>
            </w:r>
            <w:r>
              <w:rPr>
                <w:rFonts w:hint="eastAsia" w:ascii="仿宋" w:hAnsi="仿宋" w:eastAsia="仿宋"/>
                <w:color w:val="auto"/>
                <w:szCs w:val="21"/>
                <w:shd w:val="clear" w:color="auto" w:fill="FFFFFF"/>
              </w:rPr>
              <w:t>/开放性（接口、引擎等）</w:t>
            </w: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产品可兼容</w:t>
            </w:r>
            <w:r>
              <w:rPr>
                <w:rFonts w:ascii="仿宋" w:hAnsi="仿宋" w:eastAsia="仿宋"/>
                <w:color w:val="auto"/>
                <w:szCs w:val="21"/>
                <w:shd w:val="clear" w:color="auto" w:fill="FFFFFF"/>
              </w:rPr>
              <w:t>MySQL</w:t>
            </w:r>
            <w:r>
              <w:rPr>
                <w:rFonts w:hint="eastAsia" w:ascii="仿宋" w:hAnsi="仿宋" w:eastAsia="仿宋"/>
                <w:color w:val="auto"/>
                <w:szCs w:val="21"/>
                <w:shd w:val="clear" w:color="auto" w:fill="FFFFFF"/>
              </w:rPr>
              <w:t>等主流</w:t>
            </w:r>
            <w:r>
              <w:rPr>
                <w:rFonts w:ascii="仿宋" w:hAnsi="仿宋" w:eastAsia="仿宋"/>
                <w:color w:val="auto"/>
                <w:szCs w:val="21"/>
                <w:shd w:val="clear" w:color="auto" w:fill="FFFFFF"/>
              </w:rPr>
              <w:t>协议</w:t>
            </w:r>
            <w:r>
              <w:rPr>
                <w:rFonts w:hint="eastAsia" w:ascii="仿宋" w:hAnsi="仿宋" w:eastAsia="仿宋"/>
                <w:color w:val="auto"/>
                <w:szCs w:val="21"/>
                <w:shd w:val="clear" w:color="auto" w:fill="FFFFFF"/>
              </w:rPr>
              <w:t>。</w:t>
            </w:r>
          </w:p>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提供完善的</w:t>
            </w:r>
            <w:r>
              <w:rPr>
                <w:rFonts w:hint="eastAsia" w:ascii="仿宋" w:hAnsi="仿宋" w:eastAsia="仿宋"/>
                <w:color w:val="auto"/>
                <w:szCs w:val="21"/>
                <w:shd w:val="clear" w:color="auto" w:fill="FFFFFF"/>
              </w:rPr>
              <w:t>OpenAPI供</w:t>
            </w:r>
            <w:r>
              <w:rPr>
                <w:rFonts w:ascii="仿宋" w:hAnsi="仿宋" w:eastAsia="仿宋"/>
                <w:color w:val="auto"/>
                <w:szCs w:val="21"/>
                <w:shd w:val="clear" w:color="auto" w:fill="FFFFFF"/>
              </w:rPr>
              <w:t>外部</w:t>
            </w:r>
            <w:r>
              <w:rPr>
                <w:rFonts w:hint="eastAsia" w:ascii="仿宋" w:hAnsi="仿宋" w:eastAsia="仿宋"/>
                <w:color w:val="auto"/>
                <w:szCs w:val="21"/>
                <w:shd w:val="clear" w:color="auto" w:fill="FFFFFF"/>
              </w:rPr>
              <w:t>调用</w:t>
            </w:r>
            <w:r>
              <w:rPr>
                <w:rFonts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330" w:hRule="atLeast"/>
          <w:jc w:val="right"/>
        </w:trPr>
        <w:tc>
          <w:tcPr>
            <w:tcW w:w="705"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10</w:t>
            </w:r>
          </w:p>
        </w:tc>
        <w:tc>
          <w:tcPr>
            <w:tcW w:w="705"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安全性</w:t>
            </w: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具备完善的安全防护措施，支持白名单设置、SQL审计等功能。</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330" w:hRule="atLeast"/>
          <w:jc w:val="right"/>
        </w:trPr>
        <w:tc>
          <w:tcPr>
            <w:tcW w:w="705" w:type="pct"/>
            <w:tcBorders>
              <w:tl2br w:val="nil"/>
              <w:tr2bl w:val="nil"/>
            </w:tcBorders>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11</w:t>
            </w:r>
          </w:p>
        </w:tc>
        <w:tc>
          <w:tcPr>
            <w:tcW w:w="7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5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w:t>
            </w:r>
            <w:r>
              <w:rPr>
                <w:rFonts w:ascii="仿宋" w:hAnsi="仿宋" w:eastAsia="仿宋"/>
                <w:color w:val="auto"/>
                <w:szCs w:val="21"/>
                <w:shd w:val="clear" w:color="auto" w:fill="FFFFFF"/>
              </w:rPr>
              <w:t>数据传输</w:t>
            </w:r>
            <w:r>
              <w:rPr>
                <w:rFonts w:hint="eastAsia" w:ascii="仿宋" w:hAnsi="仿宋" w:eastAsia="仿宋"/>
                <w:color w:val="auto"/>
                <w:szCs w:val="21"/>
                <w:shd w:val="clear" w:color="auto" w:fill="FFFFFF"/>
              </w:rPr>
              <w:t>加密</w:t>
            </w:r>
            <w:r>
              <w:rPr>
                <w:rFonts w:ascii="仿宋" w:hAnsi="仿宋" w:eastAsia="仿宋"/>
                <w:color w:val="auto"/>
                <w:szCs w:val="21"/>
                <w:shd w:val="clear" w:color="auto" w:fill="FFFFFF"/>
              </w:rPr>
              <w:t>、</w:t>
            </w:r>
            <w:r>
              <w:rPr>
                <w:rFonts w:hint="eastAsia" w:ascii="仿宋" w:hAnsi="仿宋" w:eastAsia="仿宋"/>
                <w:color w:val="auto"/>
                <w:szCs w:val="21"/>
                <w:shd w:val="clear" w:color="auto" w:fill="FFFFFF"/>
              </w:rPr>
              <w:t>数据存储加密</w:t>
            </w:r>
            <w:r>
              <w:rPr>
                <w:rFonts w:ascii="仿宋" w:hAnsi="仿宋" w:eastAsia="仿宋"/>
                <w:color w:val="auto"/>
                <w:szCs w:val="21"/>
                <w:shd w:val="clear" w:color="auto" w:fill="FFFFFF"/>
              </w:rPr>
              <w:t>。</w:t>
            </w:r>
          </w:p>
        </w:tc>
      </w:tr>
    </w:tbl>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.2.2</w:t>
      </w:r>
      <w:r>
        <w:rPr>
          <w:rFonts w:hint="eastAsia" w:ascii="仿宋" w:hAnsi="仿宋" w:eastAsia="仿宋"/>
          <w:b/>
          <w:bCs/>
          <w:color w:val="auto"/>
          <w:sz w:val="24"/>
        </w:rPr>
        <w:t>大数据软件</w:t>
      </w:r>
    </w:p>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.2.2.1</w:t>
      </w:r>
      <w:r>
        <w:rPr>
          <w:rFonts w:hint="eastAsia" w:ascii="仿宋" w:hAnsi="仿宋" w:eastAsia="仿宋"/>
          <w:b/>
          <w:bCs/>
          <w:color w:val="auto"/>
          <w:sz w:val="24"/>
        </w:rPr>
        <w:t>大数据管理软件</w:t>
      </w:r>
    </w:p>
    <w:p>
      <w:pPr>
        <w:widowControl/>
        <w:spacing w:line="360" w:lineRule="auto"/>
        <w:ind w:firstLine="480" w:firstLineChars="200"/>
        <w:jc w:val="left"/>
        <w:rPr>
          <w:rFonts w:ascii="仿宋" w:hAnsi="仿宋" w:eastAsia="仿宋"/>
          <w:color w:val="auto"/>
          <w:sz w:val="24"/>
          <w:szCs w:val="28"/>
        </w:rPr>
      </w:pPr>
      <w:r>
        <w:rPr>
          <w:rFonts w:hint="eastAsia" w:ascii="仿宋" w:hAnsi="仿宋" w:eastAsia="仿宋"/>
          <w:color w:val="auto"/>
          <w:sz w:val="24"/>
          <w:szCs w:val="28"/>
        </w:rPr>
        <w:t>大数据管理软件是基于离线大数据计算能力引擎、实时大数据分析能力引擎，对医保数据进行可视化拖拽式大数据开发和管理。</w:t>
      </w:r>
    </w:p>
    <w:tbl>
      <w:tblPr>
        <w:tblStyle w:val="14"/>
        <w:tblW w:w="5000" w:type="pct"/>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fixed"/>
        <w:tblCellMar>
          <w:top w:w="0" w:type="dxa"/>
          <w:left w:w="108" w:type="dxa"/>
          <w:bottom w:w="0" w:type="dxa"/>
          <w:right w:w="108" w:type="dxa"/>
        </w:tblCellMar>
      </w:tblPr>
      <w:tblGrid>
        <w:gridCol w:w="1281"/>
        <w:gridCol w:w="1282"/>
        <w:gridCol w:w="5959"/>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24"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序号</w:t>
            </w:r>
          </w:p>
        </w:tc>
        <w:tc>
          <w:tcPr>
            <w:tcW w:w="752" w:type="pct"/>
            <w:tcBorders>
              <w:tl2br w:val="nil"/>
              <w:tr2bl w:val="nil"/>
            </w:tcBorders>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指标项</w:t>
            </w: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规格要求</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w:t>
            </w:r>
          </w:p>
        </w:tc>
        <w:tc>
          <w:tcPr>
            <w:tcW w:w="752" w:type="pct"/>
            <w:vMerge w:val="restar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数据质量</w:t>
            </w: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支持数据质量图形化概览，展示离线、实时数据的报警、阻塞信息</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2</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支持对离线数据表配置模板规则，包括表级规则和字段规则等35+种规则</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3</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支持对离线数据表配置自定义规则，允许通过SQL方式自定义数据质量判断规则</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4</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支持离线数据质量规则支持与数据开发任务关联，在任务节点运行后自动运行，当规则报警时自动阻塞下游节点</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5</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支持对采集结果进行同比检测，以及1、7、30天波动监测</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6</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ascii="仿宋" w:hAnsi="仿宋" w:eastAsia="仿宋"/>
                <w:color w:val="auto"/>
                <w:szCs w:val="21"/>
                <w:shd w:val="clear" w:color="auto" w:fill="FFFFFF"/>
              </w:rPr>
              <w:t>支持对流式实时数据配置模板规则，包括断流、延迟</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7</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ascii="仿宋" w:hAnsi="仿宋" w:eastAsia="仿宋"/>
                <w:color w:val="auto"/>
                <w:szCs w:val="21"/>
                <w:shd w:val="clear" w:color="auto" w:fill="FFFFFF"/>
              </w:rPr>
              <w:t>支持对流式实时数据配置自定义规则，允许通过SQL方式自定义数据质量判断规则</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8</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支持短信、邮件</w:t>
            </w:r>
            <w:r>
              <w:rPr>
                <w:rFonts w:hint="eastAsia" w:ascii="仿宋" w:hAnsi="仿宋" w:eastAsia="仿宋"/>
                <w:color w:val="auto"/>
                <w:szCs w:val="21"/>
                <w:shd w:val="clear" w:color="auto" w:fill="FFFFFF"/>
              </w:rPr>
              <w:t>等</w:t>
            </w:r>
            <w:r>
              <w:rPr>
                <w:rFonts w:ascii="仿宋" w:hAnsi="仿宋" w:eastAsia="仿宋"/>
                <w:color w:val="auto"/>
                <w:szCs w:val="21"/>
                <w:shd w:val="clear" w:color="auto" w:fill="FFFFFF"/>
              </w:rPr>
              <w:t>方式报警</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9</w:t>
            </w:r>
          </w:p>
        </w:tc>
        <w:tc>
          <w:tcPr>
            <w:tcW w:w="752" w:type="pct"/>
            <w:vMerge w:val="restar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数据服务</w:t>
            </w: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API发布功能。支持通过可视化配置，将各类数据库中的数据表快速生成API服务。同时对于复杂API，支持自定义SQL查询语句，支持多表关联查询等能力。</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10</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API注册服务。支持API注册，可以将用户已有的API统一注册到数据服务平台中，统一管理和进行共享交换。</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11</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统一服务总线。通过API网关统一发布API，实现鉴权、流控等能力</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12</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支持丰富的数据源。包含MySQL、Oracle、SQL</w:t>
            </w:r>
            <w:r>
              <w:rPr>
                <w:rFonts w:hint="eastAsia" w:ascii="宋体" w:hAnsi="宋体" w:cs="宋体"/>
                <w:color w:val="auto"/>
                <w:szCs w:val="21"/>
                <w:shd w:val="clear" w:color="auto" w:fill="FFFFFF"/>
              </w:rPr>
              <w:t> </w:t>
            </w:r>
            <w:r>
              <w:rPr>
                <w:rFonts w:ascii="仿宋" w:hAnsi="仿宋" w:eastAsia="仿宋"/>
                <w:color w:val="auto"/>
                <w:szCs w:val="21"/>
                <w:shd w:val="clear" w:color="auto" w:fill="FFFFFF"/>
              </w:rPr>
              <w:t>Server、PostgreSQL</w:t>
            </w:r>
            <w:r>
              <w:rPr>
                <w:rFonts w:hint="eastAsia" w:ascii="仿宋" w:hAnsi="仿宋" w:eastAsia="仿宋"/>
                <w:color w:val="auto"/>
                <w:szCs w:val="21"/>
                <w:shd w:val="clear" w:color="auto" w:fill="FFFFFF"/>
              </w:rPr>
              <w:t>、云数据库、分布式数据库</w:t>
            </w:r>
            <w:r>
              <w:rPr>
                <w:rFonts w:ascii="仿宋" w:hAnsi="仿宋" w:eastAsia="仿宋"/>
                <w:color w:val="auto"/>
                <w:szCs w:val="21"/>
                <w:shd w:val="clear" w:color="auto" w:fill="FFFFFF"/>
              </w:rPr>
              <w:t>等。</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13</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敏感数据：通过数据安全等级，发现和定位敏感数据，明确其在数据资源平台上的分布情况，根据定义的敏感数据类型自动发现敏感数据，并为其分级分类</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14</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ascii="仿宋" w:hAnsi="仿宋" w:eastAsia="仿宋"/>
                <w:color w:val="auto"/>
                <w:szCs w:val="21"/>
                <w:shd w:val="clear" w:color="auto" w:fill="FFFFFF"/>
              </w:rPr>
              <w:t>数据访问审计：记录审计特权用户的访问记录，包括访问时间、执行操作等，确保特权用户在正确的时间完成了正确的操作，审查是否有越轨行为的出现，进而保证数据系统的安全。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349"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15</w:t>
            </w:r>
          </w:p>
        </w:tc>
        <w:tc>
          <w:tcPr>
            <w:tcW w:w="752" w:type="pct"/>
            <w:vMerge w:val="restar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平台管理</w:t>
            </w: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支持以工作空间维度管理对象、成员、角色与权限</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131"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16</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支持简单模式项目。简单模式项目由单一计算引擎组成，开发、生产在同一引擎中。上手简单，操作直观，但安全性不强</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17</w:t>
            </w:r>
          </w:p>
        </w:tc>
        <w:tc>
          <w:tcPr>
            <w:tcW w:w="752" w:type="pct"/>
            <w:vMerge w:val="continue"/>
            <w:tcBorders>
              <w:tl2br w:val="nil"/>
              <w:tr2bl w:val="nil"/>
            </w:tcBorders>
            <w:vAlign w:val="center"/>
          </w:tcPr>
          <w:p>
            <w:pPr>
              <w:spacing w:line="360" w:lineRule="auto"/>
              <w:rPr>
                <w:rFonts w:ascii="仿宋" w:hAnsi="仿宋" w:eastAsia="仿宋"/>
                <w:color w:val="auto"/>
                <w:szCs w:val="21"/>
                <w:shd w:val="clear" w:color="auto" w:fill="FFFFFF"/>
              </w:rPr>
            </w:pP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支持标准模式项目。标准模式项目由开发、生产两套计算引擎组成，可以实现开发生产环境的数据隔离，任务的发布由运维或部署角色完成。代码、数据更加安全。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80" w:hRule="atLeast"/>
        </w:trPr>
        <w:tc>
          <w:tcPr>
            <w:tcW w:w="752" w:type="pct"/>
            <w:tcBorders>
              <w:tl2br w:val="nil"/>
              <w:tr2bl w:val="nil"/>
            </w:tcBorders>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18</w:t>
            </w:r>
          </w:p>
        </w:tc>
        <w:tc>
          <w:tcPr>
            <w:tcW w:w="752" w:type="pct"/>
            <w:tcBorders>
              <w:tl2br w:val="nil"/>
              <w:tr2bl w:val="nil"/>
            </w:tcBorders>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测评要求</w:t>
            </w:r>
          </w:p>
        </w:tc>
        <w:tc>
          <w:tcPr>
            <w:tcW w:w="3496" w:type="pct"/>
            <w:tcBorders>
              <w:tl2br w:val="nil"/>
              <w:tr2bl w:val="nil"/>
            </w:tcBorders>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所投产品符合《信息技术大数据系统通用规范》，提供《大数据系统检测证书》复印件加盖公章。</w:t>
            </w:r>
          </w:p>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所投大数据产品须通过中国信息通信研究院的数据集成工具基础能力测评，提供证书复印件并加盖公章。</w:t>
            </w:r>
          </w:p>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所投大数据产品须通过中国信息通信研究院的数据管理平台基础能力测评，提供证书复印件并加盖公章。</w:t>
            </w:r>
          </w:p>
        </w:tc>
      </w:tr>
    </w:tbl>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.2.2.2 BI</w:t>
      </w:r>
      <w:r>
        <w:rPr>
          <w:rFonts w:hint="eastAsia" w:ascii="仿宋" w:hAnsi="仿宋" w:eastAsia="仿宋"/>
          <w:b/>
          <w:bCs/>
          <w:color w:val="auto"/>
          <w:sz w:val="24"/>
        </w:rPr>
        <w:t>报表工具</w:t>
      </w:r>
    </w:p>
    <w:p>
      <w:pPr>
        <w:widowControl/>
        <w:spacing w:line="360" w:lineRule="auto"/>
        <w:ind w:firstLine="480" w:firstLineChars="200"/>
        <w:jc w:val="left"/>
        <w:rPr>
          <w:rFonts w:ascii="仿宋" w:hAnsi="仿宋" w:eastAsia="仿宋"/>
          <w:color w:val="auto"/>
          <w:sz w:val="24"/>
          <w:szCs w:val="28"/>
        </w:rPr>
      </w:pPr>
      <w:r>
        <w:rPr>
          <w:rFonts w:hint="eastAsia" w:ascii="仿宋" w:hAnsi="仿宋" w:eastAsia="仿宋"/>
          <w:color w:val="auto"/>
          <w:sz w:val="24"/>
          <w:szCs w:val="28"/>
        </w:rPr>
        <w:t>B</w:t>
      </w:r>
      <w:r>
        <w:rPr>
          <w:rFonts w:ascii="仿宋" w:hAnsi="仿宋" w:eastAsia="仿宋"/>
          <w:color w:val="auto"/>
          <w:sz w:val="24"/>
          <w:szCs w:val="28"/>
        </w:rPr>
        <w:t>I</w:t>
      </w:r>
      <w:r>
        <w:rPr>
          <w:rFonts w:hint="eastAsia" w:ascii="仿宋" w:hAnsi="仿宋" w:eastAsia="仿宋"/>
          <w:color w:val="auto"/>
          <w:sz w:val="24"/>
          <w:szCs w:val="28"/>
        </w:rPr>
        <w:t>报表工具承载医保报表模板、报表智能建模和报表输出的功能，与国家局报表数据进行互联互通，供省本级以及各地市租户使用。B</w:t>
      </w:r>
      <w:r>
        <w:rPr>
          <w:rFonts w:ascii="仿宋" w:hAnsi="仿宋" w:eastAsia="仿宋"/>
          <w:color w:val="auto"/>
          <w:sz w:val="24"/>
          <w:szCs w:val="28"/>
        </w:rPr>
        <w:t>I</w:t>
      </w:r>
      <w:r>
        <w:rPr>
          <w:rFonts w:hint="eastAsia" w:ascii="仿宋" w:hAnsi="仿宋" w:eastAsia="仿宋"/>
          <w:color w:val="auto"/>
          <w:sz w:val="24"/>
          <w:szCs w:val="28"/>
        </w:rPr>
        <w:t>报表工具通过拖拽式可视化操作，提供海量数据即席在线分析能力，对医保运营监管提供大数据能力支撑。</w:t>
      </w:r>
    </w:p>
    <w:p>
      <w:pPr>
        <w:widowControl/>
        <w:spacing w:line="360" w:lineRule="auto"/>
        <w:ind w:firstLine="480" w:firstLineChars="200"/>
        <w:jc w:val="left"/>
        <w:rPr>
          <w:rFonts w:ascii="仿宋" w:hAnsi="仿宋" w:eastAsia="仿宋"/>
          <w:color w:val="auto"/>
          <w:sz w:val="24"/>
          <w:szCs w:val="28"/>
        </w:rPr>
      </w:pPr>
      <w:r>
        <w:rPr>
          <w:rFonts w:hint="eastAsia" w:ascii="仿宋" w:hAnsi="仿宋" w:eastAsia="仿宋"/>
          <w:color w:val="auto"/>
          <w:sz w:val="24"/>
          <w:szCs w:val="28"/>
        </w:rPr>
        <w:t>B</w:t>
      </w:r>
      <w:r>
        <w:rPr>
          <w:rFonts w:ascii="仿宋" w:hAnsi="仿宋" w:eastAsia="仿宋"/>
          <w:color w:val="auto"/>
          <w:sz w:val="24"/>
          <w:szCs w:val="28"/>
        </w:rPr>
        <w:t>I</w:t>
      </w:r>
      <w:r>
        <w:rPr>
          <w:rFonts w:hint="eastAsia" w:ascii="仿宋" w:hAnsi="仿宋" w:eastAsia="仿宋"/>
          <w:color w:val="auto"/>
          <w:sz w:val="24"/>
          <w:szCs w:val="28"/>
        </w:rPr>
        <w:t>报表工具由四部分组成，数据联接、计算引擎、数据管理和数据分析四层。功能上支持数据源管理、数据集管理、仪表板管理、电子表格管理和报表门户管理。</w:t>
      </w:r>
    </w:p>
    <w:tbl>
      <w:tblPr>
        <w:tblStyle w:val="14"/>
        <w:tblW w:w="5000" w:type="pct"/>
        <w:jc w:val="center"/>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autofit"/>
        <w:tblCellMar>
          <w:top w:w="0" w:type="dxa"/>
          <w:left w:w="108" w:type="dxa"/>
          <w:bottom w:w="0" w:type="dxa"/>
          <w:right w:w="108" w:type="dxa"/>
        </w:tblCellMar>
      </w:tblPr>
      <w:tblGrid>
        <w:gridCol w:w="1028"/>
        <w:gridCol w:w="1263"/>
        <w:gridCol w:w="6231"/>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jc w:val="center"/>
        </w:trPr>
        <w:tc>
          <w:tcPr>
            <w:tcW w:w="603"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序号</w:t>
            </w:r>
          </w:p>
        </w:tc>
        <w:tc>
          <w:tcPr>
            <w:tcW w:w="741"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指标项</w:t>
            </w:r>
          </w:p>
        </w:tc>
        <w:tc>
          <w:tcPr>
            <w:tcW w:w="365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规格要求</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jc w:val="center"/>
        </w:trPr>
        <w:tc>
          <w:tcPr>
            <w:tcW w:w="603"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w:t>
            </w:r>
          </w:p>
        </w:tc>
        <w:tc>
          <w:tcPr>
            <w:tcW w:w="741"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总体描述</w:t>
            </w:r>
          </w:p>
        </w:tc>
        <w:tc>
          <w:tcPr>
            <w:tcW w:w="365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提供海量数据即席分析，实现拖拽式操作、丰富的可视化效果，能够高效地完成业务数据分析洞察。</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jc w:val="center"/>
        </w:trPr>
        <w:tc>
          <w:tcPr>
            <w:tcW w:w="603"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2</w:t>
            </w:r>
          </w:p>
        </w:tc>
        <w:tc>
          <w:tcPr>
            <w:tcW w:w="741"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功能指标</w:t>
            </w:r>
          </w:p>
        </w:tc>
        <w:tc>
          <w:tcPr>
            <w:tcW w:w="365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数据源:快速联接业务数据，用于快速分析提供联接能力。</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jc w:val="center"/>
        </w:trPr>
        <w:tc>
          <w:tcPr>
            <w:tcW w:w="603"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3</w:t>
            </w:r>
          </w:p>
        </w:tc>
        <w:tc>
          <w:tcPr>
            <w:tcW w:w="741"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65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数据集:基于数据库的联接创建以表或是SQL的方式创建Cube，提供多维分析（OLAP）的能力。</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jc w:val="center"/>
        </w:trPr>
        <w:tc>
          <w:tcPr>
            <w:tcW w:w="603"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4</w:t>
            </w:r>
          </w:p>
        </w:tc>
        <w:tc>
          <w:tcPr>
            <w:tcW w:w="741"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65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hint="eastAsia" w:ascii="仿宋" w:hAnsi="仿宋" w:eastAsia="仿宋"/>
                <w:color w:val="auto"/>
                <w:szCs w:val="21"/>
                <w:shd w:val="clear" w:color="auto" w:fill="FFFFFF"/>
              </w:rPr>
              <w:t>电子表格:提供类Excel的</w:t>
            </w:r>
            <w:r>
              <w:rPr>
                <w:rFonts w:ascii="仿宋" w:hAnsi="仿宋" w:eastAsia="仿宋"/>
                <w:color w:val="auto"/>
                <w:szCs w:val="21"/>
                <w:shd w:val="clear" w:color="auto" w:fill="FFFFFF"/>
              </w:rPr>
              <w:t>方式提供在线的数据分析能力，以单元格为数据单元，支持本地复制录入及数据集方式获取数据，</w:t>
            </w:r>
            <w:r>
              <w:rPr>
                <w:rFonts w:hint="eastAsia" w:ascii="仿宋" w:hAnsi="仿宋" w:eastAsia="仿宋"/>
                <w:color w:val="auto"/>
                <w:szCs w:val="21"/>
                <w:shd w:val="clear" w:color="auto" w:fill="FFFFFF"/>
              </w:rPr>
              <w:t>帮助业务进行数据多维的分析及可视化，支持超300+的函数，如主流的vlookup</w:t>
            </w:r>
            <w:r>
              <w:rPr>
                <w:rFonts w:ascii="仿宋" w:hAnsi="仿宋" w:eastAsia="仿宋"/>
                <w:color w:val="auto"/>
                <w:szCs w:val="21"/>
                <w:shd w:val="clear" w:color="auto" w:fill="FFFFFF"/>
              </w:rPr>
              <w:t>，可拖拽式填充</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jc w:val="center"/>
        </w:trPr>
        <w:tc>
          <w:tcPr>
            <w:tcW w:w="603"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5</w:t>
            </w:r>
          </w:p>
        </w:tc>
        <w:tc>
          <w:tcPr>
            <w:tcW w:w="741"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65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仪表板:基于Cube的OLAP能力快速进行数据可视化呈现，支持20+的数据组件。</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jc w:val="center"/>
        </w:trPr>
        <w:tc>
          <w:tcPr>
            <w:tcW w:w="603"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6</w:t>
            </w:r>
          </w:p>
        </w:tc>
        <w:tc>
          <w:tcPr>
            <w:tcW w:w="741"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65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门户&amp;邮件:支持把电子表格及仪表板按业务场景或是部分等进行组织，帮助业务快速全面了解所有数据，通过邮件方式发送报表数据到邮箱。门户管理可以设置报表门户的logo、皮肤、布局、字体颜色、页面url、设置菜单等功能。</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jc w:val="center"/>
        </w:trPr>
        <w:tc>
          <w:tcPr>
            <w:tcW w:w="603"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7</w:t>
            </w:r>
          </w:p>
        </w:tc>
        <w:tc>
          <w:tcPr>
            <w:tcW w:w="741"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65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 w:val="18"/>
                <w:szCs w:val="22"/>
                <w:shd w:val="clear" w:color="auto" w:fill="FFFFFF"/>
              </w:rPr>
              <w:t>★</w:t>
            </w:r>
            <w:r>
              <w:rPr>
                <w:rFonts w:ascii="仿宋" w:hAnsi="仿宋" w:eastAsia="仿宋"/>
                <w:color w:val="auto"/>
                <w:szCs w:val="21"/>
                <w:shd w:val="clear" w:color="auto" w:fill="FFFFFF"/>
              </w:rPr>
              <w:t>在线协同：支持分享、协同编辑等多种在线系统分享机制</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jc w:val="center"/>
        </w:trPr>
        <w:tc>
          <w:tcPr>
            <w:tcW w:w="603"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8</w:t>
            </w:r>
          </w:p>
        </w:tc>
        <w:tc>
          <w:tcPr>
            <w:tcW w:w="741"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65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移动门户：支持移动端查看相关制作完成的仪表板、电子表格、门户等内容，支持移动应用。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533" w:hRule="atLeast"/>
          <w:jc w:val="center"/>
        </w:trPr>
        <w:tc>
          <w:tcPr>
            <w:tcW w:w="603"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9</w:t>
            </w:r>
          </w:p>
        </w:tc>
        <w:tc>
          <w:tcPr>
            <w:tcW w:w="741"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兼容性/开放性（接口、引擎等）</w:t>
            </w:r>
          </w:p>
        </w:tc>
        <w:tc>
          <w:tcPr>
            <w:tcW w:w="365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支持以</w:t>
            </w:r>
            <w:r>
              <w:rPr>
                <w:rFonts w:ascii="仿宋" w:hAnsi="仿宋" w:eastAsia="仿宋"/>
                <w:color w:val="auto"/>
                <w:szCs w:val="21"/>
                <w:shd w:val="clear" w:color="auto" w:fill="FFFFFF"/>
              </w:rPr>
              <w:t>HTTP</w:t>
            </w:r>
            <w:r>
              <w:rPr>
                <w:rFonts w:hint="eastAsia" w:ascii="仿宋" w:hAnsi="仿宋" w:eastAsia="仿宋"/>
                <w:color w:val="auto"/>
                <w:szCs w:val="21"/>
                <w:shd w:val="clear" w:color="auto" w:fill="FFFFFF"/>
              </w:rPr>
              <w:t xml:space="preserve"> API接口方式管理。</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1020" w:hRule="atLeast"/>
          <w:jc w:val="center"/>
        </w:trPr>
        <w:tc>
          <w:tcPr>
            <w:tcW w:w="603" w:type="pct"/>
            <w:tcBorders>
              <w:tl2br w:val="nil"/>
              <w:tr2bl w:val="nil"/>
            </w:tcBorders>
            <w:shd w:val="clear" w:color="auto" w:fill="auto"/>
            <w:vAlign w:val="center"/>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10</w:t>
            </w:r>
          </w:p>
        </w:tc>
        <w:tc>
          <w:tcPr>
            <w:tcW w:w="741"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安全性</w:t>
            </w:r>
          </w:p>
        </w:tc>
        <w:tc>
          <w:tcPr>
            <w:tcW w:w="365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提供对象编辑权限管理及数据访问权限（支持行级权限）。采用</w:t>
            </w:r>
            <w:r>
              <w:rPr>
                <w:rFonts w:ascii="仿宋" w:hAnsi="仿宋" w:eastAsia="仿宋"/>
                <w:color w:val="auto"/>
                <w:szCs w:val="21"/>
                <w:shd w:val="clear" w:color="auto" w:fill="FFFFFF"/>
              </w:rPr>
              <w:t>ACL</w:t>
            </w:r>
            <w:r>
              <w:rPr>
                <w:rFonts w:hint="eastAsia" w:ascii="仿宋" w:hAnsi="仿宋" w:eastAsia="仿宋"/>
                <w:color w:val="auto"/>
                <w:szCs w:val="21"/>
                <w:shd w:val="clear" w:color="auto" w:fill="FFFFFF"/>
              </w:rPr>
              <w:t>权限体制，支持按省市组织结构进行设置权限，数据以访问对象为控制单元，并结合数据行级权限控制方案完成更细粒度的数据安全管控。</w:t>
            </w:r>
          </w:p>
        </w:tc>
      </w:tr>
    </w:tbl>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 xml:space="preserve">.2.2.3 </w:t>
      </w:r>
      <w:r>
        <w:rPr>
          <w:rFonts w:hint="eastAsia" w:ascii="仿宋" w:hAnsi="仿宋" w:eastAsia="仿宋"/>
          <w:b/>
          <w:bCs/>
          <w:color w:val="auto"/>
          <w:sz w:val="24"/>
        </w:rPr>
        <w:t>可视化大屏展示软件</w:t>
      </w:r>
    </w:p>
    <w:p>
      <w:pPr>
        <w:widowControl/>
        <w:spacing w:line="360" w:lineRule="auto"/>
        <w:ind w:firstLine="480" w:firstLineChars="200"/>
        <w:jc w:val="left"/>
        <w:rPr>
          <w:rFonts w:ascii="仿宋" w:hAnsi="仿宋" w:eastAsia="仿宋"/>
          <w:color w:val="auto"/>
          <w:sz w:val="24"/>
          <w:szCs w:val="28"/>
        </w:rPr>
      </w:pPr>
      <w:r>
        <w:rPr>
          <w:rFonts w:hint="eastAsia" w:ascii="仿宋" w:hAnsi="仿宋" w:eastAsia="仿宋"/>
          <w:color w:val="auto"/>
          <w:sz w:val="24"/>
          <w:szCs w:val="28"/>
        </w:rPr>
        <w:t>可视化大屏展示软件用于医保运行监控可视化管理，提供制作数据可视化应用的图形化拖拽式的在线工具，集数据连接、可视化组件库、行业设计模板库、多终端适配与发布运维于一体，使开发人员快速的将数据的价值通过视觉进行传达。</w:t>
      </w:r>
    </w:p>
    <w:p>
      <w:pPr>
        <w:widowControl/>
        <w:spacing w:line="360" w:lineRule="auto"/>
        <w:ind w:firstLine="480" w:firstLineChars="200"/>
        <w:jc w:val="left"/>
        <w:rPr>
          <w:rFonts w:ascii="仿宋" w:hAnsi="仿宋" w:eastAsia="仿宋"/>
          <w:color w:val="auto"/>
          <w:sz w:val="24"/>
          <w:szCs w:val="28"/>
        </w:rPr>
      </w:pPr>
      <w:r>
        <w:rPr>
          <w:rFonts w:hint="eastAsia" w:ascii="仿宋" w:hAnsi="仿宋" w:eastAsia="仿宋"/>
          <w:color w:val="auto"/>
          <w:sz w:val="24"/>
          <w:szCs w:val="28"/>
        </w:rPr>
        <w:t>为医保平台提供统一的可视化设计平台，构建一站式的大数据可视化应用设计、开发平台，能够根据变动频繁的大数据可视化需求灵活的开展相关的大数据可视化应用设计、开发、发布等管理流程。</w:t>
      </w:r>
    </w:p>
    <w:p>
      <w:pPr>
        <w:widowControl/>
        <w:spacing w:line="360" w:lineRule="auto"/>
        <w:ind w:firstLine="480" w:firstLineChars="200"/>
        <w:jc w:val="left"/>
        <w:rPr>
          <w:rFonts w:ascii="仿宋" w:hAnsi="仿宋" w:eastAsia="仿宋"/>
          <w:color w:val="auto"/>
          <w:sz w:val="24"/>
          <w:szCs w:val="28"/>
        </w:rPr>
      </w:pPr>
      <w:r>
        <w:rPr>
          <w:rFonts w:hint="eastAsia" w:ascii="仿宋" w:hAnsi="仿宋" w:eastAsia="仿宋"/>
          <w:color w:val="auto"/>
          <w:sz w:val="24"/>
          <w:szCs w:val="28"/>
        </w:rPr>
        <w:t>提供web 界面，降低数据可视化应用开发的门槛，能够帮助医保平台各供应商研发人员通过图形化的界面轻松搭建专业水准的可视化应用，满足大数据大屏分析等多种业务的展示需求。</w:t>
      </w:r>
    </w:p>
    <w:p>
      <w:pPr>
        <w:widowControl/>
        <w:spacing w:line="360" w:lineRule="auto"/>
        <w:ind w:firstLine="480" w:firstLineChars="200"/>
        <w:jc w:val="left"/>
        <w:rPr>
          <w:rFonts w:ascii="仿宋" w:hAnsi="仿宋" w:eastAsia="仿宋"/>
          <w:color w:val="auto"/>
          <w:sz w:val="24"/>
          <w:szCs w:val="28"/>
        </w:rPr>
      </w:pPr>
      <w:r>
        <w:rPr>
          <w:rFonts w:hint="eastAsia" w:ascii="仿宋" w:hAnsi="仿宋" w:eastAsia="仿宋"/>
          <w:color w:val="auto"/>
          <w:sz w:val="24"/>
          <w:szCs w:val="28"/>
        </w:rPr>
        <w:t>提供可视化大屏模板和可视化组件，可以对可视化的应用的布局、属性、数据、分辨率等进行设置。数据源支持数据库类、api类、文件类等数据的接入、配置。对可视化发布设置访问密码功能。</w:t>
      </w:r>
    </w:p>
    <w:tbl>
      <w:tblPr>
        <w:tblStyle w:val="14"/>
        <w:tblW w:w="5000" w:type="pct"/>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autofit"/>
        <w:tblCellMar>
          <w:top w:w="0" w:type="dxa"/>
          <w:left w:w="108" w:type="dxa"/>
          <w:bottom w:w="0" w:type="dxa"/>
          <w:right w:w="108" w:type="dxa"/>
        </w:tblCellMar>
      </w:tblPr>
      <w:tblGrid>
        <w:gridCol w:w="917"/>
        <w:gridCol w:w="917"/>
        <w:gridCol w:w="6688"/>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38" w:type="pct"/>
            <w:tcBorders>
              <w:tl2br w:val="nil"/>
              <w:tr2bl w:val="nil"/>
            </w:tcBorders>
            <w:shd w:val="clear" w:color="auto" w:fill="auto"/>
          </w:tcPr>
          <w:p>
            <w:pPr>
              <w:spacing w:line="360" w:lineRule="auto"/>
              <w:jc w:val="center"/>
              <w:rPr>
                <w:rFonts w:ascii="仿宋" w:hAnsi="仿宋" w:eastAsia="仿宋"/>
                <w:color w:val="auto"/>
                <w:szCs w:val="21"/>
              </w:rPr>
            </w:pPr>
            <w:r>
              <w:rPr>
                <w:rFonts w:hint="eastAsia" w:ascii="仿宋" w:hAnsi="仿宋" w:eastAsia="仿宋"/>
                <w:color w:val="auto"/>
                <w:szCs w:val="21"/>
                <w:shd w:val="clear" w:color="auto" w:fill="FFFFFF"/>
              </w:rPr>
              <w:t>序号</w:t>
            </w:r>
          </w:p>
        </w:tc>
        <w:tc>
          <w:tcPr>
            <w:tcW w:w="538" w:type="pc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指标项</w:t>
            </w:r>
          </w:p>
        </w:tc>
        <w:tc>
          <w:tcPr>
            <w:tcW w:w="3924" w:type="pc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规格要求</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38" w:type="pct"/>
            <w:tcBorders>
              <w:tl2br w:val="nil"/>
              <w:tr2bl w:val="nil"/>
            </w:tcBorders>
            <w:shd w:val="clear" w:color="auto" w:fill="auto"/>
          </w:tcPr>
          <w:p>
            <w:pPr>
              <w:spacing w:line="360" w:lineRule="auto"/>
              <w:jc w:val="center"/>
              <w:rPr>
                <w:rFonts w:ascii="仿宋" w:hAnsi="仿宋" w:eastAsia="仿宋"/>
                <w:color w:val="auto"/>
                <w:szCs w:val="21"/>
              </w:rPr>
            </w:pPr>
            <w:r>
              <w:rPr>
                <w:rFonts w:hint="eastAsia" w:ascii="仿宋" w:hAnsi="仿宋" w:eastAsia="仿宋"/>
                <w:color w:val="auto"/>
                <w:szCs w:val="21"/>
                <w:shd w:val="clear" w:color="auto" w:fill="FFFFFF"/>
              </w:rPr>
              <w:t>1</w:t>
            </w:r>
          </w:p>
        </w:tc>
        <w:tc>
          <w:tcPr>
            <w:tcW w:w="538" w:type="pc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总体描述</w:t>
            </w:r>
          </w:p>
        </w:tc>
        <w:tc>
          <w:tcPr>
            <w:tcW w:w="3924" w:type="pc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提供丰富的可视化模板，多种图表组件，支撑多种数据类型的分析展示的数据展示大屏。</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38" w:type="pct"/>
            <w:tcBorders>
              <w:tl2br w:val="nil"/>
              <w:tr2bl w:val="nil"/>
            </w:tcBorders>
            <w:shd w:val="clear" w:color="auto" w:fill="auto"/>
          </w:tcPr>
          <w:p>
            <w:pPr>
              <w:spacing w:line="360" w:lineRule="auto"/>
              <w:jc w:val="center"/>
              <w:rPr>
                <w:rFonts w:ascii="仿宋" w:hAnsi="仿宋" w:eastAsia="仿宋"/>
                <w:color w:val="auto"/>
                <w:szCs w:val="21"/>
              </w:rPr>
            </w:pPr>
            <w:r>
              <w:rPr>
                <w:rFonts w:hint="eastAsia" w:ascii="仿宋" w:hAnsi="仿宋" w:eastAsia="仿宋"/>
                <w:color w:val="auto"/>
                <w:szCs w:val="21"/>
                <w:shd w:val="clear" w:color="auto" w:fill="FFFFFF"/>
              </w:rPr>
              <w:t>2</w:t>
            </w:r>
          </w:p>
        </w:tc>
        <w:tc>
          <w:tcPr>
            <w:tcW w:w="538" w:type="pct"/>
            <w:vMerge w:val="restar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功能指标</w:t>
            </w:r>
          </w:p>
        </w:tc>
        <w:tc>
          <w:tcPr>
            <w:tcW w:w="3924" w:type="pc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多场景模板：数据可视化的设计难点不在于图表类型的多，而在于如何能在简单的一页之内让人读懂数据之间的层次与关联，这就关系到色彩、布局、图表的综合运用。要提供指挥中心、地理分析、实时监控、汇报展示等多种场景模版。</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38" w:type="pct"/>
            <w:tcBorders>
              <w:tl2br w:val="nil"/>
              <w:tr2bl w:val="nil"/>
            </w:tcBorders>
            <w:shd w:val="clear" w:color="auto" w:fill="auto"/>
          </w:tcPr>
          <w:p>
            <w:pPr>
              <w:spacing w:line="360" w:lineRule="auto"/>
              <w:jc w:val="center"/>
              <w:rPr>
                <w:rFonts w:ascii="仿宋" w:hAnsi="仿宋" w:eastAsia="仿宋"/>
                <w:color w:val="auto"/>
                <w:szCs w:val="21"/>
              </w:rPr>
            </w:pPr>
            <w:r>
              <w:rPr>
                <w:rFonts w:hint="eastAsia" w:ascii="仿宋" w:hAnsi="仿宋" w:eastAsia="仿宋"/>
                <w:color w:val="auto"/>
                <w:szCs w:val="21"/>
                <w:shd w:val="clear" w:color="auto" w:fill="FFFFFF"/>
              </w:rPr>
              <w:t>3</w:t>
            </w:r>
          </w:p>
        </w:tc>
        <w:tc>
          <w:tcPr>
            <w:tcW w:w="538" w:type="pct"/>
            <w:vMerge w:val="continue"/>
            <w:tcBorders>
              <w:tl2br w:val="nil"/>
              <w:tr2bl w:val="nil"/>
            </w:tcBorders>
            <w:shd w:val="clear" w:color="auto" w:fill="auto"/>
            <w:vAlign w:val="center"/>
          </w:tcPr>
          <w:p>
            <w:pPr>
              <w:spacing w:line="360" w:lineRule="auto"/>
              <w:rPr>
                <w:rFonts w:ascii="仿宋" w:hAnsi="仿宋" w:eastAsia="仿宋"/>
                <w:color w:val="auto"/>
                <w:szCs w:val="21"/>
              </w:rPr>
            </w:pPr>
          </w:p>
        </w:tc>
        <w:tc>
          <w:tcPr>
            <w:tcW w:w="3924" w:type="pc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多图标组件：除针对业务展示优化过的常规图表外，还能够绘制包括海量数据的地理轨迹、地理飞线、热力分布、地域区块、3D地图、3D地球，地理数据的多层叠加。此外还有拓扑关系、树图等异形图表供搭配。</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38" w:type="pct"/>
            <w:tcBorders>
              <w:tl2br w:val="nil"/>
              <w:tr2bl w:val="nil"/>
            </w:tcBorders>
            <w:shd w:val="clear" w:color="auto" w:fill="auto"/>
          </w:tcPr>
          <w:p>
            <w:pPr>
              <w:spacing w:line="360" w:lineRule="auto"/>
              <w:jc w:val="center"/>
              <w:rPr>
                <w:rFonts w:ascii="仿宋" w:hAnsi="仿宋" w:eastAsia="仿宋"/>
                <w:color w:val="auto"/>
                <w:szCs w:val="21"/>
              </w:rPr>
            </w:pPr>
            <w:r>
              <w:rPr>
                <w:rFonts w:hint="eastAsia" w:ascii="仿宋" w:hAnsi="仿宋" w:eastAsia="仿宋"/>
                <w:color w:val="auto"/>
                <w:szCs w:val="21"/>
                <w:shd w:val="clear" w:color="auto" w:fill="FFFFFF"/>
              </w:rPr>
              <w:t>4</w:t>
            </w:r>
          </w:p>
        </w:tc>
        <w:tc>
          <w:tcPr>
            <w:tcW w:w="538" w:type="pct"/>
            <w:vMerge w:val="continue"/>
            <w:tcBorders>
              <w:tl2br w:val="nil"/>
              <w:tr2bl w:val="nil"/>
            </w:tcBorders>
            <w:shd w:val="clear" w:color="auto" w:fill="auto"/>
            <w:vAlign w:val="center"/>
          </w:tcPr>
          <w:p>
            <w:pPr>
              <w:spacing w:line="360" w:lineRule="auto"/>
              <w:rPr>
                <w:rFonts w:ascii="仿宋" w:hAnsi="仿宋" w:eastAsia="仿宋"/>
                <w:color w:val="auto"/>
                <w:szCs w:val="21"/>
              </w:rPr>
            </w:pPr>
          </w:p>
        </w:tc>
        <w:tc>
          <w:tcPr>
            <w:tcW w:w="3924" w:type="pc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拖拽式配置: 提供多种的业务模块级而非图表组件的组件，所见即所得式的配置方式，只需要通过可视化拖拽，无需编程能力，即可创造出专业的可视化应用。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38" w:type="pct"/>
            <w:tcBorders>
              <w:tl2br w:val="nil"/>
              <w:tr2bl w:val="nil"/>
            </w:tcBorders>
            <w:shd w:val="clear" w:color="auto" w:fill="auto"/>
          </w:tcPr>
          <w:p>
            <w:pPr>
              <w:spacing w:line="360" w:lineRule="auto"/>
              <w:jc w:val="center"/>
              <w:rPr>
                <w:rFonts w:ascii="仿宋" w:hAnsi="仿宋" w:eastAsia="仿宋"/>
                <w:color w:val="auto"/>
                <w:szCs w:val="21"/>
              </w:rPr>
            </w:pPr>
            <w:r>
              <w:rPr>
                <w:rFonts w:hint="eastAsia" w:ascii="仿宋" w:hAnsi="仿宋" w:eastAsia="仿宋"/>
                <w:color w:val="auto"/>
                <w:szCs w:val="21"/>
                <w:shd w:val="clear" w:color="auto" w:fill="FFFFFF"/>
              </w:rPr>
              <w:t>5</w:t>
            </w:r>
          </w:p>
        </w:tc>
        <w:tc>
          <w:tcPr>
            <w:tcW w:w="538" w:type="pct"/>
            <w:vMerge w:val="continue"/>
            <w:tcBorders>
              <w:tl2br w:val="nil"/>
              <w:tr2bl w:val="nil"/>
            </w:tcBorders>
            <w:shd w:val="clear" w:color="auto" w:fill="auto"/>
            <w:vAlign w:val="center"/>
          </w:tcPr>
          <w:p>
            <w:pPr>
              <w:spacing w:line="360" w:lineRule="auto"/>
              <w:rPr>
                <w:rFonts w:ascii="仿宋" w:hAnsi="仿宋" w:eastAsia="仿宋"/>
                <w:color w:val="auto"/>
                <w:szCs w:val="21"/>
              </w:rPr>
            </w:pPr>
          </w:p>
        </w:tc>
        <w:tc>
          <w:tcPr>
            <w:tcW w:w="3924" w:type="pc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应用在线分享：创建的可视化应用能够发布分享，没有购买本产品的用户也可以访问到应用。并能够通过URL参数控制数据变量，让不同的用户看到不同的数据页面。</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38" w:type="pct"/>
            <w:tcBorders>
              <w:tl2br w:val="nil"/>
              <w:tr2bl w:val="nil"/>
            </w:tcBorders>
            <w:shd w:val="clear" w:color="auto" w:fill="auto"/>
          </w:tcPr>
          <w:p>
            <w:pPr>
              <w:spacing w:line="360" w:lineRule="auto"/>
              <w:jc w:val="center"/>
              <w:rPr>
                <w:rFonts w:ascii="仿宋" w:hAnsi="仿宋" w:eastAsia="仿宋"/>
                <w:color w:val="auto"/>
                <w:szCs w:val="21"/>
              </w:rPr>
            </w:pPr>
            <w:r>
              <w:rPr>
                <w:rFonts w:hint="eastAsia" w:ascii="仿宋" w:hAnsi="仿宋" w:eastAsia="仿宋"/>
                <w:color w:val="auto"/>
                <w:szCs w:val="21"/>
                <w:shd w:val="clear" w:color="auto" w:fill="FFFFFF"/>
              </w:rPr>
              <w:t>6</w:t>
            </w:r>
          </w:p>
        </w:tc>
        <w:tc>
          <w:tcPr>
            <w:tcW w:w="538" w:type="pct"/>
            <w:vMerge w:val="continue"/>
            <w:tcBorders>
              <w:tl2br w:val="nil"/>
              <w:tr2bl w:val="nil"/>
            </w:tcBorders>
            <w:shd w:val="clear" w:color="auto" w:fill="auto"/>
            <w:vAlign w:val="center"/>
          </w:tcPr>
          <w:p>
            <w:pPr>
              <w:spacing w:line="360" w:lineRule="auto"/>
              <w:rPr>
                <w:rFonts w:ascii="仿宋" w:hAnsi="仿宋" w:eastAsia="仿宋"/>
                <w:color w:val="auto"/>
                <w:szCs w:val="21"/>
              </w:rPr>
            </w:pPr>
          </w:p>
        </w:tc>
        <w:tc>
          <w:tcPr>
            <w:tcW w:w="3924" w:type="pct"/>
            <w:tcBorders>
              <w:tl2br w:val="nil"/>
              <w:tr2bl w:val="nil"/>
            </w:tcBorders>
            <w:shd w:val="clear" w:color="auto" w:fill="auto"/>
            <w:vAlign w:val="center"/>
          </w:tcPr>
          <w:p>
            <w:pPr>
              <w:spacing w:line="360" w:lineRule="auto"/>
              <w:jc w:val="left"/>
              <w:rPr>
                <w:rFonts w:ascii="仿宋" w:hAnsi="仿宋" w:eastAsia="仿宋"/>
                <w:color w:val="auto"/>
                <w:szCs w:val="21"/>
              </w:rPr>
            </w:pPr>
            <w:r>
              <w:rPr>
                <w:rFonts w:ascii="仿宋" w:hAnsi="仿宋" w:eastAsia="仿宋"/>
                <w:color w:val="auto"/>
                <w:szCs w:val="21"/>
              </w:rPr>
              <w:t>智能主题配色：通过识别设计稿或者图片，智能分析背景色、主题色、辅助色、点缀色，形成配色方案，一键修改大屏主题配色。</w:t>
            </w:r>
          </w:p>
          <w:p>
            <w:pPr>
              <w:spacing w:line="360" w:lineRule="auto"/>
              <w:jc w:val="left"/>
              <w:rPr>
                <w:rFonts w:ascii="仿宋" w:hAnsi="仿宋" w:eastAsia="仿宋"/>
                <w:color w:val="auto"/>
                <w:szCs w:val="21"/>
              </w:rPr>
            </w:pPr>
            <w:r>
              <w:rPr>
                <w:rFonts w:ascii="仿宋" w:hAnsi="仿宋" w:eastAsia="仿宋"/>
                <w:color w:val="auto"/>
                <w:szCs w:val="21"/>
              </w:rPr>
              <w:t>手绘稿生成大屏：通过识别上传的手绘稿，智能分析手绘稿中的可视化元素，快速生成大屏，辅助布局</w:t>
            </w:r>
            <w:r>
              <w:rPr>
                <w:rFonts w:hint="eastAsia" w:ascii="仿宋" w:hAnsi="仿宋" w:eastAsia="仿宋"/>
                <w:color w:val="auto"/>
                <w:szCs w:val="21"/>
              </w:rPr>
              <w:t>。</w:t>
            </w:r>
          </w:p>
          <w:p>
            <w:pPr>
              <w:spacing w:line="360" w:lineRule="auto"/>
              <w:jc w:val="left"/>
              <w:rPr>
                <w:rFonts w:ascii="仿宋" w:hAnsi="仿宋" w:eastAsia="仿宋"/>
                <w:color w:val="auto"/>
                <w:szCs w:val="21"/>
              </w:rPr>
            </w:pPr>
            <w:r>
              <w:rPr>
                <w:rFonts w:ascii="仿宋" w:hAnsi="仿宋" w:eastAsia="仿宋"/>
                <w:color w:val="auto"/>
                <w:szCs w:val="21"/>
              </w:rPr>
              <w:t>设计稿生成大屏：</w:t>
            </w:r>
            <w:r>
              <w:rPr>
                <w:rFonts w:hint="eastAsia" w:ascii="仿宋" w:hAnsi="仿宋" w:eastAsia="仿宋"/>
                <w:color w:val="auto"/>
                <w:szCs w:val="21"/>
              </w:rPr>
              <w:t>通过识别上传的设计稿或者设计图片，智能分析其中的可视化元素，快速生成大屏。</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38" w:type="pct"/>
            <w:tcBorders>
              <w:tl2br w:val="nil"/>
              <w:tr2bl w:val="nil"/>
            </w:tcBorders>
            <w:shd w:val="clear" w:color="auto" w:fill="auto"/>
          </w:tcPr>
          <w:p>
            <w:pPr>
              <w:spacing w:line="360" w:lineRule="auto"/>
              <w:jc w:val="center"/>
              <w:rPr>
                <w:rFonts w:ascii="仿宋" w:hAnsi="仿宋" w:eastAsia="仿宋"/>
                <w:color w:val="auto"/>
                <w:szCs w:val="21"/>
              </w:rPr>
            </w:pPr>
            <w:r>
              <w:rPr>
                <w:rFonts w:hint="eastAsia" w:ascii="仿宋" w:hAnsi="仿宋" w:eastAsia="仿宋"/>
                <w:color w:val="auto"/>
                <w:szCs w:val="21"/>
                <w:shd w:val="clear" w:color="auto" w:fill="FFFFFF"/>
              </w:rPr>
              <w:t>7</w:t>
            </w:r>
          </w:p>
        </w:tc>
        <w:tc>
          <w:tcPr>
            <w:tcW w:w="538" w:type="pct"/>
            <w:vMerge w:val="continue"/>
            <w:tcBorders>
              <w:tl2br w:val="nil"/>
              <w:tr2bl w:val="nil"/>
            </w:tcBorders>
            <w:shd w:val="clear" w:color="auto" w:fill="auto"/>
            <w:vAlign w:val="center"/>
          </w:tcPr>
          <w:p>
            <w:pPr>
              <w:spacing w:line="360" w:lineRule="auto"/>
              <w:rPr>
                <w:rFonts w:ascii="仿宋" w:hAnsi="仿宋" w:eastAsia="仿宋"/>
                <w:color w:val="auto"/>
                <w:szCs w:val="21"/>
              </w:rPr>
            </w:pPr>
          </w:p>
        </w:tc>
        <w:tc>
          <w:tcPr>
            <w:tcW w:w="3924" w:type="pc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本地部署支持:能够将配置好的应用进行本地化部署，便于互联网连接受限的场景使用。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38" w:type="pct"/>
            <w:tcBorders>
              <w:tl2br w:val="nil"/>
              <w:tr2bl w:val="nil"/>
            </w:tcBorders>
            <w:shd w:val="clear" w:color="auto" w:fill="auto"/>
          </w:tcPr>
          <w:p>
            <w:pPr>
              <w:spacing w:line="360" w:lineRule="auto"/>
              <w:jc w:val="center"/>
              <w:rPr>
                <w:rFonts w:ascii="仿宋" w:hAnsi="仿宋" w:eastAsia="仿宋"/>
                <w:color w:val="auto"/>
                <w:szCs w:val="21"/>
              </w:rPr>
            </w:pPr>
            <w:r>
              <w:rPr>
                <w:rFonts w:hint="eastAsia" w:ascii="仿宋" w:hAnsi="仿宋" w:eastAsia="仿宋"/>
                <w:color w:val="auto"/>
                <w:szCs w:val="21"/>
              </w:rPr>
              <w:t>8</w:t>
            </w:r>
          </w:p>
        </w:tc>
        <w:tc>
          <w:tcPr>
            <w:tcW w:w="538" w:type="pc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兼容性/开放性（接口、引擎等）</w:t>
            </w:r>
          </w:p>
        </w:tc>
        <w:tc>
          <w:tcPr>
            <w:tcW w:w="3924" w:type="pc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多数据源接入：支持分析数据库、关系型数据库、Restful API、CSV、静态JSON等。</w:t>
            </w:r>
          </w:p>
          <w:p>
            <w:pPr>
              <w:spacing w:line="360" w:lineRule="auto"/>
              <w:rPr>
                <w:rFonts w:ascii="仿宋" w:hAnsi="仿宋" w:eastAsia="仿宋"/>
                <w:color w:val="auto"/>
                <w:szCs w:val="21"/>
              </w:rPr>
            </w:pPr>
            <w:r>
              <w:rPr>
                <w:rFonts w:hint="eastAsia" w:ascii="仿宋" w:hAnsi="仿宋" w:eastAsia="仿宋"/>
                <w:color w:val="auto"/>
                <w:szCs w:val="21"/>
              </w:rPr>
              <w:t>多种数据来源，且能够动态轮询。能够实现多个数据源汇聚于一个可视化界面中。</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c>
          <w:tcPr>
            <w:tcW w:w="538" w:type="pct"/>
            <w:tcBorders>
              <w:tl2br w:val="nil"/>
              <w:tr2bl w:val="nil"/>
            </w:tcBorders>
            <w:shd w:val="clear" w:color="auto" w:fill="auto"/>
          </w:tcPr>
          <w:p>
            <w:pPr>
              <w:spacing w:line="360" w:lineRule="auto"/>
              <w:jc w:val="center"/>
              <w:rPr>
                <w:rFonts w:ascii="仿宋" w:hAnsi="仿宋" w:eastAsia="仿宋"/>
                <w:color w:val="auto"/>
                <w:szCs w:val="21"/>
              </w:rPr>
            </w:pPr>
            <w:r>
              <w:rPr>
                <w:rFonts w:hint="eastAsia" w:ascii="仿宋" w:hAnsi="仿宋" w:eastAsia="仿宋"/>
                <w:color w:val="auto"/>
                <w:szCs w:val="21"/>
              </w:rPr>
              <w:t>9</w:t>
            </w:r>
          </w:p>
        </w:tc>
        <w:tc>
          <w:tcPr>
            <w:tcW w:w="538" w:type="pc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安全性</w:t>
            </w:r>
          </w:p>
        </w:tc>
        <w:tc>
          <w:tcPr>
            <w:tcW w:w="3924" w:type="pct"/>
            <w:tcBorders>
              <w:tl2br w:val="nil"/>
              <w:tr2bl w:val="nil"/>
            </w:tcBorders>
            <w:shd w:val="clear" w:color="auto" w:fill="auto"/>
            <w:vAlign w:val="center"/>
          </w:tcPr>
          <w:p>
            <w:pPr>
              <w:spacing w:line="360" w:lineRule="auto"/>
              <w:rPr>
                <w:rFonts w:ascii="仿宋" w:hAnsi="仿宋" w:eastAsia="仿宋"/>
                <w:color w:val="auto"/>
                <w:szCs w:val="21"/>
              </w:rPr>
            </w:pPr>
            <w:r>
              <w:rPr>
                <w:rFonts w:hint="eastAsia" w:ascii="仿宋" w:hAnsi="仿宋" w:eastAsia="仿宋"/>
                <w:color w:val="auto"/>
                <w:szCs w:val="21"/>
              </w:rPr>
              <w:t>具备完善的权限认证与隔离机制，保障用户数据的私密性。</w:t>
            </w:r>
          </w:p>
        </w:tc>
      </w:tr>
    </w:tbl>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.2.3</w:t>
      </w:r>
      <w:r>
        <w:rPr>
          <w:rFonts w:hint="eastAsia" w:ascii="仿宋" w:hAnsi="仿宋" w:eastAsia="仿宋"/>
          <w:b/>
          <w:bCs/>
          <w:color w:val="auto"/>
          <w:sz w:val="24"/>
        </w:rPr>
        <w:t>管理软件</w:t>
      </w:r>
    </w:p>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.2.3.1</w:t>
      </w:r>
      <w:r>
        <w:rPr>
          <w:rFonts w:hint="eastAsia" w:ascii="仿宋" w:hAnsi="仿宋" w:eastAsia="仿宋"/>
          <w:b/>
          <w:bCs/>
          <w:color w:val="auto"/>
          <w:sz w:val="24"/>
        </w:rPr>
        <w:t>容灾管理软件</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容灾管理是指在多数据中心建立多套功能相同的系统，系统之间可以相互进行健康状态监视和功能切换，当一处系统因意外（如火灾、洪水、地震、人为蓄意破坏等）停止工作时，整个应用系统可以切换到另一处，使得该系统功能可以继续正常工作。</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容灾系统需要具备较为完善的数据保护与灾难恢复功能，保证生产中心不能正常工作时数据的完整性及业务的连续性，并在最短时间内由灾备中心接替，恢复业务系统的正常运行，将损失降到最小。</w:t>
      </w:r>
    </w:p>
    <w:tbl>
      <w:tblPr>
        <w:tblStyle w:val="14"/>
        <w:tblW w:w="5000" w:type="pct"/>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Layout w:type="autofit"/>
        <w:tblCellMar>
          <w:top w:w="15" w:type="dxa"/>
          <w:left w:w="15" w:type="dxa"/>
          <w:bottom w:w="15" w:type="dxa"/>
          <w:right w:w="15" w:type="dxa"/>
        </w:tblCellMar>
      </w:tblPr>
      <w:tblGrid>
        <w:gridCol w:w="840"/>
        <w:gridCol w:w="840"/>
        <w:gridCol w:w="6656"/>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blCellMar>
            <w:top w:w="15" w:type="dxa"/>
            <w:left w:w="15" w:type="dxa"/>
            <w:bottom w:w="15" w:type="dxa"/>
            <w:right w:w="15" w:type="dxa"/>
          </w:tblCellMar>
        </w:tblPrEx>
        <w:trPr>
          <w:trHeight w:val="311" w:hRule="atLeast"/>
        </w:trPr>
        <w:tc>
          <w:tcPr>
            <w:tcW w:w="504" w:type="pct"/>
            <w:tcBorders>
              <w:tl2br w:val="nil"/>
              <w:tr2bl w:val="nil"/>
            </w:tcBorders>
            <w:shd w:val="clear" w:color="auto" w:fill="FFFFFF"/>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序号</w:t>
            </w:r>
          </w:p>
        </w:tc>
        <w:tc>
          <w:tcPr>
            <w:tcW w:w="504"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指标项</w:t>
            </w:r>
          </w:p>
        </w:tc>
        <w:tc>
          <w:tcPr>
            <w:tcW w:w="3992" w:type="pct"/>
            <w:tcBorders>
              <w:tl2br w:val="nil"/>
              <w:tr2bl w:val="nil"/>
            </w:tcBorders>
            <w:shd w:val="clear" w:color="auto" w:fill="FFFFFF"/>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规格要求</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37"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w:t>
            </w:r>
          </w:p>
        </w:tc>
        <w:tc>
          <w:tcPr>
            <w:tcW w:w="504" w:type="pct"/>
            <w:vMerge w:val="restar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总体架构要求</w:t>
            </w: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基于一朵云</w:t>
            </w:r>
            <w:r>
              <w:rPr>
                <w:rFonts w:hint="eastAsia" w:ascii="仿宋" w:hAnsi="仿宋" w:eastAsia="仿宋"/>
                <w:color w:val="auto"/>
                <w:szCs w:val="21"/>
                <w:shd w:val="clear" w:color="auto" w:fill="FFFFFF"/>
              </w:rPr>
              <w:t>双中心</w:t>
            </w:r>
            <w:r>
              <w:rPr>
                <w:rFonts w:ascii="仿宋" w:hAnsi="仿宋" w:eastAsia="仿宋"/>
                <w:color w:val="auto"/>
                <w:szCs w:val="21"/>
                <w:shd w:val="clear" w:color="auto" w:fill="FFFFFF"/>
              </w:rPr>
              <w:t>同城容灾架构</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10"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2</w:t>
            </w:r>
          </w:p>
        </w:tc>
        <w:tc>
          <w:tcPr>
            <w:tcW w:w="504" w:type="pct"/>
            <w:vMerge w:val="continue"/>
            <w:tcBorders>
              <w:tl2br w:val="nil"/>
              <w:tr2bl w:val="nil"/>
            </w:tcBorders>
            <w:shd w:val="clear" w:color="auto" w:fill="FFFFFF"/>
            <w:vAlign w:val="center"/>
          </w:tcPr>
          <w:p>
            <w:pPr>
              <w:spacing w:line="360" w:lineRule="auto"/>
              <w:rPr>
                <w:rFonts w:ascii="仿宋" w:hAnsi="仿宋" w:eastAsia="仿宋"/>
                <w:color w:val="auto"/>
                <w:szCs w:val="21"/>
                <w:shd w:val="clear" w:color="auto" w:fill="FFFFFF"/>
              </w:rPr>
            </w:pPr>
          </w:p>
        </w:tc>
        <w:tc>
          <w:tcPr>
            <w:tcW w:w="3992" w:type="pct"/>
            <w:tcBorders>
              <w:tl2br w:val="nil"/>
              <w:tr2bl w:val="nil"/>
            </w:tcBorders>
            <w:shd w:val="clear" w:color="auto" w:fill="FFFFFF"/>
            <w:tcMar>
              <w:top w:w="60" w:type="dxa"/>
              <w:left w:w="120" w:type="dxa"/>
              <w:bottom w:w="60" w:type="dxa"/>
              <w:right w:w="120" w:type="dxa"/>
            </w:tcMar>
          </w:tcPr>
          <w:p>
            <w:pPr>
              <w:spacing w:line="360" w:lineRule="auto"/>
              <w:ind w:left="105" w:hanging="105" w:hangingChars="50"/>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★支持全栈产品的容灾能力，</w:t>
            </w:r>
            <w:r>
              <w:rPr>
                <w:rFonts w:ascii="仿宋" w:hAnsi="仿宋" w:eastAsia="仿宋"/>
                <w:color w:val="auto"/>
                <w:szCs w:val="21"/>
                <w:shd w:val="clear" w:color="auto" w:fill="FFFFFF"/>
              </w:rPr>
              <w:t>包含</w:t>
            </w:r>
            <w:r>
              <w:rPr>
                <w:rFonts w:hint="eastAsia" w:ascii="仿宋" w:hAnsi="仿宋" w:eastAsia="仿宋"/>
                <w:color w:val="auto"/>
                <w:szCs w:val="21"/>
                <w:shd w:val="clear" w:color="auto" w:fill="FFFFFF"/>
              </w:rPr>
              <w:t>1</w:t>
            </w:r>
            <w:r>
              <w:rPr>
                <w:rFonts w:ascii="仿宋" w:hAnsi="仿宋" w:eastAsia="仿宋"/>
                <w:color w:val="auto"/>
                <w:szCs w:val="21"/>
                <w:shd w:val="clear" w:color="auto" w:fill="FFFFFF"/>
              </w:rPr>
              <w:t>) 云平台底座基础管控，虚拟网络，存储</w:t>
            </w:r>
            <w:r>
              <w:rPr>
                <w:rFonts w:hint="eastAsia" w:ascii="仿宋" w:hAnsi="仿宋" w:eastAsia="仿宋"/>
                <w:color w:val="auto"/>
                <w:szCs w:val="21"/>
                <w:shd w:val="clear" w:color="auto" w:fill="FFFFFF"/>
              </w:rPr>
              <w:t>。2</w:t>
            </w:r>
            <w:r>
              <w:rPr>
                <w:rFonts w:ascii="仿宋" w:hAnsi="仿宋" w:eastAsia="仿宋"/>
                <w:color w:val="auto"/>
                <w:szCs w:val="21"/>
                <w:shd w:val="clear" w:color="auto" w:fill="FFFFFF"/>
              </w:rPr>
              <w:t>) 分布式关系型数据库，</w:t>
            </w:r>
            <w:r>
              <w:rPr>
                <w:rFonts w:hint="eastAsia" w:ascii="仿宋" w:hAnsi="仿宋" w:eastAsia="仿宋"/>
                <w:color w:val="auto"/>
                <w:szCs w:val="21"/>
                <w:shd w:val="clear" w:color="auto" w:fill="FFFFFF"/>
              </w:rPr>
              <w:t>缓存</w:t>
            </w:r>
            <w:r>
              <w:rPr>
                <w:rFonts w:ascii="仿宋" w:hAnsi="仿宋" w:eastAsia="仿宋"/>
                <w:color w:val="auto"/>
                <w:szCs w:val="21"/>
                <w:shd w:val="clear" w:color="auto" w:fill="FFFFFF"/>
              </w:rPr>
              <w:t>数据库</w:t>
            </w:r>
            <w:r>
              <w:rPr>
                <w:rFonts w:hint="eastAsia" w:ascii="仿宋" w:hAnsi="仿宋" w:eastAsia="仿宋"/>
                <w:color w:val="auto"/>
                <w:szCs w:val="21"/>
                <w:shd w:val="clear" w:color="auto" w:fill="FFFFFF"/>
              </w:rPr>
              <w:t>。</w:t>
            </w:r>
            <w:r>
              <w:rPr>
                <w:rFonts w:ascii="仿宋" w:hAnsi="仿宋" w:eastAsia="仿宋"/>
                <w:color w:val="auto"/>
                <w:szCs w:val="21"/>
                <w:shd w:val="clear" w:color="auto" w:fill="FFFFFF"/>
              </w:rPr>
              <w:t xml:space="preserve">3) </w:t>
            </w:r>
            <w:r>
              <w:rPr>
                <w:rFonts w:hint="eastAsia" w:ascii="仿宋" w:hAnsi="仿宋" w:eastAsia="仿宋"/>
                <w:color w:val="auto"/>
                <w:szCs w:val="21"/>
                <w:shd w:val="clear" w:color="auto" w:fill="FFFFFF"/>
              </w:rPr>
              <w:t>大规模</w:t>
            </w:r>
            <w:r>
              <w:rPr>
                <w:rFonts w:ascii="仿宋" w:hAnsi="仿宋" w:eastAsia="仿宋"/>
                <w:color w:val="auto"/>
                <w:szCs w:val="21"/>
                <w:shd w:val="clear" w:color="auto" w:fill="FFFFFF"/>
              </w:rPr>
              <w:t>离线计算</w:t>
            </w:r>
            <w:r>
              <w:rPr>
                <w:rFonts w:hint="eastAsia" w:ascii="仿宋" w:hAnsi="仿宋" w:eastAsia="仿宋"/>
                <w:color w:val="auto"/>
                <w:szCs w:val="21"/>
                <w:shd w:val="clear" w:color="auto" w:fill="FFFFFF"/>
              </w:rPr>
              <w:t>，</w:t>
            </w:r>
            <w:r>
              <w:rPr>
                <w:rFonts w:ascii="仿宋" w:hAnsi="仿宋" w:eastAsia="仿宋"/>
                <w:color w:val="auto"/>
                <w:szCs w:val="21"/>
                <w:shd w:val="clear" w:color="auto" w:fill="FFFFFF"/>
              </w:rPr>
              <w:t>流计算</w:t>
            </w:r>
            <w:r>
              <w:rPr>
                <w:rFonts w:hint="eastAsia" w:ascii="仿宋" w:hAnsi="仿宋" w:eastAsia="仿宋"/>
                <w:color w:val="auto"/>
                <w:szCs w:val="21"/>
                <w:shd w:val="clear" w:color="auto" w:fill="FFFFFF"/>
              </w:rPr>
              <w:t>。</w:t>
            </w:r>
            <w:r>
              <w:rPr>
                <w:rFonts w:ascii="仿宋" w:hAnsi="仿宋" w:eastAsia="仿宋"/>
                <w:color w:val="auto"/>
                <w:szCs w:val="21"/>
                <w:shd w:val="clear" w:color="auto" w:fill="FFFFFF"/>
              </w:rPr>
              <w:t>4</w:t>
            </w:r>
            <w:r>
              <w:rPr>
                <w:rFonts w:hint="eastAsia" w:ascii="仿宋" w:hAnsi="仿宋" w:eastAsia="仿宋"/>
                <w:color w:val="auto"/>
                <w:szCs w:val="21"/>
                <w:shd w:val="clear" w:color="auto" w:fill="FFFFFF"/>
              </w:rPr>
              <w:t xml:space="preserve">） </w:t>
            </w:r>
            <w:r>
              <w:rPr>
                <w:rFonts w:ascii="仿宋" w:hAnsi="仿宋" w:eastAsia="仿宋"/>
                <w:color w:val="auto"/>
                <w:szCs w:val="21"/>
                <w:shd w:val="clear" w:color="auto" w:fill="FFFFFF"/>
              </w:rPr>
              <w:t>中间件产品</w:t>
            </w:r>
            <w:r>
              <w:rPr>
                <w:rFonts w:hint="eastAsia" w:ascii="仿宋" w:hAnsi="仿宋" w:eastAsia="仿宋"/>
                <w:color w:val="auto"/>
                <w:szCs w:val="21"/>
                <w:shd w:val="clear" w:color="auto" w:fill="FFFFFF"/>
              </w:rPr>
              <w:t>的主备数据中心监控和容灾切换能力。</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10"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3</w:t>
            </w:r>
          </w:p>
        </w:tc>
        <w:tc>
          <w:tcPr>
            <w:tcW w:w="504" w:type="pct"/>
            <w:vMerge w:val="continue"/>
            <w:tcBorders>
              <w:tl2br w:val="nil"/>
              <w:tr2bl w:val="nil"/>
            </w:tcBorders>
            <w:shd w:val="clear" w:color="auto" w:fill="FFFFFF"/>
            <w:vAlign w:val="center"/>
          </w:tcPr>
          <w:p>
            <w:pPr>
              <w:spacing w:line="360" w:lineRule="auto"/>
              <w:rPr>
                <w:rFonts w:ascii="仿宋" w:hAnsi="仿宋" w:eastAsia="仿宋"/>
                <w:color w:val="auto"/>
                <w:szCs w:val="21"/>
                <w:shd w:val="clear" w:color="auto" w:fill="FFFFFF"/>
              </w:rPr>
            </w:pP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同城容灾的网络容灾方案</w:t>
            </w:r>
            <w:r>
              <w:rPr>
                <w:rFonts w:hint="eastAsia" w:ascii="仿宋" w:hAnsi="仿宋" w:eastAsia="仿宋"/>
                <w:color w:val="auto"/>
                <w:szCs w:val="21"/>
                <w:shd w:val="clear" w:color="auto" w:fill="FFFFFF"/>
              </w:rPr>
              <w:t>具备</w:t>
            </w:r>
            <w:r>
              <w:rPr>
                <w:rFonts w:ascii="仿宋" w:hAnsi="仿宋" w:eastAsia="仿宋"/>
                <w:color w:val="auto"/>
                <w:szCs w:val="21"/>
                <w:shd w:val="clear" w:color="auto" w:fill="FFFFFF"/>
              </w:rPr>
              <w:t>套高可靠、全方位冗余、自动化恢复的完整的体系化的解决方案。所有的</w:t>
            </w:r>
            <w:r>
              <w:rPr>
                <w:rFonts w:hint="eastAsia" w:ascii="仿宋" w:hAnsi="仿宋" w:eastAsia="仿宋"/>
                <w:color w:val="auto"/>
                <w:szCs w:val="21"/>
                <w:shd w:val="clear" w:color="auto" w:fill="FFFFFF"/>
              </w:rPr>
              <w:t>单机房内</w:t>
            </w:r>
            <w:r>
              <w:rPr>
                <w:rFonts w:ascii="仿宋" w:hAnsi="仿宋" w:eastAsia="仿宋"/>
                <w:color w:val="auto"/>
                <w:szCs w:val="21"/>
                <w:shd w:val="clear" w:color="auto" w:fill="FFFFFF"/>
              </w:rPr>
              <w:t>物理网络</w:t>
            </w:r>
            <w:r>
              <w:rPr>
                <w:rFonts w:hint="eastAsia" w:ascii="仿宋" w:hAnsi="仿宋" w:eastAsia="仿宋"/>
                <w:color w:val="auto"/>
                <w:szCs w:val="21"/>
                <w:shd w:val="clear" w:color="auto" w:fill="FFFFFF"/>
              </w:rPr>
              <w:t>设</w:t>
            </w:r>
            <w:r>
              <w:rPr>
                <w:rFonts w:ascii="仿宋" w:hAnsi="仿宋" w:eastAsia="仿宋"/>
                <w:color w:val="auto"/>
                <w:szCs w:val="21"/>
                <w:shd w:val="clear" w:color="auto" w:fill="FFFFFF"/>
              </w:rPr>
              <w:t>备</w:t>
            </w:r>
            <w:r>
              <w:rPr>
                <w:rFonts w:hint="eastAsia" w:ascii="仿宋" w:hAnsi="仿宋" w:eastAsia="仿宋"/>
                <w:color w:val="auto"/>
                <w:szCs w:val="21"/>
                <w:shd w:val="clear" w:color="auto" w:fill="FFFFFF"/>
              </w:rPr>
              <w:t>要求冗</w:t>
            </w:r>
            <w:r>
              <w:rPr>
                <w:rFonts w:ascii="仿宋" w:hAnsi="仿宋" w:eastAsia="仿宋"/>
                <w:color w:val="auto"/>
                <w:szCs w:val="21"/>
                <w:shd w:val="clear" w:color="auto" w:fill="FFFFFF"/>
              </w:rPr>
              <w:t>余部署，单设备出现故障时自动恢复，用户业务无感知。机房级故障时，备机房可以接管网络流量。与网络设备相同，所有的网络云产品遇到机房级故障时，网络服务自动切换到备机房。尽量减少用户业务流量损失，缩短故障恢复时间。</w:t>
            </w:r>
            <w:r>
              <w:rPr>
                <w:rFonts w:hint="eastAsia" w:ascii="仿宋" w:hAnsi="仿宋" w:eastAsia="仿宋"/>
                <w:color w:val="auto"/>
                <w:szCs w:val="21"/>
                <w:shd w:val="clear" w:color="auto" w:fill="FFFFFF"/>
              </w:rPr>
              <w:t>同城容灾双机房可以被公网（Internet）、内网(客户IDC机房)、运维中心(运维专线)同时访问。</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10"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4</w:t>
            </w:r>
          </w:p>
        </w:tc>
        <w:tc>
          <w:tcPr>
            <w:tcW w:w="504" w:type="pct"/>
            <w:vMerge w:val="continue"/>
            <w:tcBorders>
              <w:tl2br w:val="nil"/>
              <w:tr2bl w:val="nil"/>
            </w:tcBorders>
            <w:shd w:val="clear" w:color="auto" w:fill="FFFFFF"/>
            <w:vAlign w:val="center"/>
          </w:tcPr>
          <w:p>
            <w:pPr>
              <w:spacing w:line="360" w:lineRule="auto"/>
              <w:rPr>
                <w:rFonts w:ascii="仿宋" w:hAnsi="仿宋" w:eastAsia="仿宋"/>
                <w:color w:val="auto"/>
                <w:szCs w:val="21"/>
                <w:shd w:val="clear" w:color="auto" w:fill="FFFFFF"/>
              </w:rPr>
            </w:pP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在运维和运营</w:t>
            </w:r>
            <w:r>
              <w:rPr>
                <w:rFonts w:hint="eastAsia" w:ascii="仿宋" w:hAnsi="仿宋" w:eastAsia="仿宋"/>
                <w:color w:val="auto"/>
                <w:szCs w:val="21"/>
                <w:shd w:val="clear" w:color="auto" w:fill="FFFFFF"/>
              </w:rPr>
              <w:t>侧</w:t>
            </w:r>
            <w:r>
              <w:rPr>
                <w:rFonts w:ascii="仿宋" w:hAnsi="仿宋" w:eastAsia="仿宋"/>
                <w:color w:val="auto"/>
                <w:szCs w:val="21"/>
                <w:shd w:val="clear" w:color="auto" w:fill="FFFFFF"/>
              </w:rPr>
              <w:t>，通过统一的账号体系来管理双机房</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10"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5</w:t>
            </w:r>
          </w:p>
        </w:tc>
        <w:tc>
          <w:tcPr>
            <w:tcW w:w="504" w:type="pct"/>
            <w:vMerge w:val="continue"/>
            <w:tcBorders>
              <w:tl2br w:val="nil"/>
              <w:tr2bl w:val="nil"/>
            </w:tcBorders>
            <w:shd w:val="clear" w:color="auto" w:fill="FFFFFF"/>
            <w:vAlign w:val="center"/>
          </w:tcPr>
          <w:p>
            <w:pPr>
              <w:spacing w:line="360" w:lineRule="auto"/>
              <w:rPr>
                <w:rFonts w:ascii="仿宋" w:hAnsi="仿宋" w:eastAsia="仿宋"/>
                <w:color w:val="auto"/>
                <w:szCs w:val="21"/>
                <w:shd w:val="clear" w:color="auto" w:fill="FFFFFF"/>
              </w:rPr>
            </w:pP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w:t>
            </w:r>
            <w:r>
              <w:rPr>
                <w:rFonts w:ascii="仿宋" w:hAnsi="仿宋" w:eastAsia="仿宋"/>
                <w:color w:val="auto"/>
                <w:szCs w:val="21"/>
                <w:shd w:val="clear" w:color="auto" w:fill="FFFFFF"/>
              </w:rPr>
              <w:t>大小</w:t>
            </w:r>
            <w:r>
              <w:rPr>
                <w:rFonts w:hint="eastAsia" w:ascii="仿宋" w:hAnsi="仿宋" w:eastAsia="仿宋"/>
                <w:color w:val="auto"/>
                <w:szCs w:val="21"/>
                <w:shd w:val="clear" w:color="auto" w:fill="FFFFFF"/>
              </w:rPr>
              <w:t>段</w:t>
            </w:r>
            <w:r>
              <w:rPr>
                <w:rFonts w:ascii="仿宋" w:hAnsi="仿宋" w:eastAsia="仿宋"/>
                <w:color w:val="auto"/>
                <w:szCs w:val="21"/>
                <w:shd w:val="clear" w:color="auto" w:fill="FFFFFF"/>
              </w:rPr>
              <w:t>路由收敛的方式实现流量转发容灾。应用挂载</w:t>
            </w:r>
            <w:r>
              <w:rPr>
                <w:rFonts w:hint="eastAsia" w:ascii="仿宋" w:hAnsi="仿宋" w:eastAsia="仿宋"/>
                <w:color w:val="auto"/>
                <w:szCs w:val="21"/>
                <w:shd w:val="clear" w:color="auto" w:fill="FFFFFF"/>
              </w:rPr>
              <w:t>负载均衡</w:t>
            </w:r>
            <w:r>
              <w:rPr>
                <w:rFonts w:ascii="仿宋" w:hAnsi="仿宋" w:eastAsia="仿宋"/>
                <w:color w:val="auto"/>
                <w:szCs w:val="21"/>
                <w:shd w:val="clear" w:color="auto" w:fill="FFFFFF"/>
              </w:rPr>
              <w:t>实例时，双机房对外暴露的一个VIP，机房级容灾切换无需更换IP地址</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308"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6</w:t>
            </w:r>
          </w:p>
        </w:tc>
        <w:tc>
          <w:tcPr>
            <w:tcW w:w="504" w:type="pct"/>
            <w:vMerge w:val="restar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存储同城容灾</w:t>
            </w: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双机房双集群部署</w:t>
            </w:r>
            <w:r>
              <w:rPr>
                <w:rFonts w:hint="eastAsia" w:ascii="仿宋" w:hAnsi="仿宋" w:eastAsia="仿宋"/>
                <w:color w:val="auto"/>
                <w:szCs w:val="21"/>
                <w:shd w:val="clear" w:color="auto" w:fill="FFFFFF"/>
              </w:rPr>
              <w:t>对象存储</w:t>
            </w:r>
            <w:r>
              <w:rPr>
                <w:rFonts w:ascii="仿宋" w:hAnsi="仿宋" w:eastAsia="仿宋"/>
                <w:color w:val="auto"/>
                <w:szCs w:val="21"/>
                <w:shd w:val="clear" w:color="auto" w:fill="FFFFFF"/>
              </w:rPr>
              <w:t>，正常情况下只有一个机房的集群对外提供访问。</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10" w:hRule="atLeast"/>
        </w:trPr>
        <w:tc>
          <w:tcPr>
            <w:tcW w:w="504" w:type="pct"/>
            <w:tcBorders>
              <w:tl2br w:val="nil"/>
              <w:tr2bl w:val="nil"/>
            </w:tcBorders>
            <w:shd w:val="clear" w:color="auto" w:fill="FFFFFF"/>
          </w:tcPr>
          <w:p>
            <w:pPr>
              <w:numPr>
                <w:ilvl w:val="0"/>
                <w:numId w:val="77"/>
              </w:numPr>
              <w:spacing w:line="360" w:lineRule="auto"/>
              <w:ind w:firstLine="420"/>
              <w:jc w:val="center"/>
              <w:rPr>
                <w:rFonts w:ascii="仿宋" w:hAnsi="仿宋" w:eastAsia="仿宋"/>
                <w:color w:val="auto"/>
                <w:sz w:val="24"/>
                <w:shd w:val="clear" w:color="auto" w:fill="FFFFFF"/>
              </w:rPr>
            </w:pPr>
          </w:p>
        </w:tc>
        <w:tc>
          <w:tcPr>
            <w:tcW w:w="504" w:type="pct"/>
            <w:vMerge w:val="continue"/>
            <w:tcBorders>
              <w:tl2br w:val="nil"/>
              <w:tr2bl w:val="nil"/>
            </w:tcBorders>
            <w:shd w:val="clear" w:color="auto" w:fill="FFFFFF"/>
            <w:vAlign w:val="center"/>
          </w:tcPr>
          <w:p>
            <w:pPr>
              <w:spacing w:line="360" w:lineRule="auto"/>
              <w:rPr>
                <w:rFonts w:ascii="仿宋" w:hAnsi="仿宋" w:eastAsia="仿宋"/>
                <w:color w:val="auto"/>
                <w:szCs w:val="21"/>
                <w:shd w:val="clear" w:color="auto" w:fill="FFFFFF"/>
              </w:rPr>
            </w:pP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对象存储可</w:t>
            </w:r>
            <w:r>
              <w:rPr>
                <w:rFonts w:ascii="仿宋" w:hAnsi="仿宋" w:eastAsia="仿宋"/>
                <w:color w:val="auto"/>
                <w:szCs w:val="21"/>
                <w:shd w:val="clear" w:color="auto" w:fill="FFFFFF"/>
              </w:rPr>
              <w:t>跨机房复制，支持全量和增量复制</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10"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7</w:t>
            </w:r>
          </w:p>
        </w:tc>
        <w:tc>
          <w:tcPr>
            <w:tcW w:w="504" w:type="pct"/>
            <w:vMerge w:val="continue"/>
            <w:tcBorders>
              <w:tl2br w:val="nil"/>
              <w:tr2bl w:val="nil"/>
            </w:tcBorders>
            <w:shd w:val="clear" w:color="auto" w:fill="FFFFFF"/>
            <w:vAlign w:val="center"/>
          </w:tcPr>
          <w:p>
            <w:pPr>
              <w:spacing w:line="360" w:lineRule="auto"/>
              <w:rPr>
                <w:rFonts w:ascii="仿宋" w:hAnsi="仿宋" w:eastAsia="仿宋"/>
                <w:color w:val="auto"/>
                <w:szCs w:val="21"/>
                <w:shd w:val="clear" w:color="auto" w:fill="FFFFFF"/>
              </w:rPr>
            </w:pP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云</w:t>
            </w:r>
            <w:r>
              <w:rPr>
                <w:rFonts w:hint="eastAsia" w:ascii="仿宋" w:hAnsi="仿宋" w:eastAsia="仿宋"/>
                <w:color w:val="auto"/>
                <w:szCs w:val="21"/>
                <w:shd w:val="clear" w:color="auto" w:fill="FFFFFF"/>
              </w:rPr>
              <w:t>分布式数据库</w:t>
            </w:r>
            <w:r>
              <w:rPr>
                <w:rFonts w:ascii="仿宋" w:hAnsi="仿宋" w:eastAsia="仿宋"/>
                <w:color w:val="auto"/>
                <w:szCs w:val="21"/>
                <w:shd w:val="clear" w:color="auto" w:fill="FFFFFF"/>
              </w:rPr>
              <w:t>产品级容灾，一个数据库实例主备库分别在双机房部署</w:t>
            </w:r>
            <w:r>
              <w:rPr>
                <w:rFonts w:hint="eastAsia" w:ascii="仿宋" w:hAnsi="仿宋" w:eastAsia="仿宋"/>
                <w:color w:val="auto"/>
                <w:szCs w:val="21"/>
                <w:shd w:val="clear" w:color="auto" w:fill="FFFFFF"/>
              </w:rPr>
              <w:t>，形成两副本双中心容灾。</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10"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8</w:t>
            </w:r>
          </w:p>
        </w:tc>
        <w:tc>
          <w:tcPr>
            <w:tcW w:w="504" w:type="pct"/>
            <w:vMerge w:val="continue"/>
            <w:tcBorders>
              <w:tl2br w:val="nil"/>
              <w:tr2bl w:val="nil"/>
            </w:tcBorders>
            <w:shd w:val="clear" w:color="auto" w:fill="FFFFFF"/>
            <w:vAlign w:val="center"/>
          </w:tcPr>
          <w:p>
            <w:pPr>
              <w:spacing w:line="360" w:lineRule="auto"/>
              <w:rPr>
                <w:rFonts w:ascii="仿宋" w:hAnsi="仿宋" w:eastAsia="仿宋"/>
                <w:color w:val="auto"/>
                <w:szCs w:val="21"/>
                <w:shd w:val="clear" w:color="auto" w:fill="FFFFFF"/>
              </w:rPr>
            </w:pP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容灾切换时，</w:t>
            </w:r>
            <w:r>
              <w:rPr>
                <w:rFonts w:hint="eastAsia" w:ascii="仿宋" w:hAnsi="仿宋" w:eastAsia="仿宋"/>
                <w:color w:val="auto"/>
                <w:szCs w:val="21"/>
                <w:shd w:val="clear" w:color="auto" w:fill="FFFFFF"/>
              </w:rPr>
              <w:t>分布式数据库</w:t>
            </w:r>
            <w:r>
              <w:rPr>
                <w:rFonts w:ascii="仿宋" w:hAnsi="仿宋" w:eastAsia="仿宋"/>
                <w:color w:val="auto"/>
                <w:szCs w:val="21"/>
                <w:shd w:val="clear" w:color="auto" w:fill="FFFFFF"/>
              </w:rPr>
              <w:t>主备库切换，对外暴露一个数据库连接串不变。</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10"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9</w:t>
            </w:r>
          </w:p>
        </w:tc>
        <w:tc>
          <w:tcPr>
            <w:tcW w:w="504" w:type="pct"/>
            <w:vMerge w:val="restar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中间件同城容灾</w:t>
            </w: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企业级分布式应用服务、消息产品</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630"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10</w:t>
            </w:r>
          </w:p>
        </w:tc>
        <w:tc>
          <w:tcPr>
            <w:tcW w:w="504" w:type="pct"/>
            <w:vMerge w:val="continue"/>
            <w:tcBorders>
              <w:tl2br w:val="nil"/>
              <w:tr2bl w:val="nil"/>
            </w:tcBorders>
            <w:shd w:val="clear" w:color="auto" w:fill="FFFFFF"/>
            <w:vAlign w:val="center"/>
          </w:tcPr>
          <w:p>
            <w:pPr>
              <w:spacing w:line="360" w:lineRule="auto"/>
              <w:rPr>
                <w:rFonts w:ascii="仿宋" w:hAnsi="仿宋" w:eastAsia="仿宋"/>
                <w:color w:val="auto"/>
                <w:szCs w:val="21"/>
                <w:shd w:val="clear" w:color="auto" w:fill="FFFFFF"/>
              </w:rPr>
            </w:pP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消息产品实例在双机房是一个实例，消息处理组件broker主备节点拆分在双机房部署，采用全同步的方式进行数据同步，网络条件允许情况下，只有主备都写入成功才返回。企业级分布式应用服务在双机房是服务级容灾，双机房服务双写到双机房的日志组件</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630"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11</w:t>
            </w:r>
          </w:p>
        </w:tc>
        <w:tc>
          <w:tcPr>
            <w:tcW w:w="504" w:type="pct"/>
            <w:vMerge w:val="restar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容灾管理平台</w:t>
            </w: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在同城双机房环境下，主备机房各部署一套</w:t>
            </w:r>
            <w:r>
              <w:rPr>
                <w:rFonts w:hint="eastAsia" w:ascii="仿宋" w:hAnsi="仿宋" w:eastAsia="仿宋"/>
                <w:color w:val="auto"/>
                <w:szCs w:val="21"/>
                <w:shd w:val="clear" w:color="auto" w:fill="FFFFFF"/>
              </w:rPr>
              <w:t>容灾管理平台</w:t>
            </w:r>
            <w:r>
              <w:rPr>
                <w:rFonts w:ascii="仿宋" w:hAnsi="仿宋" w:eastAsia="仿宋"/>
                <w:color w:val="auto"/>
                <w:szCs w:val="21"/>
                <w:shd w:val="clear" w:color="auto" w:fill="FFFFFF"/>
              </w:rPr>
              <w:t>，两个平台相互独立。主机房</w:t>
            </w:r>
            <w:r>
              <w:rPr>
                <w:rFonts w:hint="eastAsia" w:ascii="仿宋" w:hAnsi="仿宋" w:eastAsia="仿宋"/>
                <w:color w:val="auto"/>
                <w:szCs w:val="21"/>
                <w:shd w:val="clear" w:color="auto" w:fill="FFFFFF"/>
              </w:rPr>
              <w:t>同城</w:t>
            </w:r>
            <w:r>
              <w:rPr>
                <w:rFonts w:ascii="仿宋" w:hAnsi="仿宋" w:eastAsia="仿宋"/>
                <w:color w:val="auto"/>
                <w:szCs w:val="21"/>
                <w:shd w:val="clear" w:color="auto" w:fill="FFFFFF"/>
              </w:rPr>
              <w:t>容灾管理平台负责处理备机房故障场景，备机房</w:t>
            </w:r>
            <w:r>
              <w:rPr>
                <w:rFonts w:hint="eastAsia" w:ascii="仿宋" w:hAnsi="仿宋" w:eastAsia="仿宋"/>
                <w:color w:val="auto"/>
                <w:szCs w:val="21"/>
                <w:shd w:val="clear" w:color="auto" w:fill="FFFFFF"/>
              </w:rPr>
              <w:t>同城</w:t>
            </w:r>
            <w:r>
              <w:rPr>
                <w:rFonts w:ascii="仿宋" w:hAnsi="仿宋" w:eastAsia="仿宋"/>
                <w:color w:val="auto"/>
                <w:szCs w:val="21"/>
                <w:shd w:val="clear" w:color="auto" w:fill="FFFFFF"/>
              </w:rPr>
              <w:t>容灾管理平台负责处理主机房故障和脑裂场景</w:t>
            </w:r>
            <w:r>
              <w:rPr>
                <w:rFonts w:hint="eastAsia" w:ascii="仿宋" w:hAnsi="仿宋" w:eastAsia="仿宋"/>
                <w:color w:val="auto"/>
                <w:szCs w:val="21"/>
                <w:shd w:val="clear" w:color="auto" w:fill="FFFFFF"/>
              </w:rPr>
              <w:t>。</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715"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12</w:t>
            </w:r>
          </w:p>
        </w:tc>
        <w:tc>
          <w:tcPr>
            <w:tcW w:w="504" w:type="pct"/>
            <w:vMerge w:val="continue"/>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定时检查云产品机房间同步状态、各机房业务状态、RPO数据以及实时监控双机房容灾情况的容灾大屏。支持</w:t>
            </w:r>
            <w:r>
              <w:rPr>
                <w:rFonts w:ascii="仿宋" w:hAnsi="仿宋" w:eastAsia="仿宋"/>
                <w:color w:val="auto"/>
                <w:szCs w:val="21"/>
                <w:shd w:val="clear" w:color="auto" w:fill="FFFFFF"/>
              </w:rPr>
              <w:t>产品监控，包括产品在主备机房的状态、主机房位置、更新时间。</w:t>
            </w:r>
            <w:r>
              <w:rPr>
                <w:rFonts w:hint="eastAsia" w:ascii="仿宋" w:hAnsi="仿宋" w:eastAsia="仿宋"/>
                <w:color w:val="auto"/>
                <w:szCs w:val="21"/>
                <w:shd w:val="clear" w:color="auto" w:fill="FFFFFF"/>
              </w:rPr>
              <w:t>支持</w:t>
            </w:r>
            <w:r>
              <w:rPr>
                <w:rFonts w:ascii="仿宋" w:hAnsi="仿宋" w:eastAsia="仿宋"/>
                <w:color w:val="auto"/>
                <w:szCs w:val="21"/>
                <w:shd w:val="clear" w:color="auto" w:fill="FFFFFF"/>
              </w:rPr>
              <w:t>RPO监控，包括</w:t>
            </w:r>
            <w:r>
              <w:rPr>
                <w:rFonts w:hint="eastAsia" w:ascii="仿宋" w:hAnsi="仿宋" w:eastAsia="仿宋"/>
                <w:color w:val="auto"/>
                <w:szCs w:val="21"/>
                <w:shd w:val="clear" w:color="auto" w:fill="FFFFFF"/>
              </w:rPr>
              <w:t>对象存储</w:t>
            </w:r>
            <w:r>
              <w:rPr>
                <w:rFonts w:ascii="仿宋" w:hAnsi="仿宋" w:eastAsia="仿宋"/>
                <w:color w:val="auto"/>
                <w:szCs w:val="21"/>
                <w:shd w:val="clear" w:color="auto" w:fill="FFFFFF"/>
              </w:rPr>
              <w:t>和</w:t>
            </w:r>
            <w:r>
              <w:rPr>
                <w:rFonts w:hint="eastAsia" w:ascii="仿宋" w:hAnsi="仿宋" w:eastAsia="仿宋"/>
                <w:color w:val="auto"/>
                <w:szCs w:val="21"/>
                <w:shd w:val="clear" w:color="auto" w:fill="FFFFFF"/>
              </w:rPr>
              <w:t>云分布式数据库</w:t>
            </w:r>
            <w:r>
              <w:rPr>
                <w:rFonts w:ascii="仿宋" w:hAnsi="仿宋" w:eastAsia="仿宋"/>
                <w:color w:val="auto"/>
                <w:szCs w:val="21"/>
                <w:shd w:val="clear" w:color="auto" w:fill="FFFFFF"/>
              </w:rPr>
              <w:t>监控数据。</w:t>
            </w:r>
            <w:r>
              <w:rPr>
                <w:rFonts w:hint="eastAsia" w:ascii="仿宋" w:hAnsi="仿宋" w:eastAsia="仿宋"/>
                <w:color w:val="auto"/>
                <w:szCs w:val="21"/>
                <w:shd w:val="clear" w:color="auto" w:fill="FFFFFF"/>
              </w:rPr>
              <w:t>支持</w:t>
            </w:r>
            <w:r>
              <w:rPr>
                <w:rFonts w:ascii="仿宋" w:hAnsi="仿宋" w:eastAsia="仿宋"/>
                <w:color w:val="auto"/>
                <w:szCs w:val="21"/>
                <w:shd w:val="clear" w:color="auto" w:fill="FFFFFF"/>
              </w:rPr>
              <w:t>大屏监控，包括RPO数据、演练和恢复记录、演练用时、历史成功率和</w:t>
            </w:r>
            <w:r>
              <w:rPr>
                <w:rFonts w:hint="eastAsia" w:ascii="仿宋" w:hAnsi="仿宋" w:eastAsia="仿宋"/>
                <w:color w:val="auto"/>
                <w:szCs w:val="21"/>
                <w:shd w:val="clear" w:color="auto" w:fill="FFFFFF"/>
              </w:rPr>
              <w:t>事件。</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10"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13</w:t>
            </w:r>
          </w:p>
        </w:tc>
        <w:tc>
          <w:tcPr>
            <w:tcW w:w="504" w:type="pct"/>
            <w:vMerge w:val="continue"/>
            <w:tcBorders>
              <w:tl2br w:val="nil"/>
              <w:tr2bl w:val="nil"/>
            </w:tcBorders>
            <w:shd w:val="clear" w:color="auto" w:fill="FFFFFF"/>
            <w:vAlign w:val="center"/>
          </w:tcPr>
          <w:p>
            <w:pPr>
              <w:spacing w:line="360" w:lineRule="auto"/>
              <w:rPr>
                <w:rFonts w:ascii="仿宋" w:hAnsi="仿宋" w:eastAsia="仿宋"/>
                <w:color w:val="auto"/>
                <w:szCs w:val="21"/>
                <w:shd w:val="clear" w:color="auto" w:fill="FFFFFF"/>
              </w:rPr>
            </w:pP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w:t>
            </w:r>
            <w:r>
              <w:rPr>
                <w:rFonts w:ascii="仿宋" w:hAnsi="仿宋" w:eastAsia="仿宋"/>
                <w:color w:val="auto"/>
                <w:szCs w:val="21"/>
                <w:shd w:val="clear" w:color="auto" w:fill="FFFFFF"/>
              </w:rPr>
              <w:t>用于真实故障的真实演练场景，如机房断电和断网</w:t>
            </w:r>
            <w:r>
              <w:rPr>
                <w:rFonts w:hint="eastAsia" w:ascii="仿宋" w:hAnsi="仿宋" w:eastAsia="仿宋"/>
                <w:color w:val="auto"/>
                <w:szCs w:val="21"/>
                <w:shd w:val="clear" w:color="auto" w:fill="FFFFFF"/>
              </w:rPr>
              <w:t>。操作审批提供针对真实环境演练的场景和授权用户的审批。配置环境检查是对</w:t>
            </w:r>
            <w:r>
              <w:rPr>
                <w:rFonts w:ascii="仿宋" w:hAnsi="仿宋" w:eastAsia="仿宋"/>
                <w:color w:val="auto"/>
                <w:szCs w:val="21"/>
                <w:shd w:val="clear" w:color="auto" w:fill="FFFFFF"/>
              </w:rPr>
              <w:t>双机房服务器和交换机</w:t>
            </w:r>
            <w:r>
              <w:rPr>
                <w:rFonts w:hint="eastAsia" w:ascii="仿宋" w:hAnsi="仿宋" w:eastAsia="仿宋"/>
                <w:color w:val="auto"/>
                <w:szCs w:val="21"/>
                <w:shd w:val="clear" w:color="auto" w:fill="FFFFFF"/>
              </w:rPr>
              <w:t>状态进行检查。</w:t>
            </w:r>
            <w:r>
              <w:rPr>
                <w:rFonts w:ascii="仿宋" w:hAnsi="仿宋" w:eastAsia="仿宋"/>
                <w:color w:val="auto"/>
                <w:szCs w:val="21"/>
                <w:shd w:val="clear" w:color="auto" w:fill="FFFFFF"/>
              </w:rPr>
              <w:t>故障注入</w:t>
            </w:r>
            <w:r>
              <w:rPr>
                <w:rFonts w:hint="eastAsia" w:ascii="仿宋" w:hAnsi="仿宋" w:eastAsia="仿宋"/>
                <w:color w:val="auto"/>
                <w:szCs w:val="21"/>
                <w:shd w:val="clear" w:color="auto" w:fill="FFFFFF"/>
              </w:rPr>
              <w:t>在验证权限基础上，提供一种白屏化操作方式执行机房断电或断网。</w:t>
            </w:r>
            <w:r>
              <w:rPr>
                <w:rFonts w:ascii="仿宋" w:hAnsi="仿宋" w:eastAsia="仿宋"/>
                <w:color w:val="auto"/>
                <w:szCs w:val="21"/>
                <w:shd w:val="clear" w:color="auto" w:fill="FFFFFF"/>
              </w:rPr>
              <w:t>机房复原</w:t>
            </w:r>
            <w:r>
              <w:rPr>
                <w:rFonts w:hint="eastAsia" w:ascii="仿宋" w:hAnsi="仿宋" w:eastAsia="仿宋"/>
                <w:color w:val="auto"/>
                <w:szCs w:val="21"/>
                <w:shd w:val="clear" w:color="auto" w:fill="FFFFFF"/>
              </w:rPr>
              <w:t>在故障注入真实演练之后进行机房复原活动。</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420"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14</w:t>
            </w:r>
          </w:p>
        </w:tc>
        <w:tc>
          <w:tcPr>
            <w:tcW w:w="504" w:type="pct"/>
            <w:vMerge w:val="continue"/>
            <w:tcBorders>
              <w:tl2br w:val="nil"/>
              <w:tr2bl w:val="nil"/>
            </w:tcBorders>
            <w:shd w:val="clear" w:color="auto" w:fill="FFFFFF"/>
            <w:vAlign w:val="center"/>
          </w:tcPr>
          <w:p>
            <w:pPr>
              <w:spacing w:line="360" w:lineRule="auto"/>
              <w:rPr>
                <w:rFonts w:ascii="仿宋" w:hAnsi="仿宋" w:eastAsia="仿宋"/>
                <w:color w:val="auto"/>
                <w:szCs w:val="21"/>
                <w:shd w:val="clear" w:color="auto" w:fill="FFFFFF"/>
              </w:rPr>
            </w:pP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提供默认演练和支持</w:t>
            </w:r>
            <w:r>
              <w:rPr>
                <w:rFonts w:ascii="仿宋" w:hAnsi="仿宋" w:eastAsia="仿宋"/>
                <w:color w:val="auto"/>
                <w:szCs w:val="21"/>
                <w:shd w:val="clear" w:color="auto" w:fill="FFFFFF"/>
              </w:rPr>
              <w:t>自定义演练</w:t>
            </w:r>
            <w:r>
              <w:rPr>
                <w:rFonts w:hint="eastAsia" w:ascii="仿宋" w:hAnsi="仿宋" w:eastAsia="仿宋"/>
                <w:color w:val="auto"/>
                <w:szCs w:val="21"/>
                <w:shd w:val="clear" w:color="auto" w:fill="FFFFFF"/>
              </w:rPr>
              <w:t>列表。默认演练是指平台内部提供的内置的产品演练模板。自定义演练，通过</w:t>
            </w:r>
            <w:r>
              <w:rPr>
                <w:rFonts w:ascii="仿宋" w:hAnsi="仿宋" w:eastAsia="仿宋"/>
                <w:color w:val="auto"/>
                <w:szCs w:val="21"/>
                <w:shd w:val="clear" w:color="auto" w:fill="FFFFFF"/>
              </w:rPr>
              <w:t>创建演练计划，可在一个演练计划中包含多个云产品级。支持演练切换和回切一键式操作，支持演练详情查看，包括演练计划、切换用时和历史记录。支持演练记录查括操作用户、类型、执行结果和切换用时。</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630"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15</w:t>
            </w:r>
          </w:p>
        </w:tc>
        <w:tc>
          <w:tcPr>
            <w:tcW w:w="504" w:type="pct"/>
            <w:vMerge w:val="continue"/>
            <w:tcBorders>
              <w:tl2br w:val="nil"/>
              <w:tr2bl w:val="nil"/>
            </w:tcBorders>
            <w:shd w:val="clear" w:color="auto" w:fill="FFFFFF"/>
            <w:vAlign w:val="center"/>
          </w:tcPr>
          <w:p>
            <w:pPr>
              <w:spacing w:line="360" w:lineRule="auto"/>
              <w:rPr>
                <w:rFonts w:ascii="仿宋" w:hAnsi="仿宋" w:eastAsia="仿宋"/>
                <w:color w:val="auto"/>
                <w:szCs w:val="21"/>
                <w:shd w:val="clear" w:color="auto" w:fill="FFFFFF"/>
              </w:rPr>
            </w:pP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支持场景化的故障恢复，包括掉电故障恢复、孤岛故障恢复、脑裂故障恢复、单产品故障恢复，支持一键式操作。支持服务切回，包括掉电故障后服务切回、孤岛故障后服务切回、单产品故障后服务切回，支持一键式操作。支持恢复记录查看，包括操作用户、类型、执行结果和RTO。</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15" w:type="dxa"/>
            <w:left w:w="15" w:type="dxa"/>
            <w:bottom w:w="15" w:type="dxa"/>
            <w:right w:w="15" w:type="dxa"/>
          </w:tblCellMar>
        </w:tblPrEx>
        <w:trPr>
          <w:trHeight w:val="210" w:hRule="atLeast"/>
        </w:trPr>
        <w:tc>
          <w:tcPr>
            <w:tcW w:w="504" w:type="pct"/>
            <w:tcBorders>
              <w:tl2br w:val="nil"/>
              <w:tr2bl w:val="nil"/>
            </w:tcBorders>
            <w:shd w:val="clear" w:color="auto" w:fill="FFFFFF"/>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16</w:t>
            </w:r>
          </w:p>
        </w:tc>
        <w:tc>
          <w:tcPr>
            <w:tcW w:w="504" w:type="pct"/>
            <w:vMerge w:val="continue"/>
            <w:tcBorders>
              <w:tl2br w:val="nil"/>
              <w:tr2bl w:val="nil"/>
            </w:tcBorders>
            <w:shd w:val="clear" w:color="auto" w:fill="FFFFFF"/>
            <w:vAlign w:val="center"/>
          </w:tcPr>
          <w:p>
            <w:pPr>
              <w:spacing w:line="360" w:lineRule="auto"/>
              <w:rPr>
                <w:rFonts w:ascii="仿宋" w:hAnsi="仿宋" w:eastAsia="仿宋"/>
                <w:color w:val="auto"/>
                <w:szCs w:val="21"/>
                <w:shd w:val="clear" w:color="auto" w:fill="FFFFFF"/>
              </w:rPr>
            </w:pPr>
          </w:p>
        </w:tc>
        <w:tc>
          <w:tcPr>
            <w:tcW w:w="3992" w:type="pct"/>
            <w:tcBorders>
              <w:tl2br w:val="nil"/>
              <w:tr2bl w:val="nil"/>
            </w:tcBorders>
            <w:shd w:val="clear" w:color="auto" w:fill="FFFFFF"/>
            <w:tcMar>
              <w:top w:w="60" w:type="dxa"/>
              <w:left w:w="120" w:type="dxa"/>
              <w:bottom w:w="60" w:type="dxa"/>
              <w:right w:w="120" w:type="dxa"/>
            </w:tcMa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用户管理、修改密码和双因素鉴权设置</w:t>
            </w:r>
            <w:r>
              <w:rPr>
                <w:rFonts w:hint="eastAsia" w:ascii="仿宋" w:hAnsi="仿宋" w:eastAsia="仿宋"/>
                <w:color w:val="auto"/>
                <w:szCs w:val="21"/>
                <w:shd w:val="clear" w:color="auto" w:fill="FFFFFF"/>
              </w:rPr>
              <w:t>。</w:t>
            </w:r>
          </w:p>
        </w:tc>
      </w:tr>
    </w:tbl>
    <w:p>
      <w:pPr>
        <w:keepNext/>
        <w:keepLines/>
        <w:spacing w:line="360" w:lineRule="auto"/>
        <w:rPr>
          <w:rFonts w:ascii="仿宋" w:hAnsi="仿宋" w:eastAsia="仿宋"/>
          <w:b/>
          <w:bCs/>
          <w:color w:val="auto"/>
          <w:sz w:val="24"/>
        </w:rPr>
      </w:pPr>
      <w:r>
        <w:rPr>
          <w:rFonts w:hint="eastAsia" w:ascii="仿宋" w:hAnsi="仿宋" w:eastAsia="仿宋"/>
          <w:b/>
          <w:bCs/>
          <w:color w:val="auto"/>
          <w:sz w:val="24"/>
        </w:rPr>
        <w:t>4</w:t>
      </w:r>
      <w:r>
        <w:rPr>
          <w:rFonts w:ascii="仿宋" w:hAnsi="仿宋" w:eastAsia="仿宋"/>
          <w:b/>
          <w:bCs/>
          <w:color w:val="auto"/>
          <w:sz w:val="24"/>
        </w:rPr>
        <w:t>.2.3.2 DNS</w:t>
      </w:r>
      <w:r>
        <w:rPr>
          <w:rFonts w:hint="eastAsia" w:ascii="仿宋" w:hAnsi="仿宋" w:eastAsia="仿宋"/>
          <w:b/>
          <w:bCs/>
          <w:color w:val="auto"/>
          <w:sz w:val="24"/>
        </w:rPr>
        <w:t>软件</w:t>
      </w:r>
    </w:p>
    <w:p>
      <w:pPr>
        <w:spacing w:line="360" w:lineRule="auto"/>
        <w:ind w:firstLine="480" w:firstLineChars="200"/>
        <w:jc w:val="left"/>
        <w:rPr>
          <w:rFonts w:ascii="仿宋" w:hAnsi="仿宋" w:eastAsia="仿宋"/>
          <w:color w:val="auto"/>
          <w:kern w:val="24"/>
          <w:sz w:val="24"/>
        </w:rPr>
      </w:pPr>
      <w:r>
        <w:rPr>
          <w:rFonts w:hint="eastAsia" w:ascii="仿宋" w:hAnsi="仿宋" w:eastAsia="仿宋"/>
          <w:color w:val="auto"/>
          <w:kern w:val="24"/>
          <w:sz w:val="24"/>
        </w:rPr>
        <w:t>DNS控制器是运行在专有云环境的一套DNS产品，为专有云环境提供域名解析服务。专有云DNS通过设置域名与IP地址的对应规则和策略，可以将来自客户端的域名访问请求重定向到云平台中的云资源上，为VPC网络环境提供基础DNS解析调度服务。</w:t>
      </w:r>
    </w:p>
    <w:tbl>
      <w:tblPr>
        <w:tblStyle w:val="14"/>
        <w:tblW w:w="5000" w:type="pct"/>
        <w:tblInd w:w="0" w:type="dxa"/>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Layout w:type="autofit"/>
        <w:tblCellMar>
          <w:top w:w="0" w:type="dxa"/>
          <w:left w:w="108" w:type="dxa"/>
          <w:bottom w:w="0" w:type="dxa"/>
          <w:right w:w="108" w:type="dxa"/>
        </w:tblCellMar>
      </w:tblPr>
      <w:tblGrid>
        <w:gridCol w:w="1372"/>
        <w:gridCol w:w="1372"/>
        <w:gridCol w:w="5778"/>
      </w:tblGrid>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序号</w:t>
            </w:r>
          </w:p>
        </w:tc>
        <w:tc>
          <w:tcPr>
            <w:tcW w:w="80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指标项</w:t>
            </w: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规格要求</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w:t>
            </w:r>
          </w:p>
        </w:tc>
        <w:tc>
          <w:tcPr>
            <w:tcW w:w="805" w:type="pct"/>
            <w:vMerge w:val="restar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功能指标</w:t>
            </w: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提供一套租户级的内网域名DNS解析产品，解决云IDC内部的组网和资源管理问题，包括云产品实例域名的解析、主机名管理和解析、内网服务域名管理和解析、互联网域名的解析、与企业自建DNS进行互联互通等功能。</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2</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基于标准的X</w:t>
            </w:r>
            <w:r>
              <w:rPr>
                <w:rFonts w:ascii="仿宋" w:hAnsi="仿宋" w:eastAsia="仿宋"/>
                <w:color w:val="auto"/>
                <w:szCs w:val="21"/>
                <w:shd w:val="clear" w:color="auto" w:fill="FFFFFF"/>
              </w:rPr>
              <w:t>86</w:t>
            </w:r>
            <w:r>
              <w:rPr>
                <w:rFonts w:hint="eastAsia" w:ascii="仿宋" w:hAnsi="仿宋" w:eastAsia="仿宋"/>
                <w:color w:val="auto"/>
                <w:szCs w:val="21"/>
                <w:shd w:val="clear" w:color="auto" w:fill="FFFFFF"/>
              </w:rPr>
              <w:t>服务器构建。</w:t>
            </w:r>
          </w:p>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支持横向水平扩展。</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3</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内网权威域名管理和解析：支持内网域名的DNS权威解析功能，为VPC网络内的终端和服务器提供域名解析服务。</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4</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w:t>
            </w:r>
            <w:r>
              <w:rPr>
                <w:rFonts w:hint="eastAsia" w:ascii="仿宋" w:hAnsi="仿宋" w:eastAsia="仿宋"/>
                <w:color w:val="auto"/>
                <w:szCs w:val="21"/>
                <w:shd w:val="clear" w:color="auto" w:fill="FFFFFF"/>
              </w:rPr>
              <w:t>内网权威域名管理和解析：支持租户隔离的功能特性，满足专有云DNS按租户对DNS数据和解析隔离的功能，一套DNS产品就可以满足客户多个VPC隔离的域名解析需求，不需要重复建设DNS系统。</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5</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w:t>
            </w:r>
            <w:r>
              <w:rPr>
                <w:rFonts w:hint="eastAsia" w:ascii="仿宋" w:hAnsi="仿宋" w:eastAsia="仿宋"/>
                <w:color w:val="auto"/>
                <w:szCs w:val="21"/>
                <w:shd w:val="clear" w:color="auto" w:fill="FFFFFF"/>
              </w:rPr>
              <w:t>内网权威域名管理和解析：支持全局域名的配置管理，满足所有VPC解析同样的域名数据的基础性需求，减少管理员的配置工作。</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6</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内网权威域名管理和解析：支持内网域名的数据管理功能，可以实现内网域名的注册、搜索、功能备注和删除操作。</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7</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内网权威域名管理和解析：支持域名主机记录的添加、删除和修改操作的功能，支持的记录类型包括A、AAAA、CNAME、NS、MX、TXT、SRV、PTR、NAPTR、CAA、SOA。</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8</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内网权威域名管理和解析：支持基于权重策略的智能解析调度策略，实现内网全局负载均衡。</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9</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内网转发配置管理和解析：支持域名的DNS转发解析功能，为VPC网络内的终端和服务器提供域名解析服务。</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10</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w:t>
            </w:r>
            <w:r>
              <w:rPr>
                <w:rFonts w:hint="eastAsia" w:ascii="仿宋" w:hAnsi="仿宋" w:eastAsia="仿宋"/>
                <w:color w:val="auto"/>
                <w:szCs w:val="21"/>
                <w:shd w:val="clear" w:color="auto" w:fill="FFFFFF"/>
              </w:rPr>
              <w:t>内网转发配置管理和解析：支持租户隔离的功能特性，满足专有云DNS按租户对DNS解析隔离的功能，实现VPC粒度的个性化配置。</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11</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ascii="仿宋" w:hAnsi="仿宋" w:eastAsia="仿宋"/>
                <w:color w:val="auto"/>
                <w:szCs w:val="21"/>
                <w:shd w:val="clear" w:color="auto" w:fill="FFFFFF"/>
              </w:rPr>
              <w:t>★</w:t>
            </w:r>
            <w:r>
              <w:rPr>
                <w:rFonts w:hint="eastAsia" w:ascii="仿宋" w:hAnsi="仿宋" w:eastAsia="仿宋"/>
                <w:color w:val="auto"/>
                <w:szCs w:val="21"/>
                <w:shd w:val="clear" w:color="auto" w:fill="FFFFFF"/>
              </w:rPr>
              <w:t>内网转发配置管理和解析：支持全局转发的配置管理，满足所有VPC实现相同转发配置的基础性需求，减少管理员的配置工作。</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12</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内网转发配置管理和解析：支持域名级别的转发操作，将特定域名的解析操作转发到其他DNS服务器上进行解析。</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13</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内网转发配置管理和解析：支持默认转发功能的配置，将本地不存在的所有域名的解析操作全部转发到其他DNS服务器上进行解析。</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14</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内网转发配置管理和解析：支持两种转发操作模式，强制转发模式和优先转发模式。在强制转发模式下，设置只使用转发目的DNS服务器做域名解析，如果解析不到（解析超时）则返回DNS客户端查询失败。在优先转发模式下，设置优先使用转发目的DNS服务器做域名解析，如果查询不到再使用本地DNS服务器做域名解析。</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15</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互联网域名递归解析：支持递归解析的功能，可以为VPC网络内的终端和服务器实现互联网域名的解析，从而可以访问互联网服务。</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16</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接口开放性：支持通过OpenAPI进行操作，提供被其他系统集成的能力。</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17</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bottom"/>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系统特性：DNS服务地址支持anycast部署，提供在机房级容灾场景下的服务无缝切换和就近优选。</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18</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bottom"/>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系统特性：支持与外部DNS系统实现互联，通过域名转发实现混合云的互通。</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19</w:t>
            </w:r>
          </w:p>
        </w:tc>
        <w:tc>
          <w:tcPr>
            <w:tcW w:w="805" w:type="pct"/>
            <w:vMerge w:val="continue"/>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系统特性：支持VPC的DNS请求限速功能，系统限速配置为单VPC限速和单VPC的单源IP限速。</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20</w:t>
            </w:r>
          </w:p>
        </w:tc>
        <w:tc>
          <w:tcPr>
            <w:tcW w:w="80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兼容性/开放性（接口、引擎等）</w:t>
            </w: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支持DNS标准协议封装格式。</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21</w:t>
            </w:r>
          </w:p>
        </w:tc>
        <w:tc>
          <w:tcPr>
            <w:tcW w:w="80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性能指标</w:t>
            </w: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DNS单机解析性能</w:t>
            </w:r>
            <w:r>
              <w:rPr>
                <w:rFonts w:ascii="仿宋" w:hAnsi="仿宋" w:eastAsia="仿宋"/>
                <w:color w:val="auto"/>
                <w:szCs w:val="21"/>
                <w:shd w:val="clear" w:color="auto" w:fill="FFFFFF"/>
              </w:rPr>
              <w:t>: 10</w:t>
            </w:r>
            <w:r>
              <w:rPr>
                <w:rFonts w:hint="eastAsia" w:ascii="仿宋" w:hAnsi="仿宋" w:eastAsia="仿宋"/>
                <w:color w:val="auto"/>
                <w:szCs w:val="21"/>
                <w:shd w:val="clear" w:color="auto" w:fill="FFFFFF"/>
              </w:rPr>
              <w:t>万</w:t>
            </w:r>
            <w:r>
              <w:rPr>
                <w:rFonts w:ascii="仿宋" w:hAnsi="仿宋" w:eastAsia="仿宋"/>
                <w:color w:val="auto"/>
                <w:szCs w:val="21"/>
                <w:shd w:val="clear" w:color="auto" w:fill="FFFFFF"/>
              </w:rPr>
              <w:t>QPS</w:t>
            </w:r>
            <w:r>
              <w:rPr>
                <w:rFonts w:hint="eastAsia" w:ascii="仿宋" w:hAnsi="仿宋" w:eastAsia="仿宋"/>
                <w:color w:val="auto"/>
                <w:szCs w:val="21"/>
                <w:shd w:val="clear" w:color="auto" w:fill="FFFFFF"/>
              </w:rPr>
              <w:t>的DNS查询性能。</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22</w:t>
            </w:r>
          </w:p>
        </w:tc>
        <w:tc>
          <w:tcPr>
            <w:tcW w:w="80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可靠性指标</w:t>
            </w: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主备高可用，通过anycast部署DNS支持多数据中心多活，提供在机房级容灾场景下的服务无缝切换和就近优选。</w:t>
            </w:r>
          </w:p>
        </w:tc>
      </w:tr>
      <w:tr>
        <w:tblPrEx>
          <w:tblBorders>
            <w:top w:val="single" w:color="0C0C0C" w:themeColor="text1" w:themeTint="F2" w:sz="2" w:space="0"/>
            <w:left w:val="single" w:color="0C0C0C" w:themeColor="text1" w:themeTint="F2" w:sz="2" w:space="0"/>
            <w:bottom w:val="single" w:color="0C0C0C" w:themeColor="text1" w:themeTint="F2" w:sz="2" w:space="0"/>
            <w:right w:val="single" w:color="0C0C0C" w:themeColor="text1" w:themeTint="F2" w:sz="2" w:space="0"/>
            <w:insideH w:val="single" w:color="0C0C0C" w:themeColor="text1" w:themeTint="F2" w:sz="2" w:space="0"/>
            <w:insideV w:val="single" w:color="0C0C0C" w:themeColor="text1" w:themeTint="F2" w:sz="2" w:space="0"/>
          </w:tblBorders>
          <w:tblCellMar>
            <w:top w:w="0" w:type="dxa"/>
            <w:left w:w="108" w:type="dxa"/>
            <w:bottom w:w="0" w:type="dxa"/>
            <w:right w:w="108" w:type="dxa"/>
          </w:tblCellMar>
        </w:tblPrEx>
        <w:tc>
          <w:tcPr>
            <w:tcW w:w="805" w:type="pct"/>
            <w:tcBorders>
              <w:tl2br w:val="nil"/>
              <w:tr2bl w:val="nil"/>
            </w:tcBorders>
            <w:shd w:val="clear" w:color="auto" w:fill="auto"/>
          </w:tcPr>
          <w:p>
            <w:pPr>
              <w:spacing w:line="360" w:lineRule="auto"/>
              <w:jc w:val="center"/>
              <w:rPr>
                <w:rFonts w:ascii="仿宋" w:hAnsi="仿宋" w:eastAsia="仿宋"/>
                <w:color w:val="auto"/>
                <w:sz w:val="24"/>
                <w:shd w:val="clear" w:color="auto" w:fill="FFFFFF"/>
              </w:rPr>
            </w:pPr>
            <w:r>
              <w:rPr>
                <w:rFonts w:hint="eastAsia" w:ascii="仿宋" w:hAnsi="仿宋" w:eastAsia="仿宋"/>
                <w:color w:val="auto"/>
                <w:sz w:val="24"/>
                <w:shd w:val="clear" w:color="auto" w:fill="FFFFFF"/>
              </w:rPr>
              <w:t>23</w:t>
            </w:r>
          </w:p>
        </w:tc>
        <w:tc>
          <w:tcPr>
            <w:tcW w:w="805"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安全性</w:t>
            </w:r>
          </w:p>
        </w:tc>
        <w:tc>
          <w:tcPr>
            <w:tcW w:w="3390" w:type="pct"/>
            <w:tcBorders>
              <w:tl2br w:val="nil"/>
              <w:tr2bl w:val="nil"/>
            </w:tcBorders>
            <w:shd w:val="clear" w:color="auto" w:fill="auto"/>
            <w:vAlign w:val="center"/>
          </w:tcPr>
          <w:p>
            <w:pPr>
              <w:spacing w:line="360" w:lineRule="auto"/>
              <w:rPr>
                <w:rFonts w:ascii="仿宋" w:hAnsi="仿宋" w:eastAsia="仿宋"/>
                <w:color w:val="auto"/>
                <w:szCs w:val="21"/>
                <w:shd w:val="clear" w:color="auto" w:fill="FFFFFF"/>
              </w:rPr>
            </w:pPr>
            <w:r>
              <w:rPr>
                <w:rFonts w:hint="eastAsia" w:ascii="仿宋" w:hAnsi="仿宋" w:eastAsia="仿宋"/>
                <w:color w:val="auto"/>
                <w:szCs w:val="21"/>
                <w:shd w:val="clear" w:color="auto" w:fill="FFFFFF"/>
              </w:rPr>
              <w:t>支持安全组功能。</w:t>
            </w:r>
          </w:p>
        </w:tc>
      </w:tr>
    </w:tbl>
    <w:p>
      <w:pPr>
        <w:keepNext/>
        <w:keepLines/>
        <w:spacing w:line="360" w:lineRule="auto"/>
        <w:rPr>
          <w:rFonts w:ascii="仿宋" w:hAnsi="仿宋" w:eastAsia="仿宋"/>
          <w:b/>
          <w:bCs/>
          <w:color w:val="auto"/>
          <w:sz w:val="28"/>
          <w:szCs w:val="28"/>
        </w:rPr>
      </w:pPr>
      <w:r>
        <w:rPr>
          <w:rFonts w:hint="eastAsia" w:ascii="仿宋" w:hAnsi="仿宋" w:eastAsia="仿宋"/>
          <w:b/>
          <w:bCs/>
          <w:color w:val="auto"/>
          <w:sz w:val="28"/>
          <w:szCs w:val="28"/>
        </w:rPr>
        <w:t>4</w:t>
      </w:r>
      <w:r>
        <w:rPr>
          <w:rFonts w:ascii="仿宋" w:hAnsi="仿宋" w:eastAsia="仿宋"/>
          <w:b/>
          <w:bCs/>
          <w:color w:val="auto"/>
          <w:sz w:val="28"/>
          <w:szCs w:val="28"/>
        </w:rPr>
        <w:t>.3</w:t>
      </w:r>
      <w:r>
        <w:rPr>
          <w:rFonts w:hint="eastAsia" w:ascii="仿宋" w:hAnsi="仿宋" w:eastAsia="仿宋"/>
          <w:b/>
          <w:bCs/>
          <w:color w:val="auto"/>
          <w:sz w:val="28"/>
          <w:szCs w:val="28"/>
        </w:rPr>
        <w:t>安全软件</w:t>
      </w:r>
    </w:p>
    <w:p>
      <w:pPr>
        <w:keepNext/>
        <w:keepLines/>
        <w:spacing w:line="360" w:lineRule="auto"/>
        <w:rPr>
          <w:rFonts w:ascii="仿宋" w:hAnsi="仿宋" w:eastAsia="仿宋"/>
          <w:b/>
          <w:bCs/>
          <w:color w:val="auto"/>
          <w:sz w:val="28"/>
          <w:szCs w:val="28"/>
        </w:rPr>
      </w:pPr>
      <w:r>
        <w:rPr>
          <w:rFonts w:hint="eastAsia" w:ascii="仿宋" w:hAnsi="仿宋" w:eastAsia="仿宋"/>
          <w:b/>
          <w:bCs/>
          <w:color w:val="auto"/>
          <w:sz w:val="28"/>
          <w:szCs w:val="28"/>
        </w:rPr>
        <w:t>4</w:t>
      </w:r>
      <w:r>
        <w:rPr>
          <w:rFonts w:ascii="仿宋" w:hAnsi="仿宋" w:eastAsia="仿宋"/>
          <w:b/>
          <w:bCs/>
          <w:color w:val="auto"/>
          <w:sz w:val="28"/>
          <w:szCs w:val="28"/>
        </w:rPr>
        <w:t>.3.1</w:t>
      </w:r>
      <w:r>
        <w:rPr>
          <w:rFonts w:hint="eastAsia" w:ascii="仿宋" w:hAnsi="仿宋" w:eastAsia="仿宋"/>
          <w:b/>
          <w:bCs/>
          <w:color w:val="auto"/>
          <w:sz w:val="28"/>
          <w:szCs w:val="28"/>
        </w:rPr>
        <w:t>安全资源池</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支持对虚拟化安全设备实时管控；提供基于虚拟化安全设备的安全策略配置、配置管理、安全能力管理等；支持通过引流方式，将南北向流量牵引至安全资源池进行清洗，对虚拟化主机进行检测、监测和防护。安全资源池实现支持虚拟化安全设备的整体管理包括但不限于：虚拟防火墙、虚拟IPS、虚拟WAF。虚拟防火墙既支持防护来自互联网的攻击，也支持防护来自VPC内部的攻击。支持智能语义分析引擎，不需配置规则即可完成对XSS、SQL注入、命令注入、SSRF、CSRF、PHP反序列化、Java反序列化、文件上传、PHP代码注入、Java代码注入等攻击类型的检测，在功能界面上可以以开关方式控制以上Web应用攻击检测引擎。</w:t>
      </w:r>
    </w:p>
    <w:p>
      <w:pPr>
        <w:keepNext/>
        <w:keepLines/>
        <w:spacing w:line="360" w:lineRule="auto"/>
        <w:rPr>
          <w:rFonts w:ascii="仿宋" w:hAnsi="仿宋" w:eastAsia="仿宋"/>
          <w:b/>
          <w:bCs/>
          <w:color w:val="auto"/>
          <w:kern w:val="44"/>
          <w:sz w:val="28"/>
          <w:szCs w:val="44"/>
        </w:rPr>
      </w:pPr>
      <w:r>
        <w:rPr>
          <w:rFonts w:hint="eastAsia" w:ascii="仿宋" w:hAnsi="仿宋" w:eastAsia="仿宋"/>
          <w:b/>
          <w:bCs/>
          <w:color w:val="auto"/>
          <w:kern w:val="44"/>
          <w:sz w:val="28"/>
          <w:szCs w:val="44"/>
        </w:rPr>
        <w:t>5.服务要求</w:t>
      </w:r>
    </w:p>
    <w:p>
      <w:pPr>
        <w:spacing w:line="360" w:lineRule="auto"/>
        <w:ind w:firstLine="354" w:firstLineChars="147"/>
        <w:rPr>
          <w:rFonts w:ascii="仿宋" w:hAnsi="仿宋" w:eastAsia="仿宋" w:cs="仿宋"/>
          <w:b/>
          <w:bCs/>
          <w:color w:val="auto"/>
          <w:sz w:val="24"/>
        </w:rPr>
      </w:pPr>
      <w:r>
        <w:rPr>
          <w:rFonts w:hint="eastAsia" w:ascii="仿宋" w:hAnsi="仿宋" w:eastAsia="仿宋" w:cs="仿宋"/>
          <w:b/>
          <w:bCs/>
          <w:color w:val="auto"/>
          <w:sz w:val="24"/>
        </w:rPr>
        <w:t>5.1</w:t>
      </w:r>
      <w:r>
        <w:rPr>
          <w:rFonts w:hint="eastAsia" w:ascii="仿宋" w:hAnsi="仿宋" w:eastAsia="仿宋" w:cs="仿宋"/>
          <w:color w:val="auto"/>
          <w:kern w:val="0"/>
          <w:sz w:val="20"/>
          <w:szCs w:val="20"/>
        </w:rPr>
        <w:t>▲</w:t>
      </w:r>
      <w:r>
        <w:rPr>
          <w:rFonts w:hint="eastAsia" w:ascii="仿宋" w:hAnsi="仿宋" w:eastAsia="仿宋" w:cs="仿宋"/>
          <w:b/>
          <w:bCs/>
          <w:color w:val="auto"/>
          <w:sz w:val="24"/>
        </w:rPr>
        <w:t>集成要求</w:t>
      </w:r>
    </w:p>
    <w:p>
      <w:pPr>
        <w:tabs>
          <w:tab w:val="left" w:pos="1301"/>
        </w:tabs>
        <w:autoSpaceDE w:val="0"/>
        <w:autoSpaceDN w:val="0"/>
        <w:spacing w:line="360" w:lineRule="auto"/>
        <w:ind w:left="220" w:right="315" w:firstLine="480"/>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投标方应配合软件集成商进行医保云平台系统软件的集成工作，包括相关软件部署、业务中台适配、系统软件上线运行等。</w:t>
      </w:r>
    </w:p>
    <w:p>
      <w:pPr>
        <w:spacing w:line="360" w:lineRule="auto"/>
        <w:ind w:firstLine="354" w:firstLineChars="147"/>
        <w:rPr>
          <w:rFonts w:ascii="仿宋" w:hAnsi="仿宋" w:eastAsia="仿宋" w:cs="仿宋"/>
          <w:b/>
          <w:bCs/>
          <w:color w:val="auto"/>
          <w:sz w:val="24"/>
        </w:rPr>
      </w:pPr>
      <w:r>
        <w:rPr>
          <w:rFonts w:hint="eastAsia" w:ascii="仿宋" w:hAnsi="仿宋" w:eastAsia="仿宋" w:cs="仿宋"/>
          <w:b/>
          <w:bCs/>
          <w:color w:val="auto"/>
          <w:sz w:val="24"/>
        </w:rPr>
        <w:t>5.2</w:t>
      </w:r>
      <w:r>
        <w:rPr>
          <w:rFonts w:hint="eastAsia" w:ascii="仿宋" w:hAnsi="仿宋" w:eastAsia="仿宋" w:cs="仿宋"/>
          <w:color w:val="auto"/>
          <w:kern w:val="0"/>
          <w:sz w:val="20"/>
          <w:szCs w:val="20"/>
        </w:rPr>
        <w:t>▲</w:t>
      </w:r>
      <w:r>
        <w:rPr>
          <w:rFonts w:hint="eastAsia" w:ascii="仿宋" w:hAnsi="仿宋" w:eastAsia="仿宋" w:cs="仿宋"/>
          <w:b/>
          <w:bCs/>
          <w:color w:val="auto"/>
          <w:sz w:val="24"/>
        </w:rPr>
        <w:t>投标方项目管理要求</w:t>
      </w:r>
    </w:p>
    <w:p>
      <w:pPr>
        <w:tabs>
          <w:tab w:val="left" w:pos="1301"/>
        </w:tabs>
        <w:autoSpaceDE w:val="0"/>
        <w:autoSpaceDN w:val="0"/>
        <w:spacing w:line="360" w:lineRule="auto"/>
        <w:ind w:left="220" w:right="315" w:firstLine="480"/>
        <w:rPr>
          <w:rFonts w:ascii="仿宋" w:hAnsi="仿宋" w:eastAsia="仿宋"/>
          <w:b/>
          <w:color w:val="auto"/>
          <w:sz w:val="24"/>
          <w:szCs w:val="22"/>
        </w:rPr>
      </w:pPr>
      <w:r>
        <w:rPr>
          <w:rFonts w:hint="eastAsia" w:ascii="仿宋" w:hAnsi="仿宋" w:eastAsia="仿宋" w:cs="仿宋"/>
          <w:color w:val="auto"/>
          <w:kern w:val="0"/>
          <w:sz w:val="24"/>
          <w:lang w:val="zh-CN" w:bidi="zh-CN"/>
        </w:rPr>
        <w:t>中标单位需提供本次工程建设的项目管理预案，包括项目人员名单及角色分工、项目实施计划、项目变更管理方案以及项目风险管理方案等。投标方应</w:t>
      </w:r>
      <w:r>
        <w:rPr>
          <w:rFonts w:ascii="仿宋" w:hAnsi="仿宋" w:eastAsia="仿宋" w:cs="仿宋"/>
          <w:color w:val="auto"/>
          <w:kern w:val="0"/>
          <w:sz w:val="24"/>
          <w:lang w:val="zh-CN" w:bidi="zh-CN"/>
        </w:rPr>
        <w:t>承诺</w:t>
      </w:r>
      <w:r>
        <w:rPr>
          <w:rFonts w:hint="eastAsia" w:ascii="仿宋" w:hAnsi="仿宋" w:eastAsia="仿宋" w:cs="仿宋"/>
          <w:color w:val="auto"/>
          <w:kern w:val="0"/>
          <w:sz w:val="24"/>
          <w:lang w:val="zh-CN" w:bidi="zh-CN"/>
        </w:rPr>
        <w:t>提供</w:t>
      </w:r>
      <w:r>
        <w:rPr>
          <w:rFonts w:ascii="仿宋" w:hAnsi="仿宋" w:eastAsia="仿宋" w:cs="仿宋"/>
          <w:color w:val="auto"/>
          <w:kern w:val="0"/>
          <w:sz w:val="24"/>
          <w:lang w:val="zh-CN" w:bidi="zh-CN"/>
        </w:rPr>
        <w:t>现场实施</w:t>
      </w:r>
      <w:r>
        <w:rPr>
          <w:rFonts w:hint="eastAsia" w:ascii="仿宋" w:hAnsi="仿宋" w:eastAsia="仿宋" w:cs="仿宋"/>
          <w:color w:val="auto"/>
          <w:kern w:val="0"/>
          <w:sz w:val="24"/>
          <w:lang w:val="zh-CN" w:bidi="zh-CN"/>
        </w:rPr>
        <w:t>服务</w:t>
      </w:r>
      <w:r>
        <w:rPr>
          <w:rFonts w:ascii="仿宋" w:hAnsi="仿宋" w:eastAsia="仿宋" w:cs="仿宋"/>
          <w:color w:val="auto"/>
          <w:kern w:val="0"/>
          <w:sz w:val="24"/>
          <w:lang w:val="zh-CN" w:bidi="zh-CN"/>
        </w:rPr>
        <w:t>，办公场地由</w:t>
      </w:r>
      <w:r>
        <w:rPr>
          <w:rFonts w:hint="eastAsia" w:ascii="仿宋" w:hAnsi="仿宋" w:eastAsia="仿宋" w:cs="仿宋"/>
          <w:color w:val="auto"/>
          <w:kern w:val="0"/>
          <w:sz w:val="24"/>
          <w:lang w:val="zh-CN" w:bidi="zh-CN"/>
        </w:rPr>
        <w:t>投标方</w:t>
      </w:r>
      <w:r>
        <w:rPr>
          <w:rFonts w:ascii="仿宋" w:hAnsi="仿宋" w:eastAsia="仿宋" w:cs="仿宋"/>
          <w:color w:val="auto"/>
          <w:kern w:val="0"/>
          <w:sz w:val="24"/>
          <w:lang w:val="zh-CN" w:bidi="zh-CN"/>
        </w:rPr>
        <w:t>自行解决。</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（1）项目经理</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具有</w:t>
      </w:r>
      <w:r>
        <w:rPr>
          <w:rFonts w:ascii="仿宋" w:hAnsi="仿宋" w:eastAsia="仿宋"/>
          <w:color w:val="auto"/>
          <w:sz w:val="24"/>
          <w:szCs w:val="22"/>
        </w:rPr>
        <w:t>5年以上的</w:t>
      </w:r>
      <w:r>
        <w:rPr>
          <w:rFonts w:hint="eastAsia" w:ascii="仿宋" w:hAnsi="仿宋" w:eastAsia="仿宋"/>
          <w:color w:val="auto"/>
          <w:sz w:val="24"/>
          <w:szCs w:val="22"/>
        </w:rPr>
        <w:t>云平台建设和集成</w:t>
      </w:r>
      <w:r>
        <w:rPr>
          <w:rFonts w:ascii="仿宋" w:hAnsi="仿宋" w:eastAsia="仿宋"/>
          <w:color w:val="auto"/>
          <w:sz w:val="24"/>
          <w:szCs w:val="22"/>
        </w:rPr>
        <w:t>经验，具有信息化总体规划能力，有良好的沟通能力、耐性和综合素质。</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（2）服务团队</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提供至少</w:t>
      </w:r>
      <w:r>
        <w:rPr>
          <w:rFonts w:ascii="仿宋" w:hAnsi="仿宋" w:eastAsia="仿宋"/>
          <w:color w:val="auto"/>
          <w:sz w:val="24"/>
          <w:szCs w:val="22"/>
        </w:rPr>
        <w:t>5名</w:t>
      </w:r>
      <w:r>
        <w:rPr>
          <w:rFonts w:hint="eastAsia" w:ascii="仿宋" w:hAnsi="仿宋" w:eastAsia="仿宋"/>
          <w:color w:val="auto"/>
          <w:sz w:val="24"/>
          <w:szCs w:val="22"/>
        </w:rPr>
        <w:t>项目经验丰富的云平台系统软件</w:t>
      </w:r>
      <w:r>
        <w:rPr>
          <w:rFonts w:ascii="仿宋" w:hAnsi="仿宋" w:eastAsia="仿宋"/>
          <w:color w:val="auto"/>
          <w:sz w:val="24"/>
          <w:szCs w:val="22"/>
        </w:rPr>
        <w:t>集成人员</w:t>
      </w:r>
      <w:r>
        <w:rPr>
          <w:rFonts w:hint="eastAsia" w:ascii="仿宋" w:hAnsi="仿宋" w:eastAsia="仿宋"/>
          <w:color w:val="auto"/>
          <w:sz w:val="24"/>
          <w:szCs w:val="22"/>
        </w:rPr>
        <w:t>参与项目实施（不含项目经理）。</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（3）</w:t>
      </w:r>
      <w:r>
        <w:rPr>
          <w:rFonts w:ascii="仿宋" w:hAnsi="仿宋" w:eastAsia="仿宋"/>
          <w:color w:val="auto"/>
          <w:sz w:val="24"/>
          <w:szCs w:val="22"/>
        </w:rPr>
        <w:t>驻场服务</w:t>
      </w:r>
    </w:p>
    <w:p>
      <w:pPr>
        <w:spacing w:line="360" w:lineRule="auto"/>
        <w:ind w:firstLine="480" w:firstLineChars="200"/>
        <w:rPr>
          <w:rFonts w:ascii="仿宋" w:hAnsi="仿宋" w:eastAsia="仿宋"/>
          <w:bCs/>
          <w:color w:val="auto"/>
          <w:sz w:val="24"/>
          <w:szCs w:val="22"/>
        </w:rPr>
      </w:pPr>
      <w:r>
        <w:rPr>
          <w:rFonts w:ascii="仿宋" w:hAnsi="仿宋" w:eastAsia="仿宋"/>
          <w:bCs/>
          <w:color w:val="auto"/>
          <w:sz w:val="24"/>
          <w:szCs w:val="22"/>
        </w:rPr>
        <w:t>本项目服务期内需提供至少2名</w:t>
      </w:r>
      <w:r>
        <w:rPr>
          <w:rFonts w:hint="eastAsia" w:ascii="仿宋" w:hAnsi="仿宋" w:eastAsia="仿宋"/>
          <w:bCs/>
          <w:color w:val="auto"/>
          <w:sz w:val="24"/>
          <w:szCs w:val="22"/>
        </w:rPr>
        <w:t>本项目专职</w:t>
      </w:r>
      <w:r>
        <w:rPr>
          <w:rFonts w:ascii="仿宋" w:hAnsi="仿宋" w:eastAsia="仿宋"/>
          <w:bCs/>
          <w:color w:val="auto"/>
          <w:sz w:val="24"/>
          <w:szCs w:val="22"/>
        </w:rPr>
        <w:t>长期驻场工程师</w:t>
      </w:r>
      <w:r>
        <w:rPr>
          <w:rFonts w:hint="eastAsia" w:ascii="仿宋" w:hAnsi="仿宋" w:eastAsia="仿宋"/>
          <w:bCs/>
          <w:color w:val="auto"/>
          <w:sz w:val="24"/>
          <w:szCs w:val="22"/>
        </w:rPr>
        <w:t>，未经招标方同意，</w:t>
      </w:r>
      <w:r>
        <w:rPr>
          <w:rFonts w:hint="eastAsia" w:ascii="仿宋" w:hAnsi="仿宋" w:eastAsia="仿宋" w:cs="仿宋"/>
          <w:color w:val="auto"/>
          <w:kern w:val="0"/>
          <w:sz w:val="24"/>
          <w:lang w:val="zh-CN" w:bidi="zh-CN"/>
        </w:rPr>
        <w:t>中标单位</w:t>
      </w:r>
      <w:r>
        <w:rPr>
          <w:rFonts w:hint="eastAsia" w:ascii="仿宋" w:hAnsi="仿宋" w:eastAsia="仿宋"/>
          <w:bCs/>
          <w:color w:val="auto"/>
          <w:sz w:val="24"/>
          <w:szCs w:val="22"/>
        </w:rPr>
        <w:t>不得更换人员。若驻场人员不能有效完成招标方工作要求，自招标方提出更换要求日起3日</w:t>
      </w:r>
      <w:r>
        <w:rPr>
          <w:rFonts w:ascii="仿宋" w:hAnsi="仿宋" w:eastAsia="仿宋"/>
          <w:bCs/>
          <w:color w:val="auto"/>
          <w:sz w:val="24"/>
          <w:szCs w:val="22"/>
        </w:rPr>
        <w:t>内</w:t>
      </w:r>
      <w:r>
        <w:rPr>
          <w:rFonts w:hint="eastAsia" w:ascii="仿宋" w:hAnsi="仿宋" w:eastAsia="仿宋"/>
          <w:bCs/>
          <w:color w:val="auto"/>
          <w:sz w:val="24"/>
          <w:szCs w:val="22"/>
        </w:rPr>
        <w:t>承建商</w:t>
      </w:r>
      <w:r>
        <w:rPr>
          <w:rFonts w:ascii="仿宋" w:hAnsi="仿宋" w:eastAsia="仿宋"/>
          <w:bCs/>
          <w:color w:val="auto"/>
          <w:sz w:val="24"/>
          <w:szCs w:val="22"/>
        </w:rPr>
        <w:t>需更换人员</w:t>
      </w:r>
      <w:r>
        <w:rPr>
          <w:rFonts w:hint="eastAsia" w:ascii="仿宋" w:hAnsi="仿宋" w:eastAsia="仿宋"/>
          <w:bCs/>
          <w:color w:val="auto"/>
          <w:sz w:val="24"/>
          <w:szCs w:val="22"/>
        </w:rPr>
        <w:t>。</w:t>
      </w:r>
    </w:p>
    <w:p>
      <w:pPr>
        <w:spacing w:line="360" w:lineRule="auto"/>
        <w:ind w:firstLine="482"/>
        <w:rPr>
          <w:rFonts w:ascii="仿宋" w:hAnsi="仿宋" w:eastAsia="仿宋"/>
          <w:color w:val="auto"/>
          <w:sz w:val="24"/>
          <w:szCs w:val="22"/>
        </w:rPr>
      </w:pPr>
      <w:r>
        <w:rPr>
          <w:rFonts w:hint="eastAsia" w:ascii="仿宋" w:hAnsi="仿宋" w:eastAsia="仿宋"/>
          <w:bCs/>
          <w:color w:val="auto"/>
          <w:sz w:val="24"/>
          <w:szCs w:val="22"/>
        </w:rPr>
        <w:t>驻场人员日常工作由招标方指定，</w:t>
      </w:r>
      <w:r>
        <w:rPr>
          <w:rFonts w:hint="eastAsia" w:ascii="仿宋" w:hAnsi="仿宋" w:eastAsia="仿宋"/>
          <w:color w:val="auto"/>
          <w:sz w:val="24"/>
          <w:szCs w:val="22"/>
        </w:rPr>
        <w:t>包括但不限于云平台系统软件健康检查、问题处理、周报、容量评估等。</w:t>
      </w:r>
    </w:p>
    <w:p>
      <w:pPr>
        <w:keepNext/>
        <w:keepLines/>
        <w:spacing w:line="360" w:lineRule="auto"/>
        <w:rPr>
          <w:rFonts w:ascii="仿宋" w:hAnsi="仿宋" w:eastAsia="仿宋"/>
          <w:b/>
          <w:bCs/>
          <w:color w:val="auto"/>
          <w:kern w:val="44"/>
          <w:sz w:val="28"/>
          <w:szCs w:val="44"/>
        </w:rPr>
      </w:pPr>
      <w:r>
        <w:rPr>
          <w:rFonts w:hint="eastAsia" w:ascii="仿宋" w:hAnsi="仿宋" w:eastAsia="仿宋"/>
          <w:b/>
          <w:bCs/>
          <w:color w:val="auto"/>
          <w:kern w:val="44"/>
          <w:sz w:val="28"/>
          <w:szCs w:val="44"/>
        </w:rPr>
        <w:t>6.</w:t>
      </w:r>
      <w:r>
        <w:rPr>
          <w:rFonts w:hint="eastAsia" w:ascii="仿宋" w:hAnsi="仿宋" w:eastAsia="仿宋" w:cs="仿宋"/>
          <w:color w:val="auto"/>
          <w:kern w:val="0"/>
          <w:sz w:val="20"/>
          <w:szCs w:val="20"/>
        </w:rPr>
        <w:t>▲</w:t>
      </w:r>
      <w:r>
        <w:rPr>
          <w:rFonts w:hint="eastAsia" w:ascii="仿宋" w:hAnsi="仿宋" w:eastAsia="仿宋"/>
          <w:b/>
          <w:bCs/>
          <w:color w:val="auto"/>
          <w:kern w:val="44"/>
          <w:sz w:val="28"/>
          <w:szCs w:val="44"/>
        </w:rPr>
        <w:t>培训要求</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w:t>
      </w:r>
      <w:r>
        <w:rPr>
          <w:rFonts w:ascii="仿宋" w:hAnsi="仿宋" w:eastAsia="仿宋"/>
          <w:color w:val="auto"/>
          <w:sz w:val="24"/>
          <w:szCs w:val="22"/>
        </w:rPr>
        <w:t>1</w:t>
      </w:r>
      <w:r>
        <w:rPr>
          <w:rFonts w:hint="eastAsia" w:ascii="仿宋" w:hAnsi="仿宋" w:eastAsia="仿宋"/>
          <w:color w:val="auto"/>
          <w:sz w:val="24"/>
          <w:szCs w:val="22"/>
        </w:rPr>
        <w:t>）培训时间和地点：由招标方指定。</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w:t>
      </w:r>
      <w:r>
        <w:rPr>
          <w:rFonts w:ascii="仿宋" w:hAnsi="仿宋" w:eastAsia="仿宋"/>
          <w:color w:val="auto"/>
          <w:sz w:val="24"/>
          <w:szCs w:val="22"/>
        </w:rPr>
        <w:t>2</w:t>
      </w:r>
      <w:r>
        <w:rPr>
          <w:rFonts w:hint="eastAsia" w:ascii="仿宋" w:hAnsi="仿宋" w:eastAsia="仿宋"/>
          <w:color w:val="auto"/>
          <w:sz w:val="24"/>
          <w:szCs w:val="22"/>
        </w:rPr>
        <w:t>）培训内容</w:t>
      </w:r>
      <w:r>
        <w:rPr>
          <w:rFonts w:ascii="仿宋" w:hAnsi="仿宋" w:eastAsia="仿宋"/>
          <w:color w:val="auto"/>
          <w:sz w:val="24"/>
          <w:szCs w:val="22"/>
        </w:rPr>
        <w:t>包括但不限于不限人数的用户现场技术培训、不少于50</w:t>
      </w:r>
      <w:r>
        <w:rPr>
          <w:rFonts w:hint="eastAsia" w:ascii="仿宋" w:hAnsi="仿宋" w:eastAsia="仿宋"/>
          <w:color w:val="auto"/>
          <w:sz w:val="24"/>
          <w:szCs w:val="22"/>
        </w:rPr>
        <w:t>人</w:t>
      </w:r>
      <w:r>
        <w:rPr>
          <w:rFonts w:ascii="仿宋" w:hAnsi="仿宋" w:eastAsia="仿宋"/>
          <w:color w:val="auto"/>
          <w:sz w:val="24"/>
          <w:szCs w:val="22"/>
        </w:rPr>
        <w:t>天的课程</w:t>
      </w:r>
      <w:r>
        <w:rPr>
          <w:rFonts w:hint="eastAsia" w:ascii="仿宋" w:hAnsi="仿宋" w:eastAsia="仿宋"/>
          <w:color w:val="auto"/>
          <w:sz w:val="24"/>
          <w:szCs w:val="22"/>
        </w:rPr>
        <w:t>集中培</w:t>
      </w:r>
      <w:r>
        <w:rPr>
          <w:rFonts w:ascii="仿宋" w:hAnsi="仿宋" w:eastAsia="仿宋"/>
          <w:color w:val="auto"/>
          <w:sz w:val="24"/>
          <w:szCs w:val="22"/>
        </w:rPr>
        <w:t>训（</w:t>
      </w:r>
      <w:r>
        <w:rPr>
          <w:rFonts w:hint="eastAsia" w:ascii="仿宋" w:hAnsi="仿宋" w:eastAsia="仿宋"/>
          <w:color w:val="auto"/>
          <w:sz w:val="24"/>
          <w:szCs w:val="22"/>
        </w:rPr>
        <w:t>包括云平台产品使用培训、各项产品操作技能等</w:t>
      </w:r>
      <w:r>
        <w:rPr>
          <w:rFonts w:ascii="仿宋" w:hAnsi="仿宋" w:eastAsia="仿宋"/>
          <w:color w:val="auto"/>
          <w:sz w:val="24"/>
          <w:szCs w:val="22"/>
        </w:rPr>
        <w:t>）；提供相关软件说明文档、管理和配置指南手册、使用手册和故障定位/排除指南手册</w:t>
      </w:r>
      <w:r>
        <w:rPr>
          <w:rFonts w:hint="eastAsia" w:ascii="仿宋" w:hAnsi="仿宋" w:eastAsia="仿宋"/>
          <w:color w:val="auto"/>
          <w:sz w:val="24"/>
          <w:szCs w:val="22"/>
        </w:rPr>
        <w:t>。</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w:t>
      </w:r>
      <w:r>
        <w:rPr>
          <w:rFonts w:ascii="仿宋" w:hAnsi="仿宋" w:eastAsia="仿宋"/>
          <w:color w:val="auto"/>
          <w:sz w:val="24"/>
          <w:szCs w:val="22"/>
        </w:rPr>
        <w:t>3</w:t>
      </w:r>
      <w:r>
        <w:rPr>
          <w:rFonts w:hint="eastAsia" w:ascii="仿宋" w:hAnsi="仿宋" w:eastAsia="仿宋"/>
          <w:color w:val="auto"/>
          <w:sz w:val="24"/>
          <w:szCs w:val="22"/>
        </w:rPr>
        <w:t>）</w:t>
      </w:r>
      <w:r>
        <w:rPr>
          <w:rFonts w:ascii="仿宋" w:hAnsi="仿宋" w:eastAsia="仿宋"/>
          <w:color w:val="auto"/>
          <w:sz w:val="24"/>
          <w:szCs w:val="22"/>
        </w:rPr>
        <w:t>投标人须根据本次招标内容提供全面、详细的培训方案和培训计划，提供有经验的授课教师和标准化的培训课程</w:t>
      </w:r>
      <w:r>
        <w:rPr>
          <w:rFonts w:hint="eastAsia" w:ascii="仿宋" w:hAnsi="仿宋" w:eastAsia="仿宋"/>
          <w:color w:val="auto"/>
          <w:sz w:val="24"/>
          <w:szCs w:val="22"/>
        </w:rPr>
        <w:t>。</w:t>
      </w:r>
    </w:p>
    <w:p>
      <w:pPr>
        <w:keepNext/>
        <w:keepLines/>
        <w:spacing w:line="360" w:lineRule="auto"/>
        <w:rPr>
          <w:rFonts w:ascii="仿宋" w:hAnsi="仿宋" w:eastAsia="仿宋"/>
          <w:b/>
          <w:bCs/>
          <w:color w:val="auto"/>
          <w:kern w:val="44"/>
          <w:sz w:val="28"/>
          <w:szCs w:val="44"/>
        </w:rPr>
      </w:pPr>
      <w:r>
        <w:rPr>
          <w:rFonts w:hint="eastAsia" w:ascii="仿宋" w:hAnsi="仿宋" w:eastAsia="仿宋"/>
          <w:b/>
          <w:bCs/>
          <w:color w:val="auto"/>
          <w:kern w:val="44"/>
          <w:sz w:val="28"/>
          <w:szCs w:val="44"/>
        </w:rPr>
        <w:t>7.</w:t>
      </w:r>
      <w:r>
        <w:rPr>
          <w:rFonts w:hint="eastAsia" w:ascii="仿宋" w:hAnsi="仿宋" w:eastAsia="仿宋" w:cs="仿宋"/>
          <w:color w:val="auto"/>
          <w:kern w:val="0"/>
          <w:sz w:val="20"/>
          <w:szCs w:val="20"/>
        </w:rPr>
        <w:t>▲</w:t>
      </w:r>
      <w:r>
        <w:rPr>
          <w:rFonts w:hint="eastAsia" w:ascii="仿宋" w:hAnsi="仿宋" w:eastAsia="仿宋"/>
          <w:b/>
          <w:bCs/>
          <w:color w:val="auto"/>
          <w:kern w:val="44"/>
          <w:sz w:val="28"/>
          <w:szCs w:val="44"/>
        </w:rPr>
        <w:t>维护及技术支持要求</w:t>
      </w:r>
    </w:p>
    <w:p>
      <w:pPr>
        <w:numPr>
          <w:ilvl w:val="0"/>
          <w:numId w:val="78"/>
        </w:numPr>
        <w:spacing w:line="360" w:lineRule="auto"/>
        <w:ind w:left="397" w:firstLine="0"/>
        <w:rPr>
          <w:rFonts w:ascii="仿宋" w:hAnsi="仿宋" w:eastAsia="仿宋" w:cs="仿宋"/>
          <w:color w:val="auto"/>
          <w:sz w:val="24"/>
        </w:rPr>
      </w:pPr>
      <w:r>
        <w:rPr>
          <w:rFonts w:hint="eastAsia" w:ascii="仿宋" w:hAnsi="仿宋" w:eastAsia="仿宋" w:cs="仿宋"/>
          <w:color w:val="auto"/>
          <w:sz w:val="24"/>
        </w:rPr>
        <w:t>针对所有软件，中标人应提供项目供货后2年的免费维保服务。</w:t>
      </w:r>
    </w:p>
    <w:p>
      <w:pPr>
        <w:numPr>
          <w:ilvl w:val="0"/>
          <w:numId w:val="78"/>
        </w:numPr>
        <w:spacing w:line="360" w:lineRule="auto"/>
        <w:ind w:left="397" w:firstLine="0"/>
        <w:rPr>
          <w:rFonts w:ascii="仿宋" w:hAnsi="仿宋" w:eastAsia="仿宋" w:cs="仿宋"/>
          <w:color w:val="auto"/>
          <w:sz w:val="24"/>
        </w:rPr>
      </w:pPr>
      <w:r>
        <w:rPr>
          <w:rFonts w:hint="eastAsia" w:ascii="仿宋" w:hAnsi="仿宋" w:eastAsia="仿宋" w:cs="仿宋"/>
          <w:color w:val="auto"/>
          <w:sz w:val="24"/>
        </w:rPr>
        <w:t>在软件维保期内，中标人应提供灵活、多样的通信手段（包括但不限于场地、设备及人员、专用服务电话），提供7*24小时的响应服务，保证在任何时候招标方人员都能及时找到中标人的服务人员。如遇驻场人员无法解决的问题或招标方认为需要，中标人的技术人员应在12小时内赶到现场支持。</w:t>
      </w:r>
    </w:p>
    <w:p>
      <w:pPr>
        <w:numPr>
          <w:ilvl w:val="0"/>
          <w:numId w:val="78"/>
        </w:numPr>
        <w:spacing w:line="360" w:lineRule="auto"/>
        <w:ind w:left="397" w:firstLine="0"/>
        <w:rPr>
          <w:rFonts w:ascii="仿宋" w:hAnsi="仿宋" w:eastAsia="仿宋" w:cs="仿宋"/>
          <w:color w:val="auto"/>
          <w:sz w:val="24"/>
        </w:rPr>
      </w:pPr>
      <w:r>
        <w:rPr>
          <w:rFonts w:hint="eastAsia" w:ascii="仿宋" w:hAnsi="仿宋" w:eastAsia="仿宋" w:cs="仿宋"/>
          <w:color w:val="auto"/>
          <w:sz w:val="24"/>
        </w:rPr>
        <w:t>所供软件出现问题时，其响应时间不超过15分钟，一般故障处理时间不大于2小时；特殊情况下，故障修复时间不大于12小时。</w:t>
      </w:r>
    </w:p>
    <w:p>
      <w:pPr>
        <w:numPr>
          <w:ilvl w:val="0"/>
          <w:numId w:val="78"/>
        </w:numPr>
        <w:spacing w:line="360" w:lineRule="auto"/>
        <w:ind w:left="397" w:firstLine="0"/>
        <w:rPr>
          <w:rFonts w:ascii="仿宋" w:hAnsi="仿宋" w:eastAsia="仿宋" w:cs="仿宋"/>
          <w:color w:val="auto"/>
          <w:sz w:val="24"/>
        </w:rPr>
      </w:pPr>
      <w:r>
        <w:rPr>
          <w:rFonts w:hint="eastAsia" w:ascii="仿宋" w:hAnsi="仿宋" w:eastAsia="仿宋" w:cs="仿宋"/>
          <w:color w:val="auto"/>
          <w:sz w:val="24"/>
        </w:rPr>
        <w:t>中标人应提供排除故障响应的具体流程。</w:t>
      </w:r>
    </w:p>
    <w:p>
      <w:pPr>
        <w:widowControl/>
        <w:numPr>
          <w:ilvl w:val="0"/>
          <w:numId w:val="78"/>
        </w:numPr>
        <w:spacing w:line="360" w:lineRule="auto"/>
        <w:ind w:left="397" w:firstLine="0"/>
        <w:jc w:val="left"/>
        <w:rPr>
          <w:rFonts w:ascii="仿宋" w:hAnsi="仿宋" w:eastAsia="仿宋" w:cs="仿宋"/>
          <w:color w:val="auto"/>
          <w:sz w:val="24"/>
        </w:rPr>
      </w:pPr>
      <w:r>
        <w:rPr>
          <w:rFonts w:hint="eastAsia" w:ascii="仿宋" w:hAnsi="仿宋" w:eastAsia="仿宋" w:cs="仿宋"/>
          <w:color w:val="auto"/>
          <w:sz w:val="24"/>
        </w:rPr>
        <w:t>中标人应在项目方案中说明技术指导和技术支持的范围和程度，中标人应提供技术服务流程，技术服务内容和价格清单，若维保期内与期外不同，则应分别列出。</w:t>
      </w:r>
    </w:p>
    <w:p>
      <w:pPr>
        <w:keepNext/>
        <w:keepLines/>
        <w:spacing w:line="360" w:lineRule="auto"/>
        <w:rPr>
          <w:rFonts w:ascii="仿宋" w:hAnsi="仿宋" w:eastAsia="仿宋"/>
          <w:b/>
          <w:bCs/>
          <w:color w:val="auto"/>
          <w:kern w:val="44"/>
          <w:sz w:val="28"/>
          <w:szCs w:val="44"/>
        </w:rPr>
      </w:pPr>
      <w:r>
        <w:rPr>
          <w:rFonts w:hint="eastAsia" w:ascii="仿宋" w:hAnsi="仿宋" w:eastAsia="仿宋"/>
          <w:b/>
          <w:bCs/>
          <w:color w:val="auto"/>
          <w:kern w:val="44"/>
          <w:sz w:val="28"/>
          <w:szCs w:val="44"/>
        </w:rPr>
        <w:t>8.</w:t>
      </w:r>
      <w:r>
        <w:rPr>
          <w:rFonts w:hint="eastAsia" w:ascii="仿宋" w:hAnsi="仿宋" w:eastAsia="仿宋" w:cs="仿宋"/>
          <w:color w:val="auto"/>
          <w:kern w:val="0"/>
          <w:sz w:val="20"/>
          <w:szCs w:val="20"/>
        </w:rPr>
        <w:t>▲</w:t>
      </w:r>
      <w:r>
        <w:rPr>
          <w:rFonts w:hint="eastAsia" w:ascii="仿宋" w:hAnsi="仿宋" w:eastAsia="仿宋"/>
          <w:b/>
          <w:bCs/>
          <w:color w:val="auto"/>
          <w:kern w:val="44"/>
          <w:sz w:val="28"/>
          <w:szCs w:val="44"/>
        </w:rPr>
        <w:t>软件安全要求</w:t>
      </w:r>
    </w:p>
    <w:p>
      <w:pPr>
        <w:autoSpaceDE w:val="0"/>
        <w:autoSpaceDN w:val="0"/>
        <w:spacing w:line="360" w:lineRule="auto"/>
        <w:ind w:firstLine="480"/>
        <w:rPr>
          <w:rFonts w:ascii="仿宋" w:hAnsi="仿宋" w:eastAsia="仿宋" w:cs="仿宋"/>
          <w:color w:val="auto"/>
          <w:sz w:val="24"/>
        </w:rPr>
      </w:pPr>
      <w:r>
        <w:rPr>
          <w:rFonts w:hint="eastAsia" w:ascii="仿宋" w:hAnsi="仿宋" w:eastAsia="仿宋" w:cs="仿宋"/>
          <w:color w:val="auto"/>
          <w:sz w:val="24"/>
        </w:rPr>
        <w:t>（1）投标方须严格按照国家医疗保障局《医保信息系统安全开发规范》要求组织系统开发和实施，并符合《信息安全技术网络安全等级保护基本要求》（GB/T 22239一2019）三级安全要求。</w:t>
      </w:r>
    </w:p>
    <w:p>
      <w:pPr>
        <w:widowControl/>
        <w:spacing w:line="360" w:lineRule="auto"/>
        <w:ind w:left="220" w:leftChars="105" w:firstLine="240" w:firstLineChars="100"/>
        <w:jc w:val="left"/>
        <w:rPr>
          <w:rFonts w:ascii="仿宋" w:hAnsi="仿宋" w:eastAsia="仿宋"/>
          <w:color w:val="auto"/>
          <w:sz w:val="24"/>
        </w:rPr>
      </w:pPr>
      <w:r>
        <w:rPr>
          <w:rFonts w:hint="eastAsia" w:ascii="仿宋" w:hAnsi="仿宋" w:eastAsia="仿宋"/>
          <w:color w:val="auto"/>
          <w:sz w:val="24"/>
        </w:rPr>
        <w:t>（2）投标方所开发的系统须符合《信息系统密码应用基本要求》。</w:t>
      </w:r>
    </w:p>
    <w:p>
      <w:pPr>
        <w:keepNext/>
        <w:keepLines/>
        <w:spacing w:line="360" w:lineRule="auto"/>
        <w:rPr>
          <w:rFonts w:ascii="仿宋" w:hAnsi="仿宋" w:eastAsia="仿宋"/>
          <w:b/>
          <w:bCs/>
          <w:color w:val="auto"/>
          <w:kern w:val="44"/>
          <w:sz w:val="28"/>
          <w:szCs w:val="44"/>
        </w:rPr>
      </w:pPr>
      <w:r>
        <w:rPr>
          <w:rFonts w:hint="eastAsia" w:ascii="仿宋" w:hAnsi="仿宋" w:eastAsia="仿宋"/>
          <w:b/>
          <w:bCs/>
          <w:color w:val="auto"/>
          <w:kern w:val="44"/>
          <w:sz w:val="28"/>
          <w:szCs w:val="44"/>
        </w:rPr>
        <w:t>9.</w:t>
      </w:r>
      <w:r>
        <w:rPr>
          <w:rFonts w:hint="eastAsia" w:ascii="仿宋" w:hAnsi="仿宋" w:eastAsia="仿宋" w:cs="仿宋"/>
          <w:color w:val="auto"/>
          <w:kern w:val="0"/>
          <w:sz w:val="20"/>
          <w:szCs w:val="20"/>
        </w:rPr>
        <w:t>▲</w:t>
      </w:r>
      <w:r>
        <w:rPr>
          <w:rFonts w:hint="eastAsia" w:ascii="仿宋" w:hAnsi="仿宋" w:eastAsia="仿宋"/>
          <w:b/>
          <w:bCs/>
          <w:color w:val="auto"/>
          <w:kern w:val="44"/>
          <w:sz w:val="28"/>
          <w:szCs w:val="44"/>
        </w:rPr>
        <w:t>项目计划要求</w:t>
      </w:r>
    </w:p>
    <w:p>
      <w:pPr>
        <w:autoSpaceDE w:val="0"/>
        <w:autoSpaceDN w:val="0"/>
        <w:spacing w:line="360" w:lineRule="auto"/>
        <w:ind w:firstLine="480" w:firstLineChars="200"/>
        <w:rPr>
          <w:rFonts w:ascii="仿宋" w:hAnsi="仿宋" w:eastAsia="仿宋" w:cs="宋体"/>
          <w:color w:val="auto"/>
          <w:kern w:val="0"/>
          <w:sz w:val="24"/>
          <w:lang w:val="zh-CN"/>
        </w:rPr>
      </w:pPr>
      <w:r>
        <w:rPr>
          <w:rFonts w:hint="eastAsia" w:ascii="仿宋" w:hAnsi="仿宋" w:eastAsia="仿宋" w:cs="宋体"/>
          <w:color w:val="auto"/>
          <w:kern w:val="0"/>
          <w:sz w:val="24"/>
        </w:rPr>
        <w:t>（1）</w:t>
      </w:r>
      <w:r>
        <w:rPr>
          <w:rFonts w:hint="eastAsia" w:ascii="仿宋" w:hAnsi="仿宋" w:eastAsia="仿宋" w:cs="宋体"/>
          <w:color w:val="auto"/>
          <w:kern w:val="0"/>
          <w:sz w:val="24"/>
          <w:lang w:val="zh-CN"/>
        </w:rPr>
        <w:t>服务期限：签订合同之日起至2021年</w:t>
      </w:r>
      <w:r>
        <w:rPr>
          <w:rFonts w:hint="eastAsia" w:ascii="仿宋" w:hAnsi="仿宋" w:eastAsia="仿宋" w:cs="宋体"/>
          <w:color w:val="auto"/>
          <w:kern w:val="0"/>
          <w:sz w:val="24"/>
        </w:rPr>
        <w:t>6</w:t>
      </w:r>
      <w:r>
        <w:rPr>
          <w:rFonts w:hint="eastAsia" w:ascii="仿宋" w:hAnsi="仿宋" w:eastAsia="仿宋" w:cs="宋体"/>
          <w:color w:val="auto"/>
          <w:kern w:val="0"/>
          <w:sz w:val="24"/>
          <w:lang w:val="zh-CN"/>
        </w:rPr>
        <w:t>底前完成系统初验，进入试运行，试运行期至少3个月，2021年底前完成系统终验。</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（2）在工程实施全过程中，招</w:t>
      </w:r>
      <w:r>
        <w:rPr>
          <w:rFonts w:hint="eastAsia" w:ascii="仿宋" w:hAnsi="仿宋" w:eastAsia="仿宋" w:cs="仿宋"/>
          <w:bCs/>
          <w:color w:val="auto"/>
          <w:sz w:val="24"/>
        </w:rPr>
        <w:t>标</w:t>
      </w:r>
      <w:r>
        <w:rPr>
          <w:rFonts w:hint="eastAsia" w:ascii="仿宋" w:hAnsi="仿宋" w:eastAsia="仿宋" w:cs="仿宋"/>
          <w:color w:val="auto"/>
          <w:sz w:val="24"/>
        </w:rPr>
        <w:t>方有对工程质量进行监督控制的职责和权利，中标人应按照项目管理要求进行严格的质量控制，并制定详细合理的沟通计划，至少包括周报、月报和项目例会，应确保双方能及时了解所需的信息。</w:t>
      </w:r>
    </w:p>
    <w:p>
      <w:pPr>
        <w:keepNext/>
        <w:keepLines/>
        <w:spacing w:line="360" w:lineRule="auto"/>
        <w:rPr>
          <w:rFonts w:ascii="仿宋" w:hAnsi="仿宋" w:eastAsia="仿宋"/>
          <w:b/>
          <w:bCs/>
          <w:color w:val="auto"/>
          <w:kern w:val="44"/>
          <w:sz w:val="28"/>
          <w:szCs w:val="44"/>
        </w:rPr>
      </w:pPr>
      <w:r>
        <w:rPr>
          <w:rFonts w:hint="eastAsia" w:ascii="仿宋" w:hAnsi="仿宋" w:eastAsia="仿宋"/>
          <w:b/>
          <w:bCs/>
          <w:color w:val="auto"/>
          <w:kern w:val="44"/>
          <w:sz w:val="28"/>
          <w:szCs w:val="44"/>
        </w:rPr>
        <w:t>10.</w:t>
      </w:r>
      <w:r>
        <w:rPr>
          <w:rFonts w:hint="eastAsia" w:ascii="仿宋" w:hAnsi="仿宋" w:eastAsia="仿宋" w:cs="仿宋"/>
          <w:color w:val="auto"/>
          <w:kern w:val="0"/>
          <w:sz w:val="20"/>
          <w:szCs w:val="20"/>
        </w:rPr>
        <w:t>▲</w:t>
      </w:r>
      <w:r>
        <w:rPr>
          <w:rFonts w:hint="eastAsia" w:ascii="仿宋" w:hAnsi="仿宋" w:eastAsia="仿宋"/>
          <w:b/>
          <w:bCs/>
          <w:color w:val="auto"/>
          <w:kern w:val="44"/>
          <w:sz w:val="28"/>
          <w:szCs w:val="44"/>
        </w:rPr>
        <w:t>保密要求</w:t>
      </w:r>
    </w:p>
    <w:p>
      <w:pPr>
        <w:snapToGrid w:val="0"/>
        <w:spacing w:line="360" w:lineRule="auto"/>
        <w:ind w:firstLine="480"/>
        <w:contextualSpacing/>
        <w:rPr>
          <w:rFonts w:ascii="仿宋" w:hAnsi="仿宋" w:eastAsia="仿宋" w:cs="仿宋"/>
          <w:color w:val="auto"/>
          <w:sz w:val="24"/>
        </w:rPr>
      </w:pPr>
      <w:r>
        <w:rPr>
          <w:rFonts w:hint="eastAsia" w:ascii="仿宋" w:hAnsi="仿宋" w:eastAsia="仿宋" w:cs="仿宋"/>
          <w:color w:val="auto"/>
          <w:sz w:val="24"/>
        </w:rPr>
        <w:t>中标人(含项目组所有成员)必须对项目技术文件以及由招标人提供的所有内部资料、技术文档、数据和信息予以保密。中标人必须与招标人签订保密协议并严格遵守，未经招标人书面许可，中标人不得以任何形式向第三方透露本项目标书以及本项目的任何内容。</w:t>
      </w:r>
    </w:p>
    <w:p>
      <w:pPr>
        <w:keepNext/>
        <w:keepLines/>
        <w:spacing w:line="360" w:lineRule="auto"/>
        <w:rPr>
          <w:rFonts w:ascii="仿宋" w:hAnsi="仿宋" w:eastAsia="仿宋"/>
          <w:b/>
          <w:bCs/>
          <w:color w:val="auto"/>
          <w:kern w:val="44"/>
          <w:sz w:val="28"/>
          <w:szCs w:val="44"/>
        </w:rPr>
      </w:pPr>
      <w:r>
        <w:rPr>
          <w:rFonts w:hint="eastAsia" w:ascii="仿宋" w:hAnsi="仿宋" w:eastAsia="仿宋"/>
          <w:b/>
          <w:bCs/>
          <w:color w:val="auto"/>
          <w:kern w:val="44"/>
          <w:sz w:val="28"/>
          <w:szCs w:val="44"/>
        </w:rPr>
        <w:t>11.</w:t>
      </w:r>
      <w:r>
        <w:rPr>
          <w:rFonts w:hint="eastAsia" w:ascii="仿宋" w:hAnsi="仿宋" w:eastAsia="仿宋" w:cs="仿宋"/>
          <w:color w:val="auto"/>
          <w:kern w:val="0"/>
          <w:sz w:val="20"/>
          <w:szCs w:val="20"/>
        </w:rPr>
        <w:t>▲</w:t>
      </w:r>
      <w:r>
        <w:rPr>
          <w:rFonts w:hint="eastAsia" w:ascii="仿宋" w:hAnsi="仿宋" w:eastAsia="仿宋"/>
          <w:b/>
          <w:bCs/>
          <w:color w:val="auto"/>
          <w:kern w:val="44"/>
          <w:sz w:val="28"/>
          <w:szCs w:val="44"/>
        </w:rPr>
        <w:t>项目验收标准与要求</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（1）验收组织</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项目验收分为初验和终验，都由招标方组织进行。</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（2）初验流程</w:t>
      </w:r>
    </w:p>
    <w:p>
      <w:pPr>
        <w:spacing w:line="360" w:lineRule="auto"/>
        <w:ind w:firstLine="720" w:firstLineChars="300"/>
        <w:rPr>
          <w:rFonts w:ascii="仿宋" w:hAnsi="仿宋" w:eastAsia="仿宋"/>
          <w:color w:val="auto"/>
          <w:sz w:val="24"/>
          <w:szCs w:val="22"/>
        </w:rPr>
      </w:pPr>
      <w:r>
        <w:rPr>
          <w:rFonts w:ascii="仿宋" w:hAnsi="仿宋" w:eastAsia="仿宋"/>
          <w:color w:val="auto"/>
          <w:sz w:val="24"/>
          <w:szCs w:val="22"/>
        </w:rPr>
        <w:t>1）招标方依据相关批复文件、招标采购文件、合同</w:t>
      </w:r>
      <w:r>
        <w:rPr>
          <w:rFonts w:hint="eastAsia" w:ascii="仿宋" w:hAnsi="仿宋" w:eastAsia="仿宋"/>
          <w:color w:val="auto"/>
          <w:sz w:val="24"/>
          <w:szCs w:val="22"/>
        </w:rPr>
        <w:t>，</w:t>
      </w:r>
      <w:r>
        <w:rPr>
          <w:rFonts w:ascii="仿宋" w:hAnsi="仿宋" w:eastAsia="仿宋"/>
          <w:color w:val="auto"/>
          <w:sz w:val="24"/>
          <w:szCs w:val="22"/>
        </w:rPr>
        <w:t>对项目的工程、技术、财务和档案等进行验收，形成验收报告。</w:t>
      </w:r>
    </w:p>
    <w:p>
      <w:pPr>
        <w:spacing w:line="360" w:lineRule="auto"/>
        <w:ind w:firstLine="720" w:firstLineChars="300"/>
        <w:rPr>
          <w:rFonts w:ascii="仿宋" w:hAnsi="仿宋" w:eastAsia="仿宋"/>
          <w:color w:val="auto"/>
          <w:sz w:val="24"/>
          <w:szCs w:val="22"/>
        </w:rPr>
      </w:pPr>
      <w:r>
        <w:rPr>
          <w:rFonts w:ascii="仿宋" w:hAnsi="仿宋" w:eastAsia="仿宋"/>
          <w:color w:val="auto"/>
          <w:sz w:val="24"/>
          <w:szCs w:val="22"/>
        </w:rPr>
        <w:t>2）项目初验后进入试运行，试运行期至少3个月。</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（3）终验流程</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招标方组织成立验收组，负责开展终验的先期基础性工作，重点检查项目建设、设计、监理、施工、招标采购、档案资料、预（概）算执行和财务决算等情况，提出验收评价意见和建议。</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（4）验收内容</w:t>
      </w:r>
    </w:p>
    <w:p>
      <w:pPr>
        <w:spacing w:line="360" w:lineRule="auto"/>
        <w:ind w:firstLine="720" w:firstLineChars="300"/>
        <w:rPr>
          <w:rFonts w:ascii="仿宋" w:hAnsi="仿宋" w:eastAsia="仿宋"/>
          <w:color w:val="auto"/>
          <w:sz w:val="24"/>
          <w:szCs w:val="22"/>
        </w:rPr>
      </w:pPr>
      <w:r>
        <w:rPr>
          <w:rFonts w:ascii="仿宋" w:hAnsi="仿宋" w:eastAsia="仿宋"/>
          <w:color w:val="auto"/>
          <w:sz w:val="24"/>
          <w:szCs w:val="22"/>
        </w:rPr>
        <w:t>1）审查项目的建设目标、规模、内容、质量及资金使用等情况。</w:t>
      </w:r>
    </w:p>
    <w:p>
      <w:pPr>
        <w:spacing w:line="360" w:lineRule="auto"/>
        <w:ind w:firstLine="720" w:firstLineChars="300"/>
        <w:rPr>
          <w:rFonts w:ascii="仿宋" w:hAnsi="仿宋" w:eastAsia="仿宋"/>
          <w:color w:val="auto"/>
          <w:sz w:val="24"/>
          <w:szCs w:val="22"/>
        </w:rPr>
      </w:pPr>
      <w:r>
        <w:rPr>
          <w:rFonts w:ascii="仿宋" w:hAnsi="仿宋" w:eastAsia="仿宋"/>
          <w:color w:val="auto"/>
          <w:sz w:val="24"/>
          <w:szCs w:val="22"/>
        </w:rPr>
        <w:t>2）审核项目形成的资产情况。</w:t>
      </w:r>
    </w:p>
    <w:p>
      <w:pPr>
        <w:spacing w:line="360" w:lineRule="auto"/>
        <w:ind w:firstLine="720" w:firstLineChars="300"/>
        <w:rPr>
          <w:rFonts w:ascii="仿宋" w:hAnsi="仿宋" w:eastAsia="仿宋"/>
          <w:color w:val="auto"/>
          <w:sz w:val="24"/>
          <w:szCs w:val="22"/>
        </w:rPr>
      </w:pPr>
      <w:r>
        <w:rPr>
          <w:rFonts w:ascii="仿宋" w:hAnsi="仿宋" w:eastAsia="仿宋"/>
          <w:color w:val="auto"/>
          <w:sz w:val="24"/>
          <w:szCs w:val="22"/>
        </w:rPr>
        <w:t>3）评价项目交付使用情况。</w:t>
      </w:r>
    </w:p>
    <w:p>
      <w:pPr>
        <w:spacing w:line="360" w:lineRule="auto"/>
        <w:ind w:firstLine="720" w:firstLineChars="300"/>
        <w:rPr>
          <w:rFonts w:ascii="仿宋" w:hAnsi="仿宋" w:eastAsia="仿宋"/>
          <w:color w:val="auto"/>
          <w:sz w:val="24"/>
          <w:szCs w:val="22"/>
        </w:rPr>
      </w:pPr>
      <w:r>
        <w:rPr>
          <w:rFonts w:ascii="仿宋" w:hAnsi="仿宋" w:eastAsia="仿宋"/>
          <w:color w:val="auto"/>
          <w:sz w:val="24"/>
          <w:szCs w:val="22"/>
        </w:rPr>
        <w:t>4）检查项目建设单位执行国家法律、法规情况。</w:t>
      </w:r>
    </w:p>
    <w:p>
      <w:pPr>
        <w:spacing w:line="360" w:lineRule="auto"/>
        <w:ind w:firstLine="480" w:firstLineChars="200"/>
        <w:rPr>
          <w:rFonts w:ascii="仿宋" w:hAnsi="仿宋" w:eastAsia="仿宋"/>
          <w:color w:val="auto"/>
          <w:sz w:val="24"/>
          <w:szCs w:val="22"/>
        </w:rPr>
      </w:pPr>
      <w:r>
        <w:rPr>
          <w:rFonts w:hint="eastAsia" w:ascii="仿宋" w:hAnsi="仿宋" w:eastAsia="仿宋"/>
          <w:color w:val="auto"/>
          <w:sz w:val="24"/>
          <w:szCs w:val="22"/>
        </w:rPr>
        <w:t>（5）验收相关材料</w:t>
      </w:r>
    </w:p>
    <w:p>
      <w:pPr>
        <w:spacing w:line="360" w:lineRule="auto"/>
        <w:ind w:firstLine="480" w:firstLineChars="200"/>
        <w:rPr>
          <w:rFonts w:ascii="仿宋" w:hAnsi="仿宋" w:eastAsia="仿宋"/>
          <w:bCs/>
          <w:color w:val="auto"/>
          <w:kern w:val="0"/>
          <w:sz w:val="24"/>
          <w:szCs w:val="22"/>
        </w:rPr>
      </w:pPr>
      <w:r>
        <w:rPr>
          <w:rFonts w:hint="eastAsia" w:ascii="仿宋" w:hAnsi="仿宋" w:eastAsia="仿宋"/>
          <w:color w:val="auto"/>
          <w:sz w:val="24"/>
          <w:szCs w:val="22"/>
        </w:rPr>
        <w:t>中标单位须负责整理并提供以下验收材料，包括但不限于：项目实施方案、项目合同、项目建设总结、项目招标相关文档、项目建设相关文档、初步验收报告、软件测试报告、安全测评报告等。</w:t>
      </w:r>
    </w:p>
    <w:p>
      <w:pPr>
        <w:keepNext/>
        <w:keepLines/>
        <w:spacing w:line="360" w:lineRule="auto"/>
        <w:rPr>
          <w:rFonts w:ascii="仿宋" w:hAnsi="仿宋" w:eastAsia="仿宋"/>
          <w:b/>
          <w:bCs/>
          <w:color w:val="auto"/>
          <w:kern w:val="44"/>
          <w:sz w:val="28"/>
          <w:szCs w:val="44"/>
        </w:rPr>
      </w:pPr>
      <w:r>
        <w:rPr>
          <w:rFonts w:hint="eastAsia" w:ascii="仿宋" w:hAnsi="仿宋" w:eastAsia="仿宋"/>
          <w:b/>
          <w:bCs/>
          <w:color w:val="auto"/>
          <w:kern w:val="44"/>
          <w:sz w:val="28"/>
          <w:szCs w:val="44"/>
        </w:rPr>
        <w:t>12.</w:t>
      </w:r>
      <w:r>
        <w:rPr>
          <w:rFonts w:hint="eastAsia" w:ascii="仿宋" w:hAnsi="仿宋" w:eastAsia="仿宋" w:cs="仿宋"/>
          <w:color w:val="auto"/>
          <w:kern w:val="0"/>
          <w:sz w:val="20"/>
          <w:szCs w:val="20"/>
        </w:rPr>
        <w:t>▲</w:t>
      </w:r>
      <w:r>
        <w:rPr>
          <w:rFonts w:hint="eastAsia" w:ascii="仿宋" w:hAnsi="仿宋" w:eastAsia="仿宋"/>
          <w:b/>
          <w:bCs/>
          <w:color w:val="auto"/>
          <w:kern w:val="44"/>
          <w:sz w:val="28"/>
          <w:szCs w:val="44"/>
        </w:rPr>
        <w:t>其它要求</w:t>
      </w:r>
    </w:p>
    <w:p>
      <w:pPr>
        <w:numPr>
          <w:ilvl w:val="0"/>
          <w:numId w:val="18"/>
        </w:numPr>
        <w:tabs>
          <w:tab w:val="left" w:pos="1301"/>
        </w:tabs>
        <w:autoSpaceDE w:val="0"/>
        <w:autoSpaceDN w:val="0"/>
        <w:spacing w:line="360" w:lineRule="auto"/>
        <w:ind w:right="317" w:firstLine="480"/>
        <w:rPr>
          <w:rFonts w:ascii="仿宋" w:hAnsi="仿宋" w:eastAsia="仿宋"/>
          <w:color w:val="auto"/>
          <w:sz w:val="24"/>
        </w:rPr>
      </w:pPr>
      <w:r>
        <w:rPr>
          <w:rFonts w:hint="eastAsia" w:ascii="仿宋" w:hAnsi="仿宋" w:eastAsia="仿宋"/>
          <w:color w:val="auto"/>
          <w:sz w:val="24"/>
        </w:rPr>
        <w:t>投标方承诺：如投标单位在海南省无分公司或办事处，须承诺中标后在海南省注册分公司或办事处</w:t>
      </w:r>
      <w:r>
        <w:rPr>
          <w:rFonts w:ascii="仿宋" w:hAnsi="仿宋" w:eastAsia="仿宋"/>
          <w:color w:val="auto"/>
          <w:sz w:val="24"/>
        </w:rPr>
        <w:t>。</w:t>
      </w:r>
    </w:p>
    <w:p>
      <w:pPr>
        <w:widowControl/>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（2）</w:t>
      </w:r>
      <w:r>
        <w:rPr>
          <w:rFonts w:hint="eastAsia" w:ascii="仿宋" w:hAnsi="仿宋" w:eastAsia="仿宋"/>
          <w:color w:val="auto"/>
          <w:sz w:val="24"/>
        </w:rPr>
        <w:tab/>
      </w:r>
      <w:r>
        <w:rPr>
          <w:rFonts w:hint="eastAsia" w:ascii="仿宋" w:hAnsi="仿宋" w:eastAsia="仿宋"/>
          <w:color w:val="auto"/>
          <w:sz w:val="24"/>
        </w:rPr>
        <w:t>当招标方有新需求，而本文又未包括或与本文不符时，则应符合招标方新需求；对于招标方尚未有标准的，而本文又未提及的部分，中标人提出其标准，留待双方认可后执行。</w:t>
      </w:r>
    </w:p>
    <w:p>
      <w:pPr>
        <w:widowControl/>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（3）</w:t>
      </w:r>
      <w:r>
        <w:rPr>
          <w:rFonts w:hint="eastAsia" w:ascii="仿宋" w:hAnsi="仿宋" w:eastAsia="仿宋"/>
          <w:color w:val="auto"/>
          <w:sz w:val="24"/>
        </w:rPr>
        <w:tab/>
      </w:r>
      <w:r>
        <w:rPr>
          <w:rFonts w:hint="eastAsia" w:ascii="仿宋" w:hAnsi="仿宋" w:eastAsia="仿宋"/>
          <w:color w:val="auto"/>
          <w:sz w:val="24"/>
        </w:rPr>
        <w:t>中标人应确保其技术建议的可行性以及所提供服务和产品的完整性，若出现由于中标人所提供的服务和产品不全面而导致系统功能无法实现或不能完全实现，由中标人及时无偿补足，并负全部责任。</w:t>
      </w:r>
    </w:p>
    <w:p>
      <w:pPr>
        <w:widowControl/>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（4）</w:t>
      </w:r>
      <w:r>
        <w:rPr>
          <w:rFonts w:hint="eastAsia" w:ascii="仿宋" w:hAnsi="仿宋" w:eastAsia="仿宋"/>
          <w:color w:val="auto"/>
          <w:sz w:val="24"/>
        </w:rPr>
        <w:tab/>
      </w:r>
      <w:r>
        <w:rPr>
          <w:rFonts w:hint="eastAsia" w:ascii="仿宋" w:hAnsi="仿宋" w:eastAsia="仿宋"/>
          <w:color w:val="auto"/>
          <w:sz w:val="24"/>
        </w:rPr>
        <w:t>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widowControl/>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（5）</w:t>
      </w:r>
      <w:r>
        <w:rPr>
          <w:rFonts w:hint="eastAsia" w:ascii="仿宋" w:hAnsi="仿宋" w:eastAsia="仿宋"/>
          <w:color w:val="auto"/>
          <w:sz w:val="24"/>
        </w:rPr>
        <w:tab/>
      </w:r>
      <w:r>
        <w:rPr>
          <w:rFonts w:hint="eastAsia" w:ascii="仿宋" w:hAnsi="仿宋" w:eastAsia="仿宋"/>
          <w:color w:val="auto"/>
          <w:sz w:val="24"/>
        </w:rPr>
        <w:t>投标方承诺承担驻场工程师就餐和相关差旅费用，并提供驻场工程师办公电脑、打印机等设备。</w:t>
      </w:r>
    </w:p>
    <w:p>
      <w:pPr>
        <w:widowControl/>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（6）</w:t>
      </w:r>
      <w:r>
        <w:rPr>
          <w:rFonts w:hint="eastAsia" w:ascii="仿宋" w:hAnsi="仿宋" w:eastAsia="仿宋"/>
          <w:color w:val="auto"/>
          <w:sz w:val="24"/>
        </w:rPr>
        <w:tab/>
      </w:r>
      <w:r>
        <w:rPr>
          <w:rFonts w:hint="eastAsia" w:ascii="仿宋" w:hAnsi="仿宋" w:eastAsia="仿宋"/>
          <w:color w:val="auto"/>
          <w:sz w:val="24"/>
        </w:rPr>
        <w:t>投标方承诺本项目合作终止后1年内，无条件配合招标方进行数据迁移、数据字典提供、数据结构提供、对相关实现方式讲解。</w:t>
      </w:r>
    </w:p>
    <w:p>
      <w:pPr>
        <w:widowControl/>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（7）</w:t>
      </w:r>
      <w:r>
        <w:rPr>
          <w:rFonts w:hint="eastAsia" w:ascii="仿宋" w:hAnsi="仿宋" w:eastAsia="仿宋"/>
          <w:color w:val="auto"/>
          <w:sz w:val="24"/>
        </w:rPr>
        <w:tab/>
      </w:r>
      <w:r>
        <w:rPr>
          <w:rFonts w:hint="eastAsia" w:ascii="仿宋" w:hAnsi="仿宋" w:eastAsia="仿宋"/>
          <w:color w:val="auto"/>
          <w:sz w:val="24"/>
        </w:rPr>
        <w:t>本项目建设内容、需求若有变化，与本文不符的，则按照招标方与投标方友好协商修订为准。</w:t>
      </w:r>
    </w:p>
    <w:p>
      <w:pPr>
        <w:keepNext/>
        <w:keepLines/>
        <w:spacing w:line="360" w:lineRule="auto"/>
        <w:jc w:val="center"/>
        <w:rPr>
          <w:rFonts w:ascii="仿宋" w:hAnsi="仿宋" w:eastAsia="仿宋" w:cs="仿宋"/>
          <w:b/>
          <w:bCs/>
          <w:color w:val="auto"/>
          <w:sz w:val="24"/>
        </w:rPr>
      </w:pPr>
    </w:p>
    <w:p>
      <w:pPr>
        <w:keepNext/>
        <w:keepLines/>
        <w:spacing w:line="360" w:lineRule="auto"/>
        <w:jc w:val="center"/>
        <w:rPr>
          <w:rFonts w:ascii="仿宋" w:hAnsi="仿宋" w:eastAsia="仿宋" w:cs="仿宋"/>
          <w:b/>
          <w:bCs/>
          <w:color w:val="auto"/>
          <w:sz w:val="24"/>
        </w:rPr>
      </w:pPr>
    </w:p>
    <w:p>
      <w:pPr>
        <w:keepNext/>
        <w:keepLines/>
        <w:spacing w:line="360" w:lineRule="auto"/>
        <w:jc w:val="center"/>
        <w:rPr>
          <w:rFonts w:ascii="仿宋" w:hAnsi="仿宋" w:eastAsia="仿宋" w:cs="仿宋"/>
          <w:b/>
          <w:bCs/>
          <w:color w:val="auto"/>
          <w:sz w:val="24"/>
        </w:rPr>
      </w:pPr>
    </w:p>
    <w:p>
      <w:pPr>
        <w:keepNext/>
        <w:keepLines/>
        <w:spacing w:line="360" w:lineRule="auto"/>
        <w:jc w:val="center"/>
        <w:rPr>
          <w:rFonts w:ascii="仿宋" w:hAnsi="仿宋" w:eastAsia="仿宋" w:cs="仿宋"/>
          <w:b/>
          <w:bCs/>
          <w:color w:val="auto"/>
          <w:sz w:val="24"/>
        </w:rPr>
      </w:pPr>
    </w:p>
    <w:p>
      <w:pPr>
        <w:keepNext/>
        <w:keepLines/>
        <w:spacing w:line="360" w:lineRule="auto"/>
        <w:jc w:val="center"/>
        <w:rPr>
          <w:rFonts w:ascii="仿宋" w:hAnsi="仿宋" w:eastAsia="仿宋" w:cs="仿宋"/>
          <w:b/>
          <w:bCs/>
          <w:color w:val="auto"/>
          <w:sz w:val="24"/>
        </w:rPr>
        <w:sectPr>
          <w:pgSz w:w="11906" w:h="16838"/>
          <w:pgMar w:top="1440" w:right="1800" w:bottom="1440" w:left="1800" w:header="851" w:footer="992" w:gutter="0"/>
          <w:cols w:space="425" w:num="1"/>
          <w:docGrid w:type="lines" w:linePitch="312" w:charSpace="0"/>
        </w:sectPr>
      </w:pPr>
    </w:p>
    <w:p>
      <w:pPr>
        <w:keepNext/>
        <w:keepLines/>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10包医保业务终端</w:t>
      </w:r>
    </w:p>
    <w:p>
      <w:pPr>
        <w:spacing w:line="360" w:lineRule="auto"/>
        <w:rPr>
          <w:rFonts w:ascii="仿宋" w:hAnsi="仿宋" w:eastAsia="仿宋" w:cs="仿宋"/>
          <w:color w:val="auto"/>
          <w:sz w:val="24"/>
        </w:rPr>
      </w:pPr>
      <w:r>
        <w:rPr>
          <w:rFonts w:hint="eastAsia" w:ascii="仿宋" w:hAnsi="仿宋" w:eastAsia="仿宋" w:cs="仿宋"/>
          <w:color w:val="auto"/>
          <w:sz w:val="24"/>
        </w:rPr>
        <w:t>1.项目概述</w:t>
      </w:r>
    </w:p>
    <w:p>
      <w:pPr>
        <w:spacing w:line="360" w:lineRule="auto"/>
        <w:ind w:firstLine="480" w:firstLineChars="200"/>
        <w:rPr>
          <w:rFonts w:ascii="仿宋" w:hAnsi="仿宋" w:eastAsia="仿宋" w:cs="仿宋"/>
          <w:color w:val="auto"/>
          <w:sz w:val="24"/>
        </w:rPr>
      </w:pPr>
      <w:bookmarkStart w:id="673" w:name="_Toc34175366"/>
      <w:r>
        <w:rPr>
          <w:rFonts w:hint="eastAsia" w:ascii="仿宋" w:hAnsi="仿宋" w:eastAsia="仿宋" w:cs="仿宋"/>
          <w:color w:val="auto"/>
          <w:sz w:val="24"/>
        </w:rPr>
        <w:t>1.1项目背景</w:t>
      </w:r>
      <w:bookmarkEnd w:id="673"/>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中共中央《深化党和国家机构改革方案》中要求：（三十九）组建国家医疗保障局。医疗保险制度对于保障人民群众就医需求、减轻医药费用负担、提高健康水平有着重要作用。为完善统一的城乡居民基本医疗保险制度和大病保险制度，不断提高医疗保障水平，确保医保资金合理使用、安全可控，推进医疗、医保、医药“三医联动”改革，更好保障病有所医，将人力资源和社会保障部的城镇职工和城镇居民基本医疗保险、生育保险职责，国家卫生和计划生育委员会的新型农村合作医疗职责，国家发展和改革委员会的药品和医疗服务价格管理职责，民政部的医疗救助职责整合，组建国家医疗保障局，作为国务院直属机构。</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为加快推进医保信息化建设，国家医疗保障局印发《关于医疗保障信息化工作的指导意见》的通知（医保发〔2019〕1号），要求到“十三五”期末，初步建成标准统一、数据汇聚、规范协同的“内部管理、业务管理、生产经办、数据分析”四类系统组成的国家医疗保障信息化支撑体系，有效支撑全国医疗保障部门规范、高效、科学履职，支撑构建更加公平、可持续的医疗保障体系，在纵横一体、软硬协同的基础上，实现医疗保障信息化规范高效“大经办”、便捷可及“大服务”、智能精准“大治理”、融合共享“大协作”、在线可用“大数据”、安全可靠“大支撑”六大目标。</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海南省医疗保障局医疗保障信息平台建设遵循全国医疗保障信息化顶层设计和总体规划，依据全国统一的技术标准、业务标准、业务规范，打造医疗保障现代化支撑平台，助力自上而下医疗保障信息化“一盘棋”格局的形成，发挥信息化对医疗保障事业的支撑作用。</w:t>
      </w:r>
    </w:p>
    <w:p>
      <w:pPr>
        <w:spacing w:line="360" w:lineRule="auto"/>
        <w:rPr>
          <w:rFonts w:ascii="仿宋" w:hAnsi="仿宋" w:eastAsia="仿宋" w:cs="仿宋"/>
          <w:color w:val="auto"/>
          <w:sz w:val="24"/>
        </w:rPr>
      </w:pPr>
      <w:bookmarkStart w:id="674" w:name="_Toc34175367"/>
      <w:r>
        <w:rPr>
          <w:rFonts w:hint="eastAsia" w:ascii="仿宋" w:hAnsi="仿宋" w:eastAsia="仿宋" w:cs="仿宋"/>
          <w:color w:val="auto"/>
          <w:sz w:val="24"/>
        </w:rPr>
        <w:t>2.建设目标</w:t>
      </w:r>
      <w:bookmarkEnd w:id="674"/>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以习近平新时代中国特色社会主义思想为指导，全面贯彻党的十九大、十九届二中三中全会精神和2019年全国“两会”精神，认真落实全国医疗保障工作会议座谈会精神，严格遵循《国家医疗保障局医疗保障信息化工作指导意见》及《医疗保障信息平台建设指南》，坚持“千方百计保基本、始终做到可持续、回应社会解民忧、敢于担当推改革”，以医保为龙头带动“三医联动”改革，以信息化建设为抓手推动医保覆盖与医保控费，积极融入医疗保障信息化全国“一盘棋”格局，为逐步构建起全国医保便捷可及“大服务”、规范高效“大经办”、智能精准“大治理”、融合共享“大协作”、在线可用“大数据”、安全可靠“大支撑”信息化支撑体系添枝加叶。</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针对海南地区人口经济发展差异和老龄化严重的社会问题及农垦职工医疗保险基金缺口等历史遗留问题，本项目按照国家医保局标准全国统一、数据两级集中、平台分级部署、网络全面覆盖的医疗保障信息化建设要求，注重顶层设计、统一业务标准、打造基础平台、做好数据汇集、强化协同共享、增强网络安全。依托国家平台与海南省平台之间的协作联通，使用国家下达的中台服务，贯彻表层应用能用即用，国家系统中未设计的表层应用，采用国家统一的中台进行组装的整体思路，建设海南省统一的医疗保障信息平台，实现医保全省统筹统收统支“九统一”的重点工作任务，即： 统一行政管理和稽查执法，统一医保发展规划，统一医保基金收缴，统一医保待遇政策，统一医保支付范围，统一医保基金管理，统一医保经办规程，统一医保定点机构，统一医保信息系统。进一步完善医疗保障制度体系，提升医疗保障基金监管，强化医保支付、深化医药服务价格改革、优化医疗保障管理服务水平，探索常住外籍人员医疗保障办法。发挥信息化对医疗保障事业的支撑作用。解决群众反映强烈的突出问题，不断提高人民群众医疗保障获利感、幸福感和安全感，助力提高医改整体效能同时促进海南自由贸易试验区快速建设和实施健康中国战略。</w:t>
      </w:r>
    </w:p>
    <w:p>
      <w:pPr>
        <w:spacing w:line="360" w:lineRule="auto"/>
        <w:rPr>
          <w:rFonts w:ascii="仿宋" w:hAnsi="仿宋" w:eastAsia="仿宋" w:cs="仿宋"/>
          <w:color w:val="auto"/>
          <w:sz w:val="24"/>
        </w:rPr>
      </w:pPr>
      <w:bookmarkStart w:id="675" w:name="_Toc34175368"/>
      <w:bookmarkStart w:id="676" w:name="_Toc33440750"/>
      <w:r>
        <w:rPr>
          <w:rFonts w:hint="eastAsia" w:ascii="仿宋" w:hAnsi="仿宋" w:eastAsia="仿宋" w:cs="仿宋"/>
          <w:color w:val="auto"/>
          <w:sz w:val="24"/>
        </w:rPr>
        <w:t>3.建设内容</w:t>
      </w:r>
      <w:bookmarkEnd w:id="675"/>
      <w:bookmarkEnd w:id="676"/>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海南省医疗保障信息平台遵循统一设计、统一标准、统一技术架构、统一业务规范，支持横向纵向业务协同、信息共享。依据医疗保障信息平台建设指南，结合海南省医疗保障局实际情况，本期建设内容如下：</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3.1基础设施建设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云基础设施建设：本项目由政务云提供计算资源、存储资源、网络资源、安全资源等各项云基础设施，实现计算资源、存储资源、网络资源的动态管理和资源调配。通过云基础设施为上层应用提供基础设施支撑。依托政务云建设医疗保障局双数据中心，实现业务系统应用级容灾，同时在数据中心本地建设备份系统。</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网络系统建设：依托电子政务外网、互联网，建设双数据中心主备容灾模式的网络系统，两数据中心之间以光纤链路进行交互。本项目网络架构采用spine-leaf结构同时结合VxLAN+SDN技术对整个网络进行管理和配置。</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医保指挥中心建设：建设医保指挥中心，配置大屏、视频会议系统、音视频、网络接入及安全、数字时钟、视频会议室改造、供配电系统、操作台扩声系统、大屏显示系统、中控系统、计算机网络系统、综合布线系统等设备。</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3.2DaaS层建设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Daas层主要承载着各个业务系统的基础业务数据库，各个业务系统的生产数据全部存储在业务系统的生产数据库中，并通过镜像的方式同步到交换库中，从而通过交换库实现纵向与国家医疗保障信息平台交换库的数据交换，横向基于海南省数据交换平台或直连方式实现与海南省自然人库、法人库、电子证照库、地理信息库以及公安、民政、人社、卫健、扶贫、市场监督管理局等相关省级局办委之间的数据共享和交换。</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3.3HSAF框架及云支撑服务</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海南省医疗保障信息平台建设依托“基于统一的技术框架”，包括HSAF（医疗保障应用框架）适配框架以及包括云服务总线、分布式数据库访问服务、分布式缓存在内的多种云支撑服务组件。云支撑服务具体包括分布式服务、消息队列服务、分布式缓存服务、分布式日志服务、分布式数据访问服务、关系型数据库、非结构化存储服务、分布式离线计算、分布式实时计算引擎、流计算引擎和云服务总线等。</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3.4政务中台建设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政务中台包括业务中台和数据中台。</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业务中台包括国家统一下发的分别部署在海南省医疗保障平台核心业务区和公共服务区的25个业务中心。其中省内核心业务区的业务中心包括基本信息中心、用户中心、统一认证中心、政策中心、参保中心、征缴中心、结算中心、电子凭证中心、电子档案中心、消息中心、风控中心、工作流引擎中心、报表中心和招采中心共14个业务中心。公共服务区业务中心包括统一认证中心、用户中心、服务事项中心、CMS中心、咨询中心、电子凭证中心、电子票据中心、消息推送中心、知识库中心、位置管理中心和个人服务中心共11个业务中心。</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数据中台基于数据资源池提供数据综合治理服务和数据计算服务。数据综合治理服务通过数据可视化、数据管理、数据开发等手段构建平台数据综合治理服务能力，实现数据的深度综合治理。数据计算服务通过构建各类数据计算服务能力，搭建机器学习、深度学习、分析预测、决策、计算框架等计算服务能力，为上层业务系统进行数据处理、数据计算、数据分析提供能力保障。</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中台建设内容将根据国家医保局的最新成果进行修订。</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3.5应用系统建设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应用系统包括核心业务区的5个子系统和公共服务区的1个子系统。</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（1）核心业务区建设应用支撑子系统、业务经办子系统、支付方式管理子系统、综合管控子系统、智慧决策子系统等5个子系统。</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应用支撑子系统包括：内部统一门户模块、基础信息管理模块、专家库模块。</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业务经办子系统包括：医保基础业务模块、医疗救助模块、医保扶贫、跨省异地就医管理模块、医疗服务价格管理模块、医保结算收费平台模块。</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支付方式管理子系统做到支付参数与支付执行一致，实现支付方式的统一管理，包括对参保人支付和对医药机构支付两个方面。</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综合管控子系统包括：基金运行及审计监管模块、医疗保障智能监管模块、医保管家模块、内控管理模块、全生命周期档案管理模块。</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智慧决策子系统包括：信用评价管理模块和宏观决策大数据应用模块。</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（2）公共服务区建设公共服务子系统，包括：公共服务模块和医保药品和医用耗材招采管理模块。</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3.6访问入口建设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核心业务区的访问入口主要包括网站和智能终端。对于实现有线连接的经办机构、定点医疗机构使用网站接入，对于电子政务外网暂时无法覆盖的经办机构，暂时未能实现有线接入的定点医疗机构使用VPDN+4G+智能终端的方式接入。</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公共服务区的访问入口支持多种渠道的访问，具体包括国家平台访问入口、海南省政务服务网访问入口、医保局网站、自助终端、小程序、互联网企业等第三方渠道等。</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3.7标准规范体系</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本次海南省医疗保障信息平台建设基于国家统一制定的国家医疗保障信息平台标准体系，结合海南省电子政务外网的接入标准规范、海南省人民政府政务服务中心的接入标准规范、海南省政务服务网等各级各类平台的接入标准规范要求进行建设。实现国家医疗保障信息平台总体标准标准规范体系、总体标准标准业务术语、系统建设标准、系统集成技术标准、网络安全开发标准、信息资源标准、外部系统交互规范、中台管理规范和数据归集标准、业务流程规范、业务管理规范和业务编码标准等12类标准规范的落地。在本项目建设过程中不涉及具体标准规范建设。</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3.8安全运维体系</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本项目参考网络安全法、网络安全等级保护标准等国内相关安全标准并借鉴部署于云平台上信息系统安全防护的最佳实践经验，通过网络安全管理体系、网络安全技术体系和网络安全运营体系的建设，实现风险可控的建设目标。同时，制定运维体系保证信息化业务系统及硬件设施后期的安全稳定运行。</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3.9其他自助终端采购</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包括医保自助一体机，在省本级医保局及每个市县配置；医保高拍仪，在省市县各级经办机构配置。</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3.10数据迁移</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数据迁移是指对原医保相关系统中的医保数据，经过数据整理、环境准备、数据分析转换、数据同步、数据验证与测试等操作，实现原系统中的医保数据在医保新建系统中得到复用的过程。</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数据迁移包括多项工作：旧系统数据字典整理、旧系统数据质量分析、新系统数据字典整理、新旧系统数据差异分析、建立新旧系统数据之间的映射关系、开发部署数据转换与迁移工具/程序/脚本、制定数据转换与迁移的实施方案和应急方案、按方案实施旧系统数据到新系统的转换与迁移工作、检查转换与迁移后数据的完整性与正确性。</w:t>
      </w:r>
    </w:p>
    <w:p>
      <w:pPr>
        <w:spacing w:line="360" w:lineRule="auto"/>
        <w:rPr>
          <w:rFonts w:ascii="仿宋" w:hAnsi="仿宋" w:eastAsia="仿宋" w:cs="仿宋"/>
          <w:b/>
          <w:bCs/>
          <w:color w:val="auto"/>
          <w:sz w:val="24"/>
        </w:rPr>
      </w:pPr>
      <w:bookmarkStart w:id="677" w:name="_Toc33440756"/>
      <w:bookmarkStart w:id="678" w:name="_Toc34175374"/>
      <w:r>
        <w:rPr>
          <w:rFonts w:hint="eastAsia" w:ascii="仿宋" w:hAnsi="仿宋" w:eastAsia="仿宋" w:cs="仿宋"/>
          <w:b/>
          <w:bCs/>
          <w:color w:val="auto"/>
          <w:sz w:val="24"/>
        </w:rPr>
        <w:t>4.采购项目</w:t>
      </w:r>
      <w:bookmarkEnd w:id="677"/>
      <w:bookmarkEnd w:id="678"/>
      <w:r>
        <w:rPr>
          <w:rFonts w:hint="eastAsia" w:ascii="仿宋" w:hAnsi="仿宋" w:eastAsia="仿宋" w:cs="仿宋"/>
          <w:b/>
          <w:bCs/>
          <w:color w:val="auto"/>
          <w:sz w:val="24"/>
        </w:rPr>
        <w:t>要求</w:t>
      </w:r>
    </w:p>
    <w:p>
      <w:pPr>
        <w:adjustRightInd w:val="0"/>
        <w:snapToGrid w:val="0"/>
        <w:spacing w:line="360" w:lineRule="auto"/>
        <w:ind w:firstLine="660" w:firstLineChars="275"/>
        <w:rPr>
          <w:rFonts w:ascii="仿宋" w:hAnsi="仿宋" w:eastAsia="仿宋" w:cs="仿宋"/>
          <w:color w:val="auto"/>
          <w:sz w:val="24"/>
        </w:rPr>
      </w:pPr>
      <w:r>
        <w:rPr>
          <w:rFonts w:hint="eastAsia" w:ascii="仿宋" w:hAnsi="仿宋" w:eastAsia="仿宋" w:cs="仿宋"/>
          <w:color w:val="auto"/>
          <w:sz w:val="24"/>
        </w:rPr>
        <w:t>针对本项目须采购的产品，基本要求如下：</w:t>
      </w:r>
    </w:p>
    <w:p>
      <w:pPr>
        <w:pStyle w:val="22"/>
        <w:adjustRightInd w:val="0"/>
        <w:snapToGrid w:val="0"/>
        <w:spacing w:line="360" w:lineRule="auto"/>
        <w:ind w:firstLine="480"/>
        <w:rPr>
          <w:rFonts w:ascii="仿宋" w:hAnsi="仿宋" w:eastAsia="仿宋" w:cs="仿宋"/>
          <w:color w:val="auto"/>
          <w:sz w:val="24"/>
          <w:szCs w:val="24"/>
        </w:rPr>
      </w:pPr>
      <w:r>
        <w:rPr>
          <w:rFonts w:hint="eastAsia" w:ascii="仿宋" w:hAnsi="仿宋" w:eastAsia="仿宋" w:cs="仿宋"/>
          <w:color w:val="auto"/>
          <w:sz w:val="24"/>
          <w:szCs w:val="24"/>
        </w:rPr>
        <w:t>（1）投标方提供的所有产品需具有在中国境内的合法使用权，且产品授权为本次项目最终用户。</w:t>
      </w:r>
    </w:p>
    <w:p>
      <w:pPr>
        <w:pStyle w:val="22"/>
        <w:adjustRightInd w:val="0"/>
        <w:snapToGrid w:val="0"/>
        <w:spacing w:line="360" w:lineRule="auto"/>
        <w:ind w:firstLine="480"/>
        <w:rPr>
          <w:rFonts w:ascii="仿宋" w:hAnsi="仿宋" w:eastAsia="仿宋" w:cs="仿宋"/>
          <w:color w:val="auto"/>
          <w:sz w:val="24"/>
          <w:szCs w:val="24"/>
        </w:rPr>
      </w:pPr>
      <w:r>
        <w:rPr>
          <w:rFonts w:hint="eastAsia" w:ascii="仿宋" w:hAnsi="仿宋" w:eastAsia="仿宋" w:cs="仿宋"/>
          <w:color w:val="auto"/>
          <w:sz w:val="24"/>
          <w:szCs w:val="24"/>
        </w:rPr>
        <w:t>（2）投标方需保证投标的所有产品均为原厂商制造。此外，投标方需说明所建议的每个软硬件的名称、品牌、型号、版本号、部件号。</w:t>
      </w:r>
    </w:p>
    <w:p>
      <w:pPr>
        <w:pStyle w:val="22"/>
        <w:adjustRightInd w:val="0"/>
        <w:snapToGrid w:val="0"/>
        <w:spacing w:line="360" w:lineRule="auto"/>
        <w:ind w:firstLine="480"/>
        <w:rPr>
          <w:rFonts w:ascii="仿宋" w:hAnsi="仿宋" w:eastAsia="仿宋" w:cs="仿宋"/>
          <w:color w:val="auto"/>
          <w:sz w:val="24"/>
          <w:szCs w:val="24"/>
        </w:rPr>
      </w:pPr>
      <w:r>
        <w:rPr>
          <w:rFonts w:hint="eastAsia" w:ascii="仿宋" w:hAnsi="仿宋" w:eastAsia="仿宋" w:cs="仿宋"/>
          <w:color w:val="auto"/>
          <w:sz w:val="24"/>
          <w:szCs w:val="24"/>
        </w:rPr>
        <w:t>（3）投标方所提供的所有产品，所有选件需配齐，以构成一套完整的系统，以满足本次项目的建设要求。</w:t>
      </w:r>
    </w:p>
    <w:p>
      <w:pPr>
        <w:pStyle w:val="22"/>
        <w:adjustRightInd w:val="0"/>
        <w:snapToGrid w:val="0"/>
        <w:spacing w:line="360" w:lineRule="auto"/>
        <w:ind w:firstLine="480"/>
        <w:rPr>
          <w:rFonts w:ascii="仿宋" w:hAnsi="仿宋" w:eastAsia="仿宋" w:cs="仿宋"/>
          <w:color w:val="auto"/>
          <w:sz w:val="24"/>
          <w:szCs w:val="24"/>
        </w:rPr>
      </w:pPr>
      <w:r>
        <w:rPr>
          <w:rFonts w:hint="eastAsia" w:ascii="仿宋" w:hAnsi="仿宋" w:eastAsia="仿宋" w:cs="仿宋"/>
          <w:color w:val="auto"/>
          <w:sz w:val="24"/>
          <w:szCs w:val="24"/>
        </w:rPr>
        <w:t>（4）有关功能、性能要求须提供技术支持资料，有关其他要求须提供其他证明扫描件。</w:t>
      </w:r>
    </w:p>
    <w:p>
      <w:pPr>
        <w:spacing w:line="360" w:lineRule="auto"/>
        <w:rPr>
          <w:rFonts w:ascii="仿宋" w:hAnsi="仿宋" w:eastAsia="仿宋" w:cs="仿宋"/>
          <w:b/>
          <w:bCs/>
          <w:color w:val="auto"/>
          <w:sz w:val="24"/>
        </w:rPr>
      </w:pPr>
      <w:bookmarkStart w:id="679" w:name="_Toc34175375"/>
      <w:bookmarkStart w:id="680" w:name="_Toc33440757"/>
      <w:r>
        <w:rPr>
          <w:rFonts w:hint="eastAsia" w:ascii="仿宋" w:hAnsi="仿宋" w:eastAsia="仿宋" w:cs="仿宋"/>
          <w:b/>
          <w:bCs/>
          <w:color w:val="auto"/>
          <w:sz w:val="24"/>
        </w:rPr>
        <w:t>4.1采购产品一览表</w:t>
      </w:r>
      <w:bookmarkEnd w:id="679"/>
      <w:bookmarkEnd w:id="680"/>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本次项目具体采购内容包括业务终端、桌面式识别终端以及AI摄像头三大类设备，本次项目采购的所有产品须提供项目供货后两年7*24免费维护和技术支持服务，包含上门安装服务和现场实施运维服务</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本次项目要求采购的终端清单如下表所示。</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50"/>
        <w:gridCol w:w="4110"/>
        <w:gridCol w:w="819"/>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4"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450"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产品名称</w:t>
            </w:r>
          </w:p>
        </w:tc>
        <w:tc>
          <w:tcPr>
            <w:tcW w:w="4110"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产品规格</w:t>
            </w:r>
          </w:p>
        </w:tc>
        <w:tc>
          <w:tcPr>
            <w:tcW w:w="819"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数量</w:t>
            </w:r>
          </w:p>
        </w:tc>
        <w:tc>
          <w:tcPr>
            <w:tcW w:w="1213"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450" w:type="dxa"/>
            <w:shd w:val="clear" w:color="000000" w:fill="FFFFFF"/>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医保自助终端机</w:t>
            </w:r>
          </w:p>
        </w:tc>
        <w:tc>
          <w:tcPr>
            <w:tcW w:w="4110" w:type="dxa"/>
            <w:shd w:val="clear" w:color="000000" w:fill="FFFFFF"/>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集生物识别、信息查询、业务办理功能于一体的立式智能终端。配置大尺寸液晶触摸屏、二代身份证信息读取模块、网络接口和密码键盘、医保电子凭证具有识别、激活等,具有联机识别功能,支持多模态的生物识别。</w:t>
            </w:r>
          </w:p>
        </w:tc>
        <w:tc>
          <w:tcPr>
            <w:tcW w:w="819"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40</w:t>
            </w:r>
          </w:p>
        </w:tc>
        <w:tc>
          <w:tcPr>
            <w:tcW w:w="1213"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450" w:type="dxa"/>
            <w:shd w:val="clear" w:color="000000" w:fill="FFFFFF"/>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高拍仪</w:t>
            </w:r>
          </w:p>
        </w:tc>
        <w:tc>
          <w:tcPr>
            <w:tcW w:w="4110" w:type="dxa"/>
            <w:shd w:val="clear" w:color="000000" w:fill="FFFFFF"/>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商用高拍仪，支持≥40页/分钟，最大幅面：A3，高清CMOS。</w:t>
            </w:r>
          </w:p>
        </w:tc>
        <w:tc>
          <w:tcPr>
            <w:tcW w:w="819"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130</w:t>
            </w:r>
          </w:p>
        </w:tc>
        <w:tc>
          <w:tcPr>
            <w:tcW w:w="1213"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450" w:type="dxa"/>
            <w:shd w:val="clear" w:color="auto" w:fill="auto"/>
            <w:noWrap/>
            <w:vAlign w:val="center"/>
          </w:tcPr>
          <w:p>
            <w:pPr>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智能AI摄像头</w:t>
            </w:r>
          </w:p>
        </w:tc>
        <w:tc>
          <w:tcPr>
            <w:tcW w:w="4110" w:type="dxa"/>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4路智能红外球形AI摄像头，清晰度400万像素以上，水平360°，垂直-15°-90°。</w:t>
            </w:r>
          </w:p>
        </w:tc>
        <w:tc>
          <w:tcPr>
            <w:tcW w:w="819" w:type="dxa"/>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48</w:t>
            </w:r>
          </w:p>
        </w:tc>
        <w:tc>
          <w:tcPr>
            <w:tcW w:w="1213"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450" w:type="dxa"/>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桌面式智能识别终端</w:t>
            </w:r>
          </w:p>
        </w:tc>
        <w:tc>
          <w:tcPr>
            <w:tcW w:w="4110" w:type="dxa"/>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集银行卡/社保卡刷卡、身份证读卡,生物识别功能于一体的智能终端。配备凭条打印机,可提供以太网、WIFI。支持医保政策查看、账户查询等。</w:t>
            </w:r>
          </w:p>
        </w:tc>
        <w:tc>
          <w:tcPr>
            <w:tcW w:w="819" w:type="dxa"/>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3000</w:t>
            </w:r>
          </w:p>
        </w:tc>
        <w:tc>
          <w:tcPr>
            <w:tcW w:w="1213"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bl>
    <w:p>
      <w:pPr>
        <w:spacing w:line="360" w:lineRule="auto"/>
        <w:rPr>
          <w:rFonts w:ascii="仿宋" w:hAnsi="仿宋" w:eastAsia="仿宋" w:cs="仿宋"/>
          <w:b/>
          <w:bCs/>
          <w:color w:val="auto"/>
          <w:sz w:val="24"/>
        </w:rPr>
      </w:pPr>
    </w:p>
    <w:p>
      <w:pPr>
        <w:spacing w:line="360" w:lineRule="auto"/>
        <w:rPr>
          <w:rFonts w:ascii="仿宋" w:hAnsi="仿宋" w:eastAsia="仿宋" w:cs="仿宋"/>
          <w:b/>
          <w:bCs/>
          <w:color w:val="auto"/>
          <w:sz w:val="24"/>
        </w:rPr>
      </w:pPr>
    </w:p>
    <w:p>
      <w:pPr>
        <w:spacing w:line="360" w:lineRule="auto"/>
        <w:rPr>
          <w:rFonts w:ascii="仿宋" w:hAnsi="仿宋" w:eastAsia="仿宋" w:cs="仿宋"/>
          <w:b/>
          <w:bCs/>
          <w:color w:val="auto"/>
          <w:sz w:val="24"/>
        </w:rPr>
      </w:pPr>
    </w:p>
    <w:p>
      <w:pPr>
        <w:spacing w:line="360" w:lineRule="auto"/>
        <w:rPr>
          <w:rFonts w:ascii="仿宋" w:hAnsi="仿宋" w:eastAsia="仿宋" w:cs="仿宋"/>
          <w:b/>
          <w:bCs/>
          <w:color w:val="auto"/>
          <w:sz w:val="24"/>
        </w:rPr>
      </w:pPr>
      <w:r>
        <w:rPr>
          <w:rFonts w:hint="eastAsia" w:ascii="仿宋" w:hAnsi="仿宋" w:eastAsia="仿宋" w:cs="仿宋"/>
          <w:b/>
          <w:bCs/>
          <w:color w:val="auto"/>
          <w:sz w:val="24"/>
        </w:rPr>
        <w:t>4.2 医保自助终端参数要求</w:t>
      </w:r>
    </w:p>
    <w:tbl>
      <w:tblPr>
        <w:tblStyle w:val="14"/>
        <w:tblW w:w="9439" w:type="dxa"/>
        <w:jc w:val="center"/>
        <w:tblLayout w:type="fixed"/>
        <w:tblCellMar>
          <w:top w:w="0" w:type="dxa"/>
          <w:left w:w="0" w:type="dxa"/>
          <w:bottom w:w="0" w:type="dxa"/>
          <w:right w:w="0" w:type="dxa"/>
        </w:tblCellMar>
      </w:tblPr>
      <w:tblGrid>
        <w:gridCol w:w="2039"/>
        <w:gridCol w:w="7400"/>
      </w:tblGrid>
      <w:tr>
        <w:tblPrEx>
          <w:tblCellMar>
            <w:top w:w="0" w:type="dxa"/>
            <w:left w:w="0" w:type="dxa"/>
            <w:bottom w:w="0" w:type="dxa"/>
            <w:right w:w="0" w:type="dxa"/>
          </w:tblCellMar>
        </w:tblPrEx>
        <w:trPr>
          <w:trHeight w:val="1191"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textAlignment w:val="center"/>
              <w:rPr>
                <w:rFonts w:ascii="仿宋" w:hAnsi="仿宋" w:eastAsia="仿宋" w:cs="仿宋"/>
                <w:color w:val="auto"/>
                <w:szCs w:val="21"/>
              </w:rPr>
            </w:pPr>
            <w:r>
              <w:rPr>
                <w:rFonts w:hint="eastAsia" w:ascii="仿宋" w:hAnsi="仿宋" w:eastAsia="仿宋" w:cs="仿宋"/>
                <w:color w:val="auto"/>
                <w:szCs w:val="21"/>
              </w:rPr>
              <w:t>主机模块</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操作系统：安卓系统</w:t>
            </w:r>
          </w:p>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八核处理器、4G内存、32G存储</w:t>
            </w:r>
          </w:p>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 xml:space="preserve">外部接口：RJ45网口×1，串口×2，HDMI口×1，USB口×2，TF插口×1。  </w:t>
            </w:r>
          </w:p>
        </w:tc>
      </w:tr>
      <w:tr>
        <w:tblPrEx>
          <w:tblCellMar>
            <w:top w:w="0" w:type="dxa"/>
            <w:left w:w="0" w:type="dxa"/>
            <w:bottom w:w="0" w:type="dxa"/>
            <w:right w:w="0" w:type="dxa"/>
          </w:tblCellMar>
        </w:tblPrEx>
        <w:trPr>
          <w:trHeight w:val="411"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textAlignment w:val="center"/>
              <w:rPr>
                <w:rFonts w:ascii="仿宋" w:hAnsi="仿宋" w:eastAsia="仿宋" w:cs="仿宋"/>
                <w:color w:val="auto"/>
                <w:szCs w:val="21"/>
              </w:rPr>
            </w:pPr>
            <w:r>
              <w:rPr>
                <w:rFonts w:hint="eastAsia" w:ascii="仿宋" w:hAnsi="仿宋" w:eastAsia="仿宋" w:cs="仿宋"/>
                <w:color w:val="auto"/>
                <w:szCs w:val="21"/>
              </w:rPr>
              <w:t>显示屏</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32寸电容触摸屏，表面采用高强度钢化玻璃，分辨率：1920*1080</w:t>
            </w:r>
          </w:p>
        </w:tc>
      </w:tr>
      <w:tr>
        <w:tblPrEx>
          <w:tblCellMar>
            <w:top w:w="0" w:type="dxa"/>
            <w:left w:w="0" w:type="dxa"/>
            <w:bottom w:w="0" w:type="dxa"/>
            <w:right w:w="0" w:type="dxa"/>
          </w:tblCellMar>
        </w:tblPrEx>
        <w:trPr>
          <w:trHeight w:val="1191"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textAlignment w:val="center"/>
              <w:rPr>
                <w:rFonts w:ascii="仿宋" w:hAnsi="仿宋" w:eastAsia="仿宋" w:cs="仿宋"/>
                <w:color w:val="auto"/>
                <w:szCs w:val="21"/>
              </w:rPr>
            </w:pPr>
            <w:r>
              <w:rPr>
                <w:rFonts w:hint="eastAsia" w:ascii="仿宋" w:hAnsi="仿宋" w:eastAsia="仿宋" w:cs="仿宋"/>
                <w:color w:val="auto"/>
                <w:szCs w:val="21"/>
              </w:rPr>
              <w:t>★密码键盘</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1．支持DES和TDES加、解密算法、PIN加密、MAC运算；</w:t>
            </w:r>
          </w:p>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2. 防尘、防水、防暴、防震、防钻、防撬；</w:t>
            </w:r>
          </w:p>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 xml:space="preserve">3. 通过银联PIN输入、CE、国密认证； </w:t>
            </w:r>
          </w:p>
        </w:tc>
      </w:tr>
      <w:tr>
        <w:tblPrEx>
          <w:tblCellMar>
            <w:top w:w="0" w:type="dxa"/>
            <w:left w:w="0" w:type="dxa"/>
            <w:bottom w:w="0" w:type="dxa"/>
            <w:right w:w="0" w:type="dxa"/>
          </w:tblCellMar>
        </w:tblPrEx>
        <w:trPr>
          <w:trHeight w:val="411"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textAlignment w:val="center"/>
              <w:rPr>
                <w:rFonts w:ascii="仿宋" w:hAnsi="仿宋" w:eastAsia="仿宋" w:cs="仿宋"/>
                <w:color w:val="auto"/>
                <w:szCs w:val="21"/>
              </w:rPr>
            </w:pPr>
            <w:r>
              <w:rPr>
                <w:rFonts w:hint="eastAsia" w:ascii="仿宋" w:hAnsi="仿宋" w:eastAsia="仿宋" w:cs="仿宋"/>
                <w:color w:val="auto"/>
                <w:szCs w:val="21"/>
              </w:rPr>
              <w:t>磁条卡阅读器</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textAlignment w:val="center"/>
              <w:rPr>
                <w:rFonts w:ascii="仿宋" w:hAnsi="仿宋" w:eastAsia="仿宋" w:cs="仿宋"/>
                <w:color w:val="auto"/>
                <w:szCs w:val="21"/>
              </w:rPr>
            </w:pPr>
            <w:r>
              <w:rPr>
                <w:rFonts w:hint="eastAsia" w:ascii="仿宋" w:hAnsi="仿宋" w:eastAsia="仿宋" w:cs="仿宋"/>
                <w:color w:val="auto"/>
                <w:szCs w:val="21"/>
              </w:rPr>
              <w:t xml:space="preserve">支持ISO7811协议，支持1/2/3磁道数据获取 </w:t>
            </w:r>
          </w:p>
        </w:tc>
      </w:tr>
      <w:tr>
        <w:tblPrEx>
          <w:tblCellMar>
            <w:top w:w="0" w:type="dxa"/>
            <w:left w:w="0" w:type="dxa"/>
            <w:bottom w:w="0" w:type="dxa"/>
            <w:right w:w="0" w:type="dxa"/>
          </w:tblCellMar>
        </w:tblPrEx>
        <w:trPr>
          <w:trHeight w:val="1971"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textAlignment w:val="center"/>
              <w:rPr>
                <w:rFonts w:ascii="仿宋" w:hAnsi="仿宋" w:eastAsia="仿宋" w:cs="仿宋"/>
                <w:color w:val="auto"/>
                <w:szCs w:val="21"/>
              </w:rPr>
            </w:pPr>
            <w:r>
              <w:rPr>
                <w:rFonts w:hint="eastAsia" w:ascii="仿宋" w:hAnsi="仿宋" w:eastAsia="仿宋" w:cs="仿宋"/>
                <w:color w:val="auto"/>
                <w:szCs w:val="21"/>
              </w:rPr>
              <w:t>★医保卡读卡器</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textAlignment w:val="center"/>
              <w:rPr>
                <w:rFonts w:ascii="仿宋" w:hAnsi="仿宋" w:eastAsia="仿宋" w:cs="仿宋"/>
                <w:color w:val="auto"/>
                <w:szCs w:val="21"/>
              </w:rPr>
            </w:pPr>
            <w:r>
              <w:rPr>
                <w:rFonts w:hint="eastAsia" w:ascii="仿宋" w:hAnsi="仿宋" w:eastAsia="仿宋" w:cs="仿宋"/>
                <w:color w:val="auto"/>
                <w:szCs w:val="21"/>
              </w:rPr>
              <w:t>1.通过插卡和非接读卡的方式，读写符合人社部标准的第二代和第三代社会保障卡；</w:t>
            </w:r>
          </w:p>
          <w:p>
            <w:pPr>
              <w:spacing w:line="360" w:lineRule="auto"/>
              <w:textAlignment w:val="center"/>
              <w:rPr>
                <w:rFonts w:ascii="仿宋" w:hAnsi="仿宋" w:eastAsia="仿宋" w:cs="仿宋"/>
                <w:color w:val="auto"/>
                <w:szCs w:val="21"/>
              </w:rPr>
            </w:pPr>
            <w:r>
              <w:rPr>
                <w:rFonts w:hint="eastAsia" w:ascii="仿宋" w:hAnsi="仿宋" w:eastAsia="仿宋" w:cs="仿宋"/>
                <w:color w:val="auto"/>
                <w:szCs w:val="21"/>
              </w:rPr>
              <w:t>2.读卡模块符合人社部《关于印发社会保障卡读写终端接口规范的通知》和《关于印发社会保障卡读写终端接口规范补充说明的通知》要求，并获得第三方检测机构出具的有效期内的《社会保障卡读写终端接口检测报告》；</w:t>
            </w:r>
          </w:p>
        </w:tc>
      </w:tr>
      <w:tr>
        <w:tblPrEx>
          <w:tblCellMar>
            <w:top w:w="0" w:type="dxa"/>
            <w:left w:w="0" w:type="dxa"/>
            <w:bottom w:w="0" w:type="dxa"/>
            <w:right w:w="0" w:type="dxa"/>
          </w:tblCellMar>
        </w:tblPrEx>
        <w:trPr>
          <w:trHeight w:val="90"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仿宋" w:hAnsi="仿宋" w:eastAsia="仿宋" w:cs="仿宋"/>
                <w:color w:val="auto"/>
                <w:szCs w:val="21"/>
              </w:rPr>
            </w:pPr>
            <w:r>
              <w:rPr>
                <w:rFonts w:hint="eastAsia" w:ascii="仿宋" w:hAnsi="仿宋" w:eastAsia="仿宋" w:cs="仿宋"/>
                <w:color w:val="auto"/>
                <w:szCs w:val="21"/>
              </w:rPr>
              <w:t>医保电子凭证识读器</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rPr>
                <w:rFonts w:ascii="仿宋" w:hAnsi="仿宋" w:eastAsia="仿宋" w:cs="仿宋"/>
                <w:color w:val="auto"/>
                <w:szCs w:val="21"/>
              </w:rPr>
            </w:pPr>
            <w:r>
              <w:rPr>
                <w:rFonts w:hint="eastAsia" w:ascii="仿宋" w:hAnsi="仿宋" w:eastAsia="仿宋" w:cs="仿宋"/>
                <w:color w:val="auto"/>
                <w:szCs w:val="21"/>
              </w:rPr>
              <w:t>支持识读医保电子凭证；</w:t>
            </w:r>
          </w:p>
        </w:tc>
      </w:tr>
      <w:tr>
        <w:tblPrEx>
          <w:tblCellMar>
            <w:top w:w="0" w:type="dxa"/>
            <w:left w:w="0" w:type="dxa"/>
            <w:bottom w:w="0" w:type="dxa"/>
            <w:right w:w="0" w:type="dxa"/>
          </w:tblCellMar>
        </w:tblPrEx>
        <w:trPr>
          <w:trHeight w:val="542"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textAlignment w:val="center"/>
              <w:rPr>
                <w:rFonts w:ascii="仿宋" w:hAnsi="仿宋" w:eastAsia="仿宋" w:cs="仿宋"/>
                <w:color w:val="auto"/>
                <w:szCs w:val="21"/>
              </w:rPr>
            </w:pPr>
            <w:r>
              <w:rPr>
                <w:rFonts w:hint="eastAsia" w:ascii="仿宋" w:hAnsi="仿宋" w:eastAsia="仿宋" w:cs="仿宋"/>
                <w:color w:val="auto"/>
                <w:szCs w:val="21"/>
              </w:rPr>
              <w:t>★身份证阅读器</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符合公安部《GA450-2003台式居民身份证阅读器通用技术要求》,兼容ISO-14443(TYPE-B)标准;适用于WIN98/2003/XP/WIN7/Android/Linux平台；可用开发工具：VC/DEPHI/VB/PB等；具有电源短路、过流过载自动保护设计；</w:t>
            </w:r>
          </w:p>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工作频率：13.56MHz（fc）；</w:t>
            </w:r>
          </w:p>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天线辐射强度 ：</w:t>
            </w:r>
          </w:p>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（1）天线表面磁场强度（Hmax）≤7.5A/m rms；</w:t>
            </w:r>
          </w:p>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（2）天线表面法线方向2.5cm处电磁场强度（Hmin）≥1.5A/m；</w:t>
            </w:r>
          </w:p>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阅读距离：0-3cm；</w:t>
            </w:r>
          </w:p>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读卡速度：&lt;1s；</w:t>
            </w:r>
          </w:p>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供电：DC5V—350mA；平均无故障工作时间MTBF：＞5000小时；</w:t>
            </w:r>
          </w:p>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工作温度：0℃～50℃；</w:t>
            </w:r>
          </w:p>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具备中国安全技术防范认证中心颁发的中国公共安全产品认证证书。</w:t>
            </w:r>
          </w:p>
        </w:tc>
      </w:tr>
      <w:tr>
        <w:tblPrEx>
          <w:tblCellMar>
            <w:top w:w="0" w:type="dxa"/>
            <w:left w:w="0" w:type="dxa"/>
            <w:bottom w:w="0" w:type="dxa"/>
            <w:right w:w="0" w:type="dxa"/>
          </w:tblCellMar>
        </w:tblPrEx>
        <w:trPr>
          <w:trHeight w:val="1581"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textAlignment w:val="center"/>
              <w:rPr>
                <w:rFonts w:ascii="仿宋" w:hAnsi="仿宋" w:eastAsia="仿宋" w:cs="仿宋"/>
                <w:color w:val="auto"/>
                <w:szCs w:val="21"/>
              </w:rPr>
            </w:pPr>
            <w:r>
              <w:rPr>
                <w:rFonts w:hint="eastAsia" w:ascii="仿宋" w:hAnsi="仿宋" w:eastAsia="仿宋" w:cs="仿宋"/>
                <w:color w:val="auto"/>
                <w:szCs w:val="21"/>
              </w:rPr>
              <w:t>★银行卡读卡器</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嵌入式接触式 IC 卡读写功能；</w:t>
            </w:r>
          </w:p>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 xml:space="preserve">接触式卡符合 ISO 7816 协议的 T=0 、T=1 的 CPU 卡的操作； </w:t>
            </w:r>
          </w:p>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通过银行卡检测中心PBOC3.0借记/贷记终端level1检测；</w:t>
            </w:r>
          </w:p>
          <w:p>
            <w:pPr>
              <w:pStyle w:val="19"/>
              <w:ind w:firstLine="0" w:firstLineChars="0"/>
              <w:rPr>
                <w:rFonts w:ascii="仿宋" w:hAnsi="仿宋" w:eastAsia="仿宋" w:cs="仿宋"/>
                <w:color w:val="auto"/>
                <w:szCs w:val="21"/>
              </w:rPr>
            </w:pPr>
            <w:r>
              <w:rPr>
                <w:rFonts w:hint="eastAsia" w:ascii="仿宋" w:hAnsi="仿宋" w:eastAsia="仿宋" w:cs="仿宋"/>
                <w:color w:val="auto"/>
                <w:szCs w:val="21"/>
              </w:rPr>
              <w:t>通过银行卡检测中心PBOC3.0 非接触IC卡支付终端通讯协议测试。</w:t>
            </w:r>
          </w:p>
        </w:tc>
      </w:tr>
      <w:tr>
        <w:tblPrEx>
          <w:tblCellMar>
            <w:top w:w="0" w:type="dxa"/>
            <w:left w:w="0" w:type="dxa"/>
            <w:bottom w:w="0" w:type="dxa"/>
            <w:right w:w="0" w:type="dxa"/>
          </w:tblCellMar>
        </w:tblPrEx>
        <w:trPr>
          <w:trHeight w:val="2750"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textAlignment w:val="center"/>
              <w:rPr>
                <w:rFonts w:ascii="仿宋" w:hAnsi="仿宋" w:eastAsia="仿宋" w:cs="仿宋"/>
                <w:color w:val="auto"/>
                <w:szCs w:val="21"/>
              </w:rPr>
            </w:pPr>
            <w:r>
              <w:rPr>
                <w:rFonts w:hint="eastAsia" w:ascii="仿宋" w:hAnsi="仿宋" w:eastAsia="仿宋" w:cs="仿宋"/>
                <w:color w:val="auto"/>
                <w:szCs w:val="21"/>
              </w:rPr>
              <w:t>★扫码模块</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识读模式:COMS；</w:t>
            </w:r>
          </w:p>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试读码制：一维码（CODE 128，EAN-13，EAN-8code39等）二维码（PDF417，QR code，Data Matrix等）；</w:t>
            </w:r>
          </w:p>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识别精度：二维≥7.5mil，一维≥5mil ；</w:t>
            </w:r>
          </w:p>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识读景深：40mm-300mm；</w:t>
            </w:r>
          </w:p>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可支持读符合卫健委标准的电子健康卡；</w:t>
            </w:r>
          </w:p>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可支持读符合人社部标准的电子社保卡；</w:t>
            </w:r>
          </w:p>
        </w:tc>
      </w:tr>
      <w:tr>
        <w:tblPrEx>
          <w:tblCellMar>
            <w:top w:w="0" w:type="dxa"/>
            <w:left w:w="0" w:type="dxa"/>
            <w:bottom w:w="0" w:type="dxa"/>
            <w:right w:w="0" w:type="dxa"/>
          </w:tblCellMar>
        </w:tblPrEx>
        <w:trPr>
          <w:trHeight w:val="411"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textAlignment w:val="center"/>
              <w:rPr>
                <w:rFonts w:ascii="仿宋" w:hAnsi="仿宋" w:eastAsia="仿宋" w:cs="仿宋"/>
                <w:color w:val="auto"/>
                <w:szCs w:val="21"/>
              </w:rPr>
            </w:pPr>
            <w:r>
              <w:rPr>
                <w:rFonts w:hint="eastAsia" w:ascii="仿宋" w:hAnsi="仿宋" w:eastAsia="仿宋" w:cs="仿宋"/>
                <w:color w:val="auto"/>
                <w:szCs w:val="21"/>
              </w:rPr>
              <w:t>人脸识别双目摄像头</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近红外和可见光双目摄像头；</w:t>
            </w:r>
          </w:p>
        </w:tc>
      </w:tr>
      <w:tr>
        <w:tblPrEx>
          <w:tblCellMar>
            <w:top w:w="0" w:type="dxa"/>
            <w:left w:w="0" w:type="dxa"/>
            <w:bottom w:w="0" w:type="dxa"/>
            <w:right w:w="0" w:type="dxa"/>
          </w:tblCellMar>
        </w:tblPrEx>
        <w:trPr>
          <w:trHeight w:val="411"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textAlignment w:val="center"/>
              <w:rPr>
                <w:rFonts w:ascii="仿宋" w:hAnsi="仿宋" w:eastAsia="仿宋" w:cs="仿宋"/>
                <w:color w:val="auto"/>
                <w:szCs w:val="21"/>
              </w:rPr>
            </w:pPr>
            <w:r>
              <w:rPr>
                <w:rFonts w:hint="eastAsia" w:ascii="仿宋" w:hAnsi="仿宋" w:eastAsia="仿宋" w:cs="仿宋"/>
                <w:color w:val="auto"/>
                <w:szCs w:val="21"/>
              </w:rPr>
              <w:t>通讯模块</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TCP/IP以太网通讯；4G全网通；WIFI通讯；</w:t>
            </w:r>
          </w:p>
        </w:tc>
      </w:tr>
      <w:tr>
        <w:tblPrEx>
          <w:tblCellMar>
            <w:top w:w="0" w:type="dxa"/>
            <w:left w:w="0" w:type="dxa"/>
            <w:bottom w:w="0" w:type="dxa"/>
            <w:right w:w="0" w:type="dxa"/>
          </w:tblCellMar>
        </w:tblPrEx>
        <w:trPr>
          <w:trHeight w:val="478"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textAlignment w:val="center"/>
              <w:rPr>
                <w:rFonts w:ascii="仿宋" w:hAnsi="仿宋" w:eastAsia="仿宋" w:cs="仿宋"/>
                <w:color w:val="auto"/>
                <w:szCs w:val="21"/>
              </w:rPr>
            </w:pPr>
            <w:r>
              <w:rPr>
                <w:rFonts w:hint="eastAsia" w:ascii="仿宋" w:hAnsi="仿宋" w:eastAsia="仿宋" w:cs="仿宋"/>
                <w:color w:val="auto"/>
                <w:szCs w:val="21"/>
              </w:rPr>
              <w:t>★凭条打印机</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spacing w:line="360" w:lineRule="auto"/>
              <w:textAlignment w:val="top"/>
              <w:rPr>
                <w:rFonts w:ascii="仿宋" w:hAnsi="仿宋" w:eastAsia="仿宋" w:cs="仿宋"/>
                <w:color w:val="auto"/>
                <w:szCs w:val="21"/>
              </w:rPr>
            </w:pPr>
            <w:r>
              <w:rPr>
                <w:rFonts w:hint="eastAsia" w:ascii="仿宋" w:hAnsi="仿宋" w:eastAsia="仿宋" w:cs="仿宋"/>
                <w:color w:val="auto"/>
                <w:szCs w:val="21"/>
              </w:rPr>
              <w:t>支持58MM热敏打印机，可自动切纸；</w:t>
            </w:r>
          </w:p>
        </w:tc>
      </w:tr>
      <w:tr>
        <w:tblPrEx>
          <w:tblCellMar>
            <w:top w:w="0" w:type="dxa"/>
            <w:left w:w="0" w:type="dxa"/>
            <w:bottom w:w="0" w:type="dxa"/>
            <w:right w:w="0" w:type="dxa"/>
          </w:tblCellMar>
        </w:tblPrEx>
        <w:trPr>
          <w:trHeight w:val="411"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textAlignment w:val="center"/>
              <w:rPr>
                <w:rFonts w:ascii="仿宋" w:hAnsi="仿宋" w:eastAsia="仿宋" w:cs="仿宋"/>
                <w:color w:val="auto"/>
                <w:szCs w:val="21"/>
              </w:rPr>
            </w:pPr>
            <w:r>
              <w:rPr>
                <w:rFonts w:hint="eastAsia" w:ascii="仿宋" w:hAnsi="仿宋" w:eastAsia="仿宋" w:cs="仿宋"/>
                <w:color w:val="auto"/>
                <w:szCs w:val="21"/>
              </w:rPr>
              <w:t>工艺要求</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textAlignment w:val="center"/>
              <w:rPr>
                <w:rFonts w:ascii="仿宋" w:hAnsi="仿宋" w:eastAsia="仿宋" w:cs="仿宋"/>
                <w:color w:val="auto"/>
                <w:szCs w:val="21"/>
              </w:rPr>
            </w:pPr>
            <w:r>
              <w:rPr>
                <w:rFonts w:hint="eastAsia" w:ascii="仿宋" w:hAnsi="仿宋" w:eastAsia="仿宋" w:cs="仿宋"/>
                <w:color w:val="auto"/>
                <w:szCs w:val="21"/>
              </w:rPr>
              <w:t>要求整机结构设计紧凑合理、外观美观大方；</w:t>
            </w:r>
          </w:p>
        </w:tc>
      </w:tr>
      <w:tr>
        <w:tblPrEx>
          <w:tblCellMar>
            <w:top w:w="0" w:type="dxa"/>
            <w:left w:w="0" w:type="dxa"/>
            <w:bottom w:w="0" w:type="dxa"/>
            <w:right w:w="0" w:type="dxa"/>
          </w:tblCellMar>
        </w:tblPrEx>
        <w:trPr>
          <w:trHeight w:val="2361" w:hRule="atLeast"/>
          <w:jc w:val="center"/>
        </w:trPr>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textAlignment w:val="center"/>
              <w:rPr>
                <w:rFonts w:ascii="仿宋" w:hAnsi="仿宋" w:eastAsia="仿宋" w:cs="仿宋"/>
                <w:color w:val="auto"/>
                <w:szCs w:val="21"/>
              </w:rPr>
            </w:pPr>
            <w:r>
              <w:rPr>
                <w:rFonts w:hint="eastAsia" w:ascii="仿宋" w:hAnsi="仿宋" w:eastAsia="仿宋" w:cs="仿宋"/>
                <w:color w:val="auto"/>
                <w:szCs w:val="21"/>
              </w:rPr>
              <w:t>资质要求</w:t>
            </w:r>
          </w:p>
        </w:tc>
        <w:tc>
          <w:tcPr>
            <w:tcW w:w="7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textAlignment w:val="center"/>
              <w:rPr>
                <w:rFonts w:ascii="仿宋" w:hAnsi="仿宋" w:eastAsia="仿宋" w:cs="仿宋"/>
                <w:color w:val="auto"/>
                <w:szCs w:val="21"/>
              </w:rPr>
            </w:pPr>
            <w:r>
              <w:rPr>
                <w:rFonts w:hint="eastAsia" w:ascii="仿宋" w:hAnsi="仿宋" w:eastAsia="仿宋" w:cs="仿宋"/>
                <w:color w:val="auto"/>
                <w:szCs w:val="21"/>
              </w:rPr>
              <w:t>1.设备生产厂家具备人脸识别和聚合支付等相关软件著作权证书；</w:t>
            </w:r>
          </w:p>
          <w:p>
            <w:pPr>
              <w:spacing w:line="360" w:lineRule="auto"/>
              <w:textAlignment w:val="center"/>
              <w:rPr>
                <w:rFonts w:ascii="仿宋" w:hAnsi="仿宋" w:eastAsia="仿宋" w:cs="仿宋"/>
                <w:color w:val="auto"/>
                <w:szCs w:val="21"/>
              </w:rPr>
            </w:pPr>
            <w:r>
              <w:rPr>
                <w:rFonts w:hint="eastAsia" w:ascii="仿宋" w:hAnsi="仿宋" w:eastAsia="仿宋" w:cs="仿宋"/>
                <w:color w:val="auto"/>
                <w:szCs w:val="21"/>
              </w:rPr>
              <w:t>2. ★设备生产厂商为第二代居民身份证阅读机具生产厂商，具有合法使用“第二代居民身份证相片解码软件授权”资格的单位，提供公安部一所官网地址和名单截图。</w:t>
            </w:r>
          </w:p>
          <w:p>
            <w:pPr>
              <w:spacing w:line="360" w:lineRule="auto"/>
              <w:textAlignment w:val="center"/>
              <w:rPr>
                <w:rFonts w:ascii="仿宋" w:hAnsi="仿宋" w:eastAsia="仿宋" w:cs="仿宋"/>
                <w:color w:val="auto"/>
                <w:szCs w:val="21"/>
              </w:rPr>
            </w:pPr>
            <w:r>
              <w:rPr>
                <w:rFonts w:hint="eastAsia" w:ascii="仿宋" w:hAnsi="仿宋" w:eastAsia="仿宋" w:cs="仿宋"/>
                <w:color w:val="auto"/>
                <w:szCs w:val="21"/>
              </w:rPr>
              <w:t>3. ★设备生产厂商具备《银联卡受理终端产品企业认证证书》。</w:t>
            </w:r>
          </w:p>
          <w:p>
            <w:pPr>
              <w:spacing w:line="360" w:lineRule="auto"/>
              <w:textAlignment w:val="center"/>
              <w:rPr>
                <w:rFonts w:ascii="仿宋" w:hAnsi="仿宋" w:eastAsia="仿宋" w:cs="仿宋"/>
                <w:color w:val="auto"/>
                <w:szCs w:val="21"/>
              </w:rPr>
            </w:pPr>
            <w:r>
              <w:rPr>
                <w:rFonts w:hint="eastAsia" w:ascii="仿宋" w:hAnsi="仿宋" w:eastAsia="仿宋" w:cs="仿宋"/>
                <w:color w:val="auto"/>
                <w:szCs w:val="21"/>
              </w:rPr>
              <w:t>4. ★设备整机通过CCC认证，提供证书原件备查。</w:t>
            </w:r>
          </w:p>
        </w:tc>
      </w:tr>
    </w:tbl>
    <w:p>
      <w:pPr>
        <w:spacing w:line="360" w:lineRule="auto"/>
        <w:rPr>
          <w:rFonts w:ascii="仿宋" w:hAnsi="仿宋" w:eastAsia="仿宋" w:cs="仿宋"/>
          <w:color w:val="auto"/>
        </w:rPr>
      </w:pPr>
    </w:p>
    <w:p>
      <w:pPr>
        <w:spacing w:line="360" w:lineRule="auto"/>
        <w:rPr>
          <w:rFonts w:ascii="仿宋" w:hAnsi="仿宋" w:eastAsia="仿宋" w:cs="仿宋"/>
          <w:b/>
          <w:bCs/>
          <w:color w:val="auto"/>
          <w:sz w:val="24"/>
        </w:rPr>
      </w:pPr>
      <w:r>
        <w:rPr>
          <w:rFonts w:hint="eastAsia" w:ascii="仿宋" w:hAnsi="仿宋" w:eastAsia="仿宋" w:cs="仿宋"/>
          <w:b/>
          <w:bCs/>
          <w:color w:val="auto"/>
          <w:sz w:val="24"/>
        </w:rPr>
        <w:t>4.3 高拍仪参数要求</w:t>
      </w:r>
    </w:p>
    <w:tbl>
      <w:tblPr>
        <w:tblStyle w:val="15"/>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363" w:type="dxa"/>
          </w:tcPr>
          <w:p>
            <w:pPr>
              <w:numPr>
                <w:ilvl w:val="0"/>
                <w:numId w:val="79"/>
              </w:numPr>
              <w:spacing w:line="360" w:lineRule="auto"/>
              <w:rPr>
                <w:rFonts w:ascii="仿宋" w:hAnsi="仿宋" w:eastAsia="仿宋" w:cs="仿宋"/>
                <w:color w:val="auto"/>
                <w:szCs w:val="21"/>
              </w:rPr>
            </w:pPr>
            <w:r>
              <w:rPr>
                <w:rFonts w:hint="eastAsia" w:ascii="仿宋" w:hAnsi="仿宋" w:eastAsia="仿宋" w:cs="仿宋"/>
                <w:color w:val="auto"/>
                <w:szCs w:val="21"/>
              </w:rPr>
              <w:t>★双摄像头：主摄像头不低于1000万像素，辅摄像头不低于200万像素；</w:t>
            </w:r>
          </w:p>
          <w:p>
            <w:pPr>
              <w:numPr>
                <w:ilvl w:val="0"/>
                <w:numId w:val="79"/>
              </w:numPr>
              <w:spacing w:line="360" w:lineRule="auto"/>
              <w:rPr>
                <w:rFonts w:ascii="仿宋" w:hAnsi="仿宋" w:eastAsia="仿宋" w:cs="仿宋"/>
                <w:color w:val="auto"/>
                <w:szCs w:val="21"/>
              </w:rPr>
            </w:pPr>
            <w:r>
              <w:rPr>
                <w:rFonts w:hint="eastAsia" w:ascii="仿宋" w:hAnsi="仿宋" w:eastAsia="仿宋" w:cs="仿宋"/>
                <w:color w:val="auto"/>
                <w:szCs w:val="21"/>
              </w:rPr>
              <w:t>扫描尺寸：A3、A4、A5、A6、A7、证件、名片、票据；</w:t>
            </w:r>
          </w:p>
          <w:p>
            <w:pPr>
              <w:numPr>
                <w:ilvl w:val="0"/>
                <w:numId w:val="79"/>
              </w:numPr>
              <w:spacing w:line="360" w:lineRule="auto"/>
              <w:rPr>
                <w:rFonts w:ascii="仿宋" w:hAnsi="仿宋" w:eastAsia="仿宋" w:cs="仿宋"/>
                <w:color w:val="auto"/>
                <w:szCs w:val="21"/>
              </w:rPr>
            </w:pPr>
            <w:r>
              <w:rPr>
                <w:rFonts w:hint="eastAsia" w:ascii="仿宋" w:hAnsi="仿宋" w:eastAsia="仿宋" w:cs="仿宋"/>
                <w:color w:val="auto"/>
                <w:szCs w:val="21"/>
              </w:rPr>
              <w:t>主摄像头对焦方式：变焦；</w:t>
            </w:r>
          </w:p>
          <w:p>
            <w:pPr>
              <w:numPr>
                <w:ilvl w:val="0"/>
                <w:numId w:val="79"/>
              </w:numPr>
              <w:spacing w:line="360" w:lineRule="auto"/>
              <w:rPr>
                <w:rFonts w:ascii="仿宋" w:hAnsi="仿宋" w:eastAsia="仿宋" w:cs="仿宋"/>
                <w:color w:val="auto"/>
                <w:szCs w:val="21"/>
              </w:rPr>
            </w:pPr>
            <w:r>
              <w:rPr>
                <w:rFonts w:hint="eastAsia" w:ascii="仿宋" w:hAnsi="仿宋" w:eastAsia="仿宋" w:cs="仿宋"/>
                <w:color w:val="auto"/>
                <w:szCs w:val="21"/>
              </w:rPr>
              <w:t>成像速度：≤1秒；</w:t>
            </w:r>
          </w:p>
          <w:p>
            <w:pPr>
              <w:numPr>
                <w:ilvl w:val="0"/>
                <w:numId w:val="79"/>
              </w:numPr>
              <w:spacing w:line="360" w:lineRule="auto"/>
              <w:rPr>
                <w:rFonts w:ascii="仿宋" w:hAnsi="仿宋" w:eastAsia="仿宋" w:cs="仿宋"/>
                <w:color w:val="auto"/>
                <w:szCs w:val="21"/>
              </w:rPr>
            </w:pPr>
            <w:r>
              <w:rPr>
                <w:rFonts w:hint="eastAsia" w:ascii="仿宋" w:hAnsi="仿宋" w:eastAsia="仿宋" w:cs="仿宋"/>
                <w:color w:val="auto"/>
                <w:szCs w:val="21"/>
              </w:rPr>
              <w:t>光源：自然光+LED补光，触摸开关三级亮度可调；</w:t>
            </w:r>
          </w:p>
          <w:p>
            <w:pPr>
              <w:numPr>
                <w:ilvl w:val="0"/>
                <w:numId w:val="79"/>
              </w:numPr>
              <w:spacing w:line="360" w:lineRule="auto"/>
              <w:rPr>
                <w:rFonts w:ascii="仿宋" w:hAnsi="仿宋" w:eastAsia="仿宋" w:cs="仿宋"/>
                <w:color w:val="auto"/>
                <w:szCs w:val="21"/>
              </w:rPr>
            </w:pPr>
            <w:r>
              <w:rPr>
                <w:rFonts w:hint="eastAsia" w:ascii="仿宋" w:hAnsi="仿宋" w:eastAsia="仿宋" w:cs="仿宋"/>
                <w:color w:val="auto"/>
                <w:szCs w:val="21"/>
              </w:rPr>
              <w:t>接口：USB2.0和电源接口；</w:t>
            </w:r>
          </w:p>
          <w:p>
            <w:pPr>
              <w:numPr>
                <w:ilvl w:val="0"/>
                <w:numId w:val="79"/>
              </w:numPr>
              <w:spacing w:line="360" w:lineRule="auto"/>
              <w:rPr>
                <w:rFonts w:ascii="仿宋" w:hAnsi="仿宋" w:eastAsia="仿宋" w:cs="仿宋"/>
                <w:color w:val="auto"/>
                <w:szCs w:val="21"/>
              </w:rPr>
            </w:pPr>
            <w:r>
              <w:rPr>
                <w:rFonts w:hint="eastAsia" w:ascii="仿宋" w:hAnsi="仿宋" w:eastAsia="仿宋" w:cs="仿宋"/>
                <w:color w:val="auto"/>
                <w:szCs w:val="21"/>
              </w:rPr>
              <w:t>硬质文稿台：配备专用可拆卸硬质文稿台，文稿台底部带线槽可卡扣数据线，避免接口损坏；</w:t>
            </w:r>
          </w:p>
          <w:p>
            <w:pPr>
              <w:numPr>
                <w:ilvl w:val="0"/>
                <w:numId w:val="79"/>
              </w:numPr>
              <w:spacing w:line="360" w:lineRule="auto"/>
              <w:rPr>
                <w:rFonts w:ascii="仿宋" w:hAnsi="仿宋" w:eastAsia="仿宋" w:cs="仿宋"/>
                <w:color w:val="auto"/>
                <w:szCs w:val="21"/>
              </w:rPr>
            </w:pPr>
            <w:r>
              <w:rPr>
                <w:rFonts w:hint="eastAsia" w:ascii="仿宋" w:hAnsi="仿宋" w:eastAsia="仿宋" w:cs="仿宋"/>
                <w:color w:val="auto"/>
                <w:szCs w:val="21"/>
              </w:rPr>
              <w:t>辅摄像头：非拔插辅摄像头，摄像头水平方向270°可视，俯仰角度可实现45°可调，景深范围0.3米～5米；</w:t>
            </w:r>
          </w:p>
          <w:p>
            <w:pPr>
              <w:numPr>
                <w:ilvl w:val="0"/>
                <w:numId w:val="79"/>
              </w:numPr>
              <w:spacing w:line="360" w:lineRule="auto"/>
              <w:rPr>
                <w:rFonts w:ascii="仿宋" w:hAnsi="仿宋" w:eastAsia="仿宋" w:cs="仿宋"/>
                <w:color w:val="auto"/>
                <w:szCs w:val="21"/>
              </w:rPr>
            </w:pPr>
            <w:r>
              <w:rPr>
                <w:rFonts w:hint="eastAsia" w:ascii="仿宋" w:hAnsi="仿宋" w:eastAsia="仿宋" w:cs="仿宋"/>
                <w:color w:val="auto"/>
                <w:szCs w:val="21"/>
              </w:rPr>
              <w:t>支持自动纠偏裁边，支持多图自动纠裁拍摄；</w:t>
            </w:r>
          </w:p>
          <w:p>
            <w:pPr>
              <w:numPr>
                <w:ilvl w:val="0"/>
                <w:numId w:val="79"/>
              </w:numPr>
              <w:spacing w:line="360" w:lineRule="auto"/>
              <w:rPr>
                <w:rFonts w:ascii="仿宋" w:hAnsi="仿宋" w:eastAsia="仿宋" w:cs="仿宋"/>
                <w:color w:val="auto"/>
                <w:szCs w:val="21"/>
              </w:rPr>
            </w:pPr>
            <w:r>
              <w:rPr>
                <w:rFonts w:hint="eastAsia" w:ascii="仿宋" w:hAnsi="仿宋" w:eastAsia="仿宋" w:cs="仿宋"/>
                <w:color w:val="auto"/>
                <w:szCs w:val="21"/>
              </w:rPr>
              <w:t>操作系统：支持windows2000、windows2003、XP、vista、Win7、win10等操作系统；</w:t>
            </w:r>
          </w:p>
          <w:p>
            <w:pPr>
              <w:numPr>
                <w:ilvl w:val="0"/>
                <w:numId w:val="79"/>
              </w:numPr>
              <w:spacing w:line="360" w:lineRule="auto"/>
              <w:rPr>
                <w:rFonts w:ascii="仿宋" w:hAnsi="仿宋" w:eastAsia="仿宋" w:cs="仿宋"/>
                <w:color w:val="auto"/>
                <w:szCs w:val="21"/>
              </w:rPr>
            </w:pPr>
            <w:r>
              <w:rPr>
                <w:rFonts w:hint="eastAsia" w:ascii="仿宋" w:hAnsi="仿宋" w:eastAsia="仿宋" w:cs="仿宋"/>
                <w:color w:val="auto"/>
                <w:szCs w:val="21"/>
              </w:rPr>
              <w:t>★所投产品通过CCC认证；</w:t>
            </w:r>
          </w:p>
          <w:p>
            <w:pPr>
              <w:numPr>
                <w:ilvl w:val="0"/>
                <w:numId w:val="79"/>
              </w:numPr>
              <w:spacing w:line="360" w:lineRule="auto"/>
              <w:rPr>
                <w:rFonts w:ascii="仿宋" w:hAnsi="仿宋" w:eastAsia="仿宋" w:cs="仿宋"/>
                <w:color w:val="auto"/>
              </w:rPr>
            </w:pPr>
            <w:r>
              <w:rPr>
                <w:rFonts w:hint="eastAsia" w:ascii="仿宋" w:hAnsi="仿宋" w:eastAsia="仿宋" w:cs="仿宋"/>
                <w:color w:val="auto"/>
                <w:szCs w:val="21"/>
              </w:rPr>
              <w:t>★所投产品通过人社部检测，并取得《社会保障卡读写器检测报告》，报告在有效期内。</w:t>
            </w:r>
          </w:p>
        </w:tc>
      </w:tr>
    </w:tbl>
    <w:p>
      <w:pPr>
        <w:spacing w:line="360" w:lineRule="auto"/>
        <w:rPr>
          <w:rFonts w:ascii="仿宋" w:hAnsi="仿宋" w:eastAsia="仿宋" w:cs="仿宋"/>
          <w:b/>
          <w:bCs/>
          <w:color w:val="auto"/>
          <w:sz w:val="24"/>
        </w:rPr>
      </w:pPr>
      <w:r>
        <w:rPr>
          <w:rFonts w:hint="eastAsia" w:ascii="仿宋" w:hAnsi="仿宋" w:eastAsia="仿宋" w:cs="仿宋"/>
          <w:b/>
          <w:bCs/>
          <w:color w:val="auto"/>
          <w:sz w:val="24"/>
        </w:rPr>
        <w:t>4.4 智能AI摄像头参数要求</w:t>
      </w:r>
    </w:p>
    <w:tbl>
      <w:tblPr>
        <w:tblStyle w:val="15"/>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260" w:type="dxa"/>
          </w:tcPr>
          <w:p>
            <w:pPr>
              <w:pStyle w:val="22"/>
              <w:numPr>
                <w:ilvl w:val="0"/>
                <w:numId w:val="80"/>
              </w:numPr>
              <w:spacing w:line="360" w:lineRule="auto"/>
              <w:ind w:firstLineChars="0"/>
              <w:rPr>
                <w:rFonts w:ascii="仿宋" w:hAnsi="仿宋" w:eastAsia="仿宋" w:cs="仿宋"/>
                <w:color w:val="auto"/>
                <w:sz w:val="21"/>
                <w:szCs w:val="21"/>
              </w:rPr>
            </w:pPr>
            <w:r>
              <w:rPr>
                <w:rFonts w:hint="eastAsia" w:ascii="仿宋" w:hAnsi="仿宋" w:eastAsia="仿宋" w:cs="仿宋"/>
                <w:color w:val="auto"/>
                <w:sz w:val="21"/>
                <w:szCs w:val="21"/>
              </w:rPr>
              <w:t>需具有≥400万像素，且摄像机靶面尺寸≥1/2.5＂；</w:t>
            </w:r>
          </w:p>
          <w:p>
            <w:pPr>
              <w:pStyle w:val="22"/>
              <w:numPr>
                <w:ilvl w:val="0"/>
                <w:numId w:val="80"/>
              </w:numPr>
              <w:spacing w:line="360" w:lineRule="auto"/>
              <w:ind w:firstLineChars="0"/>
              <w:rPr>
                <w:rFonts w:ascii="仿宋" w:hAnsi="仿宋" w:eastAsia="仿宋" w:cs="仿宋"/>
                <w:color w:val="auto"/>
                <w:sz w:val="21"/>
                <w:szCs w:val="21"/>
              </w:rPr>
            </w:pPr>
            <w:r>
              <w:rPr>
                <w:rFonts w:hint="eastAsia" w:ascii="仿宋" w:hAnsi="仿宋" w:eastAsia="仿宋" w:cs="仿宋"/>
                <w:color w:val="auto"/>
                <w:sz w:val="21"/>
                <w:szCs w:val="21"/>
              </w:rPr>
              <w:t>需支持最低照度彩色≤0.005Lux，黑白≤0.001Lux；</w:t>
            </w:r>
          </w:p>
          <w:p>
            <w:pPr>
              <w:pStyle w:val="22"/>
              <w:numPr>
                <w:ilvl w:val="0"/>
                <w:numId w:val="80"/>
              </w:numPr>
              <w:spacing w:line="360" w:lineRule="auto"/>
              <w:ind w:firstLineChars="0"/>
              <w:rPr>
                <w:rFonts w:ascii="仿宋" w:hAnsi="仿宋" w:eastAsia="仿宋" w:cs="仿宋"/>
                <w:color w:val="auto"/>
                <w:sz w:val="21"/>
                <w:szCs w:val="21"/>
              </w:rPr>
            </w:pPr>
            <w:r>
              <w:rPr>
                <w:rFonts w:hint="eastAsia" w:ascii="仿宋" w:hAnsi="仿宋" w:eastAsia="仿宋" w:cs="仿宋"/>
                <w:color w:val="auto"/>
                <w:sz w:val="21"/>
                <w:szCs w:val="21"/>
              </w:rPr>
              <w:t>需满足5.9-135.7mm的焦距范围，且支持≥23倍光学变倍；</w:t>
            </w:r>
          </w:p>
          <w:p>
            <w:pPr>
              <w:pStyle w:val="22"/>
              <w:numPr>
                <w:ilvl w:val="0"/>
                <w:numId w:val="80"/>
              </w:numPr>
              <w:spacing w:line="360" w:lineRule="auto"/>
              <w:ind w:firstLineChars="0"/>
              <w:rPr>
                <w:rFonts w:ascii="仿宋" w:hAnsi="仿宋" w:eastAsia="仿宋" w:cs="仿宋"/>
                <w:color w:val="auto"/>
                <w:sz w:val="21"/>
                <w:szCs w:val="21"/>
              </w:rPr>
            </w:pPr>
            <w:r>
              <w:rPr>
                <w:rFonts w:hint="eastAsia" w:ascii="仿宋" w:hAnsi="仿宋" w:eastAsia="仿宋" w:cs="仿宋"/>
                <w:color w:val="auto"/>
                <w:sz w:val="21"/>
                <w:szCs w:val="21"/>
              </w:rPr>
              <w:t>需支持2560×1440@30fps高清画面输出，且红外照射距离≥150米；</w:t>
            </w:r>
          </w:p>
          <w:p>
            <w:pPr>
              <w:pStyle w:val="22"/>
              <w:numPr>
                <w:ilvl w:val="0"/>
                <w:numId w:val="80"/>
              </w:numPr>
              <w:spacing w:line="360" w:lineRule="auto"/>
              <w:ind w:firstLineChars="0"/>
              <w:rPr>
                <w:rFonts w:ascii="仿宋" w:hAnsi="仿宋" w:eastAsia="仿宋" w:cs="仿宋"/>
                <w:color w:val="auto"/>
                <w:sz w:val="21"/>
                <w:szCs w:val="21"/>
              </w:rPr>
            </w:pPr>
            <w:r>
              <w:rPr>
                <w:rFonts w:hint="eastAsia" w:ascii="仿宋" w:hAnsi="仿宋" w:eastAsia="仿宋" w:cs="仿宋"/>
                <w:color w:val="auto"/>
                <w:sz w:val="21"/>
                <w:szCs w:val="21"/>
              </w:rPr>
              <w:t>需支持人脸抓拍场景手动选择，大场景监控和抓拍人脸灵活切换；</w:t>
            </w:r>
          </w:p>
          <w:p>
            <w:pPr>
              <w:pStyle w:val="22"/>
              <w:numPr>
                <w:ilvl w:val="0"/>
                <w:numId w:val="80"/>
              </w:numPr>
              <w:spacing w:line="360" w:lineRule="auto"/>
              <w:ind w:firstLineChars="0"/>
              <w:rPr>
                <w:rFonts w:ascii="仿宋" w:hAnsi="仿宋" w:eastAsia="仿宋" w:cs="仿宋"/>
                <w:color w:val="auto"/>
                <w:sz w:val="21"/>
                <w:szCs w:val="21"/>
              </w:rPr>
            </w:pPr>
            <w:r>
              <w:rPr>
                <w:rFonts w:hint="eastAsia" w:ascii="仿宋" w:hAnsi="仿宋" w:eastAsia="仿宋" w:cs="仿宋"/>
                <w:color w:val="auto"/>
                <w:sz w:val="21"/>
                <w:szCs w:val="21"/>
              </w:rPr>
              <w:t>需内置SD卡槽，支持≥256G的SD卡存储，支持人脸断点续传；</w:t>
            </w:r>
          </w:p>
          <w:p>
            <w:pPr>
              <w:pStyle w:val="22"/>
              <w:numPr>
                <w:ilvl w:val="0"/>
                <w:numId w:val="80"/>
              </w:numPr>
              <w:spacing w:line="360" w:lineRule="auto"/>
              <w:ind w:firstLineChars="0"/>
              <w:rPr>
                <w:rFonts w:ascii="仿宋" w:hAnsi="仿宋" w:eastAsia="仿宋" w:cs="仿宋"/>
                <w:color w:val="auto"/>
                <w:sz w:val="21"/>
                <w:szCs w:val="21"/>
              </w:rPr>
            </w:pPr>
            <w:r>
              <w:rPr>
                <w:rFonts w:hint="eastAsia" w:ascii="仿宋" w:hAnsi="仿宋" w:eastAsia="仿宋" w:cs="仿宋"/>
                <w:color w:val="auto"/>
                <w:sz w:val="21"/>
                <w:szCs w:val="21"/>
              </w:rPr>
              <w:t>需支持三码流技术，每路码流可独立配置分辨率及帧率；</w:t>
            </w:r>
          </w:p>
          <w:p>
            <w:pPr>
              <w:pStyle w:val="22"/>
              <w:numPr>
                <w:ilvl w:val="0"/>
                <w:numId w:val="80"/>
              </w:numPr>
              <w:spacing w:line="360" w:lineRule="auto"/>
              <w:ind w:firstLineChars="0"/>
              <w:rPr>
                <w:rFonts w:ascii="仿宋" w:hAnsi="仿宋" w:eastAsia="仿宋" w:cs="仿宋"/>
                <w:color w:val="auto"/>
                <w:sz w:val="21"/>
                <w:szCs w:val="21"/>
              </w:rPr>
            </w:pPr>
            <w:r>
              <w:rPr>
                <w:rFonts w:hint="eastAsia" w:ascii="仿宋" w:hAnsi="仿宋" w:eastAsia="仿宋" w:cs="仿宋"/>
                <w:color w:val="auto"/>
                <w:sz w:val="21"/>
                <w:szCs w:val="21"/>
              </w:rPr>
              <w:t>需支持对运动人脸进行检测、抓拍、评分、筛选，输出最优的人脸抓图；</w:t>
            </w:r>
          </w:p>
          <w:p>
            <w:pPr>
              <w:pStyle w:val="22"/>
              <w:numPr>
                <w:ilvl w:val="0"/>
                <w:numId w:val="80"/>
              </w:numPr>
              <w:spacing w:line="360" w:lineRule="auto"/>
              <w:ind w:firstLineChars="0"/>
              <w:rPr>
                <w:rFonts w:ascii="仿宋" w:hAnsi="仿宋" w:eastAsia="仿宋" w:cs="仿宋"/>
                <w:color w:val="auto"/>
                <w:sz w:val="21"/>
                <w:szCs w:val="21"/>
              </w:rPr>
            </w:pPr>
            <w:r>
              <w:rPr>
                <w:rFonts w:hint="eastAsia" w:ascii="仿宋" w:hAnsi="仿宋" w:eastAsia="仿宋" w:cs="仿宋"/>
                <w:color w:val="auto"/>
                <w:sz w:val="21"/>
                <w:szCs w:val="21"/>
              </w:rPr>
              <w:t>需支持≥1路音频输入，≥1路音频输出，≥2路报警输入，≥1路报警输出；</w:t>
            </w:r>
          </w:p>
          <w:p>
            <w:pPr>
              <w:pStyle w:val="22"/>
              <w:numPr>
                <w:ilvl w:val="0"/>
                <w:numId w:val="80"/>
              </w:numPr>
              <w:spacing w:line="360" w:lineRule="auto"/>
              <w:ind w:firstLineChars="0"/>
              <w:rPr>
                <w:rFonts w:ascii="仿宋" w:hAnsi="仿宋" w:eastAsia="仿宋" w:cs="仿宋"/>
                <w:color w:val="auto"/>
                <w:sz w:val="21"/>
                <w:szCs w:val="21"/>
              </w:rPr>
            </w:pPr>
            <w:r>
              <w:rPr>
                <w:rFonts w:hint="eastAsia" w:ascii="仿宋" w:hAnsi="仿宋" w:eastAsia="仿宋" w:cs="仿宋"/>
                <w:color w:val="auto"/>
                <w:sz w:val="21"/>
                <w:szCs w:val="21"/>
              </w:rPr>
              <w:t>需具有较强的抗干扰能力，防护等级应不低于IP66；</w:t>
            </w:r>
          </w:p>
          <w:p>
            <w:pPr>
              <w:pStyle w:val="22"/>
              <w:numPr>
                <w:ilvl w:val="0"/>
                <w:numId w:val="80"/>
              </w:numPr>
              <w:spacing w:line="360" w:lineRule="auto"/>
              <w:ind w:firstLineChars="0"/>
              <w:rPr>
                <w:rFonts w:ascii="仿宋" w:hAnsi="仿宋" w:eastAsia="仿宋" w:cs="仿宋"/>
                <w:color w:val="auto"/>
                <w:sz w:val="21"/>
                <w:szCs w:val="21"/>
              </w:rPr>
            </w:pPr>
            <w:r>
              <w:rPr>
                <w:rFonts w:hint="eastAsia" w:ascii="仿宋" w:hAnsi="仿宋" w:eastAsia="仿宋" w:cs="仿宋"/>
                <w:color w:val="auto"/>
                <w:sz w:val="21"/>
                <w:szCs w:val="21"/>
              </w:rPr>
              <w:t>★需支持通过IE浏览器手动点击或框选预览画面中的人脸时，设备能通过PTZ转动将人脸置于画面中心，并对人脸进行抓拍。（需提供公安部检验报告证明复印件，并加盖厂商公章或投标专用章）；</w:t>
            </w:r>
          </w:p>
          <w:p>
            <w:pPr>
              <w:pStyle w:val="22"/>
              <w:numPr>
                <w:ilvl w:val="0"/>
                <w:numId w:val="80"/>
              </w:numPr>
              <w:spacing w:line="360" w:lineRule="auto"/>
              <w:ind w:firstLineChars="0"/>
              <w:rPr>
                <w:rFonts w:ascii="仿宋" w:hAnsi="仿宋" w:eastAsia="仿宋" w:cs="仿宋"/>
                <w:color w:val="auto"/>
                <w:sz w:val="21"/>
                <w:szCs w:val="21"/>
              </w:rPr>
            </w:pPr>
            <w:r>
              <w:rPr>
                <w:rFonts w:hint="eastAsia" w:ascii="仿宋" w:hAnsi="仿宋" w:eastAsia="仿宋" w:cs="仿宋"/>
                <w:color w:val="auto"/>
                <w:sz w:val="21"/>
                <w:szCs w:val="21"/>
              </w:rPr>
              <w:t>★设备需支持同时检测监控场景内出现的不小于30张人脸，并可进行抓拍和人脸追踪。（需提供公安部检验报告证明复印件，并加盖厂商公章或投标专用章）；</w:t>
            </w:r>
          </w:p>
          <w:p>
            <w:pPr>
              <w:pStyle w:val="22"/>
              <w:numPr>
                <w:ilvl w:val="0"/>
                <w:numId w:val="80"/>
              </w:numPr>
              <w:spacing w:line="360" w:lineRule="auto"/>
              <w:ind w:firstLineChars="0"/>
              <w:rPr>
                <w:rFonts w:ascii="仿宋" w:hAnsi="仿宋" w:eastAsia="仿宋" w:cs="仿宋"/>
                <w:color w:val="auto"/>
                <w:sz w:val="21"/>
                <w:szCs w:val="21"/>
              </w:rPr>
            </w:pPr>
            <w:r>
              <w:rPr>
                <w:rFonts w:hint="eastAsia" w:ascii="仿宋" w:hAnsi="仿宋" w:eastAsia="仿宋" w:cs="仿宋"/>
                <w:color w:val="auto"/>
                <w:sz w:val="21"/>
                <w:szCs w:val="21"/>
              </w:rPr>
              <w:t>★需支持通过IE浏览器设置不少于8个场景进行人脸抓拍，可设置每个场景的布防时间。（需提供公安部检验报告证明复印件，并加盖厂商公章或投标专用章）；</w:t>
            </w:r>
          </w:p>
        </w:tc>
      </w:tr>
    </w:tbl>
    <w:p>
      <w:pPr>
        <w:spacing w:line="360" w:lineRule="auto"/>
        <w:rPr>
          <w:rFonts w:ascii="仿宋" w:hAnsi="仿宋" w:eastAsia="仿宋" w:cs="仿宋"/>
          <w:color w:val="auto"/>
        </w:rPr>
      </w:pPr>
    </w:p>
    <w:p>
      <w:pPr>
        <w:spacing w:line="360" w:lineRule="auto"/>
        <w:rPr>
          <w:rFonts w:ascii="仿宋" w:hAnsi="仿宋" w:eastAsia="仿宋" w:cs="仿宋"/>
          <w:b/>
          <w:bCs/>
          <w:color w:val="auto"/>
          <w:sz w:val="24"/>
        </w:rPr>
      </w:pPr>
      <w:r>
        <w:rPr>
          <w:rFonts w:hint="eastAsia" w:ascii="仿宋" w:hAnsi="仿宋" w:eastAsia="仿宋" w:cs="仿宋"/>
          <w:b/>
          <w:bCs/>
          <w:color w:val="auto"/>
          <w:sz w:val="24"/>
        </w:rPr>
        <w:t>4.5 桌面式智能识别终端参数要求</w:t>
      </w:r>
    </w:p>
    <w:tbl>
      <w:tblPr>
        <w:tblStyle w:val="14"/>
        <w:tblW w:w="9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7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终端外观要求</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一体化设计，外观简洁，美观大方，方便台式操作；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操作系统</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Android7.1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中央处理器</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CPU:1.8 GHz 四核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存储</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 xml:space="preserve">RAM：2GB；    </w:t>
            </w:r>
          </w:p>
          <w:p>
            <w:pPr>
              <w:spacing w:line="360" w:lineRule="auto"/>
              <w:rPr>
                <w:rFonts w:ascii="仿宋" w:hAnsi="仿宋" w:eastAsia="仿宋" w:cs="仿宋"/>
                <w:color w:val="auto"/>
                <w:szCs w:val="21"/>
              </w:rPr>
            </w:pPr>
            <w:r>
              <w:rPr>
                <w:rFonts w:hint="eastAsia" w:ascii="仿宋" w:hAnsi="仿宋" w:eastAsia="仿宋" w:cs="仿宋"/>
                <w:color w:val="auto"/>
                <w:szCs w:val="21"/>
              </w:rPr>
              <w:t>ROM：8GB，支持MicroSD(TF），最大到64G；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主显示屏</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屏尺寸：15.6英寸；</w:t>
            </w:r>
            <w:r>
              <w:rPr>
                <w:rFonts w:hint="eastAsia" w:ascii="仿宋" w:hAnsi="仿宋" w:eastAsia="仿宋" w:cs="仿宋"/>
                <w:color w:val="auto"/>
                <w:szCs w:val="21"/>
              </w:rPr>
              <w:br w:type="textWrapping"/>
            </w:r>
            <w:r>
              <w:rPr>
                <w:rFonts w:hint="eastAsia" w:ascii="仿宋" w:hAnsi="仿宋" w:eastAsia="仿宋" w:cs="仿宋"/>
                <w:color w:val="auto"/>
                <w:szCs w:val="21"/>
              </w:rPr>
              <w:t>最佳分辨率：1920*1080；</w:t>
            </w:r>
            <w:r>
              <w:rPr>
                <w:rFonts w:hint="eastAsia" w:ascii="仿宋" w:hAnsi="仿宋" w:eastAsia="仿宋" w:cs="仿宋"/>
                <w:color w:val="auto"/>
                <w:szCs w:val="21"/>
              </w:rPr>
              <w:br w:type="textWrapping"/>
            </w:r>
            <w:r>
              <w:rPr>
                <w:rFonts w:hint="eastAsia" w:ascii="仿宋" w:hAnsi="仿宋" w:eastAsia="仿宋" w:cs="仿宋"/>
                <w:color w:val="auto"/>
                <w:szCs w:val="21"/>
              </w:rPr>
              <w:t>触摸屏：钢化触摸屏，电容式多点触摸；</w:t>
            </w:r>
          </w:p>
          <w:p>
            <w:pPr>
              <w:spacing w:line="360" w:lineRule="auto"/>
              <w:rPr>
                <w:rFonts w:ascii="仿宋" w:hAnsi="仿宋" w:eastAsia="仿宋" w:cs="仿宋"/>
                <w:color w:val="auto"/>
                <w:szCs w:val="21"/>
              </w:rPr>
            </w:pPr>
            <w:r>
              <w:rPr>
                <w:rFonts w:hint="eastAsia" w:ascii="仿宋" w:hAnsi="仿宋" w:eastAsia="仿宋" w:cs="仿宋"/>
                <w:color w:val="auto"/>
                <w:szCs w:val="21"/>
              </w:rPr>
              <w:t>屏体特性：无漂移、不随环境产生变化、全角度抗强光照射。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★副屏</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屏尺寸：10.1英寸；</w:t>
            </w:r>
            <w:r>
              <w:rPr>
                <w:rFonts w:hint="eastAsia" w:ascii="仿宋" w:hAnsi="仿宋" w:eastAsia="仿宋" w:cs="仿宋"/>
                <w:color w:val="auto"/>
                <w:szCs w:val="21"/>
              </w:rPr>
              <w:br w:type="textWrapping"/>
            </w:r>
            <w:r>
              <w:rPr>
                <w:rFonts w:hint="eastAsia" w:ascii="仿宋" w:hAnsi="仿宋" w:eastAsia="仿宋" w:cs="仿宋"/>
                <w:color w:val="auto"/>
                <w:szCs w:val="21"/>
              </w:rPr>
              <w:t>最佳分辨率：1024*600；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摄像头</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可见光摄像头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喇叭及蜂鸣器</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打印模块</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内置高速58mm打印机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通讯方式</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以太网通讯、WIFI通讯；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物理接口</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4个USB TypeA口， 1个RJ11串口， 1个RJ12口 ，1个RJ45 LAN口，1个耳机口，1个电源口，1个Micro-USB调试口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28" w:type="dxa"/>
            <w:vMerge w:val="restart"/>
          </w:tcPr>
          <w:p>
            <w:pPr>
              <w:spacing w:line="360" w:lineRule="auto"/>
              <w:rPr>
                <w:rFonts w:ascii="仿宋" w:hAnsi="仿宋" w:eastAsia="仿宋" w:cs="仿宋"/>
                <w:color w:val="auto"/>
                <w:szCs w:val="21"/>
              </w:rPr>
            </w:pPr>
            <w:r>
              <w:rPr>
                <w:rFonts w:hint="eastAsia" w:ascii="仿宋" w:hAnsi="仿宋" w:eastAsia="仿宋" w:cs="仿宋"/>
                <w:color w:val="auto"/>
                <w:szCs w:val="21"/>
              </w:rPr>
              <w:t>★IC卡读卡器</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1828" w:type="dxa"/>
            <w:vMerge w:val="continue"/>
          </w:tcPr>
          <w:p>
            <w:pPr>
              <w:spacing w:line="360" w:lineRule="auto"/>
              <w:rPr>
                <w:rFonts w:ascii="仿宋" w:hAnsi="仿宋" w:eastAsia="仿宋" w:cs="仿宋"/>
                <w:color w:val="auto"/>
                <w:szCs w:val="21"/>
              </w:rPr>
            </w:pP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符合ISO/IEC 7816标准，支持异步卡如T=0、T=1的CPU卡，同步卡如常用的存储卡AT24系列、4442、4428等卡型T=0：9600-38400bps，T=1：9600-115200bps</w:t>
            </w:r>
          </w:p>
          <w:p>
            <w:pPr>
              <w:spacing w:line="360" w:lineRule="auto"/>
              <w:rPr>
                <w:rFonts w:ascii="仿宋" w:hAnsi="仿宋" w:eastAsia="仿宋" w:cs="仿宋"/>
                <w:color w:val="auto"/>
                <w:szCs w:val="21"/>
              </w:rPr>
            </w:pPr>
            <w:r>
              <w:rPr>
                <w:rFonts w:hint="eastAsia" w:ascii="仿宋" w:hAnsi="仿宋" w:eastAsia="仿宋" w:cs="仿宋"/>
                <w:color w:val="auto"/>
                <w:szCs w:val="21"/>
              </w:rPr>
              <w:t>支持1.8v/3v/5v卡；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28" w:type="dxa"/>
            <w:vMerge w:val="continue"/>
          </w:tcPr>
          <w:p>
            <w:pPr>
              <w:spacing w:line="360" w:lineRule="auto"/>
              <w:rPr>
                <w:rFonts w:ascii="仿宋" w:hAnsi="仿宋" w:eastAsia="仿宋" w:cs="仿宋"/>
                <w:color w:val="auto"/>
                <w:szCs w:val="21"/>
              </w:rPr>
            </w:pP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卡触点可使用次数50万次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非接触卡读写器</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符合ISO/IEC 14443标准，支持TypeA/B， Mifare卡，</w:t>
            </w:r>
          </w:p>
          <w:p>
            <w:pPr>
              <w:spacing w:line="360" w:lineRule="auto"/>
              <w:rPr>
                <w:rFonts w:ascii="仿宋" w:hAnsi="仿宋" w:eastAsia="仿宋" w:cs="仿宋"/>
                <w:color w:val="auto"/>
                <w:szCs w:val="21"/>
              </w:rPr>
            </w:pPr>
            <w:r>
              <w:rPr>
                <w:rFonts w:hint="eastAsia" w:ascii="仿宋" w:hAnsi="仿宋" w:eastAsia="仿宋" w:cs="仿宋"/>
                <w:color w:val="auto"/>
                <w:szCs w:val="21"/>
              </w:rPr>
              <w:t>最大读卡距离不小于5CM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828" w:type="dxa"/>
            <w:vAlign w:val="center"/>
          </w:tcPr>
          <w:p>
            <w:pPr>
              <w:spacing w:line="360" w:lineRule="auto"/>
              <w:rPr>
                <w:rFonts w:ascii="仿宋" w:hAnsi="仿宋" w:eastAsia="仿宋" w:cs="仿宋"/>
                <w:color w:val="auto"/>
                <w:szCs w:val="21"/>
              </w:rPr>
            </w:pPr>
            <w:r>
              <w:rPr>
                <w:rFonts w:hint="eastAsia" w:ascii="仿宋" w:hAnsi="仿宋" w:eastAsia="仿宋" w:cs="仿宋"/>
                <w:color w:val="auto"/>
                <w:szCs w:val="21"/>
              </w:rPr>
              <w:t>★医保卡读写器</w:t>
            </w:r>
          </w:p>
        </w:tc>
        <w:tc>
          <w:tcPr>
            <w:tcW w:w="7611" w:type="dxa"/>
            <w:vAlign w:val="center"/>
          </w:tcPr>
          <w:p>
            <w:pPr>
              <w:spacing w:line="360" w:lineRule="auto"/>
              <w:rPr>
                <w:rFonts w:ascii="仿宋" w:hAnsi="仿宋" w:eastAsia="仿宋" w:cs="仿宋"/>
                <w:color w:val="auto"/>
                <w:szCs w:val="21"/>
              </w:rPr>
            </w:pPr>
            <w:r>
              <w:rPr>
                <w:rFonts w:hint="eastAsia" w:ascii="仿宋" w:hAnsi="仿宋" w:eastAsia="仿宋" w:cs="仿宋"/>
                <w:color w:val="auto"/>
                <w:szCs w:val="21"/>
              </w:rPr>
              <w:t>可通过插卡方式读写符合人社部标准的第二代社会保障卡；</w:t>
            </w:r>
          </w:p>
          <w:p>
            <w:pPr>
              <w:spacing w:line="360" w:lineRule="auto"/>
              <w:rPr>
                <w:rFonts w:ascii="仿宋" w:hAnsi="仿宋" w:eastAsia="仿宋" w:cs="仿宋"/>
                <w:color w:val="auto"/>
                <w:szCs w:val="21"/>
              </w:rPr>
            </w:pPr>
            <w:r>
              <w:rPr>
                <w:rFonts w:hint="eastAsia" w:ascii="仿宋" w:hAnsi="仿宋" w:eastAsia="仿宋" w:cs="仿宋"/>
                <w:color w:val="auto"/>
                <w:szCs w:val="21"/>
              </w:rPr>
              <w:t>可通过非接方式读写符合人社部标准的第三代社会保障卡；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828" w:type="dxa"/>
            <w:vAlign w:val="center"/>
          </w:tcPr>
          <w:p>
            <w:pPr>
              <w:spacing w:line="360" w:lineRule="auto"/>
              <w:rPr>
                <w:rFonts w:ascii="仿宋" w:hAnsi="仿宋" w:eastAsia="仿宋" w:cs="仿宋"/>
                <w:color w:val="auto"/>
                <w:szCs w:val="21"/>
              </w:rPr>
            </w:pPr>
            <w:r>
              <w:rPr>
                <w:rFonts w:hint="eastAsia" w:ascii="仿宋" w:hAnsi="仿宋" w:eastAsia="仿宋" w:cs="仿宋"/>
                <w:color w:val="auto"/>
                <w:szCs w:val="21"/>
              </w:rPr>
              <w:t>★医保电子凭证识读器</w:t>
            </w:r>
          </w:p>
        </w:tc>
        <w:tc>
          <w:tcPr>
            <w:tcW w:w="7611" w:type="dxa"/>
            <w:vAlign w:val="center"/>
          </w:tcPr>
          <w:p>
            <w:pPr>
              <w:spacing w:line="360" w:lineRule="auto"/>
              <w:rPr>
                <w:rFonts w:ascii="仿宋" w:hAnsi="仿宋" w:eastAsia="仿宋" w:cs="仿宋"/>
                <w:color w:val="auto"/>
                <w:szCs w:val="21"/>
              </w:rPr>
            </w:pPr>
            <w:r>
              <w:rPr>
                <w:rFonts w:hint="eastAsia" w:ascii="仿宋" w:hAnsi="仿宋" w:eastAsia="仿宋" w:cs="仿宋"/>
                <w:color w:val="auto"/>
                <w:szCs w:val="21"/>
              </w:rPr>
              <w:t>支持识读医保电子凭证；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★身份证阅读器</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内置公安部标准的二代身份证解码模块（非网络NFC方式），支持二代身份证信息读取，最大读卡距离不小于5CM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扫码模块</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识读模式:COMS；</w:t>
            </w:r>
          </w:p>
          <w:p>
            <w:pPr>
              <w:spacing w:line="360" w:lineRule="auto"/>
              <w:rPr>
                <w:rFonts w:ascii="仿宋" w:hAnsi="仿宋" w:eastAsia="仿宋" w:cs="仿宋"/>
                <w:color w:val="auto"/>
                <w:szCs w:val="21"/>
              </w:rPr>
            </w:pPr>
            <w:r>
              <w:rPr>
                <w:rFonts w:hint="eastAsia" w:ascii="仿宋" w:hAnsi="仿宋" w:eastAsia="仿宋" w:cs="仿宋"/>
                <w:color w:val="auto"/>
                <w:szCs w:val="21"/>
              </w:rPr>
              <w:t>试读码制：一维码（CODE 128，EAN-13，EAN-8code39等）二维码（PDF417，QR code，Data Matrix等）</w:t>
            </w:r>
          </w:p>
          <w:p>
            <w:pPr>
              <w:spacing w:line="360" w:lineRule="auto"/>
              <w:rPr>
                <w:rFonts w:ascii="仿宋" w:hAnsi="仿宋" w:eastAsia="仿宋" w:cs="仿宋"/>
                <w:color w:val="auto"/>
                <w:szCs w:val="21"/>
              </w:rPr>
            </w:pPr>
            <w:r>
              <w:rPr>
                <w:rFonts w:hint="eastAsia" w:ascii="仿宋" w:hAnsi="仿宋" w:eastAsia="仿宋" w:cs="仿宋"/>
                <w:color w:val="auto"/>
                <w:szCs w:val="21"/>
              </w:rPr>
              <w:t xml:space="preserve">识别精度：二维≥7.5mil，一维≥5mil </w:t>
            </w:r>
          </w:p>
          <w:p>
            <w:pPr>
              <w:spacing w:line="360" w:lineRule="auto"/>
              <w:rPr>
                <w:rFonts w:ascii="仿宋" w:hAnsi="仿宋" w:eastAsia="仿宋" w:cs="仿宋"/>
                <w:color w:val="auto"/>
                <w:szCs w:val="21"/>
              </w:rPr>
            </w:pPr>
            <w:r>
              <w:rPr>
                <w:rFonts w:hint="eastAsia" w:ascii="仿宋" w:hAnsi="仿宋" w:eastAsia="仿宋" w:cs="仿宋"/>
                <w:color w:val="auto"/>
                <w:szCs w:val="21"/>
              </w:rPr>
              <w:t>识读景深：40mm-300mm</w:t>
            </w:r>
          </w:p>
          <w:p>
            <w:pPr>
              <w:spacing w:line="360" w:lineRule="auto"/>
              <w:rPr>
                <w:rFonts w:ascii="仿宋" w:hAnsi="仿宋" w:eastAsia="仿宋" w:cs="仿宋"/>
                <w:color w:val="auto"/>
                <w:szCs w:val="21"/>
              </w:rPr>
            </w:pPr>
            <w:r>
              <w:rPr>
                <w:rFonts w:hint="eastAsia" w:ascii="仿宋" w:hAnsi="仿宋" w:eastAsia="仿宋" w:cs="仿宋"/>
                <w:color w:val="auto"/>
                <w:szCs w:val="21"/>
              </w:rPr>
              <w:t>打印对比度：≥30%</w:t>
            </w:r>
          </w:p>
          <w:p>
            <w:pPr>
              <w:spacing w:line="360" w:lineRule="auto"/>
              <w:rPr>
                <w:rFonts w:ascii="仿宋" w:hAnsi="仿宋" w:eastAsia="仿宋" w:cs="仿宋"/>
                <w:color w:val="auto"/>
                <w:szCs w:val="21"/>
              </w:rPr>
            </w:pPr>
            <w:r>
              <w:rPr>
                <w:rFonts w:hint="eastAsia" w:ascii="仿宋" w:hAnsi="仿宋" w:eastAsia="仿宋" w:cs="仿宋"/>
                <w:color w:val="auto"/>
                <w:szCs w:val="21"/>
              </w:rPr>
              <w:t>环境光照度:0-100,000LUX</w:t>
            </w:r>
          </w:p>
          <w:p>
            <w:pPr>
              <w:spacing w:line="360" w:lineRule="auto"/>
              <w:rPr>
                <w:rFonts w:ascii="仿宋" w:hAnsi="仿宋" w:eastAsia="仿宋" w:cs="仿宋"/>
                <w:color w:val="auto"/>
                <w:szCs w:val="21"/>
              </w:rPr>
            </w:pPr>
            <w:r>
              <w:rPr>
                <w:rFonts w:hint="eastAsia" w:ascii="仿宋" w:hAnsi="仿宋" w:eastAsia="仿宋" w:cs="仿宋"/>
                <w:color w:val="auto"/>
                <w:szCs w:val="21"/>
              </w:rPr>
              <w:t>支持扫符合人社部标准的电子社保卡；</w:t>
            </w:r>
          </w:p>
          <w:p>
            <w:pPr>
              <w:spacing w:line="360" w:lineRule="auto"/>
              <w:rPr>
                <w:rFonts w:ascii="仿宋" w:hAnsi="仿宋" w:eastAsia="仿宋" w:cs="仿宋"/>
                <w:color w:val="auto"/>
                <w:szCs w:val="21"/>
              </w:rPr>
            </w:pPr>
            <w:r>
              <w:rPr>
                <w:rFonts w:hint="eastAsia" w:ascii="仿宋" w:hAnsi="仿宋" w:eastAsia="仿宋" w:cs="仿宋"/>
                <w:color w:val="auto"/>
                <w:szCs w:val="21"/>
              </w:rPr>
              <w:t>支持扫微信和支付宝支付码；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SAM卡座</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4个，符合ISO/IEC 7816标准，支持5V/3V/1.8V卡。</w:t>
            </w:r>
          </w:p>
          <w:p>
            <w:pPr>
              <w:spacing w:line="360" w:lineRule="auto"/>
              <w:rPr>
                <w:rFonts w:ascii="仿宋" w:hAnsi="仿宋" w:eastAsia="仿宋" w:cs="仿宋"/>
                <w:color w:val="auto"/>
                <w:szCs w:val="21"/>
              </w:rPr>
            </w:pPr>
            <w:r>
              <w:rPr>
                <w:rFonts w:hint="eastAsia" w:ascii="仿宋" w:hAnsi="仿宋" w:eastAsia="仿宋" w:cs="仿宋"/>
                <w:color w:val="auto"/>
                <w:szCs w:val="21"/>
              </w:rPr>
              <w:t>SAM1具备下电控制功能；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电源适配器</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输入：AC100～240V/1.7A ， 输出：DC24V/1.5A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工作环境</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 xml:space="preserve">工作温度：0°C～40°C </w:t>
            </w:r>
          </w:p>
          <w:p>
            <w:pPr>
              <w:spacing w:line="360" w:lineRule="auto"/>
              <w:rPr>
                <w:rFonts w:ascii="仿宋" w:hAnsi="仿宋" w:eastAsia="仿宋" w:cs="仿宋"/>
                <w:color w:val="auto"/>
                <w:szCs w:val="21"/>
              </w:rPr>
            </w:pPr>
            <w:r>
              <w:rPr>
                <w:rFonts w:hint="eastAsia" w:ascii="仿宋" w:hAnsi="仿宋" w:eastAsia="仿宋" w:cs="仿宋"/>
                <w:color w:val="auto"/>
                <w:szCs w:val="21"/>
              </w:rPr>
              <w:t>储藏温度：-20°C ～60°C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28" w:type="dxa"/>
          </w:tcPr>
          <w:p>
            <w:pPr>
              <w:spacing w:line="360" w:lineRule="auto"/>
              <w:rPr>
                <w:rFonts w:ascii="仿宋" w:hAnsi="仿宋" w:eastAsia="仿宋" w:cs="仿宋"/>
                <w:color w:val="auto"/>
                <w:szCs w:val="21"/>
              </w:rPr>
            </w:pPr>
            <w:r>
              <w:rPr>
                <w:rFonts w:hint="eastAsia" w:ascii="仿宋" w:hAnsi="仿宋" w:eastAsia="仿宋" w:cs="仿宋"/>
                <w:color w:val="auto"/>
                <w:szCs w:val="21"/>
              </w:rPr>
              <w:t>售后服务</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原厂2年质保期；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28" w:type="dxa"/>
            <w:vMerge w:val="restart"/>
          </w:tcPr>
          <w:p>
            <w:pPr>
              <w:spacing w:line="360" w:lineRule="auto"/>
              <w:rPr>
                <w:rFonts w:ascii="仿宋" w:hAnsi="仿宋" w:eastAsia="仿宋" w:cs="仿宋"/>
                <w:color w:val="auto"/>
                <w:szCs w:val="21"/>
              </w:rPr>
            </w:pPr>
            <w:r>
              <w:rPr>
                <w:rFonts w:hint="eastAsia" w:ascii="仿宋" w:hAnsi="仿宋" w:eastAsia="仿宋" w:cs="仿宋"/>
                <w:color w:val="auto"/>
                <w:szCs w:val="21"/>
              </w:rPr>
              <w:t>★产品资质</w:t>
            </w: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要求整机通过人社部检测，并取得《社会保障卡读写器检测报告》。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28" w:type="dxa"/>
            <w:vMerge w:val="continue"/>
          </w:tcPr>
          <w:p>
            <w:pPr>
              <w:spacing w:line="360" w:lineRule="auto"/>
              <w:rPr>
                <w:rFonts w:ascii="仿宋" w:hAnsi="仿宋" w:eastAsia="仿宋" w:cs="仿宋"/>
                <w:color w:val="auto"/>
                <w:szCs w:val="21"/>
              </w:rPr>
            </w:pPr>
          </w:p>
        </w:tc>
        <w:tc>
          <w:tcPr>
            <w:tcW w:w="7611" w:type="dxa"/>
          </w:tcPr>
          <w:p>
            <w:pPr>
              <w:spacing w:line="360" w:lineRule="auto"/>
              <w:rPr>
                <w:rFonts w:ascii="仿宋" w:hAnsi="仿宋" w:eastAsia="仿宋" w:cs="仿宋"/>
                <w:color w:val="auto"/>
                <w:szCs w:val="21"/>
              </w:rPr>
            </w:pPr>
            <w:r>
              <w:rPr>
                <w:rFonts w:hint="eastAsia" w:ascii="仿宋" w:hAnsi="仿宋" w:eastAsia="仿宋" w:cs="仿宋"/>
                <w:color w:val="auto"/>
                <w:szCs w:val="21"/>
              </w:rPr>
              <w:t>通过CCC检测，取得检测报告。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828" w:type="dxa"/>
            <w:vMerge w:val="restart"/>
          </w:tcPr>
          <w:p>
            <w:pPr>
              <w:spacing w:line="360" w:lineRule="auto"/>
              <w:rPr>
                <w:rFonts w:ascii="仿宋" w:hAnsi="仿宋" w:eastAsia="仿宋" w:cs="仿宋"/>
                <w:color w:val="auto"/>
                <w:szCs w:val="21"/>
              </w:rPr>
            </w:pPr>
            <w:r>
              <w:rPr>
                <w:rFonts w:hint="eastAsia" w:ascii="仿宋" w:hAnsi="仿宋" w:eastAsia="仿宋" w:cs="仿宋"/>
                <w:color w:val="auto"/>
                <w:szCs w:val="21"/>
              </w:rPr>
              <w:t>厂家资质</w:t>
            </w:r>
          </w:p>
        </w:tc>
        <w:tc>
          <w:tcPr>
            <w:tcW w:w="7611" w:type="dxa"/>
            <w:vAlign w:val="center"/>
          </w:tcPr>
          <w:p>
            <w:pPr>
              <w:spacing w:line="360" w:lineRule="auto"/>
              <w:rPr>
                <w:rFonts w:ascii="仿宋" w:hAnsi="仿宋" w:eastAsia="仿宋" w:cs="仿宋"/>
                <w:color w:val="auto"/>
                <w:szCs w:val="21"/>
              </w:rPr>
            </w:pPr>
            <w:r>
              <w:rPr>
                <w:rFonts w:hint="eastAsia" w:ascii="仿宋" w:hAnsi="仿宋" w:eastAsia="仿宋" w:cs="仿宋"/>
                <w:color w:val="auto"/>
                <w:szCs w:val="21"/>
              </w:rPr>
              <w:t>1、厂商需同时具备ISO9001质量管理体系认证和ISO14001环境管理体系认证；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28" w:type="dxa"/>
            <w:vMerge w:val="continue"/>
          </w:tcPr>
          <w:p>
            <w:pPr>
              <w:spacing w:line="360" w:lineRule="auto"/>
              <w:rPr>
                <w:rFonts w:ascii="仿宋" w:hAnsi="仿宋" w:eastAsia="仿宋" w:cs="仿宋"/>
                <w:color w:val="auto"/>
                <w:szCs w:val="21"/>
              </w:rPr>
            </w:pPr>
          </w:p>
        </w:tc>
        <w:tc>
          <w:tcPr>
            <w:tcW w:w="7611" w:type="dxa"/>
            <w:vAlign w:val="center"/>
          </w:tcPr>
          <w:p>
            <w:pPr>
              <w:spacing w:line="360" w:lineRule="auto"/>
              <w:rPr>
                <w:rFonts w:ascii="仿宋" w:hAnsi="仿宋" w:eastAsia="仿宋" w:cs="仿宋"/>
                <w:color w:val="auto"/>
                <w:szCs w:val="21"/>
              </w:rPr>
            </w:pPr>
            <w:r>
              <w:rPr>
                <w:rFonts w:hint="eastAsia" w:ascii="仿宋" w:hAnsi="仿宋" w:eastAsia="仿宋" w:cs="仿宋"/>
                <w:color w:val="auto"/>
                <w:szCs w:val="21"/>
              </w:rPr>
              <w:t>2、厂商具备一级信息系统设计与施工企业资质证书；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828" w:type="dxa"/>
            <w:vMerge w:val="continue"/>
          </w:tcPr>
          <w:p>
            <w:pPr>
              <w:spacing w:line="360" w:lineRule="auto"/>
              <w:rPr>
                <w:rFonts w:ascii="仿宋" w:hAnsi="仿宋" w:eastAsia="仿宋" w:cs="仿宋"/>
                <w:color w:val="auto"/>
                <w:szCs w:val="21"/>
              </w:rPr>
            </w:pPr>
          </w:p>
        </w:tc>
        <w:tc>
          <w:tcPr>
            <w:tcW w:w="7611" w:type="dxa"/>
            <w:vAlign w:val="center"/>
          </w:tcPr>
          <w:p>
            <w:pPr>
              <w:spacing w:line="360" w:lineRule="auto"/>
              <w:rPr>
                <w:rFonts w:ascii="仿宋" w:hAnsi="仿宋" w:eastAsia="仿宋" w:cs="仿宋"/>
                <w:color w:val="auto"/>
                <w:szCs w:val="21"/>
              </w:rPr>
            </w:pPr>
            <w:r>
              <w:rPr>
                <w:rFonts w:hint="eastAsia" w:ascii="仿宋" w:hAnsi="仿宋" w:eastAsia="仿宋" w:cs="仿宋"/>
                <w:color w:val="auto"/>
                <w:szCs w:val="21"/>
              </w:rPr>
              <w:t>3、厂商具有全国社会保障卡跨省应用和第三代社会保障卡两项课题研究参与证明文件。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828" w:type="dxa"/>
            <w:vMerge w:val="continue"/>
          </w:tcPr>
          <w:p>
            <w:pPr>
              <w:spacing w:line="360" w:lineRule="auto"/>
              <w:rPr>
                <w:rFonts w:ascii="仿宋" w:hAnsi="仿宋" w:eastAsia="仿宋" w:cs="仿宋"/>
                <w:color w:val="auto"/>
                <w:szCs w:val="21"/>
              </w:rPr>
            </w:pPr>
          </w:p>
        </w:tc>
        <w:tc>
          <w:tcPr>
            <w:tcW w:w="7611" w:type="dxa"/>
            <w:vAlign w:val="center"/>
          </w:tcPr>
          <w:p>
            <w:pPr>
              <w:spacing w:line="360" w:lineRule="auto"/>
              <w:rPr>
                <w:rFonts w:ascii="仿宋" w:hAnsi="仿宋" w:eastAsia="仿宋" w:cs="仿宋"/>
                <w:color w:val="auto"/>
                <w:szCs w:val="21"/>
              </w:rPr>
            </w:pPr>
            <w:r>
              <w:rPr>
                <w:rFonts w:hint="eastAsia" w:ascii="仿宋" w:hAnsi="仿宋" w:eastAsia="仿宋" w:cs="仿宋"/>
                <w:color w:val="auto"/>
                <w:szCs w:val="21"/>
              </w:rPr>
              <w:t>4、★厂商为第二代居民身份证阅读机具生产厂商，具有合法使用“第二代居民身份证相片解码软件授权”资格的单位，提供公安部一所官网地址和名单截图。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828" w:type="dxa"/>
            <w:vMerge w:val="continue"/>
          </w:tcPr>
          <w:p>
            <w:pPr>
              <w:spacing w:line="360" w:lineRule="auto"/>
              <w:rPr>
                <w:rFonts w:ascii="仿宋" w:hAnsi="仿宋" w:eastAsia="仿宋" w:cs="仿宋"/>
                <w:color w:val="auto"/>
                <w:szCs w:val="21"/>
              </w:rPr>
            </w:pPr>
          </w:p>
        </w:tc>
        <w:tc>
          <w:tcPr>
            <w:tcW w:w="7611" w:type="dxa"/>
            <w:vAlign w:val="center"/>
          </w:tcPr>
          <w:p>
            <w:pPr>
              <w:spacing w:line="360" w:lineRule="auto"/>
              <w:rPr>
                <w:rFonts w:ascii="仿宋" w:hAnsi="仿宋" w:eastAsia="仿宋" w:cs="仿宋"/>
                <w:color w:val="auto"/>
                <w:szCs w:val="21"/>
              </w:rPr>
            </w:pPr>
            <w:r>
              <w:rPr>
                <w:rFonts w:hint="eastAsia" w:ascii="仿宋" w:hAnsi="仿宋" w:eastAsia="仿宋" w:cs="仿宋"/>
                <w:color w:val="auto"/>
                <w:szCs w:val="21"/>
              </w:rPr>
              <w:t>5、厂商具备《银联卡受理终端产品企业认证证书》。</w:t>
            </w:r>
          </w:p>
        </w:tc>
      </w:tr>
    </w:tbl>
    <w:p>
      <w:pPr>
        <w:spacing w:line="360" w:lineRule="auto"/>
        <w:rPr>
          <w:rFonts w:ascii="仿宋" w:hAnsi="仿宋" w:eastAsia="仿宋" w:cs="仿宋"/>
          <w:b/>
          <w:bCs/>
          <w:color w:val="auto"/>
          <w:sz w:val="24"/>
        </w:rPr>
      </w:pPr>
      <w:bookmarkStart w:id="681" w:name="_Toc33440767"/>
      <w:bookmarkStart w:id="682" w:name="_Toc23257408"/>
      <w:bookmarkStart w:id="683" w:name="_Toc34175383"/>
      <w:r>
        <w:rPr>
          <w:rFonts w:hint="eastAsia" w:ascii="仿宋" w:hAnsi="仿宋" w:eastAsia="仿宋" w:cs="仿宋"/>
          <w:b/>
          <w:bCs/>
          <w:color w:val="auto"/>
          <w:sz w:val="24"/>
        </w:rPr>
        <w:t>5.项目实施要求</w:t>
      </w:r>
      <w:bookmarkEnd w:id="681"/>
      <w:bookmarkEnd w:id="682"/>
      <w:bookmarkEnd w:id="683"/>
    </w:p>
    <w:p>
      <w:pPr>
        <w:spacing w:line="360" w:lineRule="auto"/>
        <w:rPr>
          <w:rFonts w:ascii="仿宋" w:hAnsi="仿宋" w:eastAsia="仿宋" w:cs="仿宋"/>
          <w:b/>
          <w:bCs/>
          <w:color w:val="auto"/>
          <w:sz w:val="24"/>
        </w:rPr>
      </w:pPr>
      <w:bookmarkStart w:id="684" w:name="_Toc33440768"/>
      <w:bookmarkStart w:id="685" w:name="_Toc25500935"/>
      <w:bookmarkStart w:id="686" w:name="_Toc34175384"/>
      <w:r>
        <w:rPr>
          <w:rFonts w:hint="eastAsia" w:ascii="仿宋" w:hAnsi="仿宋" w:eastAsia="仿宋" w:cs="仿宋"/>
          <w:b/>
          <w:bCs/>
          <w:color w:val="auto"/>
          <w:sz w:val="24"/>
        </w:rPr>
        <w:t>5.1</w:t>
      </w:r>
      <w:r>
        <w:rPr>
          <w:rFonts w:hint="eastAsia" w:ascii="仿宋" w:hAnsi="仿宋" w:eastAsia="仿宋" w:cs="仿宋"/>
          <w:color w:val="auto"/>
          <w:kern w:val="0"/>
          <w:sz w:val="20"/>
          <w:szCs w:val="20"/>
        </w:rPr>
        <w:t>▲</w:t>
      </w:r>
      <w:r>
        <w:rPr>
          <w:rFonts w:hint="eastAsia" w:ascii="仿宋" w:hAnsi="仿宋" w:eastAsia="仿宋" w:cs="仿宋"/>
          <w:b/>
          <w:bCs/>
          <w:color w:val="auto"/>
          <w:sz w:val="24"/>
        </w:rPr>
        <w:t>中标单位项目管理要求</w:t>
      </w:r>
      <w:bookmarkEnd w:id="684"/>
      <w:bookmarkEnd w:id="685"/>
      <w:bookmarkEnd w:id="686"/>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为保证本项目顺利实施，投标方需提供本次建设的项目管理方案，中标单位为本包投入技术人员不少于30人，实施期间提供现场不少于20人的项目实施团队（包含1名项目经理，该团队的核心技术人员具备医保行业或医疗行业项目实施经验。中标单位应承诺提供现场实施服务，办公场地由中标单位自行解决。</w:t>
      </w:r>
    </w:p>
    <w:p>
      <w:pPr>
        <w:pStyle w:val="24"/>
        <w:tabs>
          <w:tab w:val="left" w:pos="0"/>
        </w:tabs>
        <w:ind w:firstLine="480" w:firstLineChars="200"/>
        <w:rPr>
          <w:rFonts w:ascii="仿宋" w:hAnsi="仿宋" w:eastAsia="仿宋" w:cs="仿宋"/>
          <w:color w:val="auto"/>
          <w:sz w:val="24"/>
        </w:rPr>
      </w:pPr>
      <w:r>
        <w:rPr>
          <w:rFonts w:hint="eastAsia" w:ascii="仿宋" w:hAnsi="仿宋" w:eastAsia="仿宋" w:cs="仿宋"/>
          <w:color w:val="auto"/>
          <w:sz w:val="24"/>
        </w:rPr>
        <w:t>中标单位应携手所投设备生产厂家在规定时间内完成软硬件安装、调试，提供详细的安装实施方案，包括施工人员、技术支持、工期进度安排、组织管理培训。</w:t>
      </w:r>
    </w:p>
    <w:p>
      <w:pPr>
        <w:spacing w:line="360" w:lineRule="auto"/>
        <w:rPr>
          <w:rFonts w:ascii="仿宋" w:hAnsi="仿宋" w:eastAsia="仿宋" w:cs="仿宋"/>
          <w:b/>
          <w:bCs/>
          <w:color w:val="auto"/>
          <w:sz w:val="24"/>
        </w:rPr>
      </w:pPr>
      <w:bookmarkStart w:id="687" w:name="_Toc34175389"/>
      <w:bookmarkStart w:id="688" w:name="_Toc33440775"/>
      <w:r>
        <w:rPr>
          <w:rFonts w:hint="eastAsia" w:ascii="仿宋" w:hAnsi="仿宋" w:eastAsia="仿宋" w:cs="仿宋"/>
          <w:b/>
          <w:bCs/>
          <w:color w:val="auto"/>
          <w:sz w:val="24"/>
        </w:rPr>
        <w:t>5.2</w:t>
      </w:r>
      <w:r>
        <w:rPr>
          <w:rFonts w:hint="eastAsia" w:ascii="仿宋" w:hAnsi="仿宋" w:eastAsia="仿宋" w:cs="仿宋"/>
          <w:color w:val="auto"/>
          <w:kern w:val="0"/>
          <w:sz w:val="20"/>
          <w:szCs w:val="20"/>
        </w:rPr>
        <w:t>▲</w:t>
      </w:r>
      <w:r>
        <w:rPr>
          <w:rFonts w:hint="eastAsia" w:ascii="仿宋" w:hAnsi="仿宋" w:eastAsia="仿宋" w:cs="仿宋"/>
          <w:b/>
          <w:bCs/>
          <w:color w:val="auto"/>
          <w:sz w:val="24"/>
        </w:rPr>
        <w:t>质量管理要求</w:t>
      </w:r>
      <w:bookmarkEnd w:id="687"/>
      <w:bookmarkEnd w:id="688"/>
    </w:p>
    <w:p>
      <w:pPr>
        <w:pStyle w:val="24"/>
        <w:tabs>
          <w:tab w:val="left" w:pos="0"/>
        </w:tabs>
        <w:ind w:firstLine="480" w:firstLineChars="200"/>
        <w:rPr>
          <w:rFonts w:ascii="仿宋" w:hAnsi="仿宋" w:eastAsia="仿宋" w:cs="仿宋"/>
          <w:color w:val="auto"/>
          <w:sz w:val="24"/>
        </w:rPr>
      </w:pPr>
      <w:r>
        <w:rPr>
          <w:rFonts w:hint="eastAsia" w:ascii="仿宋" w:hAnsi="仿宋" w:eastAsia="仿宋" w:cs="仿宋"/>
          <w:color w:val="auto"/>
          <w:sz w:val="24"/>
        </w:rPr>
        <w:t>针对招标项目实施过程及交付结果进行质量规划、管理、控制。</w:t>
      </w:r>
    </w:p>
    <w:p>
      <w:pPr>
        <w:pStyle w:val="24"/>
        <w:tabs>
          <w:tab w:val="left" w:pos="0"/>
        </w:tabs>
        <w:ind w:firstLine="480" w:firstLineChars="200"/>
        <w:rPr>
          <w:rFonts w:ascii="仿宋" w:hAnsi="仿宋" w:eastAsia="仿宋" w:cs="仿宋"/>
          <w:color w:val="auto"/>
          <w:sz w:val="24"/>
        </w:rPr>
      </w:pPr>
      <w:r>
        <w:rPr>
          <w:rFonts w:hint="eastAsia" w:ascii="仿宋" w:hAnsi="仿宋" w:eastAsia="仿宋" w:cs="仿宋"/>
          <w:color w:val="auto"/>
          <w:sz w:val="24"/>
        </w:rPr>
        <w:t>中标单位需能提供项目准备、需求分析、设计、实施、上线、交付各阶段及项目管理等有关文档。</w:t>
      </w:r>
    </w:p>
    <w:p>
      <w:pPr>
        <w:spacing w:line="360" w:lineRule="auto"/>
        <w:rPr>
          <w:rFonts w:ascii="仿宋" w:hAnsi="仿宋" w:eastAsia="仿宋" w:cs="仿宋"/>
          <w:b/>
          <w:bCs/>
          <w:color w:val="auto"/>
          <w:sz w:val="24"/>
        </w:rPr>
      </w:pPr>
      <w:bookmarkStart w:id="689" w:name="_Toc33440776"/>
      <w:bookmarkStart w:id="690" w:name="_Toc34175390"/>
      <w:r>
        <w:rPr>
          <w:rFonts w:hint="eastAsia" w:ascii="仿宋" w:hAnsi="仿宋" w:eastAsia="仿宋" w:cs="仿宋"/>
          <w:b/>
          <w:bCs/>
          <w:color w:val="auto"/>
          <w:sz w:val="24"/>
        </w:rPr>
        <w:t>5.3</w:t>
      </w:r>
      <w:r>
        <w:rPr>
          <w:rFonts w:hint="eastAsia" w:ascii="仿宋" w:hAnsi="仿宋" w:eastAsia="仿宋" w:cs="仿宋"/>
          <w:color w:val="auto"/>
          <w:kern w:val="0"/>
          <w:sz w:val="20"/>
          <w:szCs w:val="20"/>
        </w:rPr>
        <w:t>▲</w:t>
      </w:r>
      <w:r>
        <w:rPr>
          <w:rFonts w:hint="eastAsia" w:ascii="仿宋" w:hAnsi="仿宋" w:eastAsia="仿宋" w:cs="仿宋"/>
          <w:b/>
          <w:bCs/>
          <w:color w:val="auto"/>
          <w:sz w:val="24"/>
        </w:rPr>
        <w:t>风险控制要求</w:t>
      </w:r>
      <w:bookmarkEnd w:id="689"/>
      <w:bookmarkEnd w:id="690"/>
    </w:p>
    <w:p>
      <w:pPr>
        <w:pStyle w:val="24"/>
        <w:tabs>
          <w:tab w:val="left" w:pos="0"/>
        </w:tabs>
        <w:ind w:firstLine="480" w:firstLineChars="200"/>
        <w:rPr>
          <w:rFonts w:ascii="仿宋" w:hAnsi="仿宋" w:eastAsia="仿宋" w:cs="仿宋"/>
          <w:color w:val="auto"/>
          <w:sz w:val="24"/>
        </w:rPr>
      </w:pPr>
      <w:r>
        <w:rPr>
          <w:rFonts w:hint="eastAsia" w:ascii="仿宋" w:hAnsi="仿宋" w:eastAsia="仿宋" w:cs="仿宋"/>
          <w:color w:val="auto"/>
          <w:sz w:val="24"/>
        </w:rPr>
        <w:t>投标方要能在充分理解本项目的基础上，对可能出现的各类风险进行评估和制定应对措施，以保证本项目的顺利上线。</w:t>
      </w:r>
    </w:p>
    <w:p>
      <w:pPr>
        <w:spacing w:line="360" w:lineRule="auto"/>
        <w:rPr>
          <w:rFonts w:ascii="仿宋" w:hAnsi="仿宋" w:eastAsia="仿宋" w:cs="仿宋"/>
          <w:b/>
          <w:bCs/>
          <w:color w:val="auto"/>
          <w:sz w:val="24"/>
        </w:rPr>
      </w:pPr>
      <w:bookmarkStart w:id="691" w:name="_Toc33440777"/>
      <w:bookmarkStart w:id="692" w:name="_Toc34175391"/>
      <w:bookmarkStart w:id="693" w:name="_Toc25500939"/>
      <w:r>
        <w:rPr>
          <w:rFonts w:hint="eastAsia" w:ascii="仿宋" w:hAnsi="仿宋" w:eastAsia="仿宋" w:cs="仿宋"/>
          <w:b/>
          <w:bCs/>
          <w:color w:val="auto"/>
          <w:sz w:val="24"/>
        </w:rPr>
        <w:t>6.</w:t>
      </w:r>
      <w:r>
        <w:rPr>
          <w:rFonts w:hint="eastAsia" w:ascii="仿宋" w:hAnsi="仿宋" w:eastAsia="仿宋" w:cs="仿宋"/>
          <w:color w:val="auto"/>
          <w:kern w:val="0"/>
          <w:sz w:val="20"/>
          <w:szCs w:val="20"/>
        </w:rPr>
        <w:t>▲</w:t>
      </w:r>
      <w:r>
        <w:rPr>
          <w:rFonts w:hint="eastAsia" w:ascii="仿宋" w:hAnsi="仿宋" w:eastAsia="仿宋" w:cs="仿宋"/>
          <w:b/>
          <w:bCs/>
          <w:color w:val="auto"/>
          <w:sz w:val="24"/>
        </w:rPr>
        <w:t>保密要求</w:t>
      </w:r>
      <w:bookmarkEnd w:id="691"/>
      <w:bookmarkEnd w:id="692"/>
      <w:bookmarkEnd w:id="693"/>
    </w:p>
    <w:p>
      <w:pPr>
        <w:pStyle w:val="24"/>
        <w:tabs>
          <w:tab w:val="left" w:pos="0"/>
        </w:tabs>
        <w:ind w:firstLine="480" w:firstLineChars="200"/>
        <w:rPr>
          <w:rFonts w:ascii="仿宋" w:hAnsi="仿宋" w:eastAsia="仿宋" w:cs="仿宋"/>
          <w:color w:val="auto"/>
          <w:sz w:val="24"/>
        </w:rPr>
      </w:pPr>
      <w:r>
        <w:rPr>
          <w:rFonts w:hint="eastAsia" w:ascii="仿宋" w:hAnsi="仿宋" w:eastAsia="仿宋" w:cs="仿宋"/>
          <w:color w:val="auto"/>
          <w:sz w:val="24"/>
        </w:rPr>
        <w:t>投标方需在投标文件中明确，本项目中数据（包含原始数据和衍生数据）全部为招标方所有，全部列入保密范围，投标方不得未经用户许可的情况下导出、分析以及移作他用。</w:t>
      </w:r>
    </w:p>
    <w:p>
      <w:pPr>
        <w:spacing w:line="360" w:lineRule="auto"/>
        <w:rPr>
          <w:rFonts w:ascii="仿宋" w:hAnsi="仿宋" w:eastAsia="仿宋" w:cs="仿宋"/>
          <w:b/>
          <w:bCs/>
          <w:color w:val="auto"/>
          <w:sz w:val="24"/>
        </w:rPr>
      </w:pPr>
      <w:bookmarkStart w:id="694" w:name="_Toc34175392"/>
      <w:bookmarkStart w:id="695" w:name="_Toc452972604"/>
      <w:bookmarkStart w:id="696" w:name="_Toc33440778"/>
      <w:bookmarkStart w:id="697" w:name="_Toc23257414"/>
      <w:r>
        <w:rPr>
          <w:rFonts w:hint="eastAsia" w:ascii="仿宋" w:hAnsi="仿宋" w:eastAsia="仿宋" w:cs="仿宋"/>
          <w:b/>
          <w:bCs/>
          <w:color w:val="auto"/>
          <w:sz w:val="24"/>
        </w:rPr>
        <w:t>7.</w:t>
      </w:r>
      <w:r>
        <w:rPr>
          <w:rFonts w:hint="eastAsia" w:ascii="仿宋" w:hAnsi="仿宋" w:eastAsia="仿宋" w:cs="仿宋"/>
          <w:color w:val="auto"/>
          <w:kern w:val="0"/>
          <w:sz w:val="20"/>
          <w:szCs w:val="20"/>
        </w:rPr>
        <w:t>▲</w:t>
      </w:r>
      <w:r>
        <w:rPr>
          <w:rFonts w:hint="eastAsia" w:ascii="仿宋" w:hAnsi="仿宋" w:eastAsia="仿宋" w:cs="仿宋"/>
          <w:b/>
          <w:bCs/>
          <w:color w:val="auto"/>
          <w:sz w:val="24"/>
        </w:rPr>
        <w:t>项目计划要求</w:t>
      </w:r>
      <w:bookmarkEnd w:id="694"/>
    </w:p>
    <w:p>
      <w:pPr>
        <w:pStyle w:val="18"/>
        <w:rPr>
          <w:rFonts w:ascii="仿宋" w:hAnsi="仿宋" w:eastAsia="仿宋" w:cs="仿宋"/>
          <w:color w:val="auto"/>
          <w:sz w:val="24"/>
        </w:rPr>
      </w:pPr>
      <w:bookmarkStart w:id="698" w:name="_Toc34175393"/>
      <w:r>
        <w:rPr>
          <w:rFonts w:hint="eastAsia" w:ascii="仿宋" w:hAnsi="仿宋" w:eastAsia="仿宋" w:cs="仿宋"/>
          <w:color w:val="auto"/>
          <w:sz w:val="24"/>
        </w:rPr>
        <w:t>服务期限：签订合同之日起至2021年</w:t>
      </w:r>
      <w:r>
        <w:rPr>
          <w:rFonts w:hint="eastAsia" w:ascii="仿宋" w:hAnsi="仿宋" w:eastAsia="仿宋" w:cs="仿宋"/>
          <w:color w:val="auto"/>
          <w:sz w:val="24"/>
          <w:lang w:val="en-US"/>
        </w:rPr>
        <w:t>6</w:t>
      </w:r>
      <w:r>
        <w:rPr>
          <w:rFonts w:hint="eastAsia" w:ascii="仿宋" w:hAnsi="仿宋" w:eastAsia="仿宋" w:cs="仿宋"/>
          <w:color w:val="auto"/>
          <w:sz w:val="24"/>
        </w:rPr>
        <w:t>底前完成系统初验，进入试运行，试运行期至少3个月，2021年底前完成系统终验。</w:t>
      </w:r>
    </w:p>
    <w:p>
      <w:pPr>
        <w:spacing w:line="360" w:lineRule="auto"/>
        <w:rPr>
          <w:rFonts w:ascii="仿宋" w:hAnsi="仿宋" w:eastAsia="仿宋" w:cs="仿宋"/>
          <w:b/>
          <w:bCs/>
          <w:color w:val="auto"/>
          <w:sz w:val="24"/>
        </w:rPr>
      </w:pPr>
      <w:r>
        <w:rPr>
          <w:rFonts w:hint="eastAsia" w:ascii="仿宋" w:hAnsi="仿宋" w:eastAsia="仿宋" w:cs="仿宋"/>
          <w:b/>
          <w:bCs/>
          <w:color w:val="auto"/>
          <w:sz w:val="24"/>
        </w:rPr>
        <w:t>8.项目协作要求</w:t>
      </w:r>
      <w:bookmarkEnd w:id="698"/>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中标单位须配合其它相关包号中标单位中标单位。</w:t>
      </w:r>
    </w:p>
    <w:p>
      <w:pPr>
        <w:spacing w:line="360" w:lineRule="auto"/>
        <w:rPr>
          <w:rFonts w:ascii="仿宋" w:hAnsi="仿宋" w:eastAsia="仿宋" w:cs="仿宋"/>
          <w:b/>
          <w:bCs/>
          <w:color w:val="auto"/>
          <w:sz w:val="24"/>
        </w:rPr>
      </w:pPr>
      <w:bookmarkStart w:id="699" w:name="_Toc34175395"/>
      <w:bookmarkStart w:id="700" w:name="_Toc23257415"/>
      <w:bookmarkStart w:id="701" w:name="_Toc33440779"/>
      <w:r>
        <w:rPr>
          <w:rFonts w:hint="eastAsia" w:ascii="仿宋" w:hAnsi="仿宋" w:eastAsia="仿宋" w:cs="仿宋"/>
          <w:b/>
          <w:bCs/>
          <w:color w:val="auto"/>
          <w:sz w:val="24"/>
        </w:rPr>
        <w:t>9.</w:t>
      </w:r>
      <w:r>
        <w:rPr>
          <w:rFonts w:hint="eastAsia" w:ascii="仿宋" w:hAnsi="仿宋" w:eastAsia="仿宋" w:cs="仿宋"/>
          <w:color w:val="auto"/>
          <w:kern w:val="0"/>
          <w:sz w:val="20"/>
          <w:szCs w:val="20"/>
        </w:rPr>
        <w:t>▲</w:t>
      </w:r>
      <w:r>
        <w:rPr>
          <w:rFonts w:hint="eastAsia" w:ascii="仿宋" w:hAnsi="仿宋" w:eastAsia="仿宋" w:cs="仿宋"/>
          <w:b/>
          <w:bCs/>
          <w:color w:val="auto"/>
          <w:sz w:val="24"/>
        </w:rPr>
        <w:t>售后服务要求</w:t>
      </w:r>
      <w:bookmarkEnd w:id="699"/>
      <w:bookmarkEnd w:id="700"/>
      <w:bookmarkEnd w:id="701"/>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（1）中标单位须为本项目提供项目终验合格2年的维保服务。</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在设备维保期内，中标单位应提供灵活、多样的通信手段（包括但不限于场地、设备及人员、专用服务电话），提供7*24小时的响应服务，保证在任何时候招标方人员都能及时找到投标方的服务人员。如遇现场人员无法解决的问题或招标方认为需要，投标方的技术人员应在12小时内赶到现场支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投标方应在项目建设方案中说明技术指导和技术支持的范围和程度，投标方应提供技术服务流程、技术支持与售后服务体系，需根据本次招标文件所制定的目标和范围，提出相应的技术支持服务和售后服务方案。</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（4）本项目需投标方提供本地化服务，处理所有售后服务，同时提供7×24小时本地语言（中文）支持。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（5）中标单位应提供项目供货后两年的维保服务。在本项目存续期提供永久的技术支持。免费服务期满后的售后服务方式、费用，招标方根据需要，经双方协商后，签订相关售后服务合同。</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中标单位需做出无推诿承诺。即中标单位应提供特殊措施，无论由于哪一方产生的问题而使设备发生不正常情况时，并在得到招标方通知后，需立即派工程师到场，全力配合设备原厂商和其他供应商，使设备尽快恢复正常。</w:t>
      </w:r>
    </w:p>
    <w:bookmarkEnd w:id="695"/>
    <w:bookmarkEnd w:id="696"/>
    <w:bookmarkEnd w:id="697"/>
    <w:p>
      <w:pPr>
        <w:spacing w:line="360" w:lineRule="auto"/>
        <w:rPr>
          <w:rFonts w:ascii="仿宋" w:hAnsi="仿宋" w:eastAsia="仿宋" w:cs="仿宋"/>
          <w:b/>
          <w:bCs/>
          <w:color w:val="auto"/>
          <w:sz w:val="24"/>
        </w:rPr>
      </w:pPr>
      <w:bookmarkStart w:id="702" w:name="_Toc33440782"/>
      <w:bookmarkStart w:id="703" w:name="_Toc34175402"/>
      <w:r>
        <w:rPr>
          <w:rFonts w:hint="eastAsia" w:ascii="仿宋" w:hAnsi="仿宋" w:eastAsia="仿宋" w:cs="仿宋"/>
          <w:b/>
          <w:bCs/>
          <w:color w:val="auto"/>
          <w:sz w:val="24"/>
        </w:rPr>
        <w:t>10.</w:t>
      </w:r>
      <w:r>
        <w:rPr>
          <w:rFonts w:hint="eastAsia" w:ascii="仿宋" w:hAnsi="仿宋" w:eastAsia="仿宋" w:cs="仿宋"/>
          <w:color w:val="auto"/>
          <w:kern w:val="0"/>
          <w:sz w:val="20"/>
          <w:szCs w:val="20"/>
        </w:rPr>
        <w:t>▲</w:t>
      </w:r>
      <w:r>
        <w:rPr>
          <w:rFonts w:hint="eastAsia" w:ascii="仿宋" w:hAnsi="仿宋" w:eastAsia="仿宋" w:cs="仿宋"/>
          <w:b/>
          <w:bCs/>
          <w:color w:val="auto"/>
          <w:sz w:val="24"/>
        </w:rPr>
        <w:t>其他要求</w:t>
      </w:r>
      <w:bookmarkEnd w:id="702"/>
      <w:bookmarkEnd w:id="703"/>
    </w:p>
    <w:p>
      <w:pPr>
        <w:tabs>
          <w:tab w:val="left" w:pos="1301"/>
        </w:tabs>
        <w:autoSpaceDE w:val="0"/>
        <w:autoSpaceDN w:val="0"/>
        <w:spacing w:line="360" w:lineRule="auto"/>
        <w:ind w:right="318" w:firstLine="480" w:firstLineChars="200"/>
        <w:rPr>
          <w:rFonts w:ascii="仿宋" w:hAnsi="仿宋" w:eastAsia="仿宋" w:cs="仿宋"/>
          <w:color w:val="auto"/>
          <w:spacing w:val="-10"/>
          <w:sz w:val="24"/>
        </w:rPr>
      </w:pPr>
      <w:r>
        <w:rPr>
          <w:rFonts w:hint="eastAsia" w:ascii="仿宋" w:hAnsi="仿宋" w:eastAsia="仿宋" w:cs="仿宋"/>
          <w:color w:val="auto"/>
          <w:sz w:val="24"/>
        </w:rPr>
        <w:t>（1）</w:t>
      </w:r>
      <w:r>
        <w:rPr>
          <w:rFonts w:hint="eastAsia" w:ascii="仿宋" w:hAnsi="仿宋" w:eastAsia="仿宋" w:cs="仿宋"/>
          <w:color w:val="auto"/>
          <w:spacing w:val="-10"/>
          <w:sz w:val="24"/>
        </w:rPr>
        <w:t>投标方承诺：如投标单位在海南省无分公司或办事处，须承诺中标后在海南省注册分公司或办事处，办公地址须在海南省医疗保障局周边半径2公里范围内。</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（2）当招标方有新需求，而本文又未包括或与本文不符时，则应符合招标方新需求；对于招标方尚未有标准的，而本文又未提及的部分，中标单位中标单位提出其标准，留待双方认可后执行。</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中标单位中标单位应确保其技术建议的可行性以及所提供服务和产品的完整性，若出现由于中标单位中标单位所提供的服务和产品不全面而导致系统功能无法实现或不能完全实现，由中标单位中标单位及时无偿补足，并负全部责任。</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（5）投标方承诺承担驻场工程师就餐和相关差旅费用，并提供驻场工程师办公电脑、打印机等设备。</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（6）投标方承诺本项目合作终止后1年内，无条件配合招标方进行数据迁移、数据字典提供、数据结构提供、对相关实现方式讲解。</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（7）本项目建设内容、需求若有变化，与本文不符的，则按照招标方与投标方友好协商修订为准。</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）投标人必须书面承诺所提供的产品能够满足医保网信办（2020）2</w:t>
      </w:r>
      <w:r>
        <w:rPr>
          <w:rFonts w:hint="eastAsia" w:ascii="仿宋" w:hAnsi="仿宋" w:eastAsia="仿宋" w:cs="仿宋"/>
          <w:color w:val="auto"/>
          <w:sz w:val="24"/>
        </w:rPr>
        <w:t>3</w:t>
      </w:r>
      <w:r>
        <w:rPr>
          <w:rFonts w:hint="eastAsia" w:ascii="仿宋" w:hAnsi="仿宋" w:eastAsia="仿宋" w:cs="仿宋"/>
          <w:color w:val="auto"/>
          <w:sz w:val="24"/>
          <w:lang w:val="zh-CN"/>
        </w:rPr>
        <w:t>号文</w:t>
      </w:r>
      <w:r>
        <w:rPr>
          <w:rFonts w:hint="eastAsia" w:ascii="仿宋" w:hAnsi="仿宋" w:eastAsia="仿宋" w:cs="仿宋"/>
          <w:color w:val="auto"/>
          <w:sz w:val="24"/>
        </w:rPr>
        <w:t>的规定和</w:t>
      </w:r>
      <w:r>
        <w:rPr>
          <w:rFonts w:hint="eastAsia" w:ascii="仿宋" w:hAnsi="仿宋" w:eastAsia="仿宋" w:cs="仿宋"/>
          <w:color w:val="auto"/>
          <w:sz w:val="24"/>
          <w:lang w:val="zh-CN"/>
        </w:rPr>
        <w:t>25号文</w:t>
      </w:r>
      <w:r>
        <w:rPr>
          <w:rFonts w:hint="eastAsia" w:ascii="仿宋" w:hAnsi="仿宋" w:eastAsia="仿宋" w:cs="仿宋"/>
          <w:color w:val="auto"/>
          <w:sz w:val="24"/>
        </w:rPr>
        <w:t>的规定</w:t>
      </w:r>
      <w:r>
        <w:rPr>
          <w:rFonts w:hint="eastAsia" w:ascii="仿宋" w:hAnsi="仿宋" w:eastAsia="仿宋" w:cs="仿宋"/>
          <w:color w:val="auto"/>
          <w:sz w:val="24"/>
          <w:lang w:val="zh-CN"/>
        </w:rPr>
        <w:t>，能够接入医保核心业务区域网络。</w:t>
      </w:r>
    </w:p>
    <w:p>
      <w:pPr>
        <w:autoSpaceDE w:val="0"/>
        <w:autoSpaceDN w:val="0"/>
        <w:spacing w:line="360" w:lineRule="auto"/>
        <w:ind w:left="221" w:firstLine="240" w:firstLineChars="100"/>
        <w:jc w:val="left"/>
        <w:rPr>
          <w:rFonts w:ascii="仿宋" w:hAnsi="仿宋" w:eastAsia="仿宋" w:cs="仿宋"/>
          <w:color w:val="auto"/>
          <w:sz w:val="24"/>
        </w:rPr>
        <w:sectPr>
          <w:pgSz w:w="11906" w:h="16838"/>
          <w:pgMar w:top="1440" w:right="1800" w:bottom="1440" w:left="1800" w:header="851" w:footer="992" w:gutter="0"/>
          <w:cols w:space="425" w:num="1"/>
          <w:docGrid w:type="lines" w:linePitch="312" w:charSpace="0"/>
        </w:sectPr>
      </w:pPr>
    </w:p>
    <w:p>
      <w:pPr>
        <w:spacing w:line="360" w:lineRule="auto"/>
        <w:ind w:left="-360"/>
        <w:jc w:val="center"/>
        <w:rPr>
          <w:rFonts w:ascii="仿宋" w:hAnsi="仿宋" w:eastAsia="仿宋" w:cs="仿宋"/>
          <w:b/>
          <w:bCs/>
          <w:color w:val="auto"/>
          <w:sz w:val="24"/>
        </w:rPr>
      </w:pPr>
      <w:r>
        <w:rPr>
          <w:rFonts w:hint="eastAsia" w:ascii="仿宋" w:hAnsi="仿宋" w:eastAsia="仿宋" w:cs="仿宋"/>
          <w:b/>
          <w:bCs/>
          <w:color w:val="auto"/>
          <w:sz w:val="24"/>
        </w:rPr>
        <w:t>11包数据备份一体机及安全硬件</w:t>
      </w:r>
    </w:p>
    <w:p>
      <w:pPr>
        <w:spacing w:line="360" w:lineRule="auto"/>
        <w:ind w:left="-360"/>
        <w:rPr>
          <w:rFonts w:ascii="仿宋" w:hAnsi="仿宋" w:eastAsia="仿宋" w:cs="仿宋"/>
          <w:b/>
          <w:bCs/>
          <w:color w:val="auto"/>
          <w:sz w:val="24"/>
        </w:rPr>
      </w:pPr>
      <w:r>
        <w:rPr>
          <w:rFonts w:hint="eastAsia" w:ascii="仿宋" w:hAnsi="仿宋" w:eastAsia="仿宋" w:cs="仿宋"/>
          <w:b/>
          <w:bCs/>
          <w:color w:val="auto"/>
          <w:sz w:val="24"/>
        </w:rPr>
        <w:t>1.项目概述</w:t>
      </w:r>
      <w:bookmarkStart w:id="704" w:name="_Toc40906280"/>
    </w:p>
    <w:p>
      <w:pPr>
        <w:spacing w:line="360" w:lineRule="auto"/>
        <w:rPr>
          <w:rFonts w:ascii="仿宋" w:hAnsi="仿宋" w:eastAsia="仿宋" w:cs="仿宋"/>
          <w:b/>
          <w:bCs/>
          <w:color w:val="auto"/>
          <w:sz w:val="24"/>
        </w:rPr>
      </w:pPr>
      <w:r>
        <w:rPr>
          <w:rFonts w:hint="eastAsia" w:ascii="仿宋" w:hAnsi="仿宋" w:eastAsia="仿宋" w:cs="仿宋"/>
          <w:b/>
          <w:bCs/>
          <w:color w:val="auto"/>
          <w:sz w:val="24"/>
        </w:rPr>
        <w:t>1.1项目背景</w:t>
      </w:r>
      <w:bookmarkEnd w:id="704"/>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中共中央《深化党和国家机构改革方案》中要求：（三十九）组建国家医疗保障局。医疗保险制度对于保障人民群众就医需求、减轻医药费用负担、提高健康水平有着重要作用。为完善统一的城乡居民基本医疗保险制度和大病保险制度，不断提高医疗保障水平，确保医保资金合理使用、安全可控，推进医疗、医保、医药“三医联动”改革，更好保障病有所医，将人力资源和社会保障部的城镇职工和城镇居民基本医疗保险、生育保险职责，国家卫生和计划生育委员会的新型农村合作医疗职责，国家发展和改革委员会的药品和医疗服务价格管理职责，民政部的医疗救助职责整合，组建国家医疗保障局，作为国务院直属机构。</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为加快推进医保信息化建设，国家医疗保障局印发《关于医疗保障信息化工作的指导意见》的通知（医保发〔2019〕1号），要求到“十三五”期末，初步建成标准统一、数据汇聚、规范协同的“内部管理、业务管理、生产经办、数据分析”四类系统组成的国家医疗保障信息化支撑体系，有效支撑全国医疗保障部门规范、高效、科学履职，支撑构建更加公平、可持续的医疗保障体系，在纵横一体、软硬协同的基础上，实现医疗保障信息化规范高效“大经办”、便捷可及“大服务”、智能精准“大治理”、融合共享“大协作”、在线可用“大数据”、安全可靠“大支撑”六大目标。</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海南省医疗保障局医疗保障信息平台建设遵循全国医疗保障信息化顶层设计和总体规划，依据全国统一的技术标准、业务标准、业务规范，打造医疗保障现代化支撑平台，助力自上而下医疗保障信息化“一盘棋”格局的形成，发挥信息化对医疗保障事业的支撑作用。</w:t>
      </w:r>
      <w:bookmarkStart w:id="705" w:name="_Toc40906281"/>
    </w:p>
    <w:p>
      <w:pPr>
        <w:spacing w:line="360" w:lineRule="auto"/>
        <w:ind w:left="-360"/>
        <w:rPr>
          <w:rFonts w:ascii="仿宋" w:hAnsi="仿宋" w:eastAsia="仿宋" w:cs="仿宋"/>
          <w:b/>
          <w:bCs/>
          <w:color w:val="auto"/>
          <w:sz w:val="24"/>
        </w:rPr>
      </w:pPr>
      <w:r>
        <w:rPr>
          <w:rFonts w:hint="eastAsia" w:ascii="仿宋" w:hAnsi="仿宋" w:eastAsia="仿宋" w:cs="仿宋"/>
          <w:b/>
          <w:bCs/>
          <w:color w:val="auto"/>
          <w:sz w:val="24"/>
        </w:rPr>
        <w:t>2.建设目标</w:t>
      </w:r>
      <w:bookmarkEnd w:id="705"/>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以习近平新时代中国特色社会主义思想为指导，全面贯彻党的十九大、十九届二中三中全会精神和2019年全国“两会”精神，认真落实全国医疗保障工作会议座谈会精神，严格遵循《国家医疗保障局医疗保障信息化工作指导意见》及《医疗保障信息平台建设指南》，坚持“千方百计保基本、始终做到可持续、回应社会解民忧、敢于担当推改革”，以医保为龙头带动“三医联动”改革，以信息化建设为抓手推动医保覆盖与医保控费，积极融入医疗保障信息化全国“一盘棋”格局，为逐步构建起全国医保便捷可及“大服务”、规范高效“大经办”、智能精准“大治理”、融合共享“大协作”、在线可用“大数据”、安全可靠“大支撑”信息化支撑体系添枝加叶。</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针对海南地区人口经济发展差异和老龄化严重的社会问题及农垦职工医疗保险基金缺口等历史遗留问题，本项目按照国家医保局标准全国统一、数据两级集中、平台分级部署、网络全面覆盖的医疗保障信息化建设要求，注重顶层设计、统一业务标准、打造基础平台、做好数据汇集、强化协同共享、增强网络安全。依托国家平台与海南省平台之间的协作联通，使用国家下达的中台服务，贯彻表层应用能用即用，国家系统中未设计的表层应用，采用国家统一的中台进行组装的整体思路，建设海南省统一的医疗保障信息平台，实现医保全省统筹统收统支“九统一”的重点工作任务，即： 统一行政管理和稽查执法，统一医保发展规划，统一医保基金收缴，统一医保待遇政策，统一医保支付范围，统一医保基金管理，统一医保经办规程，统一医保定点机构，统一医保信息系统。进一步完善医疗保障制度体系，提升医疗保障基金监管，强化医保支付、深化医药服务价格改革、优化医疗保障管理服务水平，探索常住外籍人员医疗保障办法。发挥信息化对医疗保障事业的支撑作用。解决群众反映强烈的突出问题，不断提高人民群众医疗保障获利感、幸福感和安全感，助力提高医改整体效能同时促进海南自由贸易试验区快速建设和实施健康中国战略。</w:t>
      </w:r>
    </w:p>
    <w:p>
      <w:pPr>
        <w:spacing w:line="360" w:lineRule="auto"/>
        <w:rPr>
          <w:rFonts w:ascii="仿宋" w:hAnsi="仿宋" w:eastAsia="仿宋" w:cs="仿宋"/>
          <w:b/>
          <w:bCs/>
          <w:color w:val="auto"/>
          <w:sz w:val="24"/>
        </w:rPr>
      </w:pPr>
      <w:bookmarkStart w:id="706" w:name="_Toc40906282"/>
      <w:r>
        <w:rPr>
          <w:rFonts w:hint="eastAsia" w:ascii="仿宋" w:hAnsi="仿宋" w:eastAsia="仿宋" w:cs="仿宋"/>
          <w:b/>
          <w:bCs/>
          <w:color w:val="auto"/>
          <w:sz w:val="24"/>
        </w:rPr>
        <w:t>3.建设内容</w:t>
      </w:r>
      <w:bookmarkEnd w:id="706"/>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海南省医疗保障信息平台遵循统一设计、统一标准、统一技术架构、统一业务规范，支持横向纵向业务协同、信息共享。依据医疗保障信息平台建设指南，结合海南省医疗保障局实际情况，本期建设内容如下：</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3.1基础设施建设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云基础设施建设：本项目由政务云提供计算资源、存储资源、网络资源、安全资源等各项云基础设施，实现计算资源、存储资源、网络资源的动态管理和资源调配。通过云基础设施为上层应用提供基础设施支撑。依托政务云建设医疗保障局双数据中心，实现业务系统应用级容灾，同时在数据中心本地建设备份系统。</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网络系统建设：依托电子政务外网、互联网，建设双数据中心主备容灾模式的网络系统，两数据中心之间以光纤链路进行交互。本项目网络架构采用spine-leaf结构同时结合VxLAN+SDN技术对整个网络进行管理和配置。</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医保指挥中心建设：建设医保指挥中心，配置大屏、视频会议系统、音视频、网络接入及安全、数字时钟、视频会议室改造、供配电系统、操作台扩声系统、大屏显示系统、中控系统、计算机网络系统、综合布线系统等设备。</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3.2DaaS层建设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Daas层主要承载着各个业务系统的基础业务数据库，各个业务系统的生产数据全部存储在业务系统的生产数据库中，并通过镜像的方式同步到交换库中，从而通过交换库实现纵向与国家医疗保障信息平台交换库的数据交换，横向基于海南省数据交换平台或直连方式实现与海南省自然人库、法人库、电子证照库、地理信息库以及公安、民政、人社、卫健、扶贫、市场监督管理局等相关省级局办委之间的数据共享和交换。</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3.3HSAF框架及云支撑服务</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海南省医疗保障信息平台建设依托“基于统一的技术框架”，包括HSAF（医疗保障应用框架）适配框架以及包括云服务总线、分布式数据库访问服务、分布式缓存在内的多种云支撑服务组件。云支撑服务具体包括分布式服务、消息队列服务、分布式缓存服务、分布式日志服务、分布式数据访问服务、关系型数据库、非结构化存储服务、分布式离线计算、分布式实时计算引擎、流计算引擎和云服务总线等。</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3.4政务中台建设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政务中台包括业务中台和数据中台。</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业务中台包括国家统一下发的分别部署在海南省医疗保障平台核心业务区和公共服务区的25个业务中心。其中省内核心业务区的业务中心包括基本信息中心、用户中心、统一认证中心、政策中心、参保中心、征缴中心、结算中心、电子凭证中心、电子档案中心、消息中心、风控中心、工作流引擎中心、报表中心和招采中心共14个业务中心。公共服务区业务中心包括统一认证中心、用户中心、服务事项中心、CMS中心、咨询中心、电子凭证中心、电子票据中心、消息推送中心、知识库中心、位置管理中心和个人服务中心共11个业务中心。</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数据中台基于数据资源池提供数据综合治理服务和数据计算服务。数据综合治理服务通过数据可视化、数据管理、数据开发等手段构建平台数据综合治理服务能力，实现数据的深度综合治理。数据计算服务通过构建各类数据计算服务能力，搭建机器学习、深度学习、分析预测、决策、计算框架等计算服务能力，为上层业务系统进行数据处理、数据计算、数据分析提供能力保障。</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中台建设内容将根据国家医保局的最新成果进行修订。</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3.5应用系统建设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应用系统包括核心业务区的5个子系统和公共服务区的1个子系统。</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（1）核心业务区建设应用支撑子系统、业务经办子系统、支付方式管理子系统、综合管控子系统、智慧决策子系统等5个子系统。</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应用支撑子系统包括：内部统一门户模块、基础信息管理模块、专家库模块。</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业务经办子系统包括：医保基础业务模块、医疗救助模块、医保扶贫、跨省异地就医管理模块、医疗服务价格管理模块、医保结算收费平台模块。</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支付方式管理子系统做到支付参数与支付执行一致，实现支付方式的统一管理，包括对参保人支付和对医药机构支付两个方面。</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综合管控子系统包括：基金运行及审计监管模块、医疗保障智能监管模块、医保管家模块、内控管理模块、全生命周期档案管理模块。</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智慧决策子系统包括：信用评价管理模块和宏观决策大数据应用模块。</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（2）公共服务区建设公共服务子系统，包括：公共服务模块和医保药品和医用耗材招采管理模块。</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3.6访问入口建设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核心业务区的访问入口主要包括网站和智能终端。对于实现有线连接的经办机构、定点医疗机构使用网站接入，对于电子政务外网暂时无法覆盖的经办机构，暂时未能实现有线接入的定点医疗机构使用VPDN+4G+智能终端的方式接入。</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公共服务区的访问入口支持多种渠道的访问，具体包括国家平台访问入口、海南省政务服务网访问入口、医保局网站、自助终端、小程序、互联网企业等第三方渠道等。</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3.7标准规范体系</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本次海南省医疗保障信息平台建设基于国家统一制定的国家医疗保障信息平台标准体系，结合海南省电子政务外网的接入标准规范、海南省人民政府政务服务中心的接入标准规范、海南省政务服务网等各级各类平台的接入标准规范要求进行建设。实现国家医疗保障信息平台总体标准标准规范体系、总体标准标准业务术语、系统建设标准、系统集成技术标准、网络安全开发标准、信息资源标准、外部系统交互规范、中台管理规范和数据归集标准、业务流程规范、业务管理规范和业务编码标准等12类标准规范的落地。在本项目建设过程中不涉及具体标准规范建设。</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3.8安全运维体系</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本项目参考网络安全法、网络安全等级保护标准等国内相关安全标准并借鉴部署于云平台上信息系统安全防护的最佳实践经验，通过网络安全管理体系、网络安全技术体系和网络安全运营体系的建设，实现风险可控的建设目标。同时，制定运维体系保证信息化业务系统及硬件设施后期的安全稳定运行。</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3.9其他自助终端采购</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包括医保自助一体机，在省本级医保局及每个市县配置；医保高拍仪，在省市县各级经办机构配置。</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3.10数据迁移</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数据迁移是指对原医保相关系统中的医保数据，经过数据整理、环境准备、数据分析转换、数据同步、数据验证与测试等操作，实现原系统中的医保数据在医保新建系统中得到复用的过程。</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数据迁移包括多项工作：旧系统数据字典整理、旧系统数据质量分析、新系统数据字典整理、新旧系统数据差异分析、建立新旧系统数据之间的映射关系、开发部署数据转换与迁移工具/程序/脚本、制定数据转换与迁移的实施方案和应急方案、按方案实施旧系统数据到新系统的转换与迁移工作、检查转换与迁移后数据的完整性与正确性。</w:t>
      </w:r>
      <w:bookmarkStart w:id="707" w:name="_Toc40906283"/>
    </w:p>
    <w:p>
      <w:pPr>
        <w:spacing w:line="360" w:lineRule="auto"/>
        <w:rPr>
          <w:rFonts w:ascii="仿宋" w:hAnsi="仿宋" w:eastAsia="仿宋" w:cs="仿宋"/>
          <w:b/>
          <w:bCs/>
          <w:color w:val="auto"/>
          <w:sz w:val="24"/>
        </w:rPr>
      </w:pPr>
      <w:r>
        <w:rPr>
          <w:rFonts w:hint="eastAsia" w:ascii="仿宋" w:hAnsi="仿宋" w:eastAsia="仿宋" w:cs="仿宋"/>
          <w:b/>
          <w:bCs/>
          <w:color w:val="auto"/>
          <w:sz w:val="24"/>
        </w:rPr>
        <w:t>4.采购项目要求</w:t>
      </w:r>
      <w:bookmarkEnd w:id="707"/>
    </w:p>
    <w:p>
      <w:pPr>
        <w:adjustRightInd w:val="0"/>
        <w:snapToGrid w:val="0"/>
        <w:spacing w:line="360" w:lineRule="auto"/>
        <w:ind w:firstLine="420"/>
        <w:rPr>
          <w:rFonts w:ascii="仿宋" w:hAnsi="仿宋" w:eastAsia="仿宋" w:cs="仿宋"/>
          <w:color w:val="auto"/>
          <w:sz w:val="24"/>
        </w:rPr>
      </w:pPr>
      <w:r>
        <w:rPr>
          <w:rFonts w:hint="eastAsia" w:ascii="仿宋" w:hAnsi="仿宋" w:eastAsia="仿宋" w:cs="仿宋"/>
          <w:color w:val="auto"/>
          <w:sz w:val="24"/>
        </w:rPr>
        <w:t>针对本项目须采购的软硬件，基本要求如下：</w:t>
      </w:r>
    </w:p>
    <w:p>
      <w:pPr>
        <w:adjustRightInd w:val="0"/>
        <w:snapToGrid w:val="0"/>
        <w:spacing w:line="360" w:lineRule="auto"/>
        <w:ind w:firstLine="420"/>
        <w:rPr>
          <w:rFonts w:ascii="仿宋" w:hAnsi="仿宋" w:eastAsia="仿宋" w:cs="仿宋"/>
          <w:color w:val="auto"/>
          <w:sz w:val="24"/>
        </w:rPr>
      </w:pPr>
      <w:r>
        <w:rPr>
          <w:rFonts w:hint="eastAsia" w:ascii="仿宋" w:hAnsi="仿宋" w:eastAsia="仿宋" w:cs="仿宋"/>
          <w:color w:val="auto"/>
          <w:sz w:val="24"/>
        </w:rPr>
        <w:t>投标方提供的所有产品需具有在中国境内的合法使用权，且产品授权为本次项目最终用户。</w:t>
      </w:r>
    </w:p>
    <w:p>
      <w:pPr>
        <w:adjustRightInd w:val="0"/>
        <w:snapToGrid w:val="0"/>
        <w:spacing w:line="360" w:lineRule="auto"/>
        <w:ind w:firstLine="420"/>
        <w:rPr>
          <w:rFonts w:ascii="仿宋" w:hAnsi="仿宋" w:eastAsia="仿宋" w:cs="仿宋"/>
          <w:color w:val="auto"/>
          <w:sz w:val="24"/>
        </w:rPr>
      </w:pPr>
      <w:r>
        <w:rPr>
          <w:rFonts w:hint="eastAsia" w:ascii="仿宋" w:hAnsi="仿宋" w:eastAsia="仿宋" w:cs="仿宋"/>
          <w:color w:val="auto"/>
          <w:sz w:val="24"/>
        </w:rPr>
        <w:t>投标方需保证投标的所有产品均为原厂商制造。此外，投标方需说明所建议的每个软硬件的名称、品牌、型号、版本号、部件号。</w:t>
      </w:r>
    </w:p>
    <w:p>
      <w:pPr>
        <w:adjustRightInd w:val="0"/>
        <w:snapToGrid w:val="0"/>
        <w:spacing w:line="360" w:lineRule="auto"/>
        <w:ind w:firstLine="420"/>
        <w:rPr>
          <w:rFonts w:ascii="仿宋" w:hAnsi="仿宋" w:eastAsia="仿宋" w:cs="仿宋"/>
          <w:color w:val="auto"/>
          <w:sz w:val="24"/>
        </w:rPr>
      </w:pPr>
      <w:r>
        <w:rPr>
          <w:rFonts w:hint="eastAsia" w:ascii="仿宋" w:hAnsi="仿宋" w:eastAsia="仿宋" w:cs="仿宋"/>
          <w:color w:val="auto"/>
          <w:sz w:val="24"/>
        </w:rPr>
        <w:t>投标方所提供的所有产品，所有选件需配齐，以构成一套完整的系统，以满足本次项目的建设要求。</w:t>
      </w:r>
    </w:p>
    <w:p>
      <w:pPr>
        <w:adjustRightInd w:val="0"/>
        <w:snapToGrid w:val="0"/>
        <w:spacing w:line="360" w:lineRule="auto"/>
        <w:ind w:firstLine="420"/>
        <w:rPr>
          <w:rFonts w:ascii="仿宋" w:hAnsi="仿宋" w:eastAsia="仿宋" w:cs="仿宋"/>
          <w:color w:val="auto"/>
          <w:sz w:val="24"/>
        </w:rPr>
      </w:pPr>
      <w:r>
        <w:rPr>
          <w:rFonts w:hint="eastAsia" w:ascii="仿宋" w:hAnsi="仿宋" w:eastAsia="仿宋" w:cs="仿宋"/>
          <w:color w:val="auto"/>
          <w:sz w:val="24"/>
        </w:rPr>
        <w:t>有关功能、性能要求须提供技术支持资料，有关其他要求须提供其他证明扫描件。</w:t>
      </w:r>
    </w:p>
    <w:p>
      <w:pPr>
        <w:spacing w:line="360" w:lineRule="auto"/>
        <w:rPr>
          <w:rFonts w:ascii="仿宋" w:hAnsi="仿宋" w:eastAsia="仿宋" w:cs="仿宋"/>
          <w:b/>
          <w:bCs/>
          <w:color w:val="auto"/>
          <w:sz w:val="24"/>
        </w:rPr>
      </w:pPr>
      <w:bookmarkStart w:id="708" w:name="_Toc40906284"/>
      <w:r>
        <w:rPr>
          <w:rFonts w:hint="eastAsia" w:ascii="仿宋" w:hAnsi="仿宋" w:eastAsia="仿宋" w:cs="仿宋"/>
          <w:b/>
          <w:bCs/>
          <w:color w:val="auto"/>
          <w:sz w:val="24"/>
        </w:rPr>
        <w:t>4.1采购产品一览表</w:t>
      </w:r>
      <w:bookmarkEnd w:id="708"/>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本次项目具体采购内容包括数据备份一体机以及安全硬件设备，本次项目采购的所有产品须提供项目供货后两年7*24免费维护和技术支持服务，包含上门安装服务和现场实施运维服务</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本次项目要求采购的终端清单如下表所示。</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50"/>
        <w:gridCol w:w="4110"/>
        <w:gridCol w:w="819"/>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4"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450"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产品类型</w:t>
            </w:r>
          </w:p>
        </w:tc>
        <w:tc>
          <w:tcPr>
            <w:tcW w:w="4110"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产品名称</w:t>
            </w:r>
          </w:p>
        </w:tc>
        <w:tc>
          <w:tcPr>
            <w:tcW w:w="819"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数量</w:t>
            </w:r>
          </w:p>
        </w:tc>
        <w:tc>
          <w:tcPr>
            <w:tcW w:w="1213"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450" w:type="dxa"/>
            <w:shd w:val="clear" w:color="000000" w:fill="FFFFFF"/>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备份一体机</w:t>
            </w:r>
          </w:p>
        </w:tc>
        <w:tc>
          <w:tcPr>
            <w:tcW w:w="4110" w:type="dxa"/>
            <w:shd w:val="clear" w:color="000000" w:fill="FFFFFF"/>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备份一体机</w:t>
            </w:r>
          </w:p>
        </w:tc>
        <w:tc>
          <w:tcPr>
            <w:tcW w:w="819"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213"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450" w:type="dxa"/>
            <w:vMerge w:val="restart"/>
            <w:shd w:val="clear" w:color="000000" w:fill="FFFFFF"/>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安全设备</w:t>
            </w:r>
          </w:p>
        </w:tc>
        <w:tc>
          <w:tcPr>
            <w:tcW w:w="4110" w:type="dxa"/>
            <w:shd w:val="clear" w:color="000000" w:fill="FFFFFF"/>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单向光闸</w:t>
            </w:r>
          </w:p>
        </w:tc>
        <w:tc>
          <w:tcPr>
            <w:tcW w:w="819"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213"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450" w:type="dxa"/>
            <w:vMerge w:val="continue"/>
            <w:shd w:val="clear" w:color="auto" w:fill="auto"/>
            <w:noWrap/>
            <w:vAlign w:val="center"/>
          </w:tcPr>
          <w:p>
            <w:pPr>
              <w:spacing w:line="360" w:lineRule="auto"/>
              <w:jc w:val="left"/>
              <w:rPr>
                <w:rFonts w:ascii="仿宋" w:hAnsi="仿宋" w:eastAsia="仿宋" w:cs="仿宋"/>
                <w:color w:val="auto"/>
                <w:kern w:val="0"/>
                <w:sz w:val="24"/>
              </w:rPr>
            </w:pPr>
          </w:p>
        </w:tc>
        <w:tc>
          <w:tcPr>
            <w:tcW w:w="4110" w:type="dxa"/>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数据库审计</w:t>
            </w:r>
          </w:p>
        </w:tc>
        <w:tc>
          <w:tcPr>
            <w:tcW w:w="819" w:type="dxa"/>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213"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450" w:type="dxa"/>
            <w:vMerge w:val="continue"/>
            <w:shd w:val="clear" w:color="auto" w:fill="auto"/>
            <w:noWrap/>
            <w:vAlign w:val="center"/>
          </w:tcPr>
          <w:p>
            <w:pPr>
              <w:widowControl/>
              <w:spacing w:line="360" w:lineRule="auto"/>
              <w:jc w:val="left"/>
              <w:rPr>
                <w:rFonts w:ascii="仿宋" w:hAnsi="仿宋" w:eastAsia="仿宋" w:cs="仿宋"/>
                <w:color w:val="auto"/>
                <w:kern w:val="0"/>
                <w:sz w:val="24"/>
              </w:rPr>
            </w:pPr>
          </w:p>
        </w:tc>
        <w:tc>
          <w:tcPr>
            <w:tcW w:w="4110" w:type="dxa"/>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日志审计</w:t>
            </w:r>
          </w:p>
        </w:tc>
        <w:tc>
          <w:tcPr>
            <w:tcW w:w="819" w:type="dxa"/>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213"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bl>
    <w:p>
      <w:pPr>
        <w:spacing w:line="360" w:lineRule="auto"/>
        <w:ind w:firstLine="482" w:firstLineChars="200"/>
        <w:rPr>
          <w:rFonts w:ascii="仿宋" w:hAnsi="仿宋" w:eastAsia="仿宋" w:cs="仿宋"/>
          <w:b/>
          <w:color w:val="auto"/>
          <w:sz w:val="24"/>
        </w:rPr>
      </w:pPr>
      <w:bookmarkStart w:id="709" w:name="_Toc40906285"/>
      <w:r>
        <w:rPr>
          <w:rFonts w:hint="eastAsia" w:ascii="仿宋" w:hAnsi="仿宋" w:eastAsia="仿宋" w:cs="仿宋"/>
          <w:b/>
          <w:color w:val="auto"/>
          <w:sz w:val="24"/>
        </w:rPr>
        <w:t>4.1.1功能需求</w:t>
      </w:r>
    </w:p>
    <w:p>
      <w:pPr>
        <w:autoSpaceDE w:val="0"/>
        <w:autoSpaceDN w:val="0"/>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本项目在生产中心建设本地备份系统，在数据被篡改或都丢失时进行快速恢复，运平台分布式存储数据按不同生产库生成存储文件，通过本地网络集中存储在对象存储服务器中，对象存储服务器同时还保存非结构化业务数据和虚机的配置文件，备份一体机提供自动的备份归档管理和数据生命周期管理，可以根据设置的策略，自动的将对象存储服务器中数据备份到一体机上，备份方式支持全量备份和增量备份。</w:t>
      </w:r>
    </w:p>
    <w:p>
      <w:pPr>
        <w:autoSpaceDE w:val="0"/>
        <w:autoSpaceDN w:val="0"/>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单向网闸部署在安全隔离区对数据传输安全进行控制，从而实现公共服务区和核心业务区之间数据的安全交互。</w:t>
      </w:r>
    </w:p>
    <w:p>
      <w:pPr>
        <w:autoSpaceDE w:val="0"/>
        <w:autoSpaceDN w:val="0"/>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在核心业务生产区数据库区域部署数据库审计设备对安全事件进行清晰地记录。</w:t>
      </w:r>
    </w:p>
    <w:p>
      <w:pPr>
        <w:autoSpaceDE w:val="0"/>
        <w:autoSpaceDN w:val="0"/>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在安全运维区部署日志审计设备对设备日志采集、应用日志采集、日志检索、日志分析、日志转发、事件告警、日志报表等。</w:t>
      </w:r>
    </w:p>
    <w:p>
      <w:pPr>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4.1.2项目技术需求</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4.1.3产品技术参数</w:t>
      </w:r>
    </w:p>
    <w:p>
      <w:pPr>
        <w:snapToGrid w:val="0"/>
        <w:spacing w:line="360" w:lineRule="auto"/>
        <w:rPr>
          <w:rFonts w:ascii="仿宋" w:hAnsi="仿宋" w:eastAsia="仿宋" w:cs="仿宋"/>
          <w:b/>
          <w:color w:val="auto"/>
          <w:sz w:val="24"/>
        </w:rPr>
      </w:pPr>
      <w:r>
        <w:rPr>
          <w:rFonts w:hint="eastAsia" w:ascii="仿宋" w:hAnsi="仿宋" w:eastAsia="仿宋" w:cs="仿宋"/>
          <w:b/>
          <w:color w:val="auto"/>
          <w:sz w:val="24"/>
        </w:rPr>
        <w:t>（1）备份一体机</w:t>
      </w:r>
    </w:p>
    <w:tbl>
      <w:tblPr>
        <w:tblStyle w:val="14"/>
        <w:tblW w:w="0" w:type="auto"/>
        <w:tblInd w:w="0" w:type="dxa"/>
        <w:tblLayout w:type="fixed"/>
        <w:tblCellMar>
          <w:top w:w="15" w:type="dxa"/>
          <w:left w:w="15" w:type="dxa"/>
          <w:bottom w:w="15" w:type="dxa"/>
          <w:right w:w="15" w:type="dxa"/>
        </w:tblCellMar>
      </w:tblPr>
      <w:tblGrid>
        <w:gridCol w:w="313"/>
        <w:gridCol w:w="866"/>
        <w:gridCol w:w="7094"/>
      </w:tblGrid>
      <w:tr>
        <w:tblPrEx>
          <w:tblCellMar>
            <w:top w:w="15" w:type="dxa"/>
            <w:left w:w="15" w:type="dxa"/>
            <w:bottom w:w="15" w:type="dxa"/>
            <w:right w:w="15" w:type="dxa"/>
          </w:tblCellMar>
        </w:tblPrEx>
        <w:trPr>
          <w:trHeight w:val="285" w:hRule="atLeast"/>
        </w:trPr>
        <w:tc>
          <w:tcPr>
            <w:tcW w:w="313"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序号</w:t>
            </w:r>
          </w:p>
        </w:tc>
        <w:tc>
          <w:tcPr>
            <w:tcW w:w="866"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指标项</w:t>
            </w:r>
          </w:p>
        </w:tc>
        <w:tc>
          <w:tcPr>
            <w:tcW w:w="7094"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指标要求</w:t>
            </w:r>
          </w:p>
        </w:tc>
      </w:tr>
      <w:tr>
        <w:tblPrEx>
          <w:tblCellMar>
            <w:top w:w="15" w:type="dxa"/>
            <w:left w:w="15" w:type="dxa"/>
            <w:bottom w:w="15" w:type="dxa"/>
            <w:right w:w="15" w:type="dxa"/>
          </w:tblCellMar>
        </w:tblPrEx>
        <w:trPr>
          <w:trHeight w:val="1080" w:hRule="atLeast"/>
        </w:trPr>
        <w:tc>
          <w:tcPr>
            <w:tcW w:w="3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rPr>
              <w:t>1</w:t>
            </w:r>
          </w:p>
        </w:tc>
        <w:tc>
          <w:tcPr>
            <w:tcW w:w="86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体系架构</w:t>
            </w:r>
          </w:p>
        </w:tc>
        <w:tc>
          <w:tcPr>
            <w:tcW w:w="709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全冗余双控制器架构，内部采用无线紧耦合互联；CPU、主板、通道、接口、电源、风扇等组件均配置两份，任一组件故障，数据不丢失，业务不中断。（提供官网截图并加盖原厂公章）</w:t>
            </w:r>
          </w:p>
        </w:tc>
      </w:tr>
      <w:tr>
        <w:tblPrEx>
          <w:tblCellMar>
            <w:top w:w="15" w:type="dxa"/>
            <w:left w:w="15" w:type="dxa"/>
            <w:bottom w:w="15" w:type="dxa"/>
            <w:right w:w="15" w:type="dxa"/>
          </w:tblCellMar>
        </w:tblPrEx>
        <w:trPr>
          <w:trHeight w:val="285" w:hRule="atLeast"/>
        </w:trPr>
        <w:tc>
          <w:tcPr>
            <w:tcW w:w="3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rPr>
              <w:t>2</w:t>
            </w:r>
          </w:p>
        </w:tc>
        <w:tc>
          <w:tcPr>
            <w:tcW w:w="86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主机配置</w:t>
            </w:r>
          </w:p>
        </w:tc>
        <w:tc>
          <w:tcPr>
            <w:tcW w:w="709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配置接口1Gbps iSCSI≥12个；双引擎最大支持≥24个接口；可扩展10/40Gbp iSCSI，8/16Gbps FC IO卡；</w:t>
            </w:r>
          </w:p>
        </w:tc>
      </w:tr>
      <w:tr>
        <w:tblPrEx>
          <w:tblCellMar>
            <w:top w:w="15" w:type="dxa"/>
            <w:left w:w="15" w:type="dxa"/>
            <w:bottom w:w="15" w:type="dxa"/>
            <w:right w:w="15" w:type="dxa"/>
          </w:tblCellMar>
        </w:tblPrEx>
        <w:trPr>
          <w:trHeight w:val="90" w:hRule="atLeast"/>
        </w:trPr>
        <w:tc>
          <w:tcPr>
            <w:tcW w:w="3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rPr>
              <w:t>3</w:t>
            </w:r>
          </w:p>
        </w:tc>
        <w:tc>
          <w:tcPr>
            <w:tcW w:w="86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缓存</w:t>
            </w:r>
          </w:p>
        </w:tc>
        <w:tc>
          <w:tcPr>
            <w:tcW w:w="709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配置高速缓存≥32GB，双引擎最大可扩展到128GB（缓存不包含SSD磁盘、闪存）；支持写缓存镜像，采用缓存降落技术，掉电后能够将缓存数据下刷到硬盘中进行永久保存;</w:t>
            </w:r>
          </w:p>
        </w:tc>
      </w:tr>
      <w:tr>
        <w:tblPrEx>
          <w:tblCellMar>
            <w:top w:w="15" w:type="dxa"/>
            <w:left w:w="15" w:type="dxa"/>
            <w:bottom w:w="15" w:type="dxa"/>
            <w:right w:w="15" w:type="dxa"/>
          </w:tblCellMar>
        </w:tblPrEx>
        <w:trPr>
          <w:trHeight w:val="90" w:hRule="atLeast"/>
        </w:trPr>
        <w:tc>
          <w:tcPr>
            <w:tcW w:w="3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rPr>
              <w:t>4</w:t>
            </w:r>
          </w:p>
        </w:tc>
        <w:tc>
          <w:tcPr>
            <w:tcW w:w="86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磁盘配置扩展</w:t>
            </w:r>
          </w:p>
        </w:tc>
        <w:tc>
          <w:tcPr>
            <w:tcW w:w="709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color w:val="auto"/>
                <w:sz w:val="24"/>
              </w:rPr>
            </w:pPr>
            <w:r>
              <w:rPr>
                <w:rFonts w:hint="eastAsia" w:ascii="仿宋" w:hAnsi="仿宋" w:eastAsia="仿宋" w:cs="仿宋"/>
                <w:color w:val="auto"/>
                <w:kern w:val="0"/>
                <w:sz w:val="24"/>
              </w:rPr>
              <w:t>配置21块10TB 7200转SAS硬盘，备份一体机支持≥750个硬盘扩容；</w:t>
            </w:r>
          </w:p>
        </w:tc>
      </w:tr>
      <w:tr>
        <w:tblPrEx>
          <w:tblCellMar>
            <w:top w:w="15" w:type="dxa"/>
            <w:left w:w="15" w:type="dxa"/>
            <w:bottom w:w="15" w:type="dxa"/>
            <w:right w:w="15" w:type="dxa"/>
          </w:tblCellMar>
        </w:tblPrEx>
        <w:trPr>
          <w:trHeight w:val="90" w:hRule="atLeast"/>
        </w:trPr>
        <w:tc>
          <w:tcPr>
            <w:tcW w:w="3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rPr>
              <w:t>5</w:t>
            </w:r>
          </w:p>
        </w:tc>
        <w:tc>
          <w:tcPr>
            <w:tcW w:w="86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RAID类型</w:t>
            </w:r>
          </w:p>
        </w:tc>
        <w:tc>
          <w:tcPr>
            <w:tcW w:w="709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支持RAID 0、1、10、5、6等；</w:t>
            </w:r>
          </w:p>
        </w:tc>
      </w:tr>
      <w:tr>
        <w:tblPrEx>
          <w:tblCellMar>
            <w:top w:w="15" w:type="dxa"/>
            <w:left w:w="15" w:type="dxa"/>
            <w:bottom w:w="15" w:type="dxa"/>
            <w:right w:w="15" w:type="dxa"/>
          </w:tblCellMar>
        </w:tblPrEx>
        <w:trPr>
          <w:trHeight w:val="90" w:hRule="atLeast"/>
        </w:trPr>
        <w:tc>
          <w:tcPr>
            <w:tcW w:w="3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rPr>
              <w:t>6</w:t>
            </w:r>
          </w:p>
        </w:tc>
        <w:tc>
          <w:tcPr>
            <w:tcW w:w="86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授权许可</w:t>
            </w:r>
          </w:p>
        </w:tc>
        <w:tc>
          <w:tcPr>
            <w:tcW w:w="709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备份许可容量为160TB,需支持Oracle RAC、Oracle Data Data Guard、Oracle双机，需支持MySQL集群，配置整机备份/裸机恢复模块，配置数据库容灾演练模块、重复数据删除模块、LAN-Free备份模块</w:t>
            </w:r>
          </w:p>
        </w:tc>
      </w:tr>
      <w:tr>
        <w:tblPrEx>
          <w:tblCellMar>
            <w:top w:w="15" w:type="dxa"/>
            <w:left w:w="15" w:type="dxa"/>
            <w:bottom w:w="15" w:type="dxa"/>
            <w:right w:w="15" w:type="dxa"/>
          </w:tblCellMar>
        </w:tblPrEx>
        <w:trPr>
          <w:trHeight w:val="1074" w:hRule="atLeast"/>
        </w:trPr>
        <w:tc>
          <w:tcPr>
            <w:tcW w:w="3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rPr>
              <w:t>7</w:t>
            </w:r>
          </w:p>
        </w:tc>
        <w:tc>
          <w:tcPr>
            <w:tcW w:w="86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数据库应用保护</w:t>
            </w:r>
          </w:p>
        </w:tc>
        <w:tc>
          <w:tcPr>
            <w:tcW w:w="709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支持主流的数据库备份恢复，包括但不限于Oracle、 SQL Server、MySQL、Sybase、DB2、Informix、PostgreSQL、MongoDB、Exchange、SharePoint、Domino等主流数据库应用。支持国产主流的数据备份恢复，包括但不限于达梦（DM）、人大金仓（kingbase）、南大通用（GBase）、神舟通用（ShenTong）等数据库。</w:t>
            </w:r>
          </w:p>
        </w:tc>
      </w:tr>
      <w:tr>
        <w:tblPrEx>
          <w:tblCellMar>
            <w:top w:w="15" w:type="dxa"/>
            <w:left w:w="15" w:type="dxa"/>
            <w:bottom w:w="15" w:type="dxa"/>
            <w:right w:w="15" w:type="dxa"/>
          </w:tblCellMar>
        </w:tblPrEx>
        <w:trPr>
          <w:trHeight w:val="1080" w:hRule="atLeast"/>
        </w:trPr>
        <w:tc>
          <w:tcPr>
            <w:tcW w:w="3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rPr>
              <w:t>8</w:t>
            </w:r>
          </w:p>
        </w:tc>
        <w:tc>
          <w:tcPr>
            <w:tcW w:w="86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云平台保护</w:t>
            </w:r>
          </w:p>
        </w:tc>
        <w:tc>
          <w:tcPr>
            <w:tcW w:w="709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支持VMware、Hyper-V、Xenserver、Xen、KVM、FusionCompute、FusionCloud、H3C CAS、OpenStack、CNware、RHEV等虚拟机的备份恢复（不能采用guest host 操作系统备份恢复方式）。（提供产品功能截图并加盖原厂公章）</w:t>
            </w:r>
          </w:p>
        </w:tc>
      </w:tr>
      <w:tr>
        <w:tblPrEx>
          <w:tblCellMar>
            <w:top w:w="15" w:type="dxa"/>
            <w:left w:w="15" w:type="dxa"/>
            <w:bottom w:w="15" w:type="dxa"/>
            <w:right w:w="15" w:type="dxa"/>
          </w:tblCellMar>
        </w:tblPrEx>
        <w:trPr>
          <w:trHeight w:val="90" w:hRule="atLeast"/>
        </w:trPr>
        <w:tc>
          <w:tcPr>
            <w:tcW w:w="3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bottom"/>
              <w:rPr>
                <w:rFonts w:ascii="仿宋" w:hAnsi="仿宋" w:eastAsia="仿宋" w:cs="仿宋"/>
                <w:color w:val="auto"/>
                <w:kern w:val="0"/>
                <w:sz w:val="24"/>
              </w:rPr>
            </w:pPr>
            <w:r>
              <w:rPr>
                <w:rFonts w:hint="eastAsia" w:ascii="仿宋" w:hAnsi="仿宋" w:eastAsia="仿宋" w:cs="仿宋"/>
                <w:color w:val="auto"/>
                <w:kern w:val="0"/>
                <w:sz w:val="24"/>
              </w:rPr>
              <w:t>9</w:t>
            </w:r>
          </w:p>
        </w:tc>
        <w:tc>
          <w:tcPr>
            <w:tcW w:w="86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数据重复删除</w:t>
            </w:r>
          </w:p>
        </w:tc>
        <w:tc>
          <w:tcPr>
            <w:tcW w:w="709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kern w:val="0"/>
                <w:sz w:val="24"/>
              </w:rPr>
            </w:pPr>
            <w:r>
              <w:rPr>
                <w:rFonts w:hint="eastAsia" w:ascii="仿宋" w:hAnsi="仿宋" w:eastAsia="仿宋" w:cs="仿宋"/>
                <w:color w:val="auto"/>
                <w:sz w:val="24"/>
              </w:rPr>
              <w:t>支持固定块、变长块的数据重删技术，在创建重删存储空间时，需要提供变长和固定数据的数据块大小选择。（提供产品功能截图并加盖原厂公章）</w:t>
            </w:r>
          </w:p>
        </w:tc>
      </w:tr>
      <w:tr>
        <w:tblPrEx>
          <w:tblCellMar>
            <w:top w:w="15" w:type="dxa"/>
            <w:left w:w="15" w:type="dxa"/>
            <w:bottom w:w="15" w:type="dxa"/>
            <w:right w:w="15" w:type="dxa"/>
          </w:tblCellMar>
        </w:tblPrEx>
        <w:trPr>
          <w:trHeight w:val="285" w:hRule="atLeast"/>
        </w:trPr>
        <w:tc>
          <w:tcPr>
            <w:tcW w:w="3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rPr>
              <w:t>10</w:t>
            </w:r>
          </w:p>
        </w:tc>
        <w:tc>
          <w:tcPr>
            <w:tcW w:w="86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磁带支持</w:t>
            </w:r>
          </w:p>
        </w:tc>
        <w:tc>
          <w:tcPr>
            <w:tcW w:w="709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提供对文件、操作系统、数据库、应用软件、虚拟化的备份保护，支持D2T和D2D2T模式</w:t>
            </w:r>
          </w:p>
        </w:tc>
      </w:tr>
      <w:tr>
        <w:tblPrEx>
          <w:tblCellMar>
            <w:top w:w="15" w:type="dxa"/>
            <w:left w:w="15" w:type="dxa"/>
            <w:bottom w:w="15" w:type="dxa"/>
            <w:right w:w="15" w:type="dxa"/>
          </w:tblCellMar>
        </w:tblPrEx>
        <w:trPr>
          <w:trHeight w:val="285" w:hRule="atLeast"/>
        </w:trPr>
        <w:tc>
          <w:tcPr>
            <w:tcW w:w="3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rPr>
              <w:t>11</w:t>
            </w:r>
          </w:p>
        </w:tc>
        <w:tc>
          <w:tcPr>
            <w:tcW w:w="866"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告警方式</w:t>
            </w:r>
          </w:p>
        </w:tc>
        <w:tc>
          <w:tcPr>
            <w:tcW w:w="709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支持以邮件告警的方式，针对于备份存储系统的硬件故障、软件故障等等信息及时通知管理员</w:t>
            </w:r>
          </w:p>
        </w:tc>
      </w:tr>
    </w:tbl>
    <w:p>
      <w:pPr>
        <w:snapToGrid w:val="0"/>
        <w:spacing w:line="360" w:lineRule="auto"/>
        <w:rPr>
          <w:rFonts w:ascii="仿宋" w:hAnsi="仿宋" w:eastAsia="仿宋" w:cs="仿宋"/>
          <w:b/>
          <w:color w:val="auto"/>
          <w:sz w:val="24"/>
        </w:rPr>
      </w:pPr>
      <w:r>
        <w:rPr>
          <w:rFonts w:hint="eastAsia" w:ascii="仿宋" w:hAnsi="仿宋" w:eastAsia="仿宋" w:cs="仿宋"/>
          <w:b/>
          <w:color w:val="auto"/>
          <w:sz w:val="24"/>
        </w:rPr>
        <w:t>（2）单向光闸</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265"/>
        <w:gridCol w:w="6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blHeader/>
        </w:trPr>
        <w:tc>
          <w:tcPr>
            <w:tcW w:w="751" w:type="dxa"/>
            <w:noWrap/>
            <w:vAlign w:val="center"/>
          </w:tcPr>
          <w:p>
            <w:pPr>
              <w:spacing w:line="360" w:lineRule="auto"/>
              <w:rPr>
                <w:rFonts w:ascii="仿宋" w:hAnsi="仿宋" w:eastAsia="仿宋" w:cs="仿宋"/>
                <w:b/>
                <w:bCs/>
                <w:color w:val="auto"/>
                <w:sz w:val="24"/>
              </w:rPr>
            </w:pPr>
            <w:r>
              <w:rPr>
                <w:rFonts w:hint="eastAsia" w:ascii="仿宋" w:hAnsi="仿宋" w:eastAsia="仿宋" w:cs="仿宋"/>
                <w:b/>
                <w:bCs/>
                <w:color w:val="auto"/>
                <w:sz w:val="24"/>
              </w:rPr>
              <w:t>序号</w:t>
            </w:r>
          </w:p>
        </w:tc>
        <w:tc>
          <w:tcPr>
            <w:tcW w:w="1265" w:type="dxa"/>
            <w:noWrap/>
            <w:vAlign w:val="center"/>
          </w:tcPr>
          <w:p>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指标项</w:t>
            </w:r>
          </w:p>
        </w:tc>
        <w:tc>
          <w:tcPr>
            <w:tcW w:w="6443" w:type="dxa"/>
            <w:noWrap/>
            <w:vAlign w:val="center"/>
          </w:tcPr>
          <w:p>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751" w:type="dxa"/>
            <w:noWrap/>
            <w:vAlign w:val="center"/>
          </w:tcPr>
          <w:p>
            <w:pPr>
              <w:numPr>
                <w:ilvl w:val="0"/>
                <w:numId w:val="81"/>
              </w:numPr>
              <w:spacing w:line="360" w:lineRule="auto"/>
              <w:jc w:val="center"/>
              <w:rPr>
                <w:rFonts w:ascii="仿宋" w:hAnsi="仿宋" w:eastAsia="仿宋" w:cs="仿宋"/>
                <w:color w:val="auto"/>
                <w:sz w:val="24"/>
              </w:rPr>
            </w:pPr>
          </w:p>
        </w:tc>
        <w:tc>
          <w:tcPr>
            <w:tcW w:w="1265"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接口要求</w:t>
            </w:r>
          </w:p>
        </w:tc>
        <w:tc>
          <w:tcPr>
            <w:tcW w:w="6443" w:type="dxa"/>
            <w:noWrap/>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内网接口：</w:t>
            </w:r>
            <w:r>
              <w:rPr>
                <w:rFonts w:hint="eastAsia" w:ascii="仿宋" w:hAnsi="仿宋" w:eastAsia="仿宋" w:cs="仿宋"/>
                <w:color w:val="auto"/>
                <w:kern w:val="0"/>
                <w:sz w:val="24"/>
              </w:rPr>
              <w:t>≥</w:t>
            </w:r>
            <w:r>
              <w:rPr>
                <w:rFonts w:hint="eastAsia" w:ascii="仿宋" w:hAnsi="仿宋" w:eastAsia="仿宋" w:cs="仿宋"/>
                <w:color w:val="auto"/>
                <w:sz w:val="24"/>
              </w:rPr>
              <w:t>1个CONSOLE口、</w:t>
            </w:r>
            <w:r>
              <w:rPr>
                <w:rFonts w:hint="eastAsia" w:ascii="仿宋" w:hAnsi="仿宋" w:eastAsia="仿宋" w:cs="仿宋"/>
                <w:color w:val="auto"/>
                <w:kern w:val="0"/>
                <w:sz w:val="24"/>
              </w:rPr>
              <w:t>≥</w:t>
            </w:r>
            <w:r>
              <w:rPr>
                <w:rFonts w:hint="eastAsia" w:ascii="仿宋" w:hAnsi="仿宋" w:eastAsia="仿宋" w:cs="仿宋"/>
                <w:color w:val="auto"/>
                <w:sz w:val="24"/>
              </w:rPr>
              <w:t>6个10M/100M/1000M电口（其中包含1个管理口、1个HA口）、</w:t>
            </w:r>
            <w:r>
              <w:rPr>
                <w:rFonts w:hint="eastAsia" w:ascii="仿宋" w:hAnsi="仿宋" w:eastAsia="仿宋" w:cs="仿宋"/>
                <w:color w:val="auto"/>
                <w:kern w:val="0"/>
                <w:sz w:val="24"/>
              </w:rPr>
              <w:t>≥</w:t>
            </w:r>
            <w:r>
              <w:rPr>
                <w:rFonts w:hint="eastAsia" w:ascii="仿宋" w:hAnsi="仿宋" w:eastAsia="仿宋" w:cs="仿宋"/>
                <w:color w:val="auto"/>
                <w:sz w:val="24"/>
              </w:rPr>
              <w:t>4个SFP插槽、</w:t>
            </w:r>
            <w:r>
              <w:rPr>
                <w:rFonts w:hint="eastAsia" w:ascii="仿宋" w:hAnsi="仿宋" w:eastAsia="仿宋" w:cs="仿宋"/>
                <w:color w:val="auto"/>
                <w:kern w:val="0"/>
                <w:sz w:val="24"/>
              </w:rPr>
              <w:t>≥</w:t>
            </w:r>
            <w:r>
              <w:rPr>
                <w:rFonts w:hint="eastAsia" w:ascii="仿宋" w:hAnsi="仿宋" w:eastAsia="仿宋" w:cs="仿宋"/>
                <w:color w:val="auto"/>
                <w:sz w:val="24"/>
              </w:rPr>
              <w:t>4个SFP+插槽、</w:t>
            </w:r>
            <w:r>
              <w:rPr>
                <w:rFonts w:hint="eastAsia" w:ascii="仿宋" w:hAnsi="仿宋" w:eastAsia="仿宋" w:cs="仿宋"/>
                <w:color w:val="auto"/>
                <w:kern w:val="0"/>
                <w:sz w:val="24"/>
              </w:rPr>
              <w:t>≥</w:t>
            </w:r>
            <w:r>
              <w:rPr>
                <w:rFonts w:hint="eastAsia" w:ascii="仿宋" w:hAnsi="仿宋" w:eastAsia="仿宋" w:cs="仿宋"/>
                <w:color w:val="auto"/>
                <w:sz w:val="24"/>
              </w:rPr>
              <w:t>2个USB口，管理口与业务口相互独立。外网接口：</w:t>
            </w:r>
            <w:r>
              <w:rPr>
                <w:rFonts w:hint="eastAsia" w:ascii="仿宋" w:hAnsi="仿宋" w:eastAsia="仿宋" w:cs="仿宋"/>
                <w:color w:val="auto"/>
                <w:kern w:val="0"/>
                <w:sz w:val="24"/>
              </w:rPr>
              <w:t>≥</w:t>
            </w:r>
            <w:r>
              <w:rPr>
                <w:rFonts w:hint="eastAsia" w:ascii="仿宋" w:hAnsi="仿宋" w:eastAsia="仿宋" w:cs="仿宋"/>
                <w:color w:val="auto"/>
                <w:sz w:val="24"/>
              </w:rPr>
              <w:t>1个CONSOLE口、</w:t>
            </w:r>
            <w:r>
              <w:rPr>
                <w:rFonts w:hint="eastAsia" w:ascii="仿宋" w:hAnsi="仿宋" w:eastAsia="仿宋" w:cs="仿宋"/>
                <w:color w:val="auto"/>
                <w:kern w:val="0"/>
                <w:sz w:val="24"/>
              </w:rPr>
              <w:t>≥</w:t>
            </w:r>
            <w:r>
              <w:rPr>
                <w:rFonts w:hint="eastAsia" w:ascii="仿宋" w:hAnsi="仿宋" w:eastAsia="仿宋" w:cs="仿宋"/>
                <w:color w:val="auto"/>
                <w:sz w:val="24"/>
              </w:rPr>
              <w:t>6个10M/100M/1000M电口（其中包含1个管理口、1个HA口）、</w:t>
            </w:r>
            <w:r>
              <w:rPr>
                <w:rFonts w:hint="eastAsia" w:ascii="仿宋" w:hAnsi="仿宋" w:eastAsia="仿宋" w:cs="仿宋"/>
                <w:color w:val="auto"/>
                <w:kern w:val="0"/>
                <w:sz w:val="24"/>
              </w:rPr>
              <w:t>≥</w:t>
            </w:r>
            <w:r>
              <w:rPr>
                <w:rFonts w:hint="eastAsia" w:ascii="仿宋" w:hAnsi="仿宋" w:eastAsia="仿宋" w:cs="仿宋"/>
                <w:color w:val="auto"/>
                <w:sz w:val="24"/>
              </w:rPr>
              <w:t>4个SFP插槽、</w:t>
            </w:r>
            <w:r>
              <w:rPr>
                <w:rFonts w:hint="eastAsia" w:ascii="仿宋" w:hAnsi="仿宋" w:eastAsia="仿宋" w:cs="仿宋"/>
                <w:color w:val="auto"/>
                <w:kern w:val="0"/>
                <w:sz w:val="24"/>
              </w:rPr>
              <w:t>≥</w:t>
            </w:r>
            <w:r>
              <w:rPr>
                <w:rFonts w:hint="eastAsia" w:ascii="仿宋" w:hAnsi="仿宋" w:eastAsia="仿宋" w:cs="仿宋"/>
                <w:color w:val="auto"/>
                <w:sz w:val="24"/>
              </w:rPr>
              <w:t>4个SFP+插槽、</w:t>
            </w:r>
            <w:r>
              <w:rPr>
                <w:rFonts w:hint="eastAsia" w:ascii="仿宋" w:hAnsi="仿宋" w:eastAsia="仿宋" w:cs="仿宋"/>
                <w:color w:val="auto"/>
                <w:kern w:val="0"/>
                <w:sz w:val="24"/>
              </w:rPr>
              <w:t>≥</w:t>
            </w:r>
            <w:r>
              <w:rPr>
                <w:rFonts w:hint="eastAsia" w:ascii="仿宋" w:hAnsi="仿宋" w:eastAsia="仿宋" w:cs="仿宋"/>
                <w:color w:val="auto"/>
                <w:sz w:val="24"/>
              </w:rPr>
              <w:t>2个USB口，管理口与业务口相互独立。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1" w:type="dxa"/>
            <w:noWrap/>
            <w:vAlign w:val="center"/>
          </w:tcPr>
          <w:p>
            <w:pPr>
              <w:numPr>
                <w:ilvl w:val="0"/>
                <w:numId w:val="81"/>
              </w:numPr>
              <w:spacing w:line="360" w:lineRule="auto"/>
              <w:jc w:val="center"/>
              <w:rPr>
                <w:rFonts w:ascii="仿宋" w:hAnsi="仿宋" w:eastAsia="仿宋" w:cs="仿宋"/>
                <w:color w:val="auto"/>
                <w:sz w:val="24"/>
              </w:rPr>
            </w:pPr>
          </w:p>
        </w:tc>
        <w:tc>
          <w:tcPr>
            <w:tcW w:w="1265"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硬件要求</w:t>
            </w:r>
          </w:p>
        </w:tc>
        <w:tc>
          <w:tcPr>
            <w:tcW w:w="6443" w:type="dxa"/>
            <w:noWrap/>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设备提供HA工作状态监控灯，可通过HA灯可查看设备HA工作状态，方便设备维护。（提供设备面板照片证明，并加盖原厂公章）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51" w:type="dxa"/>
            <w:noWrap/>
            <w:vAlign w:val="center"/>
          </w:tcPr>
          <w:p>
            <w:pPr>
              <w:numPr>
                <w:ilvl w:val="0"/>
                <w:numId w:val="81"/>
              </w:numPr>
              <w:spacing w:line="360" w:lineRule="auto"/>
              <w:jc w:val="center"/>
              <w:rPr>
                <w:rFonts w:ascii="仿宋" w:hAnsi="仿宋" w:eastAsia="仿宋" w:cs="仿宋"/>
                <w:color w:val="auto"/>
                <w:sz w:val="24"/>
              </w:rPr>
            </w:pPr>
          </w:p>
        </w:tc>
        <w:tc>
          <w:tcPr>
            <w:tcW w:w="1265"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性能要求</w:t>
            </w:r>
          </w:p>
        </w:tc>
        <w:tc>
          <w:tcPr>
            <w:tcW w:w="6443" w:type="dxa"/>
            <w:noWrap/>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吞吐</w:t>
            </w:r>
            <w:r>
              <w:rPr>
                <w:rFonts w:hint="eastAsia" w:ascii="仿宋" w:hAnsi="仿宋" w:eastAsia="仿宋" w:cs="仿宋"/>
                <w:color w:val="auto"/>
                <w:kern w:val="0"/>
                <w:sz w:val="24"/>
              </w:rPr>
              <w:t>≥</w:t>
            </w:r>
            <w:r>
              <w:rPr>
                <w:rFonts w:hint="eastAsia" w:ascii="仿宋" w:hAnsi="仿宋" w:eastAsia="仿宋" w:cs="仿宋"/>
                <w:color w:val="auto"/>
                <w:sz w:val="24"/>
              </w:rPr>
              <w:t>10000Mbps；并发</w:t>
            </w:r>
            <w:r>
              <w:rPr>
                <w:rFonts w:hint="eastAsia" w:ascii="仿宋" w:hAnsi="仿宋" w:eastAsia="仿宋" w:cs="仿宋"/>
                <w:color w:val="auto"/>
                <w:kern w:val="0"/>
                <w:sz w:val="24"/>
              </w:rPr>
              <w:t>≥</w:t>
            </w:r>
            <w:r>
              <w:rPr>
                <w:rFonts w:hint="eastAsia" w:ascii="仿宋" w:hAnsi="仿宋" w:eastAsia="仿宋" w:cs="仿宋"/>
                <w:color w:val="auto"/>
                <w:sz w:val="24"/>
              </w:rPr>
              <w:t>60万；延时小于1ms。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51" w:type="dxa"/>
            <w:noWrap/>
            <w:vAlign w:val="center"/>
          </w:tcPr>
          <w:p>
            <w:pPr>
              <w:numPr>
                <w:ilvl w:val="0"/>
                <w:numId w:val="81"/>
              </w:numPr>
              <w:spacing w:line="360" w:lineRule="auto"/>
              <w:jc w:val="center"/>
              <w:rPr>
                <w:rFonts w:ascii="仿宋" w:hAnsi="仿宋" w:eastAsia="仿宋" w:cs="仿宋"/>
                <w:color w:val="auto"/>
                <w:sz w:val="24"/>
              </w:rPr>
            </w:pPr>
          </w:p>
        </w:tc>
        <w:tc>
          <w:tcPr>
            <w:tcW w:w="1265"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系统要求</w:t>
            </w:r>
          </w:p>
        </w:tc>
        <w:tc>
          <w:tcPr>
            <w:tcW w:w="6443" w:type="dxa"/>
            <w:noWrap/>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内外网主机系统分别支持双系统引导，并可在WEB界面上直接配置启动顺序，在A系统发生故障时，可以随时切换到B系统；且支持系统(包括配置)备份；（提供产品功能界面截图证明，并加盖原厂公章）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51" w:type="dxa"/>
            <w:noWrap/>
            <w:vAlign w:val="center"/>
          </w:tcPr>
          <w:p>
            <w:pPr>
              <w:numPr>
                <w:ilvl w:val="0"/>
                <w:numId w:val="81"/>
              </w:numPr>
              <w:spacing w:line="360" w:lineRule="auto"/>
              <w:jc w:val="center"/>
              <w:rPr>
                <w:rFonts w:ascii="仿宋" w:hAnsi="仿宋" w:eastAsia="仿宋" w:cs="仿宋"/>
                <w:color w:val="auto"/>
                <w:sz w:val="24"/>
              </w:rPr>
            </w:pPr>
          </w:p>
        </w:tc>
        <w:tc>
          <w:tcPr>
            <w:tcW w:w="1265"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IPv6环境支持</w:t>
            </w:r>
          </w:p>
        </w:tc>
        <w:tc>
          <w:tcPr>
            <w:tcW w:w="6443" w:type="dxa"/>
            <w:noWrap/>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支持纯IPv6网络环境，能够在纯IPv6网络环境下正常工作（提供《公安部计算机信息系统安全产品质量监督检验中心检测报告》证明，并加盖原厂公章）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51" w:type="dxa"/>
            <w:noWrap/>
            <w:vAlign w:val="center"/>
          </w:tcPr>
          <w:p>
            <w:pPr>
              <w:numPr>
                <w:ilvl w:val="0"/>
                <w:numId w:val="81"/>
              </w:numPr>
              <w:spacing w:line="360" w:lineRule="auto"/>
              <w:jc w:val="center"/>
              <w:rPr>
                <w:rFonts w:ascii="仿宋" w:hAnsi="仿宋" w:eastAsia="仿宋" w:cs="仿宋"/>
                <w:color w:val="auto"/>
                <w:sz w:val="24"/>
              </w:rPr>
            </w:pPr>
          </w:p>
        </w:tc>
        <w:tc>
          <w:tcPr>
            <w:tcW w:w="1265"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视频传输</w:t>
            </w:r>
          </w:p>
        </w:tc>
        <w:tc>
          <w:tcPr>
            <w:tcW w:w="6443" w:type="dxa"/>
            <w:noWrap/>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具备视频单向传输、信令双向传输能力（提供公安部检测报告复印件，并加盖原厂公章）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751" w:type="dxa"/>
            <w:noWrap/>
            <w:vAlign w:val="center"/>
          </w:tcPr>
          <w:p>
            <w:pPr>
              <w:numPr>
                <w:ilvl w:val="0"/>
                <w:numId w:val="81"/>
              </w:numPr>
              <w:spacing w:line="360" w:lineRule="auto"/>
              <w:jc w:val="center"/>
              <w:rPr>
                <w:rFonts w:ascii="仿宋" w:hAnsi="仿宋" w:eastAsia="仿宋" w:cs="仿宋"/>
                <w:color w:val="auto"/>
                <w:sz w:val="24"/>
              </w:rPr>
            </w:pPr>
          </w:p>
        </w:tc>
        <w:tc>
          <w:tcPr>
            <w:tcW w:w="1265"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文件同步</w:t>
            </w:r>
          </w:p>
        </w:tc>
        <w:tc>
          <w:tcPr>
            <w:tcW w:w="6443" w:type="dxa"/>
            <w:noWrap/>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NFS、SMBFS等文件系统。文件服务器可以是Windows、Linux/Unix等系统平台。支持文件传输方向可控，实现单向或双向传输。支持文件格式特征过滤。并能提供文件类型判断工具以帮助用户识别不常见文件类型。重名策略，接收端客户端支持对重名文件的控制策略，提供“覆盖”、“丢弃”、“重命名”等重名策略。可根据异常条件进行报警，如MD5校验失败、堆内存占用过高等条件（提供产品功能界面截图证明，并加盖原厂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51" w:type="dxa"/>
            <w:noWrap/>
            <w:vAlign w:val="center"/>
          </w:tcPr>
          <w:p>
            <w:pPr>
              <w:numPr>
                <w:ilvl w:val="0"/>
                <w:numId w:val="81"/>
              </w:numPr>
              <w:spacing w:line="360" w:lineRule="auto"/>
              <w:jc w:val="center"/>
              <w:rPr>
                <w:rFonts w:ascii="仿宋" w:hAnsi="仿宋" w:eastAsia="仿宋" w:cs="仿宋"/>
                <w:color w:val="auto"/>
                <w:sz w:val="24"/>
              </w:rPr>
            </w:pPr>
          </w:p>
        </w:tc>
        <w:tc>
          <w:tcPr>
            <w:tcW w:w="1265"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数据库同步</w:t>
            </w:r>
          </w:p>
        </w:tc>
        <w:tc>
          <w:tcPr>
            <w:tcW w:w="6443" w:type="dxa"/>
            <w:noWrap/>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同种数据库间（同构）和不同种数据库间（异构）的同步；支持灵活的数据库冲突处理策略，当关键字数据发生冲突时可选择：覆盖/丢弃；支持数据库同步客户端的双机热备技术，为用户提供更高的冗余技术支持；支持数据容错处理，当数据同步失败时，用户可以查询、恢复、删除未能正常传输的数据。支持客户端与网闸间的数字证书方式的身份认证；实现对多种（如MySql、SqlServer、Oracle、DB2、Sybase）主流数据库系统的安全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51" w:type="dxa"/>
            <w:noWrap/>
            <w:vAlign w:val="center"/>
          </w:tcPr>
          <w:p>
            <w:pPr>
              <w:numPr>
                <w:ilvl w:val="0"/>
                <w:numId w:val="81"/>
              </w:numPr>
              <w:spacing w:line="360" w:lineRule="auto"/>
              <w:jc w:val="center"/>
              <w:rPr>
                <w:rFonts w:ascii="仿宋" w:hAnsi="仿宋" w:eastAsia="仿宋" w:cs="仿宋"/>
                <w:color w:val="auto"/>
                <w:sz w:val="24"/>
              </w:rPr>
            </w:pPr>
          </w:p>
        </w:tc>
        <w:tc>
          <w:tcPr>
            <w:tcW w:w="1265"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数据库传输</w:t>
            </w:r>
          </w:p>
        </w:tc>
        <w:tc>
          <w:tcPr>
            <w:tcW w:w="6443" w:type="dxa"/>
            <w:noWrap/>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提供数据库访问用户的过滤和控制；支持数据库SQL语句过滤功能。支持用户身份认证；实现安全的FTP访问，支持对访问用户、访问协议命令、上传下载文件类型等访问过滤控制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51" w:type="dxa"/>
            <w:noWrap/>
            <w:vAlign w:val="center"/>
          </w:tcPr>
          <w:p>
            <w:pPr>
              <w:numPr>
                <w:ilvl w:val="0"/>
                <w:numId w:val="81"/>
              </w:numPr>
              <w:spacing w:line="360" w:lineRule="auto"/>
              <w:jc w:val="center"/>
              <w:rPr>
                <w:rFonts w:ascii="仿宋" w:hAnsi="仿宋" w:eastAsia="仿宋" w:cs="仿宋"/>
                <w:color w:val="auto"/>
                <w:sz w:val="24"/>
              </w:rPr>
            </w:pPr>
          </w:p>
        </w:tc>
        <w:tc>
          <w:tcPr>
            <w:tcW w:w="1265"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邮件传输</w:t>
            </w:r>
          </w:p>
        </w:tc>
        <w:tc>
          <w:tcPr>
            <w:tcW w:w="6443" w:type="dxa"/>
            <w:noWrap/>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邮件主题及正文的关键字过滤，以及收件人、发件人地址黑白名单。支持对邮件附件大小进行控制。支持附件类型过滤。邮件收发支持时段访问控制。时间段可以是一次性执行、周循环两种方式。支持用户身份认证。支持访问源地址、目的地址、目的端口的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51" w:type="dxa"/>
            <w:noWrap/>
            <w:vAlign w:val="center"/>
          </w:tcPr>
          <w:p>
            <w:pPr>
              <w:numPr>
                <w:ilvl w:val="0"/>
                <w:numId w:val="81"/>
              </w:numPr>
              <w:spacing w:line="360" w:lineRule="auto"/>
              <w:jc w:val="center"/>
              <w:rPr>
                <w:rFonts w:ascii="仿宋" w:hAnsi="仿宋" w:eastAsia="仿宋" w:cs="仿宋"/>
                <w:color w:val="auto"/>
                <w:sz w:val="24"/>
              </w:rPr>
            </w:pPr>
          </w:p>
        </w:tc>
        <w:tc>
          <w:tcPr>
            <w:tcW w:w="1265"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病毒检测</w:t>
            </w:r>
          </w:p>
        </w:tc>
        <w:tc>
          <w:tcPr>
            <w:tcW w:w="6443" w:type="dxa"/>
            <w:noWrap/>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采用专用国产知名病毒库。（提供相关证明，并加盖原厂公章）</w:t>
            </w:r>
          </w:p>
        </w:tc>
      </w:tr>
    </w:tbl>
    <w:p>
      <w:pPr>
        <w:snapToGrid w:val="0"/>
        <w:spacing w:line="360" w:lineRule="auto"/>
        <w:rPr>
          <w:rFonts w:ascii="仿宋" w:hAnsi="仿宋" w:eastAsia="仿宋" w:cs="仿宋"/>
          <w:b/>
          <w:color w:val="auto"/>
          <w:sz w:val="24"/>
        </w:rPr>
      </w:pPr>
      <w:r>
        <w:rPr>
          <w:rFonts w:hint="eastAsia" w:ascii="仿宋" w:hAnsi="仿宋" w:eastAsia="仿宋" w:cs="仿宋"/>
          <w:b/>
          <w:color w:val="auto"/>
          <w:sz w:val="24"/>
        </w:rPr>
        <w:t>（3）数据库审计</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56"/>
        <w:gridCol w:w="956"/>
        <w:gridCol w:w="6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956" w:type="dxa"/>
            <w:noWrap/>
            <w:vAlign w:val="center"/>
          </w:tcPr>
          <w:p>
            <w:pPr>
              <w:spacing w:line="360" w:lineRule="auto"/>
              <w:jc w:val="center"/>
              <w:textAlignment w:val="center"/>
              <w:rPr>
                <w:rFonts w:ascii="仿宋" w:hAnsi="仿宋" w:eastAsia="仿宋" w:cs="仿宋"/>
                <w:b/>
                <w:color w:val="auto"/>
                <w:sz w:val="24"/>
              </w:rPr>
            </w:pPr>
            <w:r>
              <w:rPr>
                <w:rFonts w:hint="eastAsia" w:ascii="仿宋" w:hAnsi="仿宋" w:eastAsia="仿宋" w:cs="仿宋"/>
                <w:b/>
                <w:color w:val="auto"/>
                <w:sz w:val="24"/>
              </w:rPr>
              <w:t>序号</w:t>
            </w:r>
          </w:p>
        </w:tc>
        <w:tc>
          <w:tcPr>
            <w:tcW w:w="956" w:type="dxa"/>
            <w:noWrap/>
            <w:vAlign w:val="center"/>
          </w:tcPr>
          <w:p>
            <w:pPr>
              <w:spacing w:line="360" w:lineRule="auto"/>
              <w:jc w:val="center"/>
              <w:textAlignment w:val="center"/>
              <w:rPr>
                <w:rFonts w:ascii="仿宋" w:hAnsi="仿宋" w:eastAsia="仿宋" w:cs="仿宋"/>
                <w:b/>
                <w:color w:val="auto"/>
                <w:sz w:val="24"/>
              </w:rPr>
            </w:pPr>
            <w:r>
              <w:rPr>
                <w:rFonts w:hint="eastAsia" w:ascii="仿宋" w:hAnsi="仿宋" w:eastAsia="仿宋" w:cs="仿宋"/>
                <w:b/>
                <w:color w:val="auto"/>
                <w:sz w:val="24"/>
              </w:rPr>
              <w:t>指标项</w:t>
            </w:r>
          </w:p>
        </w:tc>
        <w:tc>
          <w:tcPr>
            <w:tcW w:w="6361" w:type="dxa"/>
            <w:noWrap/>
            <w:vAlign w:val="center"/>
          </w:tcPr>
          <w:p>
            <w:pPr>
              <w:spacing w:line="360" w:lineRule="auto"/>
              <w:jc w:val="center"/>
              <w:textAlignment w:val="center"/>
              <w:rPr>
                <w:rFonts w:ascii="仿宋" w:hAnsi="仿宋" w:eastAsia="仿宋" w:cs="仿宋"/>
                <w:b/>
                <w:color w:val="auto"/>
                <w:sz w:val="24"/>
              </w:rPr>
            </w:pPr>
            <w:r>
              <w:rPr>
                <w:rFonts w:hint="eastAsia" w:ascii="仿宋" w:hAnsi="仿宋" w:eastAsia="仿宋" w:cs="仿宋"/>
                <w:b/>
                <w:color w:val="auto"/>
                <w:sz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956" w:type="dxa"/>
            <w:noWrap/>
            <w:vAlign w:val="center"/>
          </w:tcPr>
          <w:p>
            <w:pPr>
              <w:spacing w:line="360" w:lineRule="auto"/>
              <w:jc w:val="center"/>
              <w:textAlignment w:val="center"/>
              <w:rPr>
                <w:rFonts w:ascii="仿宋" w:hAnsi="仿宋" w:eastAsia="仿宋" w:cs="仿宋"/>
                <w:bCs/>
                <w:color w:val="auto"/>
                <w:sz w:val="24"/>
              </w:rPr>
            </w:pPr>
            <w:r>
              <w:rPr>
                <w:rFonts w:hint="eastAsia" w:ascii="仿宋" w:hAnsi="仿宋" w:eastAsia="仿宋" w:cs="仿宋"/>
                <w:bCs/>
                <w:color w:val="auto"/>
                <w:sz w:val="24"/>
              </w:rPr>
              <w:t>1</w:t>
            </w:r>
          </w:p>
        </w:tc>
        <w:tc>
          <w:tcPr>
            <w:tcW w:w="956" w:type="dxa"/>
            <w:noWrap/>
            <w:vAlign w:val="center"/>
          </w:tcPr>
          <w:p>
            <w:pPr>
              <w:spacing w:line="360" w:lineRule="auto"/>
              <w:jc w:val="center"/>
              <w:textAlignment w:val="center"/>
              <w:rPr>
                <w:rFonts w:ascii="仿宋" w:hAnsi="仿宋" w:eastAsia="仿宋" w:cs="仿宋"/>
                <w:bCs/>
                <w:color w:val="auto"/>
                <w:sz w:val="24"/>
              </w:rPr>
            </w:pPr>
            <w:r>
              <w:rPr>
                <w:rFonts w:hint="eastAsia" w:ascii="仿宋" w:hAnsi="仿宋" w:eastAsia="仿宋" w:cs="仿宋"/>
                <w:bCs/>
                <w:color w:val="auto"/>
                <w:sz w:val="24"/>
              </w:rPr>
              <w:t>产品规格</w:t>
            </w:r>
          </w:p>
        </w:tc>
        <w:tc>
          <w:tcPr>
            <w:tcW w:w="6361" w:type="dxa"/>
            <w:noWrap/>
            <w:vAlign w:val="center"/>
          </w:tcPr>
          <w:p>
            <w:pPr>
              <w:spacing w:line="360" w:lineRule="auto"/>
              <w:jc w:val="center"/>
              <w:textAlignment w:val="center"/>
              <w:rPr>
                <w:rFonts w:ascii="仿宋" w:hAnsi="仿宋" w:eastAsia="仿宋" w:cs="仿宋"/>
                <w:bCs/>
                <w:color w:val="auto"/>
                <w:sz w:val="24"/>
              </w:rPr>
            </w:pPr>
            <w:r>
              <w:rPr>
                <w:rFonts w:hint="eastAsia" w:ascii="仿宋" w:hAnsi="仿宋" w:eastAsia="仿宋" w:cs="仿宋"/>
                <w:bCs/>
                <w:color w:val="auto"/>
                <w:sz w:val="24"/>
              </w:rPr>
              <w:t>1、提供千兆电口≥6个，万兆光口≥2个；内存≥16G，硬盘≥4TB，冗余电源；入库速度≥20000条/秒，处理性能≥20000秒/条；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956" w:type="dxa"/>
            <w:vMerge w:val="restart"/>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2</w:t>
            </w:r>
          </w:p>
        </w:tc>
        <w:tc>
          <w:tcPr>
            <w:tcW w:w="956" w:type="dxa"/>
            <w:vMerge w:val="restart"/>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系统功能</w:t>
            </w:r>
          </w:p>
        </w:tc>
        <w:tc>
          <w:tcPr>
            <w:tcW w:w="6361" w:type="dxa"/>
            <w:noWrap/>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1、支持数据库操作行为记录、数据库操作行为审计、操作行为统计分析、数据库自动发现、审计策略管理、审计告警管理等。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956" w:type="dxa"/>
            <w:vMerge w:val="continue"/>
            <w:noWrap/>
            <w:vAlign w:val="center"/>
          </w:tcPr>
          <w:p>
            <w:pPr>
              <w:spacing w:line="360" w:lineRule="auto"/>
              <w:jc w:val="center"/>
              <w:rPr>
                <w:rFonts w:ascii="仿宋" w:hAnsi="仿宋" w:eastAsia="仿宋" w:cs="仿宋"/>
                <w:color w:val="auto"/>
                <w:sz w:val="24"/>
              </w:rPr>
            </w:pPr>
          </w:p>
        </w:tc>
        <w:tc>
          <w:tcPr>
            <w:tcW w:w="956" w:type="dxa"/>
            <w:vMerge w:val="continue"/>
            <w:noWrap/>
            <w:vAlign w:val="center"/>
          </w:tcPr>
          <w:p>
            <w:pPr>
              <w:spacing w:line="360" w:lineRule="auto"/>
              <w:jc w:val="center"/>
              <w:rPr>
                <w:rFonts w:ascii="仿宋" w:hAnsi="仿宋" w:eastAsia="仿宋" w:cs="仿宋"/>
                <w:color w:val="auto"/>
                <w:sz w:val="24"/>
              </w:rPr>
            </w:pPr>
          </w:p>
        </w:tc>
        <w:tc>
          <w:tcPr>
            <w:tcW w:w="6361" w:type="dxa"/>
            <w:noWrap/>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2、支持访问数据库的源主机名、源主机用户、</w:t>
            </w:r>
            <w:r>
              <w:rPr>
                <w:rStyle w:val="26"/>
                <w:rFonts w:hint="default" w:ascii="仿宋" w:hAnsi="仿宋" w:eastAsia="仿宋" w:cs="仿宋"/>
                <w:color w:val="auto"/>
                <w:sz w:val="24"/>
                <w:szCs w:val="24"/>
              </w:rPr>
              <w:t>SQL</w:t>
            </w:r>
            <w:r>
              <w:rPr>
                <w:rFonts w:hint="eastAsia" w:ascii="仿宋" w:hAnsi="仿宋" w:eastAsia="仿宋" w:cs="仿宋"/>
                <w:color w:val="auto"/>
                <w:kern w:val="0"/>
                <w:sz w:val="24"/>
              </w:rPr>
              <w:t>操作响应时间、数据库操作成功、失败的审计；支持数据库操作类、表、视图、索引、触发器、存储过程、游标、事物等各种对象的</w:t>
            </w:r>
            <w:r>
              <w:rPr>
                <w:rStyle w:val="26"/>
                <w:rFonts w:hint="default" w:ascii="仿宋" w:hAnsi="仿宋" w:eastAsia="仿宋" w:cs="仿宋"/>
                <w:color w:val="auto"/>
                <w:sz w:val="24"/>
                <w:szCs w:val="24"/>
              </w:rPr>
              <w:t>SQL</w:t>
            </w:r>
            <w:r>
              <w:rPr>
                <w:rFonts w:hint="eastAsia" w:ascii="仿宋" w:hAnsi="仿宋" w:eastAsia="仿宋" w:cs="仿宋"/>
                <w:color w:val="auto"/>
                <w:kern w:val="0"/>
                <w:sz w:val="24"/>
              </w:rPr>
              <w:t>操作审计；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956" w:type="dxa"/>
            <w:vMerge w:val="continue"/>
            <w:noWrap/>
            <w:vAlign w:val="center"/>
          </w:tcPr>
          <w:p>
            <w:pPr>
              <w:spacing w:line="360" w:lineRule="auto"/>
              <w:jc w:val="center"/>
              <w:rPr>
                <w:rFonts w:ascii="仿宋" w:hAnsi="仿宋" w:eastAsia="仿宋" w:cs="仿宋"/>
                <w:color w:val="auto"/>
                <w:sz w:val="24"/>
              </w:rPr>
            </w:pPr>
          </w:p>
        </w:tc>
        <w:tc>
          <w:tcPr>
            <w:tcW w:w="956" w:type="dxa"/>
            <w:vMerge w:val="continue"/>
            <w:noWrap/>
            <w:vAlign w:val="center"/>
          </w:tcPr>
          <w:p>
            <w:pPr>
              <w:spacing w:line="360" w:lineRule="auto"/>
              <w:jc w:val="center"/>
              <w:rPr>
                <w:rFonts w:ascii="仿宋" w:hAnsi="仿宋" w:eastAsia="仿宋" w:cs="仿宋"/>
                <w:color w:val="auto"/>
                <w:sz w:val="24"/>
              </w:rPr>
            </w:pPr>
          </w:p>
        </w:tc>
        <w:tc>
          <w:tcPr>
            <w:tcW w:w="6361" w:type="dxa"/>
            <w:noWrap/>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3、支持对SQL server 2005及以上版本、Mysql5.7及以上版本数据库采用的加密协议通讯的审计。（提供功能截图并盖原厂公章）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76" w:hRule="atLeast"/>
        </w:trPr>
        <w:tc>
          <w:tcPr>
            <w:tcW w:w="956" w:type="dxa"/>
            <w:vMerge w:val="continue"/>
            <w:noWrap/>
            <w:vAlign w:val="center"/>
          </w:tcPr>
          <w:p>
            <w:pPr>
              <w:spacing w:line="360" w:lineRule="auto"/>
              <w:jc w:val="center"/>
              <w:rPr>
                <w:rFonts w:ascii="仿宋" w:hAnsi="仿宋" w:eastAsia="仿宋" w:cs="仿宋"/>
                <w:color w:val="auto"/>
                <w:sz w:val="24"/>
              </w:rPr>
            </w:pPr>
          </w:p>
        </w:tc>
        <w:tc>
          <w:tcPr>
            <w:tcW w:w="956" w:type="dxa"/>
            <w:vMerge w:val="continue"/>
            <w:noWrap/>
            <w:vAlign w:val="center"/>
          </w:tcPr>
          <w:p>
            <w:pPr>
              <w:spacing w:line="360" w:lineRule="auto"/>
              <w:jc w:val="center"/>
              <w:rPr>
                <w:rFonts w:ascii="仿宋" w:hAnsi="仿宋" w:eastAsia="仿宋" w:cs="仿宋"/>
                <w:color w:val="auto"/>
                <w:sz w:val="24"/>
              </w:rPr>
            </w:pPr>
          </w:p>
        </w:tc>
        <w:tc>
          <w:tcPr>
            <w:tcW w:w="6361" w:type="dxa"/>
            <w:noWrap/>
            <w:vAlign w:val="center"/>
          </w:tcPr>
          <w:p>
            <w:pPr>
              <w:widowControl/>
              <w:numPr>
                <w:ilvl w:val="0"/>
                <w:numId w:val="82"/>
              </w:numPr>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支持数据库请求和返回的双向审计，特别是返回字段和结果集、执行状态、返回行数、执行时长等内容，支持通过返回行数和内容大小控制返回结果集大小，满足要求并能提供功能截图和提供国家权威检测机构检测报告复印件加盖原厂商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956" w:type="dxa"/>
            <w:vMerge w:val="continue"/>
            <w:noWrap/>
            <w:vAlign w:val="center"/>
          </w:tcPr>
          <w:p>
            <w:pPr>
              <w:spacing w:line="360" w:lineRule="auto"/>
              <w:jc w:val="center"/>
              <w:rPr>
                <w:rFonts w:ascii="仿宋" w:hAnsi="仿宋" w:eastAsia="仿宋" w:cs="仿宋"/>
                <w:color w:val="auto"/>
                <w:sz w:val="24"/>
              </w:rPr>
            </w:pPr>
          </w:p>
        </w:tc>
        <w:tc>
          <w:tcPr>
            <w:tcW w:w="956" w:type="dxa"/>
            <w:vMerge w:val="continue"/>
            <w:noWrap/>
            <w:vAlign w:val="center"/>
          </w:tcPr>
          <w:p>
            <w:pPr>
              <w:spacing w:line="360" w:lineRule="auto"/>
              <w:jc w:val="center"/>
              <w:rPr>
                <w:rFonts w:ascii="仿宋" w:hAnsi="仿宋" w:eastAsia="仿宋" w:cs="仿宋"/>
                <w:color w:val="auto"/>
                <w:sz w:val="24"/>
              </w:rPr>
            </w:pPr>
          </w:p>
        </w:tc>
        <w:tc>
          <w:tcPr>
            <w:tcW w:w="6361" w:type="dxa"/>
            <w:noWrap/>
            <w:vAlign w:val="center"/>
          </w:tcPr>
          <w:p>
            <w:pPr>
              <w:widowControl/>
              <w:numPr>
                <w:ilvl w:val="0"/>
                <w:numId w:val="82"/>
              </w:numPr>
              <w:spacing w:line="360" w:lineRule="auto"/>
              <w:jc w:val="left"/>
              <w:textAlignment w:val="center"/>
              <w:rPr>
                <w:rFonts w:ascii="仿宋" w:hAnsi="仿宋" w:eastAsia="仿宋" w:cs="仿宋"/>
                <w:color w:val="auto"/>
                <w:kern w:val="0"/>
                <w:sz w:val="24"/>
              </w:rPr>
            </w:pPr>
            <w:r>
              <w:rPr>
                <w:rFonts w:hint="eastAsia" w:ascii="仿宋" w:hAnsi="仿宋" w:eastAsia="仿宋" w:cs="仿宋"/>
                <w:color w:val="auto"/>
                <w:sz w:val="24"/>
              </w:rPr>
              <w:t>支持在目标服务器安装agent，对云环境、虚拟化环境等无法镜像情况下数据库的审计；（提供产品功能截图并提供国家权威检测机构的检测报告证明加盖原厂公章）</w:t>
            </w:r>
          </w:p>
        </w:tc>
      </w:tr>
    </w:tbl>
    <w:p>
      <w:pPr>
        <w:snapToGrid w:val="0"/>
        <w:spacing w:line="360" w:lineRule="auto"/>
        <w:rPr>
          <w:rFonts w:ascii="仿宋" w:hAnsi="仿宋" w:eastAsia="仿宋" w:cs="仿宋"/>
          <w:b/>
          <w:color w:val="auto"/>
          <w:sz w:val="24"/>
        </w:rPr>
      </w:pPr>
      <w:r>
        <w:rPr>
          <w:rFonts w:hint="eastAsia" w:ascii="仿宋" w:hAnsi="仿宋" w:eastAsia="仿宋" w:cs="仿宋"/>
          <w:b/>
          <w:color w:val="auto"/>
          <w:sz w:val="24"/>
        </w:rPr>
        <w:t>（4）日志审计</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56"/>
        <w:gridCol w:w="956"/>
        <w:gridCol w:w="6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blHeader/>
        </w:trPr>
        <w:tc>
          <w:tcPr>
            <w:tcW w:w="956" w:type="dxa"/>
            <w:noWrap/>
            <w:vAlign w:val="center"/>
          </w:tcPr>
          <w:p>
            <w:pPr>
              <w:widowControl/>
              <w:spacing w:line="360" w:lineRule="auto"/>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rPr>
              <w:t>序号</w:t>
            </w:r>
          </w:p>
        </w:tc>
        <w:tc>
          <w:tcPr>
            <w:tcW w:w="956" w:type="dxa"/>
            <w:noWrap/>
            <w:vAlign w:val="center"/>
          </w:tcPr>
          <w:p>
            <w:pPr>
              <w:widowControl/>
              <w:spacing w:line="360" w:lineRule="auto"/>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rPr>
              <w:t>指标项</w:t>
            </w:r>
          </w:p>
        </w:tc>
        <w:tc>
          <w:tcPr>
            <w:tcW w:w="6361" w:type="dxa"/>
            <w:noWrap/>
            <w:vAlign w:val="center"/>
          </w:tcPr>
          <w:p>
            <w:pPr>
              <w:widowControl/>
              <w:spacing w:line="360" w:lineRule="auto"/>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956" w:type="dxa"/>
            <w:noWrap/>
            <w:vAlign w:val="center"/>
          </w:tcPr>
          <w:p>
            <w:pPr>
              <w:widowControl/>
              <w:spacing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956" w:type="dxa"/>
            <w:noWrap/>
            <w:vAlign w:val="center"/>
          </w:tcPr>
          <w:p>
            <w:pPr>
              <w:widowControl/>
              <w:spacing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产品规格</w:t>
            </w:r>
          </w:p>
        </w:tc>
        <w:tc>
          <w:tcPr>
            <w:tcW w:w="6361" w:type="dxa"/>
            <w:noWrap/>
            <w:vAlign w:val="center"/>
          </w:tcPr>
          <w:p>
            <w:pPr>
              <w:widowControl/>
              <w:spacing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1、提供千兆电口≥2个，支持扩展板卡插槽≥4个；内存≥8G，硬盘≥12T，存储空间满足日志保存时间≥6个月的要求，事件处理性能≥10000EPS；包含200个审计对象授权。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8" w:hRule="atLeast"/>
        </w:trPr>
        <w:tc>
          <w:tcPr>
            <w:tcW w:w="956" w:type="dxa"/>
            <w:vMerge w:val="restart"/>
            <w:noWrap/>
            <w:vAlign w:val="center"/>
          </w:tcPr>
          <w:p>
            <w:pPr>
              <w:widowControl/>
              <w:spacing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956" w:type="dxa"/>
            <w:vMerge w:val="restart"/>
            <w:noWrap/>
            <w:vAlign w:val="center"/>
          </w:tcPr>
          <w:p>
            <w:pPr>
              <w:widowControl/>
              <w:spacing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系统功能</w:t>
            </w:r>
          </w:p>
        </w:tc>
        <w:tc>
          <w:tcPr>
            <w:tcW w:w="6361" w:type="dxa"/>
            <w:noWrap/>
            <w:vAlign w:val="center"/>
          </w:tcPr>
          <w:p>
            <w:pPr>
              <w:widowControl/>
              <w:spacing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1、设备日志采集、应用日志采集、日志检索、日志分析、日志转发、事件告警、日志报表等。支持SNMP Trap、Syslog、ODBC\JDBC、WMI、FTP等多种方式完成日志收集功能.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956" w:type="dxa"/>
            <w:vMerge w:val="continue"/>
            <w:noWrap/>
            <w:vAlign w:val="center"/>
          </w:tcPr>
          <w:p>
            <w:pPr>
              <w:widowControl/>
              <w:spacing w:line="360" w:lineRule="auto"/>
              <w:jc w:val="center"/>
              <w:textAlignment w:val="center"/>
              <w:rPr>
                <w:rFonts w:ascii="仿宋" w:hAnsi="仿宋" w:eastAsia="仿宋" w:cs="仿宋"/>
                <w:color w:val="auto"/>
                <w:kern w:val="0"/>
                <w:sz w:val="24"/>
              </w:rPr>
            </w:pPr>
          </w:p>
        </w:tc>
        <w:tc>
          <w:tcPr>
            <w:tcW w:w="956" w:type="dxa"/>
            <w:vMerge w:val="continue"/>
            <w:noWrap/>
            <w:vAlign w:val="center"/>
          </w:tcPr>
          <w:p>
            <w:pPr>
              <w:widowControl/>
              <w:spacing w:line="360" w:lineRule="auto"/>
              <w:jc w:val="center"/>
              <w:textAlignment w:val="center"/>
              <w:rPr>
                <w:rFonts w:ascii="仿宋" w:hAnsi="仿宋" w:eastAsia="仿宋" w:cs="仿宋"/>
                <w:color w:val="auto"/>
                <w:kern w:val="0"/>
                <w:sz w:val="24"/>
              </w:rPr>
            </w:pPr>
          </w:p>
        </w:tc>
        <w:tc>
          <w:tcPr>
            <w:tcW w:w="6361" w:type="dxa"/>
            <w:noWrap/>
            <w:vAlign w:val="center"/>
          </w:tcPr>
          <w:p>
            <w:pPr>
              <w:widowControl/>
              <w:spacing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2、支持基于资产的拓扑视图，可以按列表和拓扑两种模式显示资产拓扑节点；可查看每个资产设备本身产生的事件信息、关联告警信息，并且支持向下钻取，直接进入事件列表、关联告警列表；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956" w:type="dxa"/>
            <w:vMerge w:val="continue"/>
            <w:noWrap/>
            <w:vAlign w:val="center"/>
          </w:tcPr>
          <w:p>
            <w:pPr>
              <w:widowControl/>
              <w:spacing w:line="360" w:lineRule="auto"/>
              <w:jc w:val="center"/>
              <w:textAlignment w:val="center"/>
              <w:rPr>
                <w:rFonts w:ascii="仿宋" w:hAnsi="仿宋" w:eastAsia="仿宋" w:cs="仿宋"/>
                <w:color w:val="auto"/>
                <w:kern w:val="0"/>
                <w:sz w:val="24"/>
              </w:rPr>
            </w:pPr>
          </w:p>
        </w:tc>
        <w:tc>
          <w:tcPr>
            <w:tcW w:w="956" w:type="dxa"/>
            <w:vMerge w:val="continue"/>
            <w:noWrap/>
            <w:vAlign w:val="center"/>
          </w:tcPr>
          <w:p>
            <w:pPr>
              <w:widowControl/>
              <w:spacing w:line="360" w:lineRule="auto"/>
              <w:jc w:val="center"/>
              <w:textAlignment w:val="center"/>
              <w:rPr>
                <w:rFonts w:ascii="仿宋" w:hAnsi="仿宋" w:eastAsia="仿宋" w:cs="仿宋"/>
                <w:color w:val="auto"/>
                <w:kern w:val="0"/>
                <w:sz w:val="24"/>
              </w:rPr>
            </w:pPr>
          </w:p>
        </w:tc>
        <w:tc>
          <w:tcPr>
            <w:tcW w:w="6361" w:type="dxa"/>
            <w:noWrap/>
            <w:vAlign w:val="center"/>
          </w:tcPr>
          <w:p>
            <w:pPr>
              <w:widowControl/>
              <w:spacing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3、资产拓扑支持按照实际的用户环境进行编辑发布并可以和资产进行绑定，拓扑可以显示资产采集的事件数量被采集资产的状态等信息， 满足要求并能提供国家权威检测机构检测报告证明并加盖原厂公章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956" w:type="dxa"/>
            <w:vMerge w:val="continue"/>
            <w:noWrap/>
            <w:vAlign w:val="center"/>
          </w:tcPr>
          <w:p>
            <w:pPr>
              <w:widowControl/>
              <w:spacing w:line="360" w:lineRule="auto"/>
              <w:jc w:val="center"/>
              <w:textAlignment w:val="center"/>
              <w:rPr>
                <w:rFonts w:ascii="仿宋" w:hAnsi="仿宋" w:eastAsia="仿宋" w:cs="仿宋"/>
                <w:color w:val="auto"/>
                <w:kern w:val="0"/>
                <w:sz w:val="24"/>
              </w:rPr>
            </w:pPr>
          </w:p>
        </w:tc>
        <w:tc>
          <w:tcPr>
            <w:tcW w:w="956" w:type="dxa"/>
            <w:vMerge w:val="continue"/>
            <w:noWrap/>
            <w:vAlign w:val="center"/>
          </w:tcPr>
          <w:p>
            <w:pPr>
              <w:widowControl/>
              <w:spacing w:line="360" w:lineRule="auto"/>
              <w:jc w:val="center"/>
              <w:textAlignment w:val="center"/>
              <w:rPr>
                <w:rFonts w:ascii="仿宋" w:hAnsi="仿宋" w:eastAsia="仿宋" w:cs="仿宋"/>
                <w:color w:val="auto"/>
                <w:kern w:val="0"/>
                <w:sz w:val="24"/>
              </w:rPr>
            </w:pPr>
          </w:p>
        </w:tc>
        <w:tc>
          <w:tcPr>
            <w:tcW w:w="6361" w:type="dxa"/>
            <w:noWrap/>
            <w:vAlign w:val="center"/>
          </w:tcPr>
          <w:p>
            <w:pPr>
              <w:widowControl/>
              <w:spacing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4、日志可支持加密压缩传输 支持加密压缩方式转发，定时转发。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956" w:type="dxa"/>
            <w:vMerge w:val="continue"/>
            <w:noWrap/>
            <w:vAlign w:val="center"/>
          </w:tcPr>
          <w:p>
            <w:pPr>
              <w:widowControl/>
              <w:spacing w:line="360" w:lineRule="auto"/>
              <w:jc w:val="center"/>
              <w:textAlignment w:val="center"/>
              <w:rPr>
                <w:rFonts w:ascii="仿宋" w:hAnsi="仿宋" w:eastAsia="仿宋" w:cs="仿宋"/>
                <w:color w:val="auto"/>
                <w:kern w:val="0"/>
                <w:sz w:val="24"/>
              </w:rPr>
            </w:pPr>
          </w:p>
        </w:tc>
        <w:tc>
          <w:tcPr>
            <w:tcW w:w="956" w:type="dxa"/>
            <w:vMerge w:val="continue"/>
            <w:noWrap/>
            <w:vAlign w:val="center"/>
          </w:tcPr>
          <w:p>
            <w:pPr>
              <w:widowControl/>
              <w:spacing w:line="360" w:lineRule="auto"/>
              <w:jc w:val="center"/>
              <w:textAlignment w:val="center"/>
              <w:rPr>
                <w:rFonts w:ascii="仿宋" w:hAnsi="仿宋" w:eastAsia="仿宋" w:cs="仿宋"/>
                <w:color w:val="auto"/>
                <w:kern w:val="0"/>
                <w:sz w:val="24"/>
              </w:rPr>
            </w:pPr>
          </w:p>
        </w:tc>
        <w:tc>
          <w:tcPr>
            <w:tcW w:w="6361" w:type="dxa"/>
            <w:noWrap/>
            <w:vAlign w:val="center"/>
          </w:tcPr>
          <w:p>
            <w:pPr>
              <w:widowControl/>
              <w:spacing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5、可根据解析后的日志字段，对日志进行合并聚合操作，提高日志存储、检索效率；需提供截图并加盖原厂公章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trPr>
        <w:tc>
          <w:tcPr>
            <w:tcW w:w="956" w:type="dxa"/>
            <w:vMerge w:val="continue"/>
            <w:noWrap/>
            <w:vAlign w:val="center"/>
          </w:tcPr>
          <w:p>
            <w:pPr>
              <w:widowControl/>
              <w:spacing w:line="360" w:lineRule="auto"/>
              <w:jc w:val="center"/>
              <w:textAlignment w:val="center"/>
              <w:rPr>
                <w:rFonts w:ascii="仿宋" w:hAnsi="仿宋" w:eastAsia="仿宋" w:cs="仿宋"/>
                <w:color w:val="auto"/>
                <w:kern w:val="0"/>
                <w:sz w:val="24"/>
              </w:rPr>
            </w:pPr>
          </w:p>
        </w:tc>
        <w:tc>
          <w:tcPr>
            <w:tcW w:w="956" w:type="dxa"/>
            <w:vMerge w:val="continue"/>
            <w:noWrap/>
            <w:vAlign w:val="center"/>
          </w:tcPr>
          <w:p>
            <w:pPr>
              <w:widowControl/>
              <w:spacing w:line="360" w:lineRule="auto"/>
              <w:jc w:val="center"/>
              <w:textAlignment w:val="center"/>
              <w:rPr>
                <w:rFonts w:ascii="仿宋" w:hAnsi="仿宋" w:eastAsia="仿宋" w:cs="仿宋"/>
                <w:color w:val="auto"/>
                <w:kern w:val="0"/>
                <w:sz w:val="24"/>
              </w:rPr>
            </w:pPr>
          </w:p>
        </w:tc>
        <w:tc>
          <w:tcPr>
            <w:tcW w:w="6361" w:type="dxa"/>
            <w:noWrap/>
            <w:vAlign w:val="center"/>
          </w:tcPr>
          <w:p>
            <w:pPr>
              <w:widowControl/>
              <w:spacing w:line="360" w:lineRule="auto"/>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6、范式化字段至少应包括事件接收时间、事件产生时间、事件持续时间、用户名称、源地址、源MAC地址、源端口、操作、目的地址、目的MAC地址、目的端口、事件名称、事件摘要、等级、原始等级、原始类型、网络协议、网络应用协议、设备地址、设备名称、设备类型等；针对不支持的事件类型做范式化不需改动编码，通过修改配置文件即可完成。</w:t>
            </w:r>
          </w:p>
        </w:tc>
      </w:tr>
    </w:tbl>
    <w:p>
      <w:pPr>
        <w:spacing w:line="360" w:lineRule="auto"/>
        <w:rPr>
          <w:rFonts w:ascii="仿宋" w:hAnsi="仿宋" w:eastAsia="仿宋" w:cs="仿宋"/>
          <w:b/>
          <w:bCs/>
          <w:color w:val="auto"/>
          <w:sz w:val="24"/>
        </w:rPr>
      </w:pPr>
      <w:r>
        <w:rPr>
          <w:rFonts w:hint="eastAsia" w:ascii="仿宋" w:hAnsi="仿宋" w:eastAsia="仿宋" w:cs="仿宋"/>
          <w:b/>
          <w:bCs/>
          <w:color w:val="auto"/>
          <w:sz w:val="24"/>
        </w:rPr>
        <w:t>5.项目实施要求</w:t>
      </w:r>
      <w:bookmarkEnd w:id="709"/>
    </w:p>
    <w:p>
      <w:pPr>
        <w:spacing w:line="360" w:lineRule="auto"/>
        <w:rPr>
          <w:rFonts w:ascii="仿宋" w:hAnsi="仿宋" w:eastAsia="仿宋" w:cs="仿宋"/>
          <w:b/>
          <w:bCs/>
          <w:color w:val="auto"/>
          <w:sz w:val="24"/>
        </w:rPr>
      </w:pPr>
      <w:bookmarkStart w:id="710" w:name="_Toc40906286"/>
      <w:r>
        <w:rPr>
          <w:rFonts w:hint="eastAsia" w:ascii="仿宋" w:hAnsi="仿宋" w:eastAsia="仿宋" w:cs="仿宋"/>
          <w:b/>
          <w:bCs/>
          <w:color w:val="auto"/>
          <w:sz w:val="24"/>
        </w:rPr>
        <w:t>5.1</w:t>
      </w:r>
      <w:r>
        <w:rPr>
          <w:rFonts w:hint="eastAsia" w:ascii="仿宋" w:hAnsi="仿宋" w:eastAsia="仿宋" w:cs="仿宋"/>
          <w:color w:val="auto"/>
          <w:kern w:val="0"/>
          <w:sz w:val="20"/>
          <w:szCs w:val="20"/>
        </w:rPr>
        <w:t>▲</w:t>
      </w:r>
      <w:r>
        <w:rPr>
          <w:rFonts w:hint="eastAsia" w:ascii="仿宋" w:hAnsi="仿宋" w:eastAsia="仿宋" w:cs="仿宋"/>
          <w:b/>
          <w:bCs/>
          <w:color w:val="auto"/>
          <w:sz w:val="24"/>
        </w:rPr>
        <w:t>中标单位项目管理要求</w:t>
      </w:r>
      <w:bookmarkEnd w:id="710"/>
      <w:bookmarkStart w:id="711" w:name="_Toc40906287"/>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为保证本项目顺利实施，中标单位需提供本次建设的项目管理方案，中标单位为本包投入技术人员不少于10人，实施期间提供现场不少于3人的项目实施团队（包含1名项目经理，该团队的核心技术人员具备安全项目实施经验。中标单位应承诺提供现场实施服务，办公场地由中标单位自行解决。</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中标单位应携手所投核心系统软件生产厂家在规定时间内完成系统软件安装、调试，提供详细的安装实施方案，包括施工人员、技术支持、工期进度安排、组织管理培训。</w:t>
      </w:r>
    </w:p>
    <w:p>
      <w:pPr>
        <w:spacing w:line="360" w:lineRule="auto"/>
        <w:rPr>
          <w:rFonts w:ascii="仿宋" w:hAnsi="仿宋" w:eastAsia="仿宋" w:cs="仿宋"/>
          <w:b/>
          <w:bCs/>
          <w:color w:val="auto"/>
          <w:sz w:val="24"/>
        </w:rPr>
      </w:pPr>
      <w:r>
        <w:rPr>
          <w:rFonts w:hint="eastAsia" w:ascii="仿宋" w:hAnsi="仿宋" w:eastAsia="仿宋" w:cs="仿宋"/>
          <w:b/>
          <w:bCs/>
          <w:color w:val="auto"/>
          <w:sz w:val="24"/>
        </w:rPr>
        <w:t>5.2</w:t>
      </w:r>
      <w:r>
        <w:rPr>
          <w:rFonts w:hint="eastAsia" w:ascii="仿宋" w:hAnsi="仿宋" w:eastAsia="仿宋" w:cs="仿宋"/>
          <w:color w:val="auto"/>
          <w:kern w:val="0"/>
          <w:sz w:val="20"/>
          <w:szCs w:val="20"/>
        </w:rPr>
        <w:t>▲</w:t>
      </w:r>
      <w:r>
        <w:rPr>
          <w:rFonts w:hint="eastAsia" w:ascii="仿宋" w:hAnsi="仿宋" w:eastAsia="仿宋" w:cs="仿宋"/>
          <w:b/>
          <w:bCs/>
          <w:color w:val="auto"/>
          <w:sz w:val="24"/>
        </w:rPr>
        <w:t>质量管理要求</w:t>
      </w:r>
      <w:bookmarkEnd w:id="711"/>
    </w:p>
    <w:p>
      <w:pPr>
        <w:pStyle w:val="24"/>
        <w:tabs>
          <w:tab w:val="left" w:pos="0"/>
        </w:tabs>
        <w:ind w:firstLine="480" w:firstLineChars="200"/>
        <w:rPr>
          <w:rFonts w:ascii="仿宋" w:hAnsi="仿宋" w:eastAsia="仿宋" w:cs="仿宋"/>
          <w:color w:val="auto"/>
          <w:sz w:val="24"/>
        </w:rPr>
      </w:pPr>
      <w:r>
        <w:rPr>
          <w:rFonts w:hint="eastAsia" w:ascii="仿宋" w:hAnsi="仿宋" w:eastAsia="仿宋" w:cs="仿宋"/>
          <w:color w:val="auto"/>
          <w:sz w:val="24"/>
        </w:rPr>
        <w:t>投标方需能提供项目准备、需求分析、设计、实施、上线、交付各阶段及项目管理等有关文档。</w:t>
      </w:r>
    </w:p>
    <w:p>
      <w:pPr>
        <w:spacing w:line="360" w:lineRule="auto"/>
        <w:rPr>
          <w:rFonts w:ascii="仿宋" w:hAnsi="仿宋" w:eastAsia="仿宋" w:cs="仿宋"/>
          <w:b/>
          <w:bCs/>
          <w:color w:val="auto"/>
          <w:sz w:val="24"/>
        </w:rPr>
      </w:pPr>
      <w:bookmarkStart w:id="712" w:name="_Toc40906288"/>
      <w:r>
        <w:rPr>
          <w:rFonts w:hint="eastAsia" w:ascii="仿宋" w:hAnsi="仿宋" w:eastAsia="仿宋" w:cs="仿宋"/>
          <w:b/>
          <w:bCs/>
          <w:color w:val="auto"/>
          <w:sz w:val="24"/>
        </w:rPr>
        <w:t>5.3</w:t>
      </w:r>
      <w:r>
        <w:rPr>
          <w:rFonts w:hint="eastAsia" w:ascii="仿宋" w:hAnsi="仿宋" w:eastAsia="仿宋" w:cs="仿宋"/>
          <w:color w:val="auto"/>
          <w:kern w:val="0"/>
          <w:sz w:val="20"/>
          <w:szCs w:val="20"/>
        </w:rPr>
        <w:t>▲</w:t>
      </w:r>
      <w:r>
        <w:rPr>
          <w:rFonts w:hint="eastAsia" w:ascii="仿宋" w:hAnsi="仿宋" w:eastAsia="仿宋" w:cs="仿宋"/>
          <w:b/>
          <w:bCs/>
          <w:color w:val="auto"/>
          <w:sz w:val="24"/>
        </w:rPr>
        <w:t>风险控制要求</w:t>
      </w:r>
      <w:bookmarkEnd w:id="712"/>
    </w:p>
    <w:p>
      <w:pPr>
        <w:pStyle w:val="24"/>
        <w:tabs>
          <w:tab w:val="left" w:pos="0"/>
        </w:tabs>
        <w:ind w:firstLine="480" w:firstLineChars="200"/>
        <w:rPr>
          <w:rFonts w:ascii="仿宋" w:hAnsi="仿宋" w:eastAsia="仿宋" w:cs="仿宋"/>
          <w:color w:val="auto"/>
          <w:sz w:val="24"/>
        </w:rPr>
      </w:pPr>
      <w:r>
        <w:rPr>
          <w:rFonts w:hint="eastAsia" w:ascii="仿宋" w:hAnsi="仿宋" w:eastAsia="仿宋" w:cs="仿宋"/>
          <w:color w:val="auto"/>
          <w:sz w:val="24"/>
        </w:rPr>
        <w:t>中标单位要能在充分理解本项目的基础上，对可能出现的各类风险进行评估和制定应对措施，以保证本项目的顺利上线。</w:t>
      </w:r>
    </w:p>
    <w:p>
      <w:pPr>
        <w:spacing w:line="360" w:lineRule="auto"/>
        <w:rPr>
          <w:rFonts w:ascii="仿宋" w:hAnsi="仿宋" w:eastAsia="仿宋" w:cs="仿宋"/>
          <w:b/>
          <w:bCs/>
          <w:color w:val="auto"/>
          <w:sz w:val="24"/>
        </w:rPr>
      </w:pPr>
      <w:bookmarkStart w:id="713" w:name="_Toc40906289"/>
      <w:r>
        <w:rPr>
          <w:rFonts w:hint="eastAsia" w:ascii="仿宋" w:hAnsi="仿宋" w:eastAsia="仿宋" w:cs="仿宋"/>
          <w:b/>
          <w:bCs/>
          <w:color w:val="auto"/>
          <w:sz w:val="24"/>
        </w:rPr>
        <w:t>6.</w:t>
      </w:r>
      <w:r>
        <w:rPr>
          <w:rFonts w:hint="eastAsia" w:ascii="仿宋" w:hAnsi="仿宋" w:eastAsia="仿宋" w:cs="仿宋"/>
          <w:color w:val="auto"/>
          <w:kern w:val="0"/>
          <w:sz w:val="20"/>
          <w:szCs w:val="20"/>
        </w:rPr>
        <w:t>▲</w:t>
      </w:r>
      <w:r>
        <w:rPr>
          <w:rFonts w:hint="eastAsia" w:ascii="仿宋" w:hAnsi="仿宋" w:eastAsia="仿宋" w:cs="仿宋"/>
          <w:b/>
          <w:bCs/>
          <w:color w:val="auto"/>
          <w:sz w:val="24"/>
        </w:rPr>
        <w:t>保密要求</w:t>
      </w:r>
      <w:bookmarkEnd w:id="713"/>
    </w:p>
    <w:p>
      <w:pPr>
        <w:pStyle w:val="24"/>
        <w:tabs>
          <w:tab w:val="left" w:pos="0"/>
        </w:tabs>
        <w:ind w:firstLine="480" w:firstLineChars="200"/>
        <w:rPr>
          <w:rFonts w:ascii="仿宋" w:hAnsi="仿宋" w:eastAsia="仿宋" w:cs="仿宋"/>
          <w:color w:val="auto"/>
          <w:sz w:val="24"/>
        </w:rPr>
      </w:pPr>
      <w:r>
        <w:rPr>
          <w:rFonts w:hint="eastAsia" w:ascii="仿宋" w:hAnsi="仿宋" w:eastAsia="仿宋" w:cs="仿宋"/>
          <w:color w:val="auto"/>
          <w:sz w:val="24"/>
        </w:rPr>
        <w:t>投标方需在投标文件中明确，本项目中数据（包含原始数据和衍生数据）全部为招标方所有，全部列入保密范围，投标方不得未经用户许可的情况下导出、分析以及移作他用。</w:t>
      </w:r>
    </w:p>
    <w:p>
      <w:pPr>
        <w:spacing w:line="360" w:lineRule="auto"/>
        <w:rPr>
          <w:rFonts w:ascii="仿宋" w:hAnsi="仿宋" w:eastAsia="仿宋" w:cs="仿宋"/>
          <w:b/>
          <w:bCs/>
          <w:color w:val="auto"/>
          <w:sz w:val="24"/>
        </w:rPr>
      </w:pPr>
      <w:bookmarkStart w:id="714" w:name="_Toc40906290"/>
      <w:r>
        <w:rPr>
          <w:rFonts w:hint="eastAsia" w:ascii="仿宋" w:hAnsi="仿宋" w:eastAsia="仿宋" w:cs="仿宋"/>
          <w:b/>
          <w:bCs/>
          <w:color w:val="auto"/>
          <w:sz w:val="24"/>
        </w:rPr>
        <w:t>7.</w:t>
      </w:r>
      <w:r>
        <w:rPr>
          <w:rFonts w:hint="eastAsia" w:ascii="仿宋" w:hAnsi="仿宋" w:eastAsia="仿宋" w:cs="仿宋"/>
          <w:color w:val="auto"/>
          <w:kern w:val="0"/>
          <w:sz w:val="20"/>
          <w:szCs w:val="20"/>
        </w:rPr>
        <w:t>▲</w:t>
      </w:r>
      <w:r>
        <w:rPr>
          <w:rFonts w:hint="eastAsia" w:ascii="仿宋" w:hAnsi="仿宋" w:eastAsia="仿宋" w:cs="仿宋"/>
          <w:b/>
          <w:bCs/>
          <w:color w:val="auto"/>
          <w:sz w:val="24"/>
        </w:rPr>
        <w:t>项目计划要求</w:t>
      </w:r>
      <w:bookmarkEnd w:id="714"/>
    </w:p>
    <w:p>
      <w:pPr>
        <w:pStyle w:val="18"/>
        <w:rPr>
          <w:rFonts w:ascii="仿宋" w:hAnsi="仿宋" w:eastAsia="仿宋" w:cs="仿宋"/>
          <w:color w:val="auto"/>
          <w:sz w:val="24"/>
        </w:rPr>
      </w:pPr>
      <w:bookmarkStart w:id="715" w:name="_Toc40906291"/>
      <w:r>
        <w:rPr>
          <w:rFonts w:hint="eastAsia" w:ascii="仿宋" w:hAnsi="仿宋" w:eastAsia="仿宋" w:cs="仿宋"/>
          <w:color w:val="auto"/>
          <w:sz w:val="24"/>
        </w:rPr>
        <w:t>服务期限：签订合同之日起至2021年</w:t>
      </w:r>
      <w:r>
        <w:rPr>
          <w:rFonts w:hint="eastAsia" w:ascii="仿宋" w:hAnsi="仿宋" w:eastAsia="仿宋" w:cs="仿宋"/>
          <w:color w:val="auto"/>
          <w:sz w:val="24"/>
          <w:lang w:val="en-US"/>
        </w:rPr>
        <w:t>6</w:t>
      </w:r>
      <w:r>
        <w:rPr>
          <w:rFonts w:hint="eastAsia" w:ascii="仿宋" w:hAnsi="仿宋" w:eastAsia="仿宋" w:cs="仿宋"/>
          <w:color w:val="auto"/>
          <w:sz w:val="24"/>
        </w:rPr>
        <w:t>底前完成系统初验，进入试运行，试运行期至少3个月，2021年底前完成系统终验。</w:t>
      </w:r>
    </w:p>
    <w:p>
      <w:pPr>
        <w:spacing w:line="360" w:lineRule="auto"/>
        <w:rPr>
          <w:rFonts w:ascii="仿宋" w:hAnsi="仿宋" w:eastAsia="仿宋" w:cs="仿宋"/>
          <w:b/>
          <w:bCs/>
          <w:color w:val="auto"/>
          <w:sz w:val="24"/>
        </w:rPr>
      </w:pPr>
      <w:r>
        <w:rPr>
          <w:rFonts w:hint="eastAsia" w:ascii="仿宋" w:hAnsi="仿宋" w:eastAsia="仿宋" w:cs="仿宋"/>
          <w:b/>
          <w:bCs/>
          <w:color w:val="auto"/>
          <w:sz w:val="24"/>
        </w:rPr>
        <w:t>8.</w:t>
      </w:r>
      <w:r>
        <w:rPr>
          <w:rFonts w:hint="eastAsia" w:ascii="仿宋" w:hAnsi="仿宋" w:eastAsia="仿宋" w:cs="仿宋"/>
          <w:color w:val="auto"/>
          <w:kern w:val="0"/>
          <w:sz w:val="20"/>
          <w:szCs w:val="20"/>
        </w:rPr>
        <w:t>▲</w:t>
      </w:r>
      <w:r>
        <w:rPr>
          <w:rFonts w:hint="eastAsia" w:ascii="仿宋" w:hAnsi="仿宋" w:eastAsia="仿宋" w:cs="仿宋"/>
          <w:b/>
          <w:bCs/>
          <w:color w:val="auto"/>
          <w:sz w:val="24"/>
        </w:rPr>
        <w:t>项目协作要求</w:t>
      </w:r>
      <w:bookmarkEnd w:id="715"/>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中标单位须配合其它相关包号中标单位中标单位。</w:t>
      </w:r>
    </w:p>
    <w:p>
      <w:pPr>
        <w:spacing w:line="360" w:lineRule="auto"/>
        <w:rPr>
          <w:rFonts w:ascii="仿宋" w:hAnsi="仿宋" w:eastAsia="仿宋" w:cs="仿宋"/>
          <w:b/>
          <w:bCs/>
          <w:color w:val="auto"/>
          <w:sz w:val="24"/>
        </w:rPr>
      </w:pPr>
      <w:bookmarkStart w:id="716" w:name="_Toc40906292"/>
      <w:r>
        <w:rPr>
          <w:rFonts w:hint="eastAsia" w:ascii="仿宋" w:hAnsi="仿宋" w:eastAsia="仿宋" w:cs="仿宋"/>
          <w:b/>
          <w:bCs/>
          <w:color w:val="auto"/>
          <w:sz w:val="24"/>
        </w:rPr>
        <w:t>9.</w:t>
      </w:r>
      <w:r>
        <w:rPr>
          <w:rFonts w:hint="eastAsia" w:ascii="仿宋" w:hAnsi="仿宋" w:eastAsia="仿宋" w:cs="仿宋"/>
          <w:color w:val="auto"/>
          <w:kern w:val="0"/>
          <w:sz w:val="20"/>
          <w:szCs w:val="20"/>
        </w:rPr>
        <w:t>▲</w:t>
      </w:r>
      <w:r>
        <w:rPr>
          <w:rFonts w:hint="eastAsia" w:ascii="仿宋" w:hAnsi="仿宋" w:eastAsia="仿宋" w:cs="仿宋"/>
          <w:b/>
          <w:bCs/>
          <w:color w:val="auto"/>
          <w:sz w:val="24"/>
        </w:rPr>
        <w:t>售后服务要求</w:t>
      </w:r>
      <w:bookmarkEnd w:id="716"/>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（1）中标单位须为本项目提供项目终验合格后2年的维保服务。</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在设备维保期内，中标单位应提供灵活、多样的通信手段（包括但不限于场地、设备及人员、专用服务电话），提供7*24小时的响应服务，保证在任何时候招标方人员都能及时找到投标方的服务人员。如遇现场人员无法解决的问题或招标方认为需要，投标方的技术人员应在12小时内赶到现场支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中标单位应在项目建设方案中说明技术指导和技术支持的范围和程度，投标方应提供技术服务流程、技术支持与售后服务体系，需根据本次招标文件所制定的目标和范围，提出相应的技术支持服务和售后服务方案。</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（4）本项目需中标单位提供本地化服务，处理所有售后服务，同时提供7×24小时本地语言（中文）支持。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（5）投标方应提供项目供货后两年的维保服务。在本项目存续期提供永久的技术支持。免费服务期满后的售后服务方式、费用，招标方根据需要，经双方协商后，签订相关售后服务合同。</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中标单位需做出无推诿承诺。即中标单位应提供特殊措施，无论由于哪一方产生的问题而使设备发生不正常情况时，并在得到招标方通知后，需立即派工程师到场，全力配合设备原厂商和其他供应商，使设备尽快恢复正常。</w:t>
      </w:r>
    </w:p>
    <w:p>
      <w:pPr>
        <w:spacing w:line="360" w:lineRule="auto"/>
        <w:rPr>
          <w:rFonts w:ascii="仿宋" w:hAnsi="仿宋" w:eastAsia="仿宋" w:cs="仿宋"/>
          <w:b/>
          <w:bCs/>
          <w:color w:val="auto"/>
          <w:sz w:val="24"/>
        </w:rPr>
      </w:pPr>
      <w:bookmarkStart w:id="717" w:name="_Toc40906293"/>
      <w:r>
        <w:rPr>
          <w:rFonts w:hint="eastAsia" w:ascii="仿宋" w:hAnsi="仿宋" w:eastAsia="仿宋" w:cs="仿宋"/>
          <w:b/>
          <w:bCs/>
          <w:color w:val="auto"/>
          <w:sz w:val="24"/>
        </w:rPr>
        <w:t>10.</w:t>
      </w:r>
      <w:r>
        <w:rPr>
          <w:rFonts w:hint="eastAsia" w:ascii="仿宋" w:hAnsi="仿宋" w:eastAsia="仿宋" w:cs="仿宋"/>
          <w:color w:val="auto"/>
          <w:kern w:val="0"/>
          <w:sz w:val="20"/>
          <w:szCs w:val="20"/>
        </w:rPr>
        <w:t>▲</w:t>
      </w:r>
      <w:r>
        <w:rPr>
          <w:rFonts w:hint="eastAsia" w:ascii="仿宋" w:hAnsi="仿宋" w:eastAsia="仿宋" w:cs="仿宋"/>
          <w:b/>
          <w:bCs/>
          <w:color w:val="auto"/>
          <w:sz w:val="24"/>
        </w:rPr>
        <w:t>其他要求</w:t>
      </w:r>
      <w:bookmarkEnd w:id="717"/>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（1）投标方承诺中标后在海南省注册分公司，在海南省医疗保障局周边半径2公里范围内设置办公场地。</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（2）当招标方有新需求，而本文又未包括或与本文不符时，则应符合招标方新需求；对于招标方尚未有标准的，而本文又未提及的部分，中标单位中标单位提出其标准，留待双方认可后执行。</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中标单位中标单位应确保其技术建议的可行性以及所提供服务和产品的完整性，若出现由于中标单位中标单位所提供的服务和产品不全面而导致系统功能无法实现或不能完全实现，由中标单位中标单位及时无偿补足，并负全部责任。</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（5）投标方承诺承担驻场工程师就餐和相关差旅费用，并提供驻场工程师办公电脑、打印机等设备。</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（6）投标方承诺本项目合作终止后1年内，无条件配合招标方进行数据迁移、数据字典提供、数据结构提供、对相关实现方式讲解。</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（7）本项目建设内容、需求若有变化，与本文不符的，则按照招标方与投标方友好协商修订为准。</w:t>
      </w:r>
    </w:p>
    <w:p>
      <w:pPr>
        <w:spacing w:line="360" w:lineRule="auto"/>
        <w:rPr>
          <w:rFonts w:ascii="仿宋" w:hAnsi="仿宋" w:eastAsia="仿宋" w:cs="仿宋"/>
          <w:color w:val="auto"/>
          <w:sz w:val="24"/>
        </w:rPr>
        <w:sectPr>
          <w:pgSz w:w="11906" w:h="16838"/>
          <w:pgMar w:top="1440" w:right="1800" w:bottom="1440" w:left="1800" w:header="851" w:footer="992" w:gutter="0"/>
          <w:cols w:space="425" w:num="1"/>
          <w:docGrid w:type="lines" w:linePitch="312" w:charSpace="0"/>
        </w:sectPr>
      </w:pPr>
    </w:p>
    <w:p>
      <w:pPr>
        <w:keepNext/>
        <w:keepLines/>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12包安全软件</w:t>
      </w:r>
    </w:p>
    <w:p>
      <w:pPr>
        <w:widowControl/>
        <w:spacing w:line="360" w:lineRule="auto"/>
        <w:jc w:val="left"/>
        <w:rPr>
          <w:rFonts w:ascii="仿宋" w:hAnsi="仿宋" w:eastAsia="仿宋" w:cs="仿宋"/>
          <w:b/>
          <w:color w:val="auto"/>
          <w:sz w:val="24"/>
        </w:rPr>
      </w:pPr>
      <w:r>
        <w:rPr>
          <w:rFonts w:hint="eastAsia" w:ascii="仿宋" w:hAnsi="仿宋" w:eastAsia="仿宋" w:cs="仿宋"/>
          <w:b/>
          <w:bCs/>
          <w:color w:val="auto"/>
          <w:sz w:val="24"/>
        </w:rPr>
        <w:t>1.</w:t>
      </w:r>
      <w:r>
        <w:rPr>
          <w:rFonts w:hint="eastAsia" w:ascii="仿宋" w:hAnsi="仿宋" w:eastAsia="仿宋" w:cs="仿宋"/>
          <w:b/>
          <w:color w:val="auto"/>
          <w:sz w:val="24"/>
        </w:rPr>
        <w:t>项目概述</w:t>
      </w:r>
      <w:bookmarkStart w:id="718" w:name="_Toc40906401"/>
    </w:p>
    <w:p>
      <w:pPr>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1.1项目背景</w:t>
      </w:r>
      <w:bookmarkEnd w:id="718"/>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中共中央《深化党和国家机构改革方案》中要求：（三十九）组建国家医疗保障局。医疗保险制度对于保障人民群众就医需求、减轻医药费用负担、提高健康水平有着重要作用。为完善统一的城乡居民基本医疗保险制度和大病保险制度，不断提高医疗保障水平，确保医保资金合理使用、安全可控，推进医疗、医保、医药“三医联动”改革，更好保障病有所医，将人力资源和社会保障部的城镇职工和城镇居民基本医疗保险、生育保险职责，国家卫生和计划生育委员会的新型农村合作医疗职责，国家发展和改革委员会的药品和医疗服务价格管理职责，民政部的医疗救助职责整合，组建国家医疗保障局，作为国务院直属机构。</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为加快推进医保信息化建设，国家医疗保障局印发《关于医疗保障信息化工作的指导意见》的通知（医保发〔2019〕1号），要求到“十三五”期末，初步建成标准统一、数据汇聚、规范协同的“内部管理、业务管理、生产经办、数据分析”四类系统组成的国家医疗保障信息化支撑体系，有效支撑全国医疗保障部门规范、高效、科学履职，支撑构建更加公平、可持续的医疗保障体系，在纵横一体、软硬协同的基础上，实现医疗保障信息化规范高效“大经办”、便捷可及“大服务”、智能精准“大治理”、融合共享“大协作”、在线可用“大数据”、安全可靠“大支撑”六大目标。</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海南省医疗保障局医疗保障信息平台建设遵循全国医疗保障信息化顶层设计和总体规划，依据全国统一的技术标准、业务标准、业务规范，打造医疗保障现代化支撑平台，助力自上而下医疗保障信息化“一盘棋”格局的形成，发挥信息化对医疗保障事业的支撑作用。</w:t>
      </w:r>
    </w:p>
    <w:p>
      <w:pPr>
        <w:widowControl/>
        <w:spacing w:line="360" w:lineRule="auto"/>
        <w:jc w:val="left"/>
        <w:rPr>
          <w:rFonts w:ascii="仿宋" w:hAnsi="仿宋" w:eastAsia="仿宋" w:cs="仿宋"/>
          <w:b/>
          <w:bCs/>
          <w:color w:val="auto"/>
          <w:sz w:val="24"/>
        </w:rPr>
      </w:pPr>
      <w:bookmarkStart w:id="719" w:name="_Toc40906402"/>
      <w:r>
        <w:rPr>
          <w:rFonts w:hint="eastAsia" w:ascii="仿宋" w:hAnsi="仿宋" w:eastAsia="仿宋" w:cs="仿宋"/>
          <w:b/>
          <w:bCs/>
          <w:color w:val="auto"/>
          <w:sz w:val="24"/>
        </w:rPr>
        <w:t>2.建设目标</w:t>
      </w:r>
      <w:bookmarkEnd w:id="719"/>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以习近平新时代中国特色社会主义思想为指导，全面贯彻党的十九大、十九届二中三中全会精神和2019年全国“两会”精神，认真落实全国医疗保障工作会议座谈会精神，严格遵循《国家医疗保障局医疗保障信息化工作指导意见》及《医疗保障信息平台建设指南》，坚持“千方百计保基本、始终做到可持续、回应社会解民忧、敢于担当推改革”，以医保为龙头带动“三医联动”改革，以信息化建设为抓手推动医保覆盖与医保控费，积极融入医疗保障信息化全国“一盘棋”格局，为逐步构建起全国医保便捷可及“大服务”、规范高效“大经办”、智能精准“大治理”、融合共享“大协作”、在线可用“大数据”、安全可靠“大支撑”信息化支撑体系添枝加叶。</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针对海南地区人口经济发展差异和老龄化严重的社会问题及农垦职工医疗保险基金缺口等历史遗留问题，本项目按照国家医保局标准全国统一、数据两级集中、平台分级部署、网络全面覆盖的医疗保障信息化建设要求，注重顶层设计、统一业务标准、打造基础平台、做好数据汇集、强化协同共享、增强网络安全。依托国家平台与海南省平台之间的协作联通，使用国家下达的中台服务，贯彻表层应用能用即用，国家系统中未设计的表层应用，采用国家统一的中台进行组装的整体思路，建设海南省统一的医疗保障信息平台，实现医保全省统筹统收统支“九统一”的重点工作任务，即： 统一行政管理和稽查执法，统一医保发展规划，统一医保基金收缴，统一医保待遇政策，统一医保支付范围，统一医保基金管理，统一医保经办规程，统一医保定点机构，统一医保信息系统。进一步完善医疗保障制度体系，提升医疗保障基金监管，强化医保支付、深化医药服务价格改革、优化医疗保障管理服务水平，探索常住外籍人员医疗保障办法。发挥信息化对医疗保障事业的支撑作用。解决群众反映强烈的突出问题，不断提高人民群众医疗保障获利感、幸福感和安全感，助力提高医改整体效能同时促进海南自由贸易试验区快速建设和实施健康中国战略。</w:t>
      </w:r>
    </w:p>
    <w:p>
      <w:pPr>
        <w:widowControl/>
        <w:spacing w:line="360" w:lineRule="auto"/>
        <w:jc w:val="left"/>
        <w:rPr>
          <w:rFonts w:ascii="仿宋" w:hAnsi="仿宋" w:eastAsia="仿宋" w:cs="仿宋"/>
          <w:b/>
          <w:bCs/>
          <w:color w:val="auto"/>
          <w:sz w:val="24"/>
        </w:rPr>
      </w:pPr>
      <w:bookmarkStart w:id="720" w:name="_Toc40906403"/>
      <w:r>
        <w:rPr>
          <w:rFonts w:hint="eastAsia" w:ascii="仿宋" w:hAnsi="仿宋" w:eastAsia="仿宋" w:cs="仿宋"/>
          <w:b/>
          <w:bCs/>
          <w:color w:val="auto"/>
          <w:sz w:val="24"/>
        </w:rPr>
        <w:t>3.建设内容</w:t>
      </w:r>
      <w:bookmarkEnd w:id="720"/>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海南省医疗保障信息平台遵循统一设计、统一标准、统一技术架构、统一业务规范，支持横向纵向业务协同、信息共享。依据医疗保障信息平台建设指南，结合海南省医疗保障局实际情况，本期建设内容如下：</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3.1基础设施建设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云基础设施建设：本项目由政务云提供计算资源、存储资源、网络资源、安全资源等各项云基础设施，实现计算资源、存储资源、网络资源的动态管理和资源调配。通过云基础设施为上层应用提供基础设施支撑。依托政务云建设医疗保障局双数据中心，实现业务系统应用级容灾，同时在数据中心本地建设备份系统。</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网络系统建设：依托电子政务外网、互联网，建设双数据中心主备容灾模式的网络系统，两数据中心之间以光纤链路进行交互。本项目网络架构采用spine-leaf结构同时结合VxLAN+SDN技术对整个网络进行管理和配置。</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医保指挥中心建设：建设医保指挥中心，配置大屏、视频会议系统、音视频、网络接入及安全、数字时钟、视频会议室改造、供配电系统、操作台扩声系统、大屏显示系统、中控系统、计算机网络系统、综合布线系统等设备。</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3.2DaaS层建设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Daas层主要承载着各个业务系统的基础业务数据库，各个业务系统的生产数据全部存储在业务系统的生产数据库中，并通过镜像的方式同步到交换库中，从而通过交换库实现纵向与国家医疗保障信息平台交换库的数据交换，横向基于海南省数据交换平台或直连方式实现与海南省自然人库、法人库、电子证照库、地理信息库以及公安、民政、人社、卫健、扶贫、市场监督管理局等相关省级局办委之间的数据共享和交换。</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3.3HSAF框架及云支撑服务</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海南省医疗保障信息平台建设依托“基于统一的技术框架”，包括HSAF（医疗保障应用框架）适配框架以及包括云服务总线、分布式数据库访问服务、分布式缓存在内的多种云支撑服务组件。云支撑服务具体包括分布式服务、消息队列服务、分布式缓存服务、分布式日志服务、分布式数据访问服务、关系型数据库、非结构化存储服务、分布式离线计算、分布式实时计算引擎、流计算引擎和云服务总线等。</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3.4政务中台建设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政务中台包括业务中台和数据中台。</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业务中台包括国家统一下发的分别部署在海南省医疗保障平台核心业务区和公共服务区的25个业务中心。其中省内核心业务区的业务中心包括基本信息中心、用户中心、统一认证中心、政策中心、参保中心、征缴中心、结算中心、电子凭证中心、电子档案中心、消息中心、风控中心、工作流引擎中心、报表中心和招采中心共14个业务中心。公共服务区业务中心包括统一认证中心、用户中心、服务事项中心、CMS中心、咨询中心、电子凭证中心、电子票据中心、消息推送中心、知识库中心、位置管理中心和个人服务中心共11个业务中心。</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数据中台基于数据资源池提供数据综合治理服务和数据计算服务。数据综合治理服务通过数据可视化、数据管理、数据开发等手段构建平台数据综合治理服务能力，实现数据的深度综合治理。数据计算服务通过构建各类数据计算服务能力，搭建机器学习、深度学习、分析预测、决策、计算框架等计算服务能力，为上层业务系统进行数据处理、数据计算、数据分析提供能力保障。</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中台建设内容将根据国家医保局的最新成果进行修订。</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3.5应用系统建设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应用系统包括核心业务区的5个子系统和公共服务区的1个子系统。</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（1）核心业务区建设应用支撑子系统、业务经办子系统、支付方式管理子系统、综合管控子系统、智慧决策子系统等5个子系统。</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应用支撑子系统包括：内部统一门户模块、基础信息管理模块、专家库模块。</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业务经办子系统包括：医保基础业务模块、医疗救助模块、医保扶贫、跨省异地就医管理模块、医疗服务价格管理模块、医保结算收费平台模块。</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支付方式管理子系统做到支付参数与支付执行一致，实现支付方式的统一管理，包括对参保人支付和对医药机构支付两个方面。</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综合管控子系统包括：基金运行及审计监管模块、医疗保障智能监管模块、医保管家模块、内控管理模块、全生命周期档案管理模块。</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智慧决策子系统包括：信用评价管理模块和宏观决策大数据应用模块。</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（2）公共服务区建设公共服务子系统，包括：公共服务模块和医保药品和医用耗材招采管理模块。</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3.6访问入口建设</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核心业务区的访问入口主要包括网站和智能终端。对于实现有线连接的经办机构、定点医疗机构使用网站接入，对于电子政务外网暂时无法覆盖的经办机构，暂时未能实现有线接入的定点医疗机构使用VPDN+4G+智能终端的方式接入。</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公共服务区的访问入口支持多种渠道的访问，具体包括国家平台访问入口、海南省政务服务网访问入口、医保局网站、自助终端、小程序、互联网企业等第三方渠道等。</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3.7标准规范体系</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本次海南省医疗保障信息平台建设基于国家统一制定的国家医疗保障信息平台标准体系，结合海南省电子政务外网的接入标准规范、海南省人民政府政务服务中心的接入标准规范、海南省政务服务网等各级各类平台的接入标准规范要求进行建设。实现国家医疗保障信息平台总体标准标准规范体系、总体标准标准业务术语、系统建设标准、系统集成技术标准、网络安全开发标准、信息资源标准、外部系统交互规范、中台管理规范和数据归集标准、业务流程规范、业务管理规范和业务编码标准等12类标准规范的落地。在本项目建设过程中不涉及具体标准规范建设。</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3.8安全运维体系</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本项目参考网络安全法、网络安全等级保护标准等国内相关安全标准并借鉴部署于云平台上信息系统安全防护的最佳实践经验，通过网络安全管理体系、网络安全技术体系和网络安全运营体系的建设，实现风险可控的建设目标。同时，制定运维体系保证信息化业务系统及硬件设施后期的安全稳定运行。</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3.9其他自助终端采购</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包括医保自助一体机，在省本级医保局及每个市县配置；医保高拍仪，在每个市县医保局、社保局配置。</w:t>
      </w:r>
    </w:p>
    <w:p>
      <w:pPr>
        <w:pStyle w:val="21"/>
        <w:ind w:firstLine="482"/>
        <w:rPr>
          <w:rFonts w:ascii="仿宋" w:hAnsi="仿宋" w:eastAsia="仿宋" w:cs="仿宋"/>
          <w:b/>
          <w:color w:val="auto"/>
          <w:sz w:val="24"/>
          <w:szCs w:val="24"/>
        </w:rPr>
      </w:pPr>
      <w:r>
        <w:rPr>
          <w:rFonts w:hint="eastAsia" w:ascii="仿宋" w:hAnsi="仿宋" w:eastAsia="仿宋" w:cs="仿宋"/>
          <w:b/>
          <w:color w:val="auto"/>
          <w:sz w:val="24"/>
          <w:szCs w:val="24"/>
        </w:rPr>
        <w:t>3.10数据迁移</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数据迁移是指对原医保相关系统中的医保数据，经过数据整理、环境准备、数据分析转换、数据同步、数据验证与测试等操作，实现原系统中的医保数据在医保新建系统中得到复用的过程。</w:t>
      </w:r>
    </w:p>
    <w:p>
      <w:pPr>
        <w:pStyle w:val="21"/>
        <w:ind w:firstLine="480"/>
        <w:rPr>
          <w:rFonts w:ascii="仿宋" w:hAnsi="仿宋" w:eastAsia="仿宋" w:cs="仿宋"/>
          <w:color w:val="auto"/>
          <w:sz w:val="24"/>
          <w:szCs w:val="24"/>
        </w:rPr>
      </w:pPr>
      <w:r>
        <w:rPr>
          <w:rFonts w:hint="eastAsia" w:ascii="仿宋" w:hAnsi="仿宋" w:eastAsia="仿宋" w:cs="仿宋"/>
          <w:color w:val="auto"/>
          <w:sz w:val="24"/>
          <w:szCs w:val="24"/>
        </w:rPr>
        <w:t>数据迁移包括多项工作：旧系统数据字典整理、旧系统数据质量分析、新系统数据字典整理、新旧系统数据差异分析、建立新旧系统数据之间的映射关系、开发部署数据转换与迁移工具/程序/脚本、制定数据转换与迁移的实施方案和应急方案、按方案实施旧系统数据到新系统的转换与迁移工作、检查转换与迁移后数据的完整性与正确性。</w:t>
      </w:r>
    </w:p>
    <w:p>
      <w:pPr>
        <w:widowControl/>
        <w:spacing w:line="360" w:lineRule="auto"/>
        <w:jc w:val="left"/>
        <w:rPr>
          <w:rFonts w:ascii="仿宋" w:hAnsi="仿宋" w:eastAsia="仿宋" w:cs="仿宋"/>
          <w:b/>
          <w:bCs/>
          <w:color w:val="auto"/>
          <w:sz w:val="24"/>
        </w:rPr>
      </w:pPr>
      <w:bookmarkStart w:id="721" w:name="_Toc40906404"/>
      <w:r>
        <w:rPr>
          <w:rFonts w:hint="eastAsia" w:ascii="仿宋" w:hAnsi="仿宋" w:eastAsia="仿宋" w:cs="仿宋"/>
          <w:b/>
          <w:bCs/>
          <w:color w:val="auto"/>
          <w:sz w:val="24"/>
        </w:rPr>
        <w:t>4.采购项目要求</w:t>
      </w:r>
      <w:bookmarkEnd w:id="721"/>
    </w:p>
    <w:p>
      <w:pPr>
        <w:adjustRightInd w:val="0"/>
        <w:snapToGrid w:val="0"/>
        <w:spacing w:line="360" w:lineRule="auto"/>
        <w:ind w:firstLine="420"/>
        <w:rPr>
          <w:rFonts w:ascii="仿宋" w:hAnsi="仿宋" w:eastAsia="仿宋" w:cs="仿宋"/>
          <w:color w:val="auto"/>
          <w:sz w:val="24"/>
        </w:rPr>
      </w:pPr>
      <w:r>
        <w:rPr>
          <w:rFonts w:hint="eastAsia" w:ascii="仿宋" w:hAnsi="仿宋" w:eastAsia="仿宋" w:cs="仿宋"/>
          <w:color w:val="auto"/>
          <w:sz w:val="24"/>
        </w:rPr>
        <w:t>针对本项目须采购的系统软件，基本要求如下：</w:t>
      </w:r>
    </w:p>
    <w:p>
      <w:pPr>
        <w:pStyle w:val="22"/>
        <w:adjustRightInd w:val="0"/>
        <w:snapToGrid w:val="0"/>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（1）投标方提供的所有产品需具有在中国境内的合法使用权，且产品授权为本次项目最终用户。</w:t>
      </w:r>
    </w:p>
    <w:p>
      <w:pPr>
        <w:pStyle w:val="22"/>
        <w:adjustRightInd w:val="0"/>
        <w:snapToGrid w:val="0"/>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（2）投标方需保证投标的所有产品均为原厂商制造。此外，投标方需说明所建议的每个软硬件的名称、品牌、型号、版本号、部件号。</w:t>
      </w:r>
    </w:p>
    <w:p>
      <w:pPr>
        <w:pStyle w:val="22"/>
        <w:adjustRightInd w:val="0"/>
        <w:snapToGrid w:val="0"/>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（3）投标方所提供的所有产品，所有选件需配齐，以构成一套完整的系统，以满足本次项目的建设要求。</w:t>
      </w:r>
    </w:p>
    <w:p>
      <w:pPr>
        <w:pStyle w:val="22"/>
        <w:adjustRightInd w:val="0"/>
        <w:snapToGrid w:val="0"/>
        <w:spacing w:line="360" w:lineRule="auto"/>
        <w:ind w:firstLineChars="0"/>
        <w:rPr>
          <w:rFonts w:ascii="仿宋" w:hAnsi="仿宋" w:eastAsia="仿宋" w:cs="仿宋"/>
          <w:color w:val="auto"/>
          <w:sz w:val="24"/>
          <w:szCs w:val="24"/>
        </w:rPr>
      </w:pPr>
      <w:r>
        <w:rPr>
          <w:rFonts w:hint="eastAsia" w:ascii="仿宋" w:hAnsi="仿宋" w:eastAsia="仿宋" w:cs="仿宋"/>
          <w:color w:val="auto"/>
          <w:sz w:val="24"/>
          <w:szCs w:val="24"/>
        </w:rPr>
        <w:t>（4）有关功能、性能要求须提供技术支持资料，有关其他要求须提供其他证明扫描件。</w:t>
      </w:r>
    </w:p>
    <w:p>
      <w:pPr>
        <w:spacing w:line="360" w:lineRule="auto"/>
        <w:rPr>
          <w:rFonts w:ascii="仿宋" w:hAnsi="仿宋" w:eastAsia="仿宋" w:cs="仿宋"/>
          <w:b/>
          <w:bCs/>
          <w:color w:val="auto"/>
          <w:sz w:val="24"/>
        </w:rPr>
      </w:pPr>
      <w:bookmarkStart w:id="722" w:name="_Toc40906405"/>
      <w:r>
        <w:rPr>
          <w:rFonts w:hint="eastAsia" w:ascii="仿宋" w:hAnsi="仿宋" w:eastAsia="仿宋" w:cs="仿宋"/>
          <w:b/>
          <w:bCs/>
          <w:color w:val="auto"/>
          <w:sz w:val="24"/>
        </w:rPr>
        <w:t>4.1采购产品一览表</w:t>
      </w:r>
      <w:bookmarkEnd w:id="722"/>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本次项目具体采购内容包括核心业务区和公共服务区的安全软件，本次项目采购的所有产品须提供项目供货后两年7*24免费维护和技术支持服务，包含上门安装服务和现场实施运维服务</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本次项目要求采购的软件清单如下表所示。</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50"/>
        <w:gridCol w:w="4110"/>
        <w:gridCol w:w="819"/>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4"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450"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部署区域</w:t>
            </w:r>
          </w:p>
        </w:tc>
        <w:tc>
          <w:tcPr>
            <w:tcW w:w="4110"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产品名称</w:t>
            </w:r>
          </w:p>
        </w:tc>
        <w:tc>
          <w:tcPr>
            <w:tcW w:w="819"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数量</w:t>
            </w:r>
          </w:p>
        </w:tc>
        <w:tc>
          <w:tcPr>
            <w:tcW w:w="1213" w:type="dxa"/>
            <w:shd w:val="clear" w:color="000000" w:fill="FFFFFF"/>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450" w:type="dxa"/>
            <w:vMerge w:val="restart"/>
            <w:shd w:val="clear" w:color="000000" w:fill="FFFFFF"/>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核心业务区</w:t>
            </w:r>
          </w:p>
          <w:p>
            <w:pPr>
              <w:spacing w:line="360" w:lineRule="auto"/>
              <w:jc w:val="left"/>
              <w:rPr>
                <w:rFonts w:ascii="仿宋" w:hAnsi="仿宋" w:eastAsia="仿宋" w:cs="仿宋"/>
                <w:color w:val="auto"/>
                <w:kern w:val="0"/>
                <w:sz w:val="24"/>
              </w:rPr>
            </w:pPr>
          </w:p>
        </w:tc>
        <w:tc>
          <w:tcPr>
            <w:tcW w:w="4110"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sz w:val="24"/>
              </w:rPr>
              <w:t>终端侦测与响应客户端</w:t>
            </w:r>
          </w:p>
        </w:tc>
        <w:tc>
          <w:tcPr>
            <w:tcW w:w="819"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sz w:val="24"/>
              </w:rPr>
              <w:t>1295</w:t>
            </w:r>
          </w:p>
        </w:tc>
        <w:tc>
          <w:tcPr>
            <w:tcW w:w="1213" w:type="dxa"/>
            <w:shd w:val="clear" w:color="000000" w:fill="FFFFFF"/>
            <w:noWrap/>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450" w:type="dxa"/>
            <w:vMerge w:val="continue"/>
            <w:shd w:val="clear" w:color="000000" w:fill="FFFFFF"/>
            <w:noWrap/>
            <w:vAlign w:val="center"/>
          </w:tcPr>
          <w:p>
            <w:pPr>
              <w:widowControl/>
              <w:spacing w:line="360" w:lineRule="auto"/>
              <w:jc w:val="left"/>
              <w:rPr>
                <w:rFonts w:ascii="仿宋" w:hAnsi="仿宋" w:eastAsia="仿宋" w:cs="仿宋"/>
                <w:color w:val="auto"/>
                <w:kern w:val="0"/>
                <w:sz w:val="24"/>
              </w:rPr>
            </w:pPr>
          </w:p>
        </w:tc>
        <w:tc>
          <w:tcPr>
            <w:tcW w:w="4110" w:type="dxa"/>
            <w:shd w:val="clear" w:color="000000" w:fill="FFFFFF"/>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终端侦测与响应分析中心</w:t>
            </w:r>
          </w:p>
        </w:tc>
        <w:tc>
          <w:tcPr>
            <w:tcW w:w="819" w:type="dxa"/>
            <w:shd w:val="clear" w:color="000000" w:fill="FFFFFF"/>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213" w:type="dxa"/>
            <w:shd w:val="clear" w:color="000000" w:fill="FFFFFF"/>
            <w:noWrap/>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450" w:type="dxa"/>
            <w:vMerge w:val="continue"/>
            <w:shd w:val="clear" w:color="000000" w:fill="FFFFFF"/>
            <w:noWrap/>
            <w:vAlign w:val="center"/>
          </w:tcPr>
          <w:p>
            <w:pPr>
              <w:widowControl/>
              <w:spacing w:line="360" w:lineRule="auto"/>
              <w:jc w:val="left"/>
              <w:rPr>
                <w:rFonts w:ascii="仿宋" w:hAnsi="仿宋" w:eastAsia="仿宋" w:cs="仿宋"/>
                <w:color w:val="auto"/>
                <w:kern w:val="0"/>
                <w:sz w:val="24"/>
              </w:rPr>
            </w:pPr>
          </w:p>
        </w:tc>
        <w:tc>
          <w:tcPr>
            <w:tcW w:w="4110" w:type="dxa"/>
            <w:shd w:val="clear" w:color="auto" w:fill="auto"/>
            <w:noWrap/>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虚拟化运维与应用可视化审计系统</w:t>
            </w:r>
          </w:p>
        </w:tc>
        <w:tc>
          <w:tcPr>
            <w:tcW w:w="819" w:type="dxa"/>
            <w:shd w:val="clear" w:color="auto" w:fill="auto"/>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213" w:type="dxa"/>
            <w:shd w:val="clear" w:color="000000" w:fill="FFFFFF"/>
            <w:noWrap/>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450" w:type="dxa"/>
            <w:vMerge w:val="continue"/>
            <w:shd w:val="clear" w:color="000000" w:fill="FFFFFF"/>
            <w:noWrap/>
            <w:vAlign w:val="center"/>
          </w:tcPr>
          <w:p>
            <w:pPr>
              <w:widowControl/>
              <w:spacing w:line="360" w:lineRule="auto"/>
              <w:jc w:val="left"/>
              <w:rPr>
                <w:rFonts w:ascii="仿宋" w:hAnsi="仿宋" w:eastAsia="仿宋" w:cs="仿宋"/>
                <w:color w:val="auto"/>
                <w:kern w:val="0"/>
                <w:sz w:val="24"/>
              </w:rPr>
            </w:pPr>
          </w:p>
        </w:tc>
        <w:tc>
          <w:tcPr>
            <w:tcW w:w="4110" w:type="dxa"/>
            <w:shd w:val="clear" w:color="auto" w:fill="auto"/>
            <w:noWrap/>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服务器杀毒软件</w:t>
            </w:r>
          </w:p>
        </w:tc>
        <w:tc>
          <w:tcPr>
            <w:tcW w:w="819" w:type="dxa"/>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sz w:val="24"/>
              </w:rPr>
              <w:t>2290</w:t>
            </w:r>
          </w:p>
        </w:tc>
        <w:tc>
          <w:tcPr>
            <w:tcW w:w="1213" w:type="dxa"/>
            <w:shd w:val="clear" w:color="000000" w:fill="FFFFFF"/>
            <w:noWrap/>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5</w:t>
            </w:r>
          </w:p>
        </w:tc>
        <w:tc>
          <w:tcPr>
            <w:tcW w:w="1450" w:type="dxa"/>
            <w:vMerge w:val="continue"/>
            <w:shd w:val="clear" w:color="000000" w:fill="FFFFFF"/>
            <w:noWrap/>
            <w:vAlign w:val="center"/>
          </w:tcPr>
          <w:p>
            <w:pPr>
              <w:widowControl/>
              <w:spacing w:line="360" w:lineRule="auto"/>
              <w:jc w:val="left"/>
              <w:rPr>
                <w:rFonts w:ascii="仿宋" w:hAnsi="仿宋" w:eastAsia="仿宋" w:cs="仿宋"/>
                <w:color w:val="auto"/>
                <w:kern w:val="0"/>
                <w:sz w:val="24"/>
              </w:rPr>
            </w:pPr>
          </w:p>
        </w:tc>
        <w:tc>
          <w:tcPr>
            <w:tcW w:w="4110" w:type="dxa"/>
            <w:shd w:val="clear" w:color="auto" w:fill="auto"/>
            <w:noWrap/>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终端杀毒软件</w:t>
            </w:r>
          </w:p>
        </w:tc>
        <w:tc>
          <w:tcPr>
            <w:tcW w:w="819" w:type="dxa"/>
            <w:shd w:val="clear" w:color="auto" w:fill="auto"/>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2000</w:t>
            </w:r>
          </w:p>
        </w:tc>
        <w:tc>
          <w:tcPr>
            <w:tcW w:w="1213" w:type="dxa"/>
            <w:shd w:val="clear" w:color="000000" w:fill="FFFFFF"/>
            <w:noWrap/>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6</w:t>
            </w:r>
          </w:p>
        </w:tc>
        <w:tc>
          <w:tcPr>
            <w:tcW w:w="1450" w:type="dxa"/>
            <w:vMerge w:val="continue"/>
            <w:shd w:val="clear" w:color="000000" w:fill="FFFFFF"/>
            <w:noWrap/>
            <w:vAlign w:val="center"/>
          </w:tcPr>
          <w:p>
            <w:pPr>
              <w:widowControl/>
              <w:spacing w:line="360" w:lineRule="auto"/>
              <w:jc w:val="left"/>
              <w:rPr>
                <w:rFonts w:ascii="仿宋" w:hAnsi="仿宋" w:eastAsia="仿宋" w:cs="仿宋"/>
                <w:color w:val="auto"/>
                <w:kern w:val="0"/>
                <w:sz w:val="24"/>
              </w:rPr>
            </w:pPr>
          </w:p>
        </w:tc>
        <w:tc>
          <w:tcPr>
            <w:tcW w:w="4110" w:type="dxa"/>
            <w:shd w:val="clear" w:color="auto" w:fill="auto"/>
            <w:noWrap/>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终端安全管理系统</w:t>
            </w:r>
          </w:p>
        </w:tc>
        <w:tc>
          <w:tcPr>
            <w:tcW w:w="819" w:type="dxa"/>
            <w:shd w:val="clear" w:color="auto" w:fill="auto"/>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2000</w:t>
            </w:r>
          </w:p>
        </w:tc>
        <w:tc>
          <w:tcPr>
            <w:tcW w:w="1213" w:type="dxa"/>
            <w:shd w:val="clear" w:color="000000" w:fill="FFFFFF"/>
            <w:noWrap/>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7</w:t>
            </w:r>
          </w:p>
        </w:tc>
        <w:tc>
          <w:tcPr>
            <w:tcW w:w="1450" w:type="dxa"/>
            <w:vMerge w:val="continue"/>
            <w:shd w:val="clear" w:color="000000" w:fill="FFFFFF"/>
            <w:noWrap/>
            <w:vAlign w:val="center"/>
          </w:tcPr>
          <w:p>
            <w:pPr>
              <w:widowControl/>
              <w:spacing w:line="360" w:lineRule="auto"/>
              <w:jc w:val="left"/>
              <w:rPr>
                <w:rFonts w:ascii="仿宋" w:hAnsi="仿宋" w:eastAsia="仿宋" w:cs="仿宋"/>
                <w:color w:val="auto"/>
                <w:kern w:val="0"/>
                <w:sz w:val="24"/>
              </w:rPr>
            </w:pPr>
          </w:p>
        </w:tc>
        <w:tc>
          <w:tcPr>
            <w:tcW w:w="4110" w:type="dxa"/>
            <w:shd w:val="clear" w:color="auto" w:fill="auto"/>
            <w:noWrap/>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终端数据防泄漏</w:t>
            </w:r>
          </w:p>
        </w:tc>
        <w:tc>
          <w:tcPr>
            <w:tcW w:w="819" w:type="dxa"/>
            <w:shd w:val="clear" w:color="auto" w:fill="auto"/>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2000</w:t>
            </w:r>
          </w:p>
        </w:tc>
        <w:tc>
          <w:tcPr>
            <w:tcW w:w="1213" w:type="dxa"/>
            <w:shd w:val="clear" w:color="000000" w:fill="FFFFFF"/>
            <w:noWrap/>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8</w:t>
            </w:r>
          </w:p>
        </w:tc>
        <w:tc>
          <w:tcPr>
            <w:tcW w:w="1450" w:type="dxa"/>
            <w:vMerge w:val="continue"/>
            <w:shd w:val="clear" w:color="000000" w:fill="FFFFFF"/>
            <w:noWrap/>
            <w:vAlign w:val="center"/>
          </w:tcPr>
          <w:p>
            <w:pPr>
              <w:widowControl/>
              <w:spacing w:line="360" w:lineRule="auto"/>
              <w:jc w:val="left"/>
              <w:rPr>
                <w:rFonts w:ascii="仿宋" w:hAnsi="仿宋" w:eastAsia="仿宋" w:cs="仿宋"/>
                <w:color w:val="auto"/>
                <w:kern w:val="0"/>
                <w:sz w:val="24"/>
              </w:rPr>
            </w:pPr>
          </w:p>
        </w:tc>
        <w:tc>
          <w:tcPr>
            <w:tcW w:w="4110" w:type="dxa"/>
            <w:shd w:val="clear" w:color="auto" w:fill="auto"/>
            <w:noWrap/>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数据脱敏系统</w:t>
            </w:r>
          </w:p>
        </w:tc>
        <w:tc>
          <w:tcPr>
            <w:tcW w:w="819" w:type="dxa"/>
            <w:shd w:val="clear" w:color="auto" w:fill="auto"/>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213" w:type="dxa"/>
            <w:shd w:val="clear" w:color="000000" w:fill="FFFFFF"/>
            <w:noWrap/>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9</w:t>
            </w:r>
          </w:p>
        </w:tc>
        <w:tc>
          <w:tcPr>
            <w:tcW w:w="1450" w:type="dxa"/>
            <w:vMerge w:val="restart"/>
            <w:shd w:val="clear" w:color="000000" w:fill="FFFFFF"/>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公共服务区</w:t>
            </w:r>
          </w:p>
        </w:tc>
        <w:tc>
          <w:tcPr>
            <w:tcW w:w="4110" w:type="dxa"/>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sz w:val="24"/>
              </w:rPr>
              <w:t>终端侦测与响应客户端</w:t>
            </w:r>
          </w:p>
        </w:tc>
        <w:tc>
          <w:tcPr>
            <w:tcW w:w="819" w:type="dxa"/>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sz w:val="24"/>
              </w:rPr>
              <w:t>995</w:t>
            </w:r>
          </w:p>
        </w:tc>
        <w:tc>
          <w:tcPr>
            <w:tcW w:w="1213" w:type="dxa"/>
            <w:shd w:val="clear" w:color="000000" w:fill="FFFFFF"/>
            <w:noWrap/>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04" w:type="dxa"/>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10</w:t>
            </w:r>
          </w:p>
        </w:tc>
        <w:tc>
          <w:tcPr>
            <w:tcW w:w="1450" w:type="dxa"/>
            <w:vMerge w:val="continue"/>
            <w:shd w:val="clear" w:color="000000" w:fill="FFFFFF"/>
            <w:noWrap/>
            <w:vAlign w:val="center"/>
          </w:tcPr>
          <w:p>
            <w:pPr>
              <w:widowControl/>
              <w:spacing w:line="360" w:lineRule="auto"/>
              <w:jc w:val="left"/>
              <w:rPr>
                <w:rFonts w:ascii="仿宋" w:hAnsi="仿宋" w:eastAsia="仿宋" w:cs="仿宋"/>
                <w:color w:val="auto"/>
                <w:kern w:val="0"/>
                <w:sz w:val="24"/>
              </w:rPr>
            </w:pPr>
          </w:p>
        </w:tc>
        <w:tc>
          <w:tcPr>
            <w:tcW w:w="4110" w:type="dxa"/>
            <w:shd w:val="clear" w:color="auto" w:fill="auto"/>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APP用户信息防泄漏</w:t>
            </w:r>
          </w:p>
        </w:tc>
        <w:tc>
          <w:tcPr>
            <w:tcW w:w="819" w:type="dxa"/>
            <w:shd w:val="clear" w:color="auto" w:fill="auto"/>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213" w:type="dxa"/>
            <w:shd w:val="clear" w:color="000000" w:fill="FFFFFF"/>
            <w:noWrap/>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套</w:t>
            </w:r>
          </w:p>
        </w:tc>
      </w:tr>
    </w:tbl>
    <w:p>
      <w:pPr>
        <w:spacing w:line="360" w:lineRule="auto"/>
        <w:rPr>
          <w:rFonts w:ascii="仿宋" w:hAnsi="仿宋" w:eastAsia="仿宋" w:cs="仿宋"/>
          <w:b/>
          <w:bCs/>
          <w:color w:val="auto"/>
          <w:sz w:val="24"/>
        </w:rPr>
      </w:pPr>
      <w:bookmarkStart w:id="723" w:name="_Toc40906406"/>
      <w:r>
        <w:rPr>
          <w:rFonts w:hint="eastAsia" w:ascii="仿宋" w:hAnsi="仿宋" w:eastAsia="仿宋" w:cs="仿宋"/>
          <w:b/>
          <w:bCs/>
          <w:color w:val="auto"/>
          <w:sz w:val="24"/>
        </w:rPr>
        <w:t>4.1产品技术参数</w:t>
      </w:r>
    </w:p>
    <w:p>
      <w:pPr>
        <w:spacing w:line="360" w:lineRule="auto"/>
        <w:rPr>
          <w:rFonts w:ascii="仿宋" w:hAnsi="仿宋" w:eastAsia="仿宋" w:cs="仿宋"/>
          <w:color w:val="auto"/>
          <w:sz w:val="22"/>
          <w:szCs w:val="22"/>
        </w:rPr>
      </w:pPr>
      <w:r>
        <w:rPr>
          <w:rFonts w:hint="eastAsia" w:ascii="仿宋" w:hAnsi="仿宋" w:eastAsia="仿宋" w:cs="仿宋"/>
          <w:color w:val="auto"/>
          <w:sz w:val="22"/>
          <w:szCs w:val="22"/>
        </w:rPr>
        <w:t>（1）终端侦测与响应客户端</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309"/>
        <w:gridCol w:w="6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1309"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产品名称</w:t>
            </w:r>
          </w:p>
        </w:tc>
        <w:tc>
          <w:tcPr>
            <w:tcW w:w="6635"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招标技术参数要求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09" w:type="dxa"/>
            <w:vMerge w:val="restar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终端侦测与响应客户端</w:t>
            </w: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实现轻代理CPU占用：非扫描时，不超过1%内存占用：不超过50M，尽可能少占用主机资源。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终端安全数据采集、监测、分析,发现潜在威胁和未知威胁。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支持Windows server 2003、Windows server 2008、Windows server 2012、Windows server 2016、win xp 、win 7、win 8、win 10、Centos 5.0 +、Redhat 5.0 + 、Suse11 +、Ubuntu 14 +、华为鲲鹏、中标麒麟、银河麒麟、凝思等操作系统。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支持下发文件、安装应用程序、远程执行命令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支持屏幕水印对屏幕拍照泄密数据的行为进行溯源。</w:t>
            </w:r>
          </w:p>
        </w:tc>
      </w:tr>
    </w:tbl>
    <w:p>
      <w:pPr>
        <w:spacing w:line="360" w:lineRule="auto"/>
        <w:rPr>
          <w:rFonts w:ascii="仿宋" w:hAnsi="仿宋" w:eastAsia="仿宋" w:cs="仿宋"/>
          <w:color w:val="auto"/>
          <w:sz w:val="22"/>
          <w:szCs w:val="22"/>
        </w:rPr>
      </w:pPr>
      <w:r>
        <w:rPr>
          <w:rFonts w:hint="eastAsia" w:ascii="仿宋" w:hAnsi="仿宋" w:eastAsia="仿宋" w:cs="仿宋"/>
          <w:color w:val="auto"/>
          <w:sz w:val="22"/>
          <w:szCs w:val="22"/>
        </w:rPr>
        <w:t>（2）终端侦测与响应分析中心</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309"/>
        <w:gridCol w:w="6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1309"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产品名称</w:t>
            </w:r>
          </w:p>
        </w:tc>
        <w:tc>
          <w:tcPr>
            <w:tcW w:w="6635"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招标技术参数要求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09" w:type="dxa"/>
            <w:vMerge w:val="restar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终端侦测与响应分析中心</w:t>
            </w: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实现基于进程行为关联的威胁分析能力如：能获取包括进程名称、文件路径、文件描述、文件签名信息、命令行参数、启动用户、启动时间、文件大小、文件MD5、SHA1、SHA256等。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记录访问文件以及操作类型：创建、删除、读取、写入、打开、关闭等。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实现发现通过进程的可疑行为分析如：程序执行疑似破坏性恶意操作，伪装进程，恶意程序批处理自删除，创建隐藏账号等。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展示流量画像，全网流量可视化、应用级流量可视化；威胁横向扩散路径可视化与一键阻断；违规外联路径可视化与一键阻断。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具有漏洞扫描功能支持扫描的漏洞类型包括操作系统漏洞、数据库漏洞、Web应用漏洞、其他组件漏洞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6</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管理平台支持一键卸载客户端、一键设置客户端卸载密码、一键停止/恢复所有防护、一键解除绑定。</w:t>
            </w:r>
          </w:p>
        </w:tc>
      </w:tr>
    </w:tbl>
    <w:p>
      <w:pPr>
        <w:spacing w:line="360" w:lineRule="auto"/>
        <w:rPr>
          <w:rFonts w:ascii="仿宋" w:hAnsi="仿宋" w:eastAsia="仿宋" w:cs="仿宋"/>
          <w:color w:val="auto"/>
          <w:sz w:val="22"/>
          <w:szCs w:val="22"/>
        </w:rPr>
      </w:pPr>
    </w:p>
    <w:p>
      <w:pPr>
        <w:spacing w:line="360" w:lineRule="auto"/>
        <w:rPr>
          <w:rFonts w:ascii="仿宋" w:hAnsi="仿宋" w:eastAsia="仿宋" w:cs="仿宋"/>
          <w:color w:val="auto"/>
          <w:sz w:val="22"/>
          <w:szCs w:val="22"/>
        </w:rPr>
      </w:pPr>
      <w:r>
        <w:rPr>
          <w:rFonts w:hint="eastAsia" w:ascii="仿宋" w:hAnsi="仿宋" w:eastAsia="仿宋" w:cs="仿宋"/>
          <w:color w:val="auto"/>
          <w:sz w:val="24"/>
        </w:rPr>
        <w:t>（3）虚拟化运维与应用可视化审计系统</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311"/>
        <w:gridCol w:w="6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blHeader/>
          <w:jc w:val="center"/>
        </w:trPr>
        <w:tc>
          <w:tcPr>
            <w:tcW w:w="577"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序号</w:t>
            </w:r>
          </w:p>
        </w:tc>
        <w:tc>
          <w:tcPr>
            <w:tcW w:w="1311"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产品名称</w:t>
            </w:r>
          </w:p>
        </w:tc>
        <w:tc>
          <w:tcPr>
            <w:tcW w:w="6634"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招标技术参数要求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77"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1</w:t>
            </w:r>
          </w:p>
        </w:tc>
        <w:tc>
          <w:tcPr>
            <w:tcW w:w="1311" w:type="dxa"/>
            <w:vMerge w:val="restart"/>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虚拟化运维与应用可视化审计系统</w:t>
            </w:r>
          </w:p>
        </w:tc>
        <w:tc>
          <w:tcPr>
            <w:tcW w:w="6634" w:type="dxa"/>
            <w:shd w:val="clear" w:color="auto" w:fill="auto"/>
            <w:vAlign w:val="center"/>
          </w:tcPr>
          <w:p>
            <w:pPr>
              <w:pStyle w:val="28"/>
              <w:spacing w:line="360" w:lineRule="auto"/>
              <w:jc w:val="both"/>
              <w:rPr>
                <w:rFonts w:ascii="仿宋" w:hAnsi="仿宋" w:eastAsia="仿宋" w:cs="仿宋"/>
                <w:color w:val="auto"/>
              </w:rPr>
            </w:pPr>
            <w:r>
              <w:rPr>
                <w:rFonts w:hint="eastAsia" w:ascii="仿宋" w:hAnsi="仿宋" w:eastAsia="仿宋" w:cs="仿宋"/>
                <w:color w:val="auto"/>
              </w:rPr>
              <w:t>基于网络旁路技术的流量采集功能</w:t>
            </w:r>
          </w:p>
          <w:p>
            <w:pPr>
              <w:pStyle w:val="28"/>
              <w:spacing w:line="360" w:lineRule="auto"/>
              <w:jc w:val="both"/>
              <w:rPr>
                <w:rFonts w:ascii="仿宋" w:hAnsi="仿宋" w:eastAsia="仿宋" w:cs="仿宋"/>
                <w:color w:val="auto"/>
              </w:rPr>
            </w:pPr>
            <w:r>
              <w:rPr>
                <w:rFonts w:hint="eastAsia" w:ascii="仿宋" w:hAnsi="仿宋" w:eastAsia="仿宋" w:cs="仿宋"/>
                <w:color w:val="auto"/>
              </w:rPr>
              <w:t>为了不影响业务系统的逻辑结构，不造成新的单点故障，要求系统以旁路方式接入系统，通过交换机的镜像端口进行流量采集。系统应具备万兆的流量采集性能。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77"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2</w:t>
            </w:r>
          </w:p>
        </w:tc>
        <w:tc>
          <w:tcPr>
            <w:tcW w:w="1311" w:type="dxa"/>
            <w:vMerge w:val="continue"/>
            <w:shd w:val="clear" w:color="auto" w:fill="auto"/>
            <w:vAlign w:val="center"/>
          </w:tcPr>
          <w:p>
            <w:pPr>
              <w:spacing w:line="360" w:lineRule="auto"/>
              <w:jc w:val="center"/>
              <w:rPr>
                <w:rFonts w:ascii="仿宋" w:hAnsi="仿宋" w:eastAsia="仿宋" w:cs="仿宋"/>
                <w:color w:val="auto"/>
              </w:rPr>
            </w:pPr>
          </w:p>
        </w:tc>
        <w:tc>
          <w:tcPr>
            <w:tcW w:w="6634" w:type="dxa"/>
            <w:shd w:val="clear" w:color="auto" w:fill="auto"/>
            <w:vAlign w:val="center"/>
          </w:tcPr>
          <w:p>
            <w:pPr>
              <w:pStyle w:val="28"/>
              <w:spacing w:line="360" w:lineRule="auto"/>
              <w:jc w:val="both"/>
              <w:rPr>
                <w:rFonts w:ascii="仿宋" w:hAnsi="仿宋" w:eastAsia="仿宋" w:cs="仿宋"/>
                <w:color w:val="auto"/>
              </w:rPr>
            </w:pPr>
            <w:r>
              <w:rPr>
                <w:rFonts w:hint="eastAsia" w:ascii="仿宋" w:hAnsi="仿宋" w:eastAsia="仿宋" w:cs="仿宋"/>
                <w:color w:val="auto"/>
              </w:rPr>
              <w:t>业务登录审计</w:t>
            </w:r>
          </w:p>
          <w:p>
            <w:pPr>
              <w:pStyle w:val="28"/>
              <w:spacing w:line="360" w:lineRule="auto"/>
              <w:jc w:val="both"/>
              <w:rPr>
                <w:rFonts w:ascii="仿宋" w:hAnsi="仿宋" w:eastAsia="仿宋" w:cs="仿宋"/>
                <w:color w:val="auto"/>
              </w:rPr>
            </w:pPr>
            <w:r>
              <w:rPr>
                <w:rFonts w:hint="eastAsia" w:ascii="仿宋" w:hAnsi="仿宋" w:eastAsia="仿宋" w:cs="仿宋"/>
                <w:color w:val="auto"/>
              </w:rPr>
              <w:t>通过旁路方式对业务登录行为进行审计，实时记录“谁”在“什么时间”通过“什么方式”登录了业务系统，通过与后台数据的同步，完善用户组织机构信息，并且与登录后业务行为进行关联。（需提供类似案例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77"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3</w:t>
            </w:r>
          </w:p>
        </w:tc>
        <w:tc>
          <w:tcPr>
            <w:tcW w:w="1311" w:type="dxa"/>
            <w:vMerge w:val="continue"/>
            <w:shd w:val="clear" w:color="auto" w:fill="auto"/>
            <w:vAlign w:val="center"/>
          </w:tcPr>
          <w:p>
            <w:pPr>
              <w:spacing w:line="360" w:lineRule="auto"/>
              <w:jc w:val="center"/>
              <w:rPr>
                <w:rFonts w:ascii="仿宋" w:hAnsi="仿宋" w:eastAsia="仿宋" w:cs="仿宋"/>
                <w:color w:val="auto"/>
              </w:rPr>
            </w:pPr>
          </w:p>
        </w:tc>
        <w:tc>
          <w:tcPr>
            <w:tcW w:w="6634" w:type="dxa"/>
            <w:shd w:val="clear" w:color="auto" w:fill="auto"/>
            <w:vAlign w:val="center"/>
          </w:tcPr>
          <w:p>
            <w:pPr>
              <w:pStyle w:val="28"/>
              <w:spacing w:line="360" w:lineRule="auto"/>
              <w:jc w:val="both"/>
              <w:rPr>
                <w:rFonts w:ascii="仿宋" w:hAnsi="仿宋" w:eastAsia="仿宋" w:cs="仿宋"/>
                <w:color w:val="auto"/>
              </w:rPr>
            </w:pPr>
            <w:r>
              <w:rPr>
                <w:rFonts w:hint="eastAsia" w:ascii="仿宋" w:hAnsi="仿宋" w:eastAsia="仿宋" w:cs="仿宋"/>
                <w:color w:val="auto"/>
              </w:rPr>
              <w:t>前台运维操作审计</w:t>
            </w:r>
          </w:p>
          <w:p>
            <w:pPr>
              <w:pStyle w:val="28"/>
              <w:spacing w:line="360" w:lineRule="auto"/>
              <w:jc w:val="both"/>
              <w:rPr>
                <w:rFonts w:ascii="仿宋" w:hAnsi="仿宋" w:eastAsia="仿宋" w:cs="仿宋"/>
                <w:color w:val="auto"/>
              </w:rPr>
            </w:pPr>
            <w:r>
              <w:rPr>
                <w:rFonts w:hint="eastAsia" w:ascii="仿宋" w:hAnsi="仿宋" w:eastAsia="仿宋" w:cs="仿宋"/>
                <w:color w:val="auto"/>
              </w:rPr>
              <w:t>通过旁路方式对医疗保障局核心业务系统的前台运维操作行为（如：对账号、角色、权限、流程、组织机构等进行变更的行为）进行识别及还原，实时记录“谁”在“什么时间”做了“什么运维操作”及“运维操作的具体内容”。（需提供类似案例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77"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4</w:t>
            </w:r>
          </w:p>
        </w:tc>
        <w:tc>
          <w:tcPr>
            <w:tcW w:w="1311" w:type="dxa"/>
            <w:vMerge w:val="continue"/>
            <w:shd w:val="clear" w:color="auto" w:fill="auto"/>
            <w:vAlign w:val="center"/>
          </w:tcPr>
          <w:p>
            <w:pPr>
              <w:spacing w:line="360" w:lineRule="auto"/>
              <w:jc w:val="center"/>
              <w:rPr>
                <w:rFonts w:ascii="仿宋" w:hAnsi="仿宋" w:eastAsia="仿宋" w:cs="仿宋"/>
                <w:color w:val="auto"/>
              </w:rPr>
            </w:pPr>
          </w:p>
        </w:tc>
        <w:tc>
          <w:tcPr>
            <w:tcW w:w="6634" w:type="dxa"/>
            <w:shd w:val="clear" w:color="auto" w:fill="auto"/>
            <w:vAlign w:val="center"/>
          </w:tcPr>
          <w:p>
            <w:pPr>
              <w:pStyle w:val="28"/>
              <w:spacing w:line="360" w:lineRule="auto"/>
              <w:jc w:val="both"/>
              <w:rPr>
                <w:rFonts w:ascii="仿宋" w:hAnsi="仿宋" w:eastAsia="仿宋" w:cs="仿宋"/>
                <w:color w:val="auto"/>
              </w:rPr>
            </w:pPr>
            <w:r>
              <w:rPr>
                <w:rFonts w:hint="eastAsia" w:ascii="仿宋" w:hAnsi="仿宋" w:eastAsia="仿宋" w:cs="仿宋"/>
                <w:color w:val="auto"/>
              </w:rPr>
              <w:t>业务性能检测</w:t>
            </w:r>
          </w:p>
          <w:p>
            <w:pPr>
              <w:pStyle w:val="28"/>
              <w:spacing w:line="360" w:lineRule="auto"/>
              <w:jc w:val="both"/>
              <w:rPr>
                <w:rFonts w:ascii="仿宋" w:hAnsi="仿宋" w:eastAsia="仿宋" w:cs="仿宋"/>
                <w:color w:val="auto"/>
              </w:rPr>
            </w:pPr>
            <w:r>
              <w:rPr>
                <w:rFonts w:hint="eastAsia" w:ascii="仿宋" w:hAnsi="仿宋" w:eastAsia="仿宋" w:cs="仿宋"/>
                <w:color w:val="auto"/>
              </w:rPr>
              <w:t>通过旁路方式对业务操作的响应时长进行检测，计算客户端发起请求到服务器进行响应的最长响应时长、最短响应时长、平均响应时长，计时单位精确到毫秒。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77"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5</w:t>
            </w:r>
          </w:p>
        </w:tc>
        <w:tc>
          <w:tcPr>
            <w:tcW w:w="1311" w:type="dxa"/>
            <w:vMerge w:val="continue"/>
            <w:shd w:val="clear" w:color="auto" w:fill="auto"/>
            <w:vAlign w:val="center"/>
          </w:tcPr>
          <w:p>
            <w:pPr>
              <w:spacing w:line="360" w:lineRule="auto"/>
              <w:jc w:val="center"/>
              <w:rPr>
                <w:rFonts w:ascii="仿宋" w:hAnsi="仿宋" w:eastAsia="仿宋" w:cs="仿宋"/>
                <w:color w:val="auto"/>
              </w:rPr>
            </w:pPr>
          </w:p>
        </w:tc>
        <w:tc>
          <w:tcPr>
            <w:tcW w:w="6634" w:type="dxa"/>
            <w:shd w:val="clear" w:color="auto" w:fill="auto"/>
            <w:vAlign w:val="center"/>
          </w:tcPr>
          <w:p>
            <w:pPr>
              <w:pStyle w:val="28"/>
              <w:spacing w:line="360" w:lineRule="auto"/>
              <w:jc w:val="both"/>
              <w:rPr>
                <w:rFonts w:ascii="仿宋" w:hAnsi="仿宋" w:eastAsia="仿宋" w:cs="仿宋"/>
                <w:color w:val="auto"/>
              </w:rPr>
            </w:pPr>
            <w:r>
              <w:rPr>
                <w:rFonts w:hint="eastAsia" w:ascii="仿宋" w:hAnsi="仿宋" w:eastAsia="仿宋" w:cs="仿宋"/>
                <w:color w:val="auto"/>
              </w:rPr>
              <w:t>预警消息推送</w:t>
            </w:r>
          </w:p>
          <w:p>
            <w:pPr>
              <w:pStyle w:val="28"/>
              <w:spacing w:line="360" w:lineRule="auto"/>
              <w:jc w:val="both"/>
              <w:rPr>
                <w:rFonts w:ascii="仿宋" w:hAnsi="仿宋" w:eastAsia="仿宋" w:cs="仿宋"/>
                <w:color w:val="auto"/>
              </w:rPr>
            </w:pPr>
            <w:r>
              <w:rPr>
                <w:rFonts w:hint="eastAsia" w:ascii="仿宋" w:hAnsi="仿宋" w:eastAsia="仿宋" w:cs="仿宋"/>
                <w:color w:val="auto"/>
              </w:rPr>
              <w:t>当业务预警发生时，相应的预警信息通过界面弹窗、短信、邮件等多种方式及时通知相关负责人。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77"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6</w:t>
            </w:r>
          </w:p>
        </w:tc>
        <w:tc>
          <w:tcPr>
            <w:tcW w:w="1311" w:type="dxa"/>
            <w:vMerge w:val="continue"/>
            <w:shd w:val="clear" w:color="auto" w:fill="auto"/>
            <w:vAlign w:val="center"/>
          </w:tcPr>
          <w:p>
            <w:pPr>
              <w:spacing w:line="360" w:lineRule="auto"/>
              <w:jc w:val="center"/>
              <w:rPr>
                <w:rFonts w:ascii="仿宋" w:hAnsi="仿宋" w:eastAsia="仿宋" w:cs="仿宋"/>
                <w:color w:val="auto"/>
              </w:rPr>
            </w:pPr>
          </w:p>
        </w:tc>
        <w:tc>
          <w:tcPr>
            <w:tcW w:w="6634" w:type="dxa"/>
            <w:shd w:val="clear" w:color="auto" w:fill="auto"/>
            <w:vAlign w:val="center"/>
          </w:tcPr>
          <w:p>
            <w:pPr>
              <w:pStyle w:val="28"/>
              <w:spacing w:line="360" w:lineRule="auto"/>
              <w:jc w:val="both"/>
              <w:rPr>
                <w:rFonts w:ascii="仿宋" w:hAnsi="仿宋" w:eastAsia="仿宋" w:cs="仿宋"/>
                <w:color w:val="auto"/>
              </w:rPr>
            </w:pPr>
            <w:r>
              <w:rPr>
                <w:rFonts w:hint="eastAsia" w:ascii="仿宋" w:hAnsi="仿宋" w:eastAsia="仿宋" w:cs="仿宋"/>
                <w:color w:val="auto"/>
              </w:rPr>
              <w:t>统一身份认证</w:t>
            </w:r>
          </w:p>
          <w:p>
            <w:pPr>
              <w:pStyle w:val="28"/>
              <w:spacing w:line="360" w:lineRule="auto"/>
              <w:jc w:val="both"/>
              <w:rPr>
                <w:rFonts w:ascii="仿宋" w:hAnsi="仿宋" w:eastAsia="仿宋" w:cs="仿宋"/>
                <w:color w:val="auto"/>
              </w:rPr>
            </w:pPr>
            <w:r>
              <w:rPr>
                <w:rFonts w:hint="eastAsia" w:ascii="仿宋" w:hAnsi="仿宋" w:eastAsia="仿宋" w:cs="仿宋"/>
                <w:color w:val="auto"/>
              </w:rPr>
              <w:t>使用树状组织架构方式管理系统用户，方便对接客户现有组织架构；</w:t>
            </w:r>
          </w:p>
          <w:p>
            <w:pPr>
              <w:pStyle w:val="28"/>
              <w:spacing w:line="360" w:lineRule="auto"/>
              <w:jc w:val="both"/>
              <w:rPr>
                <w:rFonts w:ascii="仿宋" w:hAnsi="仿宋" w:eastAsia="仿宋" w:cs="仿宋"/>
                <w:color w:val="auto"/>
              </w:rPr>
            </w:pPr>
            <w:r>
              <w:rPr>
                <w:rFonts w:hint="eastAsia" w:ascii="仿宋" w:hAnsi="仿宋" w:eastAsia="仿宋" w:cs="仿宋"/>
                <w:color w:val="auto"/>
              </w:rPr>
              <w:t>具有快速对接第三方认证系统的开放性认证接入API体系；</w:t>
            </w:r>
          </w:p>
          <w:p>
            <w:pPr>
              <w:pStyle w:val="28"/>
              <w:spacing w:line="360" w:lineRule="auto"/>
              <w:jc w:val="both"/>
              <w:rPr>
                <w:rFonts w:ascii="仿宋" w:hAnsi="仿宋" w:eastAsia="仿宋" w:cs="仿宋"/>
                <w:color w:val="auto"/>
              </w:rPr>
            </w:pPr>
            <w:r>
              <w:rPr>
                <w:rFonts w:hint="eastAsia" w:ascii="仿宋" w:hAnsi="仿宋" w:eastAsia="仿宋" w:cs="仿宋"/>
                <w:color w:val="auto"/>
              </w:rPr>
              <w:t>支持账号密码认证、CA认证等多种认证；</w:t>
            </w:r>
          </w:p>
          <w:p>
            <w:pPr>
              <w:pStyle w:val="28"/>
              <w:spacing w:line="360" w:lineRule="auto"/>
              <w:jc w:val="both"/>
              <w:rPr>
                <w:rFonts w:ascii="仿宋" w:hAnsi="仿宋" w:eastAsia="仿宋" w:cs="仿宋"/>
                <w:color w:val="auto"/>
              </w:rPr>
            </w:pPr>
            <w:r>
              <w:rPr>
                <w:rFonts w:hint="eastAsia" w:ascii="仿宋" w:hAnsi="仿宋" w:eastAsia="仿宋" w:cs="仿宋"/>
                <w:color w:val="auto"/>
              </w:rPr>
              <w:t>支持配置多种认证方式组合的双因子认证。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77"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7</w:t>
            </w:r>
          </w:p>
        </w:tc>
        <w:tc>
          <w:tcPr>
            <w:tcW w:w="1311" w:type="dxa"/>
            <w:vMerge w:val="continue"/>
            <w:shd w:val="clear" w:color="auto" w:fill="auto"/>
            <w:vAlign w:val="center"/>
          </w:tcPr>
          <w:p>
            <w:pPr>
              <w:spacing w:line="360" w:lineRule="auto"/>
              <w:jc w:val="center"/>
              <w:rPr>
                <w:rFonts w:ascii="仿宋" w:hAnsi="仿宋" w:eastAsia="仿宋" w:cs="仿宋"/>
                <w:color w:val="auto"/>
              </w:rPr>
            </w:pPr>
          </w:p>
        </w:tc>
        <w:tc>
          <w:tcPr>
            <w:tcW w:w="6634" w:type="dxa"/>
            <w:shd w:val="clear" w:color="auto" w:fill="auto"/>
            <w:vAlign w:val="center"/>
          </w:tcPr>
          <w:p>
            <w:pPr>
              <w:pStyle w:val="28"/>
              <w:spacing w:line="360" w:lineRule="auto"/>
              <w:jc w:val="both"/>
              <w:rPr>
                <w:rFonts w:ascii="仿宋" w:hAnsi="仿宋" w:eastAsia="仿宋" w:cs="仿宋"/>
                <w:color w:val="auto"/>
              </w:rPr>
            </w:pPr>
            <w:r>
              <w:rPr>
                <w:rFonts w:hint="eastAsia" w:ascii="仿宋" w:hAnsi="仿宋" w:eastAsia="仿宋" w:cs="仿宋"/>
                <w:color w:val="auto"/>
              </w:rPr>
              <w:t>统一权限控制</w:t>
            </w:r>
          </w:p>
          <w:p>
            <w:pPr>
              <w:pStyle w:val="28"/>
              <w:spacing w:line="360" w:lineRule="auto"/>
              <w:jc w:val="both"/>
              <w:rPr>
                <w:rFonts w:ascii="仿宋" w:hAnsi="仿宋" w:eastAsia="仿宋" w:cs="仿宋"/>
                <w:color w:val="auto"/>
              </w:rPr>
            </w:pPr>
            <w:r>
              <w:rPr>
                <w:rFonts w:hint="eastAsia" w:ascii="仿宋" w:hAnsi="仿宋" w:eastAsia="仿宋" w:cs="仿宋"/>
                <w:color w:val="auto"/>
              </w:rPr>
              <w:t>基于账号角色分配，建立角色与账号的绑定关系，对用户账号的权限进行访问控制，账号只能访问角色所属权限的功能内容。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77"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8</w:t>
            </w:r>
          </w:p>
        </w:tc>
        <w:tc>
          <w:tcPr>
            <w:tcW w:w="1311" w:type="dxa"/>
            <w:vMerge w:val="continue"/>
            <w:shd w:val="clear" w:color="auto" w:fill="auto"/>
            <w:vAlign w:val="center"/>
          </w:tcPr>
          <w:p>
            <w:pPr>
              <w:spacing w:line="360" w:lineRule="auto"/>
              <w:jc w:val="center"/>
              <w:rPr>
                <w:rFonts w:ascii="仿宋" w:hAnsi="仿宋" w:eastAsia="仿宋" w:cs="仿宋"/>
                <w:color w:val="auto"/>
              </w:rPr>
            </w:pPr>
          </w:p>
        </w:tc>
        <w:tc>
          <w:tcPr>
            <w:tcW w:w="6634" w:type="dxa"/>
            <w:shd w:val="clear" w:color="auto" w:fill="auto"/>
            <w:vAlign w:val="center"/>
          </w:tcPr>
          <w:p>
            <w:pPr>
              <w:pStyle w:val="28"/>
              <w:spacing w:line="360" w:lineRule="auto"/>
              <w:jc w:val="both"/>
              <w:rPr>
                <w:rFonts w:ascii="仿宋" w:hAnsi="仿宋" w:eastAsia="仿宋" w:cs="仿宋"/>
                <w:color w:val="auto"/>
              </w:rPr>
            </w:pPr>
            <w:r>
              <w:rPr>
                <w:rFonts w:hint="eastAsia" w:ascii="仿宋" w:hAnsi="仿宋" w:eastAsia="仿宋" w:cs="仿宋"/>
                <w:color w:val="auto"/>
              </w:rPr>
              <w:t>运维计划工单</w:t>
            </w:r>
          </w:p>
          <w:p>
            <w:pPr>
              <w:pStyle w:val="28"/>
              <w:spacing w:line="360" w:lineRule="auto"/>
              <w:jc w:val="both"/>
              <w:rPr>
                <w:rFonts w:ascii="仿宋" w:hAnsi="仿宋" w:eastAsia="仿宋" w:cs="仿宋"/>
                <w:color w:val="auto"/>
              </w:rPr>
            </w:pPr>
            <w:r>
              <w:rPr>
                <w:rFonts w:hint="eastAsia" w:ascii="仿宋" w:hAnsi="仿宋" w:eastAsia="仿宋" w:cs="仿宋"/>
                <w:color w:val="auto"/>
              </w:rPr>
              <w:t>针对批量设备资产的长期运维计划，批量申请需要运维的设备资产，选择时间范围（天、周、月、年），并支持选择时间段（每天的8:00~17：00），经过流程审核后，满足条件自动批量开放设备资产访问权限，未满足条件后自动回收权限。（需提供类似案例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77"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9</w:t>
            </w:r>
          </w:p>
        </w:tc>
        <w:tc>
          <w:tcPr>
            <w:tcW w:w="1311" w:type="dxa"/>
            <w:vMerge w:val="continue"/>
            <w:shd w:val="clear" w:color="auto" w:fill="auto"/>
            <w:vAlign w:val="center"/>
          </w:tcPr>
          <w:p>
            <w:pPr>
              <w:spacing w:line="360" w:lineRule="auto"/>
              <w:jc w:val="center"/>
              <w:rPr>
                <w:rFonts w:ascii="仿宋" w:hAnsi="仿宋" w:eastAsia="仿宋" w:cs="仿宋"/>
                <w:color w:val="auto"/>
              </w:rPr>
            </w:pPr>
          </w:p>
        </w:tc>
        <w:tc>
          <w:tcPr>
            <w:tcW w:w="6634" w:type="dxa"/>
            <w:shd w:val="clear" w:color="auto" w:fill="auto"/>
            <w:vAlign w:val="center"/>
          </w:tcPr>
          <w:p>
            <w:pPr>
              <w:pStyle w:val="28"/>
              <w:spacing w:line="360" w:lineRule="auto"/>
              <w:jc w:val="both"/>
              <w:rPr>
                <w:rFonts w:ascii="仿宋" w:hAnsi="仿宋" w:eastAsia="仿宋" w:cs="仿宋"/>
                <w:color w:val="auto"/>
              </w:rPr>
            </w:pPr>
            <w:r>
              <w:rPr>
                <w:rFonts w:hint="eastAsia" w:ascii="仿宋" w:hAnsi="仿宋" w:eastAsia="仿宋" w:cs="仿宋"/>
                <w:color w:val="auto"/>
              </w:rPr>
              <w:t>运维方式</w:t>
            </w:r>
          </w:p>
          <w:p>
            <w:pPr>
              <w:pStyle w:val="28"/>
              <w:spacing w:line="360" w:lineRule="auto"/>
              <w:jc w:val="both"/>
              <w:rPr>
                <w:rFonts w:ascii="仿宋" w:hAnsi="仿宋" w:eastAsia="仿宋" w:cs="仿宋"/>
                <w:color w:val="auto"/>
              </w:rPr>
            </w:pPr>
            <w:r>
              <w:rPr>
                <w:rFonts w:hint="eastAsia" w:ascii="仿宋" w:hAnsi="仿宋" w:eastAsia="仿宋" w:cs="仿宋"/>
                <w:color w:val="auto"/>
              </w:rPr>
              <w:t>仅需通过B/S方式运维操作，无需安装任何程序，包括浏览器控件、CRT、PUTTY、Winscp等等。（需提供类似案例截图）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77"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10</w:t>
            </w:r>
          </w:p>
        </w:tc>
        <w:tc>
          <w:tcPr>
            <w:tcW w:w="1311" w:type="dxa"/>
            <w:vMerge w:val="continue"/>
            <w:shd w:val="clear" w:color="auto" w:fill="auto"/>
            <w:vAlign w:val="center"/>
          </w:tcPr>
          <w:p>
            <w:pPr>
              <w:spacing w:line="360" w:lineRule="auto"/>
              <w:jc w:val="center"/>
              <w:rPr>
                <w:rFonts w:ascii="仿宋" w:hAnsi="仿宋" w:eastAsia="仿宋" w:cs="仿宋"/>
                <w:color w:val="auto"/>
              </w:rPr>
            </w:pPr>
          </w:p>
        </w:tc>
        <w:tc>
          <w:tcPr>
            <w:tcW w:w="6634" w:type="dxa"/>
            <w:shd w:val="clear" w:color="auto" w:fill="auto"/>
            <w:vAlign w:val="center"/>
          </w:tcPr>
          <w:p>
            <w:pPr>
              <w:pStyle w:val="28"/>
              <w:spacing w:line="360" w:lineRule="auto"/>
              <w:jc w:val="both"/>
              <w:rPr>
                <w:rFonts w:ascii="仿宋" w:hAnsi="仿宋" w:eastAsia="仿宋" w:cs="仿宋"/>
                <w:color w:val="auto"/>
              </w:rPr>
            </w:pPr>
            <w:r>
              <w:rPr>
                <w:rFonts w:hint="eastAsia" w:ascii="仿宋" w:hAnsi="仿宋" w:eastAsia="仿宋" w:cs="仿宋"/>
                <w:color w:val="auto"/>
              </w:rPr>
              <w:t>运维虚拟桌面</w:t>
            </w:r>
          </w:p>
          <w:p>
            <w:pPr>
              <w:pStyle w:val="28"/>
              <w:spacing w:line="360" w:lineRule="auto"/>
              <w:jc w:val="both"/>
              <w:rPr>
                <w:rFonts w:ascii="仿宋" w:hAnsi="仿宋" w:eastAsia="仿宋" w:cs="仿宋"/>
                <w:color w:val="auto"/>
              </w:rPr>
            </w:pPr>
            <w:r>
              <w:rPr>
                <w:rFonts w:hint="eastAsia" w:ascii="仿宋" w:hAnsi="仿宋" w:eastAsia="仿宋" w:cs="仿宋"/>
                <w:color w:val="auto"/>
              </w:rPr>
              <w:t>运维安全桌面以虚拟机方式运行在平台中，通过高效的远程交付协议</w:t>
            </w:r>
          </w:p>
          <w:p>
            <w:pPr>
              <w:pStyle w:val="28"/>
              <w:spacing w:line="360" w:lineRule="auto"/>
              <w:jc w:val="both"/>
              <w:rPr>
                <w:rFonts w:ascii="仿宋" w:hAnsi="仿宋" w:eastAsia="仿宋" w:cs="仿宋"/>
                <w:color w:val="auto"/>
              </w:rPr>
            </w:pPr>
            <w:r>
              <w:rPr>
                <w:rFonts w:hint="eastAsia" w:ascii="仿宋" w:hAnsi="仿宋" w:eastAsia="仿宋" w:cs="仿宋"/>
                <w:color w:val="auto"/>
              </w:rPr>
              <w:t>将桌面展示给客户，每个运维安全桌面相互隔离，以一对一的模式交付给用户。</w:t>
            </w:r>
          </w:p>
          <w:p>
            <w:pPr>
              <w:pStyle w:val="28"/>
              <w:spacing w:line="360" w:lineRule="auto"/>
              <w:jc w:val="both"/>
              <w:rPr>
                <w:rFonts w:ascii="仿宋" w:hAnsi="仿宋" w:eastAsia="仿宋" w:cs="仿宋"/>
                <w:color w:val="auto"/>
              </w:rPr>
            </w:pPr>
            <w:r>
              <w:rPr>
                <w:rFonts w:hint="eastAsia" w:ascii="仿宋" w:hAnsi="仿宋" w:eastAsia="仿宋" w:cs="仿宋"/>
                <w:color w:val="auto"/>
              </w:rPr>
              <w:t>支持共享Windows 2003/2008/2012的桌面，支持多帐户同时连接和登录到同一个Windows 2003/2008/2012并给每个用户提供一个桌面。</w:t>
            </w:r>
          </w:p>
          <w:p>
            <w:pPr>
              <w:pStyle w:val="28"/>
              <w:spacing w:line="360" w:lineRule="auto"/>
              <w:jc w:val="both"/>
              <w:rPr>
                <w:rFonts w:ascii="仿宋" w:hAnsi="仿宋" w:eastAsia="仿宋" w:cs="仿宋"/>
                <w:color w:val="auto"/>
              </w:rPr>
            </w:pPr>
            <w:r>
              <w:rPr>
                <w:rFonts w:hint="eastAsia" w:ascii="仿宋" w:hAnsi="仿宋" w:eastAsia="仿宋" w:cs="仿宋"/>
                <w:color w:val="auto"/>
              </w:rPr>
              <w:t>托管物理PC桌面，无需增加额外的硬件，通过远程交付协议访问受托管的PC，使用户能够运行通常要求更多运算资源的专业·应用。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77"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11</w:t>
            </w:r>
          </w:p>
        </w:tc>
        <w:tc>
          <w:tcPr>
            <w:tcW w:w="1311" w:type="dxa"/>
            <w:vMerge w:val="continue"/>
            <w:shd w:val="clear" w:color="auto" w:fill="auto"/>
            <w:vAlign w:val="center"/>
          </w:tcPr>
          <w:p>
            <w:pPr>
              <w:spacing w:line="360" w:lineRule="auto"/>
              <w:jc w:val="center"/>
              <w:rPr>
                <w:rFonts w:ascii="仿宋" w:hAnsi="仿宋" w:eastAsia="仿宋" w:cs="仿宋"/>
                <w:color w:val="auto"/>
              </w:rPr>
            </w:pPr>
          </w:p>
        </w:tc>
        <w:tc>
          <w:tcPr>
            <w:tcW w:w="6634" w:type="dxa"/>
            <w:shd w:val="clear" w:color="auto" w:fill="auto"/>
            <w:vAlign w:val="center"/>
          </w:tcPr>
          <w:p>
            <w:pPr>
              <w:pStyle w:val="28"/>
              <w:spacing w:line="360" w:lineRule="auto"/>
              <w:jc w:val="both"/>
              <w:rPr>
                <w:rFonts w:ascii="仿宋" w:hAnsi="仿宋" w:eastAsia="仿宋" w:cs="仿宋"/>
                <w:color w:val="auto"/>
              </w:rPr>
            </w:pPr>
            <w:r>
              <w:rPr>
                <w:rFonts w:hint="eastAsia" w:ascii="仿宋" w:hAnsi="仿宋" w:eastAsia="仿宋" w:cs="仿宋"/>
                <w:color w:val="auto"/>
              </w:rPr>
              <w:t>业务数据的实时分析、预警流程</w:t>
            </w:r>
          </w:p>
          <w:p>
            <w:pPr>
              <w:pStyle w:val="28"/>
              <w:spacing w:line="360" w:lineRule="auto"/>
              <w:jc w:val="both"/>
              <w:rPr>
                <w:rFonts w:ascii="仿宋" w:hAnsi="仿宋" w:eastAsia="仿宋" w:cs="仿宋"/>
                <w:color w:val="auto"/>
              </w:rPr>
            </w:pPr>
            <w:r>
              <w:rPr>
                <w:rFonts w:hint="eastAsia" w:ascii="仿宋" w:hAnsi="仿宋" w:eastAsia="仿宋" w:cs="仿宋"/>
                <w:color w:val="auto"/>
              </w:rPr>
              <w:t>提交业务数据的特征字段，包括单据号、时间、办理人ID等；以特征字段进行查询，得到安全审计策略，按照安全审计策略要求对数据进行异常分析，包括数据一致性比对、越权比对、时间比对等等。将比对出现异常的数据信息推送到预警模块，发出预警信息。</w:t>
            </w:r>
          </w:p>
        </w:tc>
      </w:tr>
    </w:tbl>
    <w:p>
      <w:pPr>
        <w:spacing w:line="360" w:lineRule="auto"/>
        <w:rPr>
          <w:rFonts w:ascii="仿宋" w:hAnsi="仿宋" w:eastAsia="仿宋" w:cs="仿宋"/>
          <w:color w:val="auto"/>
          <w:sz w:val="22"/>
          <w:szCs w:val="22"/>
        </w:rPr>
      </w:pPr>
      <w:r>
        <w:rPr>
          <w:rFonts w:hint="eastAsia" w:ascii="仿宋" w:hAnsi="仿宋" w:eastAsia="仿宋" w:cs="仿宋"/>
          <w:color w:val="auto"/>
          <w:sz w:val="22"/>
          <w:szCs w:val="22"/>
        </w:rPr>
        <w:t>（4）服务器杀毒软件</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309"/>
        <w:gridCol w:w="6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1309"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产品名称</w:t>
            </w:r>
          </w:p>
        </w:tc>
        <w:tc>
          <w:tcPr>
            <w:tcW w:w="6635"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招标技术参数要求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09" w:type="dxa"/>
            <w:vMerge w:val="restar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服务器杀毒软件</w:t>
            </w: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支持文件实时监控，在进程启动、文件创建、存储介质连接时自动触发。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可保护系统指定文件不被恶意篡改、执行。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支持对顽固流行病毒进行智能拦截。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6</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支持专门的挖矿风险评估工具。评估项目包括：弱口令、系统漏洞、恶意进程、违规外联、DNS查询历史等。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8</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支持部分病毒感染文件的修复，对于二进制文件可剥离感染部分，保证应用正常使用。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9</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支持对压缩文件病毒查杀（默认支持9层压缩扫描，可根据用户需求增加扫描层数）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10</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支持在线、离线病毒库升级。</w:t>
            </w:r>
          </w:p>
        </w:tc>
      </w:tr>
    </w:tbl>
    <w:p>
      <w:pPr>
        <w:spacing w:line="360" w:lineRule="auto"/>
        <w:rPr>
          <w:rFonts w:ascii="仿宋" w:hAnsi="仿宋" w:eastAsia="仿宋" w:cs="仿宋"/>
          <w:color w:val="auto"/>
        </w:rPr>
      </w:pPr>
    </w:p>
    <w:p>
      <w:pPr>
        <w:spacing w:line="360" w:lineRule="auto"/>
        <w:rPr>
          <w:rFonts w:ascii="仿宋" w:hAnsi="仿宋" w:eastAsia="仿宋" w:cs="仿宋"/>
          <w:color w:val="auto"/>
          <w:sz w:val="22"/>
          <w:szCs w:val="22"/>
        </w:rPr>
      </w:pPr>
      <w:r>
        <w:rPr>
          <w:rFonts w:hint="eastAsia" w:ascii="仿宋" w:hAnsi="仿宋" w:eastAsia="仿宋" w:cs="仿宋"/>
          <w:color w:val="auto"/>
          <w:sz w:val="22"/>
          <w:szCs w:val="22"/>
        </w:rPr>
        <w:t>（5）终端杀毒软件</w:t>
      </w:r>
    </w:p>
    <w:tbl>
      <w:tblPr>
        <w:tblStyle w:val="14"/>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52"/>
        <w:gridCol w:w="1040"/>
        <w:gridCol w:w="6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752" w:type="dxa"/>
            <w:vAlign w:val="center"/>
          </w:tcPr>
          <w:p>
            <w:pPr>
              <w:spacing w:line="360" w:lineRule="auto"/>
              <w:jc w:val="center"/>
              <w:rPr>
                <w:rFonts w:ascii="仿宋" w:hAnsi="仿宋" w:eastAsia="仿宋" w:cs="仿宋"/>
                <w:bCs/>
                <w:color w:val="auto"/>
              </w:rPr>
            </w:pPr>
            <w:r>
              <w:rPr>
                <w:rFonts w:hint="eastAsia" w:ascii="仿宋" w:hAnsi="仿宋" w:eastAsia="仿宋" w:cs="仿宋"/>
                <w:bCs/>
                <w:color w:val="auto"/>
              </w:rPr>
              <w:t>序号</w:t>
            </w:r>
          </w:p>
        </w:tc>
        <w:tc>
          <w:tcPr>
            <w:tcW w:w="1040" w:type="dxa"/>
            <w:vAlign w:val="center"/>
          </w:tcPr>
          <w:p>
            <w:pPr>
              <w:spacing w:line="360" w:lineRule="auto"/>
              <w:jc w:val="center"/>
              <w:rPr>
                <w:rFonts w:ascii="仿宋" w:hAnsi="仿宋" w:eastAsia="仿宋" w:cs="仿宋"/>
                <w:bCs/>
                <w:color w:val="auto"/>
              </w:rPr>
            </w:pPr>
            <w:r>
              <w:rPr>
                <w:rFonts w:hint="eastAsia" w:ascii="仿宋" w:hAnsi="仿宋" w:eastAsia="仿宋" w:cs="仿宋"/>
                <w:bCs/>
                <w:color w:val="auto"/>
              </w:rPr>
              <w:t>产品名称</w:t>
            </w:r>
          </w:p>
        </w:tc>
        <w:tc>
          <w:tcPr>
            <w:tcW w:w="6544" w:type="dxa"/>
            <w:vAlign w:val="center"/>
          </w:tcPr>
          <w:p>
            <w:pPr>
              <w:spacing w:line="360" w:lineRule="auto"/>
              <w:jc w:val="center"/>
              <w:rPr>
                <w:rFonts w:ascii="仿宋" w:hAnsi="仿宋" w:eastAsia="仿宋" w:cs="仿宋"/>
                <w:bCs/>
                <w:color w:val="auto"/>
              </w:rPr>
            </w:pPr>
            <w:r>
              <w:rPr>
                <w:rFonts w:hint="eastAsia" w:ascii="仿宋" w:hAnsi="仿宋" w:eastAsia="仿宋" w:cs="仿宋"/>
                <w:color w:val="auto"/>
              </w:rPr>
              <w:t>招标技术参数要求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1</w:t>
            </w:r>
          </w:p>
        </w:tc>
        <w:tc>
          <w:tcPr>
            <w:tcW w:w="1040" w:type="dxa"/>
            <w:vMerge w:val="restart"/>
            <w:vAlign w:val="center"/>
          </w:tcPr>
          <w:p>
            <w:pPr>
              <w:spacing w:line="360" w:lineRule="auto"/>
              <w:ind w:left="-420"/>
              <w:jc w:val="center"/>
              <w:rPr>
                <w:rFonts w:ascii="仿宋" w:hAnsi="仿宋" w:eastAsia="仿宋" w:cs="仿宋"/>
                <w:color w:val="auto"/>
                <w:sz w:val="24"/>
              </w:rPr>
            </w:pPr>
          </w:p>
          <w:p>
            <w:pPr>
              <w:spacing w:line="360" w:lineRule="auto"/>
              <w:rPr>
                <w:rFonts w:ascii="仿宋" w:hAnsi="仿宋" w:eastAsia="仿宋" w:cs="仿宋"/>
                <w:color w:val="auto"/>
                <w:sz w:val="24"/>
              </w:rPr>
            </w:pPr>
            <w:r>
              <w:rPr>
                <w:rFonts w:hint="eastAsia" w:ascii="仿宋" w:hAnsi="仿宋" w:eastAsia="仿宋" w:cs="仿宋"/>
                <w:color w:val="auto"/>
                <w:sz w:val="24"/>
              </w:rPr>
              <w:t>终端杀毒软件</w:t>
            </w:r>
          </w:p>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提供2000个客户端授权许可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2</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产品采用B/S架构，支持通过HTTPS方式登录管理控制台，管理控制台访问需进行加密访问；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3</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产品需要支持根据IP地址（包含IPv6）、操作系统、在线状态、处理器结构、病毒码版本、防火墙状态、爆发阻止状态等条件的组合搜索出符合条件的终端进行管理；（提供截图证明）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4</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产品支持必须自带数据库，安装后可以自行存储各类日志以及相关数据，同时也可以外接MSSQL数据库，保证数据存储的多样性；产品支持管理用户角色，支持用户权限的灵活设定；支持Office宏病毒扫描；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040" w:type="dxa"/>
            <w:vMerge w:val="continue"/>
            <w:vAlign w:val="center"/>
          </w:tcPr>
          <w:p>
            <w:pPr>
              <w:spacing w:line="360" w:lineRule="auto"/>
              <w:jc w:val="center"/>
              <w:rPr>
                <w:rFonts w:ascii="仿宋" w:hAnsi="仿宋" w:eastAsia="仿宋" w:cs="仿宋"/>
                <w:color w:val="auto"/>
                <w:sz w:val="24"/>
              </w:rPr>
            </w:pPr>
          </w:p>
        </w:tc>
        <w:tc>
          <w:tcPr>
            <w:tcW w:w="6544" w:type="dxa"/>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为适应配置低的终端需求，不影响生产办公，终端在进行手动以及预设扫描时必须可以设置扫描时CPU占用比例，分高、中、低三个级别。低消耗下不得超过CPU使用率的20%；（提供截图证明）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6</w:t>
            </w:r>
          </w:p>
        </w:tc>
        <w:tc>
          <w:tcPr>
            <w:tcW w:w="1040" w:type="dxa"/>
            <w:vMerge w:val="continue"/>
            <w:vAlign w:val="center"/>
          </w:tcPr>
          <w:p>
            <w:pPr>
              <w:spacing w:line="360" w:lineRule="auto"/>
              <w:jc w:val="center"/>
              <w:rPr>
                <w:rFonts w:ascii="仿宋" w:hAnsi="仿宋" w:eastAsia="仿宋" w:cs="仿宋"/>
                <w:color w:val="auto"/>
                <w:sz w:val="24"/>
              </w:rPr>
            </w:pPr>
          </w:p>
        </w:tc>
        <w:tc>
          <w:tcPr>
            <w:tcW w:w="6544" w:type="dxa"/>
            <w:vAlign w:val="center"/>
          </w:tcPr>
          <w:p>
            <w:pPr>
              <w:spacing w:line="360" w:lineRule="auto"/>
              <w:jc w:val="left"/>
              <w:rPr>
                <w:rFonts w:ascii="仿宋" w:hAnsi="仿宋" w:eastAsia="仿宋" w:cs="仿宋"/>
                <w:color w:val="auto"/>
                <w:sz w:val="24"/>
              </w:rPr>
            </w:pPr>
            <w:r>
              <w:rPr>
                <w:rFonts w:hint="eastAsia" w:ascii="宋体" w:hAnsi="宋体" w:cs="宋体"/>
                <w:color w:val="auto"/>
                <w:sz w:val="24"/>
              </w:rPr>
              <w:t>•</w:t>
            </w:r>
            <w:r>
              <w:rPr>
                <w:rFonts w:hint="eastAsia" w:ascii="仿宋" w:hAnsi="仿宋" w:eastAsia="仿宋" w:cs="仿宋"/>
                <w:color w:val="auto"/>
                <w:sz w:val="24"/>
              </w:rPr>
              <w:t>Windows XP Professional（x64）SP2版</w:t>
            </w:r>
            <w:r>
              <w:rPr>
                <w:rFonts w:hint="eastAsia" w:ascii="仿宋" w:hAnsi="仿宋" w:eastAsia="仿宋" w:cs="仿宋"/>
                <w:color w:val="auto"/>
                <w:sz w:val="24"/>
              </w:rPr>
              <w:br w:type="textWrapping"/>
            </w:r>
            <w:r>
              <w:rPr>
                <w:rFonts w:hint="eastAsia" w:ascii="宋体" w:hAnsi="宋体" w:cs="宋体"/>
                <w:color w:val="auto"/>
                <w:sz w:val="24"/>
              </w:rPr>
              <w:t>•</w:t>
            </w:r>
            <w:r>
              <w:rPr>
                <w:rFonts w:hint="eastAsia" w:ascii="仿宋" w:hAnsi="仿宋" w:eastAsia="仿宋" w:cs="仿宋"/>
                <w:color w:val="auto"/>
                <w:sz w:val="24"/>
              </w:rPr>
              <w:t>Windows Vista Business、Enterprise、Ultimate、Home Basic、Home Premium、Business for Embedded Systems、Ultimate for Embedded Systems（x86/x64）SP2版</w:t>
            </w:r>
            <w:r>
              <w:rPr>
                <w:rFonts w:hint="eastAsia" w:ascii="仿宋" w:hAnsi="仿宋" w:eastAsia="仿宋" w:cs="仿宋"/>
                <w:color w:val="auto"/>
                <w:sz w:val="24"/>
              </w:rPr>
              <w:br w:type="textWrapping"/>
            </w:r>
            <w:r>
              <w:rPr>
                <w:rFonts w:hint="eastAsia" w:ascii="宋体" w:hAnsi="宋体" w:cs="宋体"/>
                <w:color w:val="auto"/>
                <w:sz w:val="24"/>
              </w:rPr>
              <w:t>•</w:t>
            </w:r>
            <w:r>
              <w:rPr>
                <w:rFonts w:hint="eastAsia" w:ascii="仿宋" w:hAnsi="仿宋" w:eastAsia="仿宋" w:cs="仿宋"/>
                <w:color w:val="auto"/>
                <w:sz w:val="24"/>
              </w:rPr>
              <w:t>Windows 7 Home Basic、Home Premium、Ultimate、Professional、Enterprise、Professional for Embedded Systems、Ultimate for Embedded Systems、Thin PC（x86/x64）包括或者未包括SP1版</w:t>
            </w:r>
            <w:r>
              <w:rPr>
                <w:rFonts w:hint="eastAsia" w:ascii="仿宋" w:hAnsi="仿宋" w:eastAsia="仿宋" w:cs="仿宋"/>
                <w:color w:val="auto"/>
                <w:sz w:val="24"/>
              </w:rPr>
              <w:br w:type="textWrapping"/>
            </w:r>
            <w:r>
              <w:rPr>
                <w:rFonts w:hint="eastAsia" w:ascii="宋体" w:hAnsi="宋体" w:cs="宋体"/>
                <w:color w:val="auto"/>
                <w:sz w:val="24"/>
              </w:rPr>
              <w:t>•</w:t>
            </w:r>
            <w:r>
              <w:rPr>
                <w:rFonts w:hint="eastAsia" w:ascii="仿宋" w:hAnsi="仿宋" w:eastAsia="仿宋" w:cs="仿宋"/>
                <w:color w:val="auto"/>
                <w:sz w:val="24"/>
              </w:rPr>
              <w:t>Windows 8/8.1 Standard、Professional、Enterprise（x86/x64）版</w:t>
            </w:r>
            <w:r>
              <w:rPr>
                <w:rFonts w:hint="eastAsia" w:ascii="仿宋" w:hAnsi="仿宋" w:eastAsia="仿宋" w:cs="仿宋"/>
                <w:color w:val="auto"/>
                <w:sz w:val="24"/>
              </w:rPr>
              <w:br w:type="textWrapping"/>
            </w:r>
            <w:r>
              <w:rPr>
                <w:rFonts w:hint="eastAsia" w:ascii="宋体" w:hAnsi="宋体" w:cs="宋体"/>
                <w:color w:val="auto"/>
                <w:sz w:val="24"/>
              </w:rPr>
              <w:t>•</w:t>
            </w:r>
            <w:r>
              <w:rPr>
                <w:rFonts w:hint="eastAsia" w:ascii="仿宋" w:hAnsi="仿宋" w:eastAsia="仿宋" w:cs="仿宋"/>
                <w:color w:val="auto"/>
                <w:sz w:val="24"/>
              </w:rPr>
              <w:t>Windows 10 Home、Professional、Education、Enterprise（x86/x64）版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7</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产品能够实时监控并清除来自各种途径的病毒、木马、蠕虫、恶意软件、勒索软件、黑客工具等恶意威胁；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8</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产品需提供多种扫描引擎不少于五种，针对于机器学习必须使用独立扫描引擎（提供截图证明）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9</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扫描策略必须包含清除、隔离、删除处理措施，同时还应具备对病毒/恶意软件的不予处理（锁定）、监控、更名等措施，以保证对于文件多种处理的可选择性；（提功能供截图证明）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10</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支持对压缩包文件进行扫描，并对常用压缩格式文档中的病毒能有效的进行实时检测和处理。支持主流存档和压缩格式的扫描，包含rar、zip、cab、arj等压缩格式包内实时清除；支持云安全扫描和传统病毒码扫描两种运行方式；支持检测全局可疑站点（C&amp;C)识别，监控可疑站点的连接，并提供记录或者阻止的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11</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具有分组管理客户端的功能，可对不同的组实施不同的病毒防护策略；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12</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产品需要支持主机入侵检测系统；（提功能供截图证明）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13</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防病毒软件必须具备个人防火墙功能,有效阻止各种恶意威胁；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14</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支持针对终端根据基于源IP（支持IPv6）、目的IP（支持IPv6）、源端口、目的端口、应用程序及注册表项，出站、入站等进行安全配置；支持对USB存储设备、光驱、网络驱动器的使用权限进行控制；对非存储设备，如bluetooth、IEEE 1394接口、红外设备、调制解调器、PCMCIA卡等进行分项权限设置；支持多种安装方式，至少包括下载安装、MSI程序打包安装、共享安装、Web安装、脚本登录安装和域组策略安装，支持通过管理控制台方式进行远程安装，支持通过WEB方式进行远程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15</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可对插入移动存储引导区或者移动设备的所有文件进行扫描设置；（提功能供截图证明）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16</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支持拦截恶意URL功能，检测并阻止恶意的URL链接，并支持URL地址黑白名单功能；支持多种安装方式，至少包括下载安装、MSI程序打包安装、共享安装、Web安装、脚本登录安装和域组策略安装，支持通过管理控制台方式进行远程安装，支持通过WEB方式进行远程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17</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针对于web防护，必须可以区分内部客户端、外部客户端，对于不同的客户端可以实现不同的策略配置；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18</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客户端应该具备组件更新功能，同时可以查看所有引擎、病毒码版本以及更新时间等信息；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19</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支持CVE漏洞弱点扫描功能，及时防护经由网页/电子邮件下载的文档漏洞利用(CVE)（提功能供截图证明）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20</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客户端能够恢复由勒索软件威胁加密的文件，阻止与勒索软件关联的进程，并防止遭受危害的可执行文件感染您的网络（提功能供截图证明）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21</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必须具备防勒索软件防护功能，管理界面提供配置项；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22</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具备机器学习能力，提供管理端及客户端的产品界面截屏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23</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具备将可疑文件提交沙盒设备的联动能力，可自动提交可疑恶意文件，并可接收；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2" w:type="dxa"/>
            <w:vAlign w:val="center"/>
          </w:tcPr>
          <w:p>
            <w:pPr>
              <w:spacing w:line="360" w:lineRule="auto"/>
              <w:jc w:val="center"/>
              <w:rPr>
                <w:rFonts w:ascii="仿宋" w:hAnsi="仿宋" w:eastAsia="仿宋" w:cs="仿宋"/>
                <w:color w:val="auto"/>
              </w:rPr>
            </w:pPr>
            <w:r>
              <w:rPr>
                <w:rFonts w:hint="eastAsia" w:ascii="仿宋" w:hAnsi="仿宋" w:eastAsia="仿宋" w:cs="仿宋"/>
                <w:color w:val="auto"/>
              </w:rPr>
              <w:t>24</w:t>
            </w:r>
          </w:p>
        </w:tc>
        <w:tc>
          <w:tcPr>
            <w:tcW w:w="1040" w:type="dxa"/>
            <w:vMerge w:val="continue"/>
            <w:vAlign w:val="center"/>
          </w:tcPr>
          <w:p>
            <w:pPr>
              <w:spacing w:line="360" w:lineRule="auto"/>
              <w:jc w:val="center"/>
              <w:rPr>
                <w:rFonts w:ascii="仿宋" w:hAnsi="仿宋" w:eastAsia="仿宋" w:cs="仿宋"/>
                <w:color w:val="auto"/>
              </w:rPr>
            </w:pPr>
          </w:p>
        </w:tc>
        <w:tc>
          <w:tcPr>
            <w:tcW w:w="6544" w:type="dxa"/>
            <w:vAlign w:val="center"/>
          </w:tcPr>
          <w:p>
            <w:pPr>
              <w:spacing w:line="360" w:lineRule="auto"/>
              <w:jc w:val="left"/>
              <w:rPr>
                <w:rFonts w:ascii="仿宋" w:hAnsi="仿宋" w:eastAsia="仿宋" w:cs="仿宋"/>
                <w:color w:val="auto"/>
              </w:rPr>
            </w:pPr>
            <w:r>
              <w:rPr>
                <w:rFonts w:hint="eastAsia" w:ascii="仿宋" w:hAnsi="仿宋" w:eastAsia="仿宋" w:cs="仿宋"/>
                <w:color w:val="auto"/>
              </w:rPr>
              <w:t>产品需具备终端管控系统接口，可以扩展桌面管理软件。</w:t>
            </w:r>
          </w:p>
        </w:tc>
      </w:tr>
    </w:tbl>
    <w:p>
      <w:pPr>
        <w:spacing w:line="360" w:lineRule="auto"/>
        <w:rPr>
          <w:rFonts w:ascii="仿宋" w:hAnsi="仿宋" w:eastAsia="仿宋" w:cs="仿宋"/>
          <w:color w:val="auto"/>
        </w:rPr>
      </w:pPr>
    </w:p>
    <w:p>
      <w:pPr>
        <w:spacing w:line="360" w:lineRule="auto"/>
        <w:rPr>
          <w:rFonts w:ascii="仿宋" w:hAnsi="仿宋" w:eastAsia="仿宋" w:cs="仿宋"/>
          <w:b/>
          <w:bCs/>
          <w:color w:val="auto"/>
          <w:sz w:val="22"/>
          <w:szCs w:val="22"/>
        </w:rPr>
      </w:pPr>
      <w:r>
        <w:rPr>
          <w:rFonts w:hint="eastAsia" w:ascii="仿宋" w:hAnsi="仿宋" w:eastAsia="仿宋" w:cs="仿宋"/>
          <w:b/>
          <w:bCs/>
          <w:color w:val="auto"/>
          <w:sz w:val="22"/>
          <w:szCs w:val="22"/>
        </w:rPr>
        <w:t>（6）终端安全管理系统</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309"/>
        <w:gridCol w:w="6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578"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序号</w:t>
            </w:r>
          </w:p>
        </w:tc>
        <w:tc>
          <w:tcPr>
            <w:tcW w:w="1309"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产品名称</w:t>
            </w:r>
          </w:p>
        </w:tc>
        <w:tc>
          <w:tcPr>
            <w:tcW w:w="6635"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招标技术参数要求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1</w:t>
            </w:r>
          </w:p>
        </w:tc>
        <w:tc>
          <w:tcPr>
            <w:tcW w:w="1309" w:type="dxa"/>
            <w:vMerge w:val="restart"/>
            <w:vAlign w:val="center"/>
          </w:tcPr>
          <w:p>
            <w:pPr>
              <w:spacing w:line="360" w:lineRule="auto"/>
              <w:rPr>
                <w:rFonts w:ascii="仿宋" w:hAnsi="仿宋" w:eastAsia="仿宋" w:cs="仿宋"/>
                <w:color w:val="auto"/>
              </w:rPr>
            </w:pPr>
            <w:r>
              <w:rPr>
                <w:rFonts w:hint="eastAsia" w:ascii="仿宋" w:hAnsi="仿宋" w:eastAsia="仿宋" w:cs="仿宋"/>
                <w:color w:val="auto"/>
              </w:rPr>
              <w:t>终端安全管理系统</w:t>
            </w:r>
          </w:p>
          <w:p>
            <w:pPr>
              <w:spacing w:line="360" w:lineRule="auto"/>
              <w:jc w:val="center"/>
              <w:rPr>
                <w:rFonts w:ascii="仿宋" w:hAnsi="仿宋" w:eastAsia="仿宋" w:cs="仿宋"/>
                <w:color w:val="auto"/>
              </w:rPr>
            </w:pPr>
          </w:p>
        </w:tc>
        <w:tc>
          <w:tcPr>
            <w:tcW w:w="6635" w:type="dxa"/>
            <w:shd w:val="clear" w:color="auto" w:fill="auto"/>
            <w:vAlign w:val="center"/>
          </w:tcPr>
          <w:p>
            <w:pPr>
              <w:spacing w:line="360" w:lineRule="auto"/>
              <w:jc w:val="left"/>
              <w:rPr>
                <w:rFonts w:ascii="仿宋" w:hAnsi="仿宋" w:eastAsia="仿宋" w:cs="仿宋"/>
                <w:color w:val="auto"/>
              </w:rPr>
            </w:pPr>
            <w:r>
              <w:rPr>
                <w:rFonts w:hint="eastAsia" w:ascii="仿宋" w:hAnsi="仿宋" w:eastAsia="仿宋" w:cs="仿宋"/>
                <w:color w:val="auto"/>
              </w:rPr>
              <w:t>服务器支持地区分布式级联部署，实现跨区域管理；</w:t>
            </w:r>
          </w:p>
          <w:p>
            <w:pPr>
              <w:spacing w:line="360" w:lineRule="auto"/>
              <w:jc w:val="left"/>
              <w:rPr>
                <w:rFonts w:ascii="仿宋" w:hAnsi="仿宋" w:eastAsia="仿宋" w:cs="仿宋"/>
                <w:color w:val="auto"/>
              </w:rPr>
            </w:pPr>
            <w:r>
              <w:rPr>
                <w:rFonts w:hint="eastAsia" w:ascii="仿宋" w:hAnsi="仿宋" w:eastAsia="仿宋" w:cs="仿宋"/>
                <w:color w:val="auto"/>
              </w:rPr>
              <w:t>服务器支持集中式部署，分区域进行管理；</w:t>
            </w:r>
          </w:p>
          <w:p>
            <w:pPr>
              <w:spacing w:line="360" w:lineRule="auto"/>
              <w:jc w:val="left"/>
              <w:rPr>
                <w:rFonts w:ascii="仿宋" w:hAnsi="仿宋" w:eastAsia="仿宋" w:cs="仿宋"/>
                <w:color w:val="auto"/>
              </w:rPr>
            </w:pPr>
            <w:r>
              <w:rPr>
                <w:rFonts w:hint="eastAsia" w:ascii="仿宋" w:hAnsi="仿宋" w:eastAsia="仿宋" w:cs="仿宋"/>
                <w:color w:val="auto"/>
              </w:rPr>
              <w:t>客户端支持跟准入联动下载安装、手动安装、域脚本安装、防病毒软件推送安装、管理员远程安装等方式；</w:t>
            </w:r>
          </w:p>
          <w:p>
            <w:pPr>
              <w:spacing w:line="360" w:lineRule="auto"/>
              <w:jc w:val="left"/>
              <w:rPr>
                <w:rFonts w:ascii="仿宋" w:hAnsi="仿宋" w:eastAsia="仿宋" w:cs="仿宋"/>
                <w:color w:val="auto"/>
              </w:rPr>
            </w:pPr>
            <w:r>
              <w:rPr>
                <w:rFonts w:hint="eastAsia" w:ascii="仿宋" w:hAnsi="仿宋" w:eastAsia="仿宋" w:cs="仿宋"/>
                <w:color w:val="auto"/>
              </w:rPr>
              <w:t>可以根据用户现有软件实现客户端的统一推送安装，无需单点实施；</w:t>
            </w:r>
          </w:p>
          <w:p>
            <w:pPr>
              <w:spacing w:line="360" w:lineRule="auto"/>
              <w:jc w:val="left"/>
              <w:rPr>
                <w:rFonts w:ascii="仿宋" w:hAnsi="仿宋" w:eastAsia="仿宋" w:cs="仿宋"/>
                <w:color w:val="auto"/>
              </w:rPr>
            </w:pPr>
            <w:r>
              <w:rPr>
                <w:rFonts w:hint="eastAsia" w:ascii="仿宋" w:hAnsi="仿宋" w:eastAsia="仿宋" w:cs="仿宋"/>
                <w:color w:val="auto"/>
              </w:rPr>
              <w:t>支持与AD域/LDAP结合，实现组织架构同步。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2</w:t>
            </w:r>
          </w:p>
        </w:tc>
        <w:tc>
          <w:tcPr>
            <w:tcW w:w="1309" w:type="dxa"/>
            <w:vMerge w:val="continue"/>
            <w:vAlign w:val="center"/>
          </w:tcPr>
          <w:p>
            <w:pPr>
              <w:spacing w:line="360" w:lineRule="auto"/>
              <w:jc w:val="center"/>
              <w:rPr>
                <w:rFonts w:ascii="仿宋" w:hAnsi="仿宋" w:eastAsia="仿宋" w:cs="仿宋"/>
                <w:color w:val="auto"/>
              </w:rPr>
            </w:pPr>
          </w:p>
        </w:tc>
        <w:tc>
          <w:tcPr>
            <w:tcW w:w="6635" w:type="dxa"/>
            <w:shd w:val="clear" w:color="auto" w:fill="auto"/>
            <w:vAlign w:val="center"/>
          </w:tcPr>
          <w:p>
            <w:pPr>
              <w:spacing w:line="360" w:lineRule="auto"/>
              <w:jc w:val="left"/>
              <w:rPr>
                <w:rFonts w:ascii="仿宋" w:hAnsi="仿宋" w:eastAsia="仿宋" w:cs="仿宋"/>
                <w:color w:val="auto"/>
              </w:rPr>
            </w:pPr>
            <w:r>
              <w:rPr>
                <w:rFonts w:hint="eastAsia" w:ascii="仿宋" w:hAnsi="仿宋" w:eastAsia="仿宋" w:cs="仿宋"/>
                <w:color w:val="auto"/>
              </w:rPr>
              <w:t>桌面管理：共享管理、防火墙管理、杀毒安全、远程修改终端计算机属性、IP及网络设置绑定、远程批量配置、磁盘查看、进程管理、服务管理、启动项管理、本地用户与组信息、注册表查看、设备查看、端口查看、资源占用、常用桌面设置功能管理（添加删除程序、任务管理器、本地连接属性、注册表工具、命令解释器、计算机管理、组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3</w:t>
            </w:r>
          </w:p>
        </w:tc>
        <w:tc>
          <w:tcPr>
            <w:tcW w:w="1309" w:type="dxa"/>
            <w:vMerge w:val="continue"/>
            <w:vAlign w:val="center"/>
          </w:tcPr>
          <w:p>
            <w:pPr>
              <w:spacing w:line="360" w:lineRule="auto"/>
              <w:jc w:val="center"/>
              <w:rPr>
                <w:rFonts w:ascii="仿宋" w:hAnsi="仿宋" w:eastAsia="仿宋" w:cs="仿宋"/>
                <w:color w:val="auto"/>
              </w:rPr>
            </w:pPr>
          </w:p>
        </w:tc>
        <w:tc>
          <w:tcPr>
            <w:tcW w:w="6635" w:type="dxa"/>
            <w:shd w:val="clear" w:color="auto" w:fill="auto"/>
            <w:vAlign w:val="center"/>
          </w:tcPr>
          <w:p>
            <w:pPr>
              <w:spacing w:line="360" w:lineRule="auto"/>
              <w:jc w:val="left"/>
              <w:rPr>
                <w:rFonts w:ascii="仿宋" w:hAnsi="仿宋" w:eastAsia="仿宋" w:cs="仿宋"/>
                <w:bCs/>
                <w:color w:val="auto"/>
              </w:rPr>
            </w:pPr>
            <w:r>
              <w:rPr>
                <w:rFonts w:hint="eastAsia" w:ascii="仿宋" w:hAnsi="仿宋" w:eastAsia="仿宋" w:cs="仿宋"/>
                <w:bCs/>
                <w:color w:val="auto"/>
              </w:rPr>
              <w:t>U盘管理：禁用与启用、注册授权、普通U盘分区管理、、远程注册与审批、U盘与用户或机器的绑定,</w:t>
            </w:r>
            <w:r>
              <w:rPr>
                <w:rFonts w:hint="eastAsia" w:ascii="仿宋" w:hAnsi="仿宋" w:eastAsia="仿宋" w:cs="仿宋"/>
                <w:color w:val="auto"/>
              </w:rPr>
              <w:t>支持按用户、按机器的U盘使用范围管理，支持过期锁定与数据销毁，支持专用硬件加密U盘管理</w:t>
            </w:r>
            <w:r>
              <w:rPr>
                <w:rFonts w:hint="eastAsia" w:ascii="仿宋" w:hAnsi="仿宋" w:eastAsia="仿宋" w:cs="仿宋"/>
                <w:bCs/>
                <w:color w:val="auto"/>
              </w:rPr>
              <w:t>。</w:t>
            </w:r>
          </w:p>
          <w:p>
            <w:pPr>
              <w:spacing w:line="360" w:lineRule="auto"/>
              <w:jc w:val="left"/>
              <w:rPr>
                <w:rFonts w:ascii="仿宋" w:hAnsi="仿宋" w:eastAsia="仿宋" w:cs="仿宋"/>
                <w:bCs/>
                <w:color w:val="auto"/>
              </w:rPr>
            </w:pPr>
            <w:r>
              <w:rPr>
                <w:rFonts w:hint="eastAsia" w:ascii="仿宋" w:hAnsi="仿宋" w:eastAsia="仿宋" w:cs="仿宋"/>
                <w:bCs/>
                <w:color w:val="auto"/>
              </w:rPr>
              <w:t>光驱管理：光驱的禁用/启用。</w:t>
            </w:r>
          </w:p>
          <w:p>
            <w:pPr>
              <w:spacing w:line="360" w:lineRule="auto"/>
              <w:jc w:val="left"/>
              <w:rPr>
                <w:rFonts w:ascii="仿宋" w:hAnsi="仿宋" w:eastAsia="仿宋" w:cs="仿宋"/>
                <w:color w:val="auto"/>
              </w:rPr>
            </w:pPr>
            <w:r>
              <w:rPr>
                <w:rFonts w:hint="eastAsia" w:ascii="仿宋" w:hAnsi="仿宋" w:eastAsia="仿宋" w:cs="仿宋"/>
                <w:color w:val="auto"/>
              </w:rPr>
              <w:t>非法使用移动存储设备预警。</w:t>
            </w:r>
          </w:p>
          <w:p>
            <w:pPr>
              <w:spacing w:line="360" w:lineRule="auto"/>
              <w:jc w:val="left"/>
              <w:rPr>
                <w:rFonts w:ascii="仿宋" w:hAnsi="仿宋" w:eastAsia="仿宋" w:cs="仿宋"/>
                <w:color w:val="auto"/>
              </w:rPr>
            </w:pPr>
            <w:r>
              <w:rPr>
                <w:rFonts w:hint="eastAsia" w:ascii="仿宋" w:hAnsi="仿宋" w:eastAsia="仿宋" w:cs="仿宋"/>
                <w:color w:val="auto"/>
              </w:rPr>
              <w:t>能识别USB存储设备与其它工作USB设备的差异管理，不能全部禁用。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4</w:t>
            </w:r>
          </w:p>
        </w:tc>
        <w:tc>
          <w:tcPr>
            <w:tcW w:w="1309" w:type="dxa"/>
            <w:vMerge w:val="continue"/>
            <w:vAlign w:val="center"/>
          </w:tcPr>
          <w:p>
            <w:pPr>
              <w:spacing w:line="360" w:lineRule="auto"/>
              <w:jc w:val="center"/>
              <w:rPr>
                <w:rFonts w:ascii="仿宋" w:hAnsi="仿宋" w:eastAsia="仿宋" w:cs="仿宋"/>
                <w:color w:val="auto"/>
              </w:rPr>
            </w:pPr>
          </w:p>
        </w:tc>
        <w:tc>
          <w:tcPr>
            <w:tcW w:w="6635" w:type="dxa"/>
            <w:shd w:val="clear" w:color="auto" w:fill="auto"/>
            <w:vAlign w:val="center"/>
          </w:tcPr>
          <w:p>
            <w:pPr>
              <w:spacing w:line="360" w:lineRule="auto"/>
              <w:jc w:val="left"/>
              <w:rPr>
                <w:rFonts w:ascii="仿宋" w:hAnsi="仿宋" w:eastAsia="仿宋" w:cs="仿宋"/>
                <w:color w:val="auto"/>
              </w:rPr>
            </w:pPr>
            <w:r>
              <w:rPr>
                <w:rFonts w:hint="eastAsia" w:ascii="仿宋" w:hAnsi="仿宋" w:eastAsia="仿宋" w:cs="仿宋"/>
                <w:color w:val="auto"/>
              </w:rPr>
              <w:t>终端计算机端口与外设管理（</w:t>
            </w:r>
            <w:r>
              <w:rPr>
                <w:rFonts w:hint="eastAsia" w:ascii="仿宋" w:hAnsi="仿宋" w:eastAsia="仿宋" w:cs="仿宋"/>
                <w:bCs/>
                <w:color w:val="auto"/>
              </w:rPr>
              <w:t>USB、光驱、软驱、打印机、移动存储设备、</w:t>
            </w:r>
            <w:r>
              <w:rPr>
                <w:rFonts w:hint="eastAsia" w:ascii="仿宋" w:hAnsi="仿宋" w:eastAsia="仿宋" w:cs="仿宋"/>
                <w:color w:val="auto"/>
              </w:rPr>
              <w:t>PCMCIA设备、智能卡设备、Modem、串口、并口、1394接口、红外接口、蓝牙设备</w:t>
            </w:r>
            <w:r>
              <w:rPr>
                <w:rFonts w:hint="eastAsia" w:ascii="仿宋" w:hAnsi="仿宋" w:eastAsia="仿宋" w:cs="仿宋"/>
                <w:bCs/>
                <w:color w:val="auto"/>
              </w:rPr>
              <w:t>、磁带等）；支持对编写式设备的禁止；支持系统中任何可见设备的管理；支持自定义类型的新设备管理；支持当前终端设备查看与管理，支持按照安全策略的长期自动设备管理；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5</w:t>
            </w:r>
          </w:p>
        </w:tc>
        <w:tc>
          <w:tcPr>
            <w:tcW w:w="1309" w:type="dxa"/>
            <w:vMerge w:val="continue"/>
            <w:vAlign w:val="center"/>
          </w:tcPr>
          <w:p>
            <w:pPr>
              <w:spacing w:line="360" w:lineRule="auto"/>
              <w:jc w:val="center"/>
              <w:rPr>
                <w:rFonts w:ascii="仿宋" w:hAnsi="仿宋" w:eastAsia="仿宋" w:cs="仿宋"/>
                <w:color w:val="auto"/>
              </w:rPr>
            </w:pPr>
          </w:p>
        </w:tc>
        <w:tc>
          <w:tcPr>
            <w:tcW w:w="6635" w:type="dxa"/>
            <w:shd w:val="clear" w:color="auto" w:fill="auto"/>
            <w:vAlign w:val="center"/>
          </w:tcPr>
          <w:p>
            <w:pPr>
              <w:spacing w:line="360" w:lineRule="auto"/>
              <w:jc w:val="left"/>
              <w:rPr>
                <w:rFonts w:ascii="仿宋" w:hAnsi="仿宋" w:eastAsia="仿宋" w:cs="仿宋"/>
                <w:bCs/>
                <w:color w:val="auto"/>
              </w:rPr>
            </w:pPr>
            <w:r>
              <w:rPr>
                <w:rFonts w:hint="eastAsia" w:ascii="仿宋" w:hAnsi="仿宋" w:eastAsia="仿宋" w:cs="仿宋"/>
                <w:bCs/>
                <w:color w:val="auto"/>
              </w:rPr>
              <w:t>文件分发（批量文件与目录发送、可指定接收位置、自动运行）、发送消息、远程命令（支持批量与参数）、终端录制、远程操作、电源管理、远程卸载终端、系统补丁、补丁发布、终端程序升级、系统资源查看、终端锁定\解锁、终端版本查看、时间同步、终端登录管理、终端显示与查询、远程文件管理、垃圾文件清理、多系统管理、网络检测、远程管理。</w:t>
            </w:r>
          </w:p>
          <w:p>
            <w:pPr>
              <w:spacing w:line="360" w:lineRule="auto"/>
              <w:jc w:val="left"/>
              <w:rPr>
                <w:rFonts w:ascii="仿宋" w:hAnsi="仿宋" w:eastAsia="仿宋" w:cs="仿宋"/>
                <w:bCs/>
                <w:color w:val="auto"/>
              </w:rPr>
            </w:pPr>
            <w:r>
              <w:rPr>
                <w:rFonts w:hint="eastAsia" w:ascii="仿宋" w:hAnsi="仿宋" w:eastAsia="仿宋" w:cs="仿宋"/>
                <w:bCs/>
                <w:color w:val="auto"/>
              </w:rPr>
              <w:t>程序（进程）管理、网络防护、打印管理（禁用启用打印机、打印机使用监控与打印机详细记录、打印过滤、系统打印机安装与删除）、设备管理、光驱管理、上网管理。</w:t>
            </w:r>
          </w:p>
          <w:p>
            <w:pPr>
              <w:snapToGrid w:val="0"/>
              <w:spacing w:line="360" w:lineRule="auto"/>
              <w:jc w:val="left"/>
              <w:rPr>
                <w:rFonts w:ascii="仿宋" w:hAnsi="仿宋" w:eastAsia="仿宋" w:cs="仿宋"/>
                <w:bCs/>
                <w:color w:val="auto"/>
              </w:rPr>
            </w:pPr>
            <w:r>
              <w:rPr>
                <w:rFonts w:hint="eastAsia" w:ascii="仿宋" w:hAnsi="仿宋" w:eastAsia="仿宋" w:cs="仿宋"/>
                <w:bCs/>
                <w:color w:val="auto"/>
              </w:rPr>
              <w:t>终端代理程序功能：支持一键静默安装、推送安装、引导安装，自我防护、自我隐藏、禁止删除、远程卸载与本地管理密码，自动更新、离线管理、断网自动恢复等。</w:t>
            </w:r>
          </w:p>
          <w:p>
            <w:pPr>
              <w:spacing w:line="360" w:lineRule="auto"/>
              <w:jc w:val="left"/>
              <w:rPr>
                <w:rFonts w:ascii="仿宋" w:hAnsi="仿宋" w:eastAsia="仿宋" w:cs="仿宋"/>
                <w:color w:val="auto"/>
              </w:rPr>
            </w:pPr>
            <w:r>
              <w:rPr>
                <w:rFonts w:hint="eastAsia" w:ascii="仿宋" w:hAnsi="仿宋" w:eastAsia="仿宋" w:cs="仿宋"/>
                <w:bCs/>
                <w:color w:val="auto"/>
              </w:rPr>
              <w:t>常用终端管理功能（禁止终端修改IP地址、禁止系统进入安全模式、系统默认加载驱动、禁止使用控制面板、禁止添加、删除打印机、禁止设置屏幕属性、禁止终端快速切换用户、禁止共享文件夹、禁止修改主机名、启用终端维护密码、定时资产扫描、定时关机）。控制终端的打印安全，记录下终端的打印文件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6</w:t>
            </w:r>
          </w:p>
        </w:tc>
        <w:tc>
          <w:tcPr>
            <w:tcW w:w="1309" w:type="dxa"/>
            <w:vMerge w:val="continue"/>
            <w:vAlign w:val="center"/>
          </w:tcPr>
          <w:p>
            <w:pPr>
              <w:spacing w:line="360" w:lineRule="auto"/>
              <w:jc w:val="center"/>
              <w:rPr>
                <w:rFonts w:ascii="仿宋" w:hAnsi="仿宋" w:eastAsia="仿宋" w:cs="仿宋"/>
                <w:color w:val="auto"/>
              </w:rPr>
            </w:pPr>
          </w:p>
        </w:tc>
        <w:tc>
          <w:tcPr>
            <w:tcW w:w="6635" w:type="dxa"/>
            <w:shd w:val="clear" w:color="auto" w:fill="auto"/>
            <w:vAlign w:val="center"/>
          </w:tcPr>
          <w:p>
            <w:pPr>
              <w:snapToGrid w:val="0"/>
              <w:spacing w:line="360" w:lineRule="auto"/>
              <w:jc w:val="left"/>
              <w:rPr>
                <w:rFonts w:ascii="仿宋" w:hAnsi="仿宋" w:eastAsia="仿宋" w:cs="仿宋"/>
                <w:color w:val="auto"/>
              </w:rPr>
            </w:pPr>
            <w:r>
              <w:rPr>
                <w:rFonts w:hint="eastAsia" w:ascii="仿宋" w:hAnsi="仿宋" w:eastAsia="仿宋" w:cs="仿宋"/>
                <w:bCs/>
                <w:color w:val="auto"/>
              </w:rPr>
              <w:t>安全预警功能：网络接入预警、USB插拔预警、违规外联预警、资产异动预警、非指定时间内开机预警、程序预警、网址预警、其它安全项目预警（</w:t>
            </w:r>
            <w:r>
              <w:rPr>
                <w:rFonts w:hint="eastAsia" w:ascii="仿宋" w:hAnsi="仿宋" w:eastAsia="仿宋" w:cs="仿宋"/>
                <w:color w:val="auto"/>
              </w:rPr>
              <w:t>系统盘空间不足、内存不足、进程占用内存过多、</w:t>
            </w:r>
            <w:r>
              <w:rPr>
                <w:rFonts w:hint="eastAsia" w:ascii="仿宋" w:hAnsi="仿宋" w:eastAsia="仿宋" w:cs="仿宋"/>
                <w:bCs/>
                <w:color w:val="auto"/>
              </w:rPr>
              <w:t>打印预警</w:t>
            </w:r>
            <w:r>
              <w:rPr>
                <w:rFonts w:hint="eastAsia" w:ascii="仿宋" w:hAnsi="仿宋" w:eastAsia="仿宋" w:cs="仿宋"/>
                <w:color w:val="auto"/>
              </w:rPr>
              <w:t>等）。</w:t>
            </w:r>
          </w:p>
          <w:p>
            <w:pPr>
              <w:snapToGrid w:val="0"/>
              <w:spacing w:line="360" w:lineRule="auto"/>
              <w:jc w:val="left"/>
              <w:rPr>
                <w:rFonts w:ascii="仿宋" w:hAnsi="仿宋" w:eastAsia="仿宋" w:cs="仿宋"/>
                <w:color w:val="auto"/>
              </w:rPr>
            </w:pPr>
            <w:r>
              <w:rPr>
                <w:rFonts w:hint="eastAsia" w:ascii="仿宋" w:hAnsi="仿宋" w:eastAsia="仿宋" w:cs="仿宋"/>
                <w:bCs/>
                <w:color w:val="auto"/>
              </w:rPr>
              <w:t>关键字检索：根据用户设置的网页日志关键字进行关键字检索预警；</w:t>
            </w:r>
          </w:p>
          <w:p>
            <w:pPr>
              <w:spacing w:line="360" w:lineRule="auto"/>
              <w:jc w:val="left"/>
              <w:rPr>
                <w:rFonts w:ascii="仿宋" w:hAnsi="仿宋" w:eastAsia="仿宋" w:cs="仿宋"/>
                <w:color w:val="auto"/>
              </w:rPr>
            </w:pPr>
            <w:r>
              <w:rPr>
                <w:rFonts w:hint="eastAsia" w:ascii="仿宋" w:hAnsi="仿宋" w:eastAsia="仿宋" w:cs="仿宋"/>
                <w:bCs/>
                <w:color w:val="auto"/>
              </w:rPr>
              <w:t>预警方式：邮件通知、声音预警，可以设置多个管理员负责接收预警通知。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7</w:t>
            </w:r>
          </w:p>
        </w:tc>
        <w:tc>
          <w:tcPr>
            <w:tcW w:w="1309" w:type="dxa"/>
            <w:vMerge w:val="continue"/>
            <w:vAlign w:val="center"/>
          </w:tcPr>
          <w:p>
            <w:pPr>
              <w:spacing w:line="360" w:lineRule="auto"/>
              <w:jc w:val="center"/>
              <w:rPr>
                <w:rFonts w:ascii="仿宋" w:hAnsi="仿宋" w:eastAsia="仿宋" w:cs="仿宋"/>
                <w:color w:val="auto"/>
              </w:rPr>
            </w:pPr>
          </w:p>
        </w:tc>
        <w:tc>
          <w:tcPr>
            <w:tcW w:w="6635" w:type="dxa"/>
            <w:shd w:val="clear" w:color="auto" w:fill="auto"/>
            <w:vAlign w:val="center"/>
          </w:tcPr>
          <w:p>
            <w:pPr>
              <w:spacing w:line="360" w:lineRule="auto"/>
              <w:jc w:val="left"/>
              <w:rPr>
                <w:rFonts w:ascii="仿宋" w:hAnsi="仿宋" w:eastAsia="仿宋" w:cs="仿宋"/>
                <w:color w:val="auto"/>
              </w:rPr>
            </w:pPr>
            <w:r>
              <w:rPr>
                <w:rFonts w:hint="eastAsia" w:ascii="仿宋" w:hAnsi="仿宋" w:eastAsia="仿宋" w:cs="仿宋"/>
                <w:color w:val="auto"/>
              </w:rPr>
              <w:t>系统日志与审计：详细的分类日志，快速查询、关键字查询与高级查询，导入导出、评价、标注、清理等，图形化的报表功能，支持日志审核机制，专职日志审计管理员负责日志安全审计；</w:t>
            </w:r>
          </w:p>
          <w:p>
            <w:pPr>
              <w:spacing w:line="360" w:lineRule="auto"/>
              <w:jc w:val="left"/>
              <w:rPr>
                <w:rFonts w:ascii="仿宋" w:hAnsi="仿宋" w:eastAsia="仿宋" w:cs="仿宋"/>
                <w:color w:val="auto"/>
              </w:rPr>
            </w:pPr>
            <w:r>
              <w:rPr>
                <w:rFonts w:hint="eastAsia" w:ascii="仿宋" w:hAnsi="仿宋" w:eastAsia="仿宋" w:cs="仿宋"/>
                <w:color w:val="auto"/>
              </w:rPr>
              <w:t>自动维护功能：支持自动清理，可按时间或按记录条数的多少自动清理过期的系统日志数据。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8</w:t>
            </w:r>
          </w:p>
        </w:tc>
        <w:tc>
          <w:tcPr>
            <w:tcW w:w="1309" w:type="dxa"/>
            <w:vMerge w:val="continue"/>
            <w:vAlign w:val="center"/>
          </w:tcPr>
          <w:p>
            <w:pPr>
              <w:spacing w:line="360" w:lineRule="auto"/>
              <w:jc w:val="center"/>
              <w:rPr>
                <w:rFonts w:ascii="仿宋" w:hAnsi="仿宋" w:eastAsia="仿宋" w:cs="仿宋"/>
                <w:color w:val="auto"/>
              </w:rPr>
            </w:pPr>
          </w:p>
        </w:tc>
        <w:tc>
          <w:tcPr>
            <w:tcW w:w="6635" w:type="dxa"/>
            <w:shd w:val="clear" w:color="auto" w:fill="auto"/>
            <w:vAlign w:val="center"/>
          </w:tcPr>
          <w:p>
            <w:pPr>
              <w:spacing w:line="360" w:lineRule="auto"/>
              <w:jc w:val="left"/>
              <w:rPr>
                <w:rFonts w:ascii="仿宋" w:hAnsi="仿宋" w:eastAsia="仿宋" w:cs="仿宋"/>
                <w:color w:val="auto"/>
              </w:rPr>
            </w:pPr>
            <w:r>
              <w:rPr>
                <w:rFonts w:hint="eastAsia" w:ascii="仿宋" w:hAnsi="仿宋" w:eastAsia="仿宋" w:cs="仿宋"/>
                <w:bCs/>
                <w:color w:val="auto"/>
              </w:rPr>
              <w:t>客户端能够选择单独部署和集成部署两个模式，集成部署可以与杀毒软件集成。同时与</w:t>
            </w:r>
            <w:r>
              <w:rPr>
                <w:rFonts w:hint="eastAsia" w:ascii="仿宋" w:hAnsi="仿宋" w:eastAsia="仿宋" w:cs="仿宋"/>
                <w:color w:val="auto"/>
                <w:szCs w:val="21"/>
              </w:rPr>
              <w:t>杀毒软件联动：</w:t>
            </w:r>
            <w:r>
              <w:rPr>
                <w:rFonts w:hint="eastAsia" w:ascii="仿宋" w:hAnsi="仿宋" w:eastAsia="仿宋" w:cs="仿宋"/>
                <w:color w:val="auto"/>
                <w:kern w:val="0"/>
                <w:szCs w:val="21"/>
              </w:rPr>
              <w:t>支持与主流杀毒软件的关联，能检测杀毒软件的安装、运行、病毒库的更新、版本等，引导安装、更新、杀毒等联动。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rPr>
            </w:pPr>
            <w:r>
              <w:rPr>
                <w:rFonts w:hint="eastAsia" w:ascii="仿宋" w:hAnsi="仿宋" w:eastAsia="仿宋" w:cs="仿宋"/>
                <w:color w:val="auto"/>
              </w:rPr>
              <w:t>9</w:t>
            </w:r>
          </w:p>
        </w:tc>
        <w:tc>
          <w:tcPr>
            <w:tcW w:w="1309" w:type="dxa"/>
            <w:vMerge w:val="continue"/>
            <w:vAlign w:val="center"/>
          </w:tcPr>
          <w:p>
            <w:pPr>
              <w:spacing w:line="360" w:lineRule="auto"/>
              <w:jc w:val="center"/>
              <w:rPr>
                <w:rFonts w:ascii="仿宋" w:hAnsi="仿宋" w:eastAsia="仿宋" w:cs="仿宋"/>
                <w:color w:val="auto"/>
              </w:rPr>
            </w:pPr>
          </w:p>
        </w:tc>
        <w:tc>
          <w:tcPr>
            <w:tcW w:w="6635" w:type="dxa"/>
            <w:shd w:val="clear" w:color="auto" w:fill="auto"/>
            <w:vAlign w:val="center"/>
          </w:tcPr>
          <w:p>
            <w:pPr>
              <w:spacing w:line="360" w:lineRule="auto"/>
              <w:jc w:val="left"/>
              <w:rPr>
                <w:rFonts w:ascii="仿宋" w:hAnsi="仿宋" w:eastAsia="仿宋" w:cs="仿宋"/>
                <w:bCs/>
                <w:color w:val="auto"/>
              </w:rPr>
            </w:pPr>
            <w:r>
              <w:rPr>
                <w:rFonts w:hint="eastAsia" w:ascii="仿宋" w:hAnsi="仿宋" w:eastAsia="仿宋" w:cs="仿宋"/>
                <w:color w:val="auto"/>
                <w:kern w:val="0"/>
                <w:szCs w:val="21"/>
              </w:rPr>
              <w:t>安全检测库：系统自带默认安全合规检测库（30项以上），支持合规检测库的自定义添加与管理</w:t>
            </w:r>
          </w:p>
        </w:tc>
      </w:tr>
    </w:tbl>
    <w:p>
      <w:pPr>
        <w:spacing w:line="360" w:lineRule="auto"/>
        <w:rPr>
          <w:rFonts w:ascii="仿宋" w:hAnsi="仿宋" w:eastAsia="仿宋" w:cs="仿宋"/>
          <w:b/>
          <w:bCs/>
          <w:color w:val="auto"/>
          <w:sz w:val="22"/>
          <w:szCs w:val="22"/>
        </w:rPr>
      </w:pPr>
      <w:r>
        <w:rPr>
          <w:rFonts w:hint="eastAsia" w:ascii="仿宋" w:hAnsi="仿宋" w:eastAsia="仿宋" w:cs="仿宋"/>
          <w:b/>
          <w:bCs/>
          <w:color w:val="auto"/>
          <w:sz w:val="22"/>
          <w:szCs w:val="22"/>
        </w:rPr>
        <w:t>（7）终端数据防泄漏</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309"/>
        <w:gridCol w:w="6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1309"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产品名称</w:t>
            </w:r>
          </w:p>
        </w:tc>
        <w:tc>
          <w:tcPr>
            <w:tcW w:w="6635"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招标技术参数要求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09" w:type="dxa"/>
            <w:vMerge w:val="restar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终端数据防泄漏</w:t>
            </w: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软件版，配置管理控制中心：策略管理、终端敏感信息发现和保护、终端事件审计、日志管理、指纹与特征库管理、系统管理等；配置数据检测引擎：支持关键字、正则、数据标识符、数据库指纹、文档指纹、机器分类、文件大小、文件类型、文件名、协议、发送者、接收者等；配置文件识别引擎：1000+文件类型识别，300+文件内容提取；≥2000点终端DLP代理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系统支持识别的加密文件格式不少于12种；支持的压缩文件格式不少于25种，如RAR、ZIP、GZ、TAR等；支持的图片格式不少于37种；支持识别的文件类型数量不少于1000种；支持识别的文件内容格式不少于300种；支持识别Linux，Unix等非Winodws的文件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支持数据标识符方式识别敏感内容，如：身份证、中国人名等；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系统支持图片OCR方式识别图片文字。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支持识别文件加密方式逃避检测行为；支持识别邮件密送行为；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6</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事件报表支持以PDF、CSV、HTML、WORD、PPT格式导出；支持定时自动发送报表功能。可以周期时间将事件报告以邮件方式发给特定人员。</w:t>
            </w:r>
          </w:p>
        </w:tc>
      </w:tr>
    </w:tbl>
    <w:p>
      <w:pPr>
        <w:spacing w:line="360" w:lineRule="auto"/>
        <w:rPr>
          <w:rFonts w:ascii="仿宋" w:hAnsi="仿宋" w:eastAsia="仿宋" w:cs="仿宋"/>
          <w:color w:val="auto"/>
          <w:sz w:val="22"/>
          <w:szCs w:val="22"/>
        </w:rPr>
      </w:pPr>
      <w:r>
        <w:rPr>
          <w:rFonts w:hint="eastAsia" w:ascii="仿宋" w:hAnsi="仿宋" w:eastAsia="仿宋" w:cs="仿宋"/>
          <w:color w:val="auto"/>
          <w:sz w:val="22"/>
          <w:szCs w:val="22"/>
        </w:rPr>
        <w:t>（8）终端数据脱敏系统</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309"/>
        <w:gridCol w:w="6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1309"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产品名称</w:t>
            </w:r>
          </w:p>
        </w:tc>
        <w:tc>
          <w:tcPr>
            <w:tcW w:w="6635"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招标技术参数要求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09" w:type="dxa"/>
            <w:vMerge w:val="restart"/>
            <w:shd w:val="clear" w:color="auto" w:fill="auto"/>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终端数据脱敏系统</w:t>
            </w:r>
          </w:p>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rPr>
              <w:t>基于B/S架构的web管理模式，用户端无须安装客户端程序；中文操作界面；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rPr>
            </w:pPr>
            <w:r>
              <w:rPr>
                <w:rFonts w:hint="eastAsia" w:ascii="仿宋" w:hAnsi="仿宋" w:eastAsia="仿宋" w:cs="仿宋"/>
                <w:color w:val="auto"/>
              </w:rPr>
              <w:t>支持多种数据源，包括：阿里云rds、阿里云drds、腾讯云tdsql、oracle、db2、mysql等数据库；</w:t>
            </w:r>
          </w:p>
          <w:p>
            <w:pPr>
              <w:spacing w:line="360" w:lineRule="auto"/>
              <w:jc w:val="left"/>
              <w:rPr>
                <w:rFonts w:ascii="仿宋" w:hAnsi="仿宋" w:eastAsia="仿宋" w:cs="仿宋"/>
                <w:b/>
                <w:bCs/>
                <w:color w:val="auto"/>
              </w:rPr>
            </w:pPr>
            <w:r>
              <w:rPr>
                <w:rFonts w:hint="eastAsia" w:ascii="仿宋" w:hAnsi="仿宋" w:eastAsia="仿宋" w:cs="仿宋"/>
                <w:color w:val="auto"/>
              </w:rPr>
              <w:t>支持txt,csv,excel等文件类型作为脱敏源和目标,且支持远程sftp方式对文件进行脱敏。</w:t>
            </w:r>
          </w:p>
          <w:p>
            <w:pPr>
              <w:spacing w:line="360" w:lineRule="auto"/>
              <w:jc w:val="left"/>
              <w:rPr>
                <w:rFonts w:ascii="仿宋" w:hAnsi="仿宋" w:eastAsia="仿宋" w:cs="仿宋"/>
                <w:color w:val="auto"/>
                <w:sz w:val="24"/>
              </w:rPr>
            </w:pPr>
            <w:r>
              <w:rPr>
                <w:rFonts w:hint="eastAsia" w:ascii="仿宋" w:hAnsi="仿宋" w:eastAsia="仿宋" w:cs="仿宋"/>
                <w:color w:val="auto"/>
              </w:rPr>
              <w:t>支持数据源连通性测试；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rPr>
            </w:pPr>
            <w:r>
              <w:rPr>
                <w:rFonts w:hint="eastAsia" w:ascii="仿宋" w:hAnsi="仿宋" w:eastAsia="仿宋" w:cs="仿宋"/>
                <w:color w:val="auto"/>
              </w:rPr>
              <w:t>支持数据库到数据库脱敏；</w:t>
            </w:r>
          </w:p>
          <w:p>
            <w:pPr>
              <w:spacing w:line="360" w:lineRule="auto"/>
              <w:jc w:val="left"/>
              <w:rPr>
                <w:rFonts w:ascii="仿宋" w:hAnsi="仿宋" w:eastAsia="仿宋" w:cs="仿宋"/>
                <w:color w:val="auto"/>
              </w:rPr>
            </w:pPr>
            <w:r>
              <w:rPr>
                <w:rFonts w:hint="eastAsia" w:ascii="仿宋" w:hAnsi="仿宋" w:eastAsia="仿宋" w:cs="仿宋"/>
                <w:color w:val="auto"/>
              </w:rPr>
              <w:t>支持数据库到文件脱敏；</w:t>
            </w:r>
          </w:p>
          <w:p>
            <w:pPr>
              <w:spacing w:line="360" w:lineRule="auto"/>
              <w:jc w:val="left"/>
              <w:rPr>
                <w:rFonts w:ascii="仿宋" w:hAnsi="仿宋" w:eastAsia="仿宋" w:cs="仿宋"/>
                <w:color w:val="auto"/>
              </w:rPr>
            </w:pPr>
            <w:r>
              <w:rPr>
                <w:rFonts w:hint="eastAsia" w:ascii="仿宋" w:hAnsi="仿宋" w:eastAsia="仿宋" w:cs="仿宋"/>
                <w:color w:val="auto"/>
              </w:rPr>
              <w:t>支持文件到数据库脱敏；</w:t>
            </w:r>
          </w:p>
          <w:p>
            <w:pPr>
              <w:spacing w:line="360" w:lineRule="auto"/>
              <w:jc w:val="left"/>
              <w:rPr>
                <w:rFonts w:ascii="仿宋" w:hAnsi="仿宋" w:eastAsia="仿宋" w:cs="仿宋"/>
                <w:color w:val="auto"/>
              </w:rPr>
            </w:pPr>
            <w:r>
              <w:rPr>
                <w:rFonts w:hint="eastAsia" w:ascii="仿宋" w:hAnsi="仿宋" w:eastAsia="仿宋" w:cs="仿宋"/>
                <w:color w:val="auto"/>
              </w:rPr>
              <w:t>支持文件到文件脱敏；支持原库脱敏；</w:t>
            </w:r>
          </w:p>
          <w:p>
            <w:pPr>
              <w:spacing w:line="360" w:lineRule="auto"/>
              <w:jc w:val="left"/>
              <w:rPr>
                <w:rFonts w:ascii="仿宋" w:hAnsi="仿宋" w:eastAsia="仿宋" w:cs="仿宋"/>
                <w:color w:val="auto"/>
              </w:rPr>
            </w:pPr>
            <w:r>
              <w:rPr>
                <w:rFonts w:hint="eastAsia" w:ascii="仿宋" w:hAnsi="仿宋" w:eastAsia="仿宋" w:cs="仿宋"/>
                <w:color w:val="auto"/>
              </w:rPr>
              <w:t>支持异构脱敏；</w:t>
            </w:r>
          </w:p>
          <w:p>
            <w:pPr>
              <w:spacing w:line="360" w:lineRule="auto"/>
              <w:jc w:val="left"/>
              <w:rPr>
                <w:rFonts w:ascii="仿宋" w:hAnsi="仿宋" w:eastAsia="仿宋" w:cs="仿宋"/>
                <w:color w:val="auto"/>
                <w:sz w:val="24"/>
              </w:rPr>
            </w:pPr>
            <w:r>
              <w:rPr>
                <w:rFonts w:hint="eastAsia" w:ascii="仿宋" w:hAnsi="仿宋" w:eastAsia="仿宋" w:cs="仿宋"/>
                <w:color w:val="auto"/>
              </w:rPr>
              <w:t>数据库到数据库数据脱敏方式，脱敏前不保存任何原始数据，支持数据不落地脱敏，不需额外存储中间数据，最大限度保障用户数据安全；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b/>
                <w:bCs/>
                <w:color w:val="auto"/>
              </w:rPr>
            </w:pPr>
            <w:r>
              <w:rPr>
                <w:rFonts w:hint="eastAsia" w:ascii="仿宋" w:hAnsi="仿宋" w:eastAsia="仿宋" w:cs="仿宋"/>
                <w:color w:val="auto"/>
              </w:rPr>
              <w:t>支持通过关键字、正则表达式进行敏感数据自动发现；</w:t>
            </w:r>
          </w:p>
          <w:p>
            <w:pPr>
              <w:spacing w:line="360" w:lineRule="auto"/>
              <w:jc w:val="left"/>
              <w:rPr>
                <w:rFonts w:ascii="仿宋" w:hAnsi="仿宋" w:eastAsia="仿宋" w:cs="仿宋"/>
                <w:color w:val="auto"/>
              </w:rPr>
            </w:pPr>
            <w:r>
              <w:rPr>
                <w:rFonts w:hint="eastAsia" w:ascii="仿宋" w:hAnsi="仿宋" w:eastAsia="仿宋" w:cs="仿宋"/>
                <w:color w:val="auto"/>
              </w:rPr>
              <w:t>内置常见敏感数据类型：姓名、日期、身份证、护照、军官证、护照、永久居住证、税务登记证、组织机构代码证、工商营业执照、社会统一信用代码、银行卡、电话、电子邮箱车牌号等；</w:t>
            </w:r>
          </w:p>
          <w:p>
            <w:pPr>
              <w:spacing w:line="360" w:lineRule="auto"/>
              <w:jc w:val="left"/>
              <w:rPr>
                <w:rFonts w:ascii="仿宋" w:hAnsi="仿宋" w:eastAsia="仿宋" w:cs="仿宋"/>
                <w:color w:val="auto"/>
              </w:rPr>
            </w:pPr>
            <w:r>
              <w:rPr>
                <w:rFonts w:hint="eastAsia" w:ascii="仿宋" w:hAnsi="仿宋" w:eastAsia="仿宋" w:cs="仿宋"/>
                <w:color w:val="auto"/>
              </w:rPr>
              <w:t>支持用户根据自身特殊数据特征进行敏感数据发现规则定义；</w:t>
            </w:r>
          </w:p>
          <w:p>
            <w:pPr>
              <w:spacing w:line="360" w:lineRule="auto"/>
              <w:jc w:val="left"/>
              <w:rPr>
                <w:rFonts w:ascii="仿宋" w:hAnsi="仿宋" w:eastAsia="仿宋" w:cs="仿宋"/>
                <w:color w:val="auto"/>
              </w:rPr>
            </w:pPr>
            <w:r>
              <w:rPr>
                <w:rFonts w:hint="eastAsia" w:ascii="仿宋" w:hAnsi="仿宋" w:eastAsia="仿宋" w:cs="仿宋"/>
                <w:color w:val="auto"/>
              </w:rPr>
              <w:t>支持用户自定义发现任务中的抽样数据比例和匹配率；</w:t>
            </w:r>
          </w:p>
          <w:p>
            <w:pPr>
              <w:spacing w:line="360" w:lineRule="auto"/>
              <w:jc w:val="left"/>
              <w:rPr>
                <w:rFonts w:ascii="仿宋" w:hAnsi="仿宋" w:eastAsia="仿宋" w:cs="仿宋"/>
                <w:color w:val="auto"/>
              </w:rPr>
            </w:pPr>
            <w:r>
              <w:rPr>
                <w:rFonts w:hint="eastAsia" w:ascii="仿宋" w:hAnsi="仿宋" w:eastAsia="仿宋" w:cs="仿宋"/>
                <w:color w:val="auto"/>
              </w:rPr>
              <w:t>支持用户自定义发现任务中自动确认探测结果的匹配率阈值；</w:t>
            </w:r>
          </w:p>
          <w:p>
            <w:pPr>
              <w:spacing w:line="360" w:lineRule="auto"/>
              <w:jc w:val="left"/>
              <w:rPr>
                <w:rFonts w:ascii="仿宋" w:hAnsi="仿宋" w:eastAsia="仿宋" w:cs="仿宋"/>
                <w:color w:val="auto"/>
              </w:rPr>
            </w:pPr>
            <w:r>
              <w:rPr>
                <w:rFonts w:hint="eastAsia" w:ascii="仿宋" w:hAnsi="仿宋" w:eastAsia="仿宋" w:cs="仿宋"/>
                <w:color w:val="auto"/>
              </w:rPr>
              <w:t>以报告的方式对发现结果进行展现，多维度方式进行敏感数据分布视图展示，并可对结果进行修改、审核、确认。报告中包含敏感字段、样本数据的匹配度等信息；提供敏感数据发现任务的执行、暂停和继续功能；</w:t>
            </w:r>
          </w:p>
          <w:p>
            <w:pPr>
              <w:spacing w:line="360" w:lineRule="auto"/>
              <w:jc w:val="left"/>
              <w:rPr>
                <w:rFonts w:ascii="仿宋" w:hAnsi="仿宋" w:eastAsia="仿宋" w:cs="仿宋"/>
                <w:color w:val="auto"/>
              </w:rPr>
            </w:pPr>
            <w:r>
              <w:rPr>
                <w:rFonts w:hint="eastAsia" w:ascii="仿宋" w:hAnsi="仿宋" w:eastAsia="仿宋" w:cs="仿宋"/>
                <w:color w:val="auto"/>
              </w:rPr>
              <w:t>能够对一个单元格中的一段敏感数据进行自动发现；</w:t>
            </w:r>
          </w:p>
          <w:p>
            <w:pPr>
              <w:spacing w:line="360" w:lineRule="auto"/>
              <w:jc w:val="left"/>
              <w:rPr>
                <w:rFonts w:ascii="仿宋" w:hAnsi="仿宋" w:eastAsia="仿宋" w:cs="仿宋"/>
                <w:color w:val="auto"/>
              </w:rPr>
            </w:pPr>
            <w:r>
              <w:rPr>
                <w:rFonts w:hint="eastAsia" w:ascii="仿宋" w:hAnsi="仿宋" w:eastAsia="仿宋" w:cs="仿宋"/>
                <w:color w:val="auto"/>
              </w:rPr>
              <w:t>能够对一个单元格中的多段敏感数据进行自动发现；</w:t>
            </w:r>
          </w:p>
          <w:p>
            <w:pPr>
              <w:spacing w:line="360" w:lineRule="auto"/>
              <w:jc w:val="left"/>
              <w:rPr>
                <w:rFonts w:ascii="仿宋" w:hAnsi="仿宋" w:eastAsia="仿宋" w:cs="仿宋"/>
                <w:color w:val="auto"/>
              </w:rPr>
            </w:pPr>
            <w:r>
              <w:rPr>
                <w:rFonts w:hint="eastAsia" w:ascii="仿宋" w:hAnsi="仿宋" w:eastAsia="仿宋" w:cs="仿宋"/>
                <w:color w:val="auto"/>
              </w:rPr>
              <w:t>能够应对一列内混合了多种敏感类型数据的情况，发现涉及的全部敏感数据；</w:t>
            </w:r>
          </w:p>
          <w:p>
            <w:pPr>
              <w:spacing w:line="360" w:lineRule="auto"/>
              <w:jc w:val="left"/>
              <w:rPr>
                <w:rFonts w:ascii="仿宋" w:hAnsi="仿宋" w:eastAsia="仿宋" w:cs="仿宋"/>
                <w:color w:val="auto"/>
              </w:rPr>
            </w:pPr>
            <w:r>
              <w:rPr>
                <w:rFonts w:hint="eastAsia" w:ascii="仿宋" w:hAnsi="仿宋" w:eastAsia="仿宋" w:cs="仿宋"/>
                <w:color w:val="auto"/>
              </w:rPr>
              <w:t>支持敏感数据分类信息电子化管理；</w:t>
            </w:r>
          </w:p>
          <w:p>
            <w:pPr>
              <w:spacing w:line="360" w:lineRule="auto"/>
              <w:jc w:val="left"/>
              <w:rPr>
                <w:rFonts w:ascii="仿宋" w:hAnsi="仿宋" w:eastAsia="仿宋" w:cs="仿宋"/>
                <w:color w:val="auto"/>
              </w:rPr>
            </w:pPr>
            <w:r>
              <w:rPr>
                <w:rFonts w:hint="eastAsia" w:ascii="仿宋" w:hAnsi="仿宋" w:eastAsia="仿宋" w:cs="仿宋"/>
                <w:color w:val="auto"/>
              </w:rPr>
              <w:t>支持对敏感数据进行敏感定级，由高到低可以分为：高敏感级、中敏感级、低敏感级；</w:t>
            </w:r>
          </w:p>
          <w:p>
            <w:pPr>
              <w:spacing w:line="360" w:lineRule="auto"/>
              <w:jc w:val="left"/>
              <w:rPr>
                <w:rFonts w:ascii="仿宋" w:hAnsi="仿宋" w:eastAsia="仿宋" w:cs="仿宋"/>
                <w:color w:val="auto"/>
              </w:rPr>
            </w:pPr>
            <w:r>
              <w:rPr>
                <w:rFonts w:hint="eastAsia" w:ascii="仿宋" w:hAnsi="仿宋" w:eastAsia="仿宋" w:cs="仿宋"/>
                <w:color w:val="auto"/>
              </w:rPr>
              <w:t>支持敏感数据自动探测任务定时调度；</w:t>
            </w:r>
          </w:p>
          <w:p>
            <w:pPr>
              <w:spacing w:line="360" w:lineRule="auto"/>
              <w:jc w:val="left"/>
              <w:rPr>
                <w:rFonts w:ascii="仿宋" w:hAnsi="仿宋" w:eastAsia="仿宋" w:cs="仿宋"/>
                <w:color w:val="auto"/>
                <w:sz w:val="24"/>
              </w:rPr>
            </w:pPr>
            <w:r>
              <w:rPr>
                <w:rFonts w:hint="eastAsia" w:ascii="仿宋" w:hAnsi="仿宋" w:eastAsia="仿宋" w:cs="仿宋"/>
                <w:color w:val="auto"/>
              </w:rPr>
              <w:t>支持敏感数据手动配置；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b/>
                <w:bCs/>
                <w:color w:val="auto"/>
              </w:rPr>
            </w:pPr>
            <w:r>
              <w:rPr>
                <w:rFonts w:hint="eastAsia" w:ascii="仿宋" w:hAnsi="仿宋" w:eastAsia="仿宋" w:cs="仿宋"/>
                <w:color w:val="auto"/>
              </w:rPr>
              <w:t>内置丰富的脱敏算法，包括固定替换、随机替换、模糊替换、FPE替换、重排替换、国密替换（SM2、SM3、SM4）、关联替换、截断替换等脱敏算法；</w:t>
            </w:r>
          </w:p>
          <w:p>
            <w:pPr>
              <w:spacing w:line="360" w:lineRule="auto"/>
              <w:jc w:val="left"/>
              <w:rPr>
                <w:rFonts w:ascii="仿宋" w:hAnsi="仿宋" w:eastAsia="仿宋" w:cs="仿宋"/>
                <w:color w:val="auto"/>
              </w:rPr>
            </w:pPr>
            <w:r>
              <w:rPr>
                <w:rFonts w:hint="eastAsia" w:ascii="仿宋" w:hAnsi="仿宋" w:eastAsia="仿宋" w:cs="仿宋"/>
                <w:color w:val="auto"/>
              </w:rPr>
              <w:t>支持可逆脱敏功能，确保脱敏后的数据可还原，用户可基于脱敏后数据上的分析的结果还原为业务数据；</w:t>
            </w:r>
          </w:p>
          <w:p>
            <w:pPr>
              <w:spacing w:line="360" w:lineRule="auto"/>
              <w:jc w:val="left"/>
              <w:rPr>
                <w:rFonts w:ascii="仿宋" w:hAnsi="仿宋" w:eastAsia="仿宋" w:cs="仿宋"/>
                <w:color w:val="auto"/>
              </w:rPr>
            </w:pPr>
            <w:r>
              <w:rPr>
                <w:rFonts w:hint="eastAsia" w:ascii="仿宋" w:hAnsi="仿宋" w:eastAsia="仿宋" w:cs="仿宋"/>
                <w:color w:val="auto"/>
              </w:rPr>
              <w:t>支持数据关联，脱敏算法保持数据关联性，能够保持同一数据库中不同表字段之间的数据关联性；</w:t>
            </w:r>
          </w:p>
          <w:p>
            <w:pPr>
              <w:spacing w:line="360" w:lineRule="auto"/>
              <w:jc w:val="left"/>
              <w:rPr>
                <w:rFonts w:ascii="仿宋" w:hAnsi="仿宋" w:eastAsia="仿宋" w:cs="仿宋"/>
                <w:color w:val="auto"/>
                <w:sz w:val="24"/>
              </w:rPr>
            </w:pPr>
            <w:r>
              <w:rPr>
                <w:rFonts w:hint="eastAsia" w:ascii="仿宋" w:hAnsi="仿宋" w:eastAsia="仿宋" w:cs="仿宋"/>
                <w:color w:val="auto"/>
              </w:rPr>
              <w:t>针对不同的脱敏场景，不同的脱敏任务可配置不同的脱敏算法，实现特定脱敏任务对应特定脱敏策略；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6</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rPr>
            </w:pPr>
            <w:r>
              <w:rPr>
                <w:rFonts w:hint="eastAsia" w:ascii="仿宋" w:hAnsi="仿宋" w:eastAsia="仿宋" w:cs="仿宋"/>
                <w:color w:val="auto"/>
              </w:rPr>
              <w:t>系统支持脱敏作业的自动化管理，能够批量运行多个脱敏作业、能够定时运行脱敏作业、支持脱敏作业的暂停、继续和停止等功能，脱敏任务可兼容执行过程中遇到的异常情况，支持跳过异常数据继续执行任务；</w:t>
            </w:r>
          </w:p>
          <w:p>
            <w:pPr>
              <w:spacing w:line="360" w:lineRule="auto"/>
              <w:jc w:val="left"/>
              <w:rPr>
                <w:rFonts w:ascii="仿宋" w:hAnsi="仿宋" w:eastAsia="仿宋" w:cs="仿宋"/>
                <w:color w:val="auto"/>
              </w:rPr>
            </w:pPr>
            <w:r>
              <w:rPr>
                <w:rFonts w:hint="eastAsia" w:ascii="仿宋" w:hAnsi="仿宋" w:eastAsia="仿宋" w:cs="仿宋"/>
                <w:color w:val="auto"/>
              </w:rPr>
              <w:t>支持脱敏任务进度监控，对于大数据量数据库脱敏，脱敏任务执行时间很长，系统需提供脱敏执行进度，包括任务开始时间，预计完成时间；</w:t>
            </w:r>
          </w:p>
          <w:p>
            <w:pPr>
              <w:spacing w:line="360" w:lineRule="auto"/>
              <w:jc w:val="left"/>
              <w:rPr>
                <w:rFonts w:ascii="仿宋" w:hAnsi="仿宋" w:eastAsia="仿宋" w:cs="仿宋"/>
                <w:color w:val="auto"/>
                <w:sz w:val="24"/>
              </w:rPr>
            </w:pPr>
            <w:r>
              <w:rPr>
                <w:rFonts w:hint="eastAsia" w:ascii="仿宋" w:hAnsi="仿宋" w:eastAsia="仿宋" w:cs="仿宋"/>
                <w:color w:val="auto"/>
              </w:rPr>
              <w:t>支持脱敏任务定时调度；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7</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rPr>
            </w:pPr>
            <w:r>
              <w:rPr>
                <w:rFonts w:hint="eastAsia" w:ascii="仿宋" w:hAnsi="仿宋" w:eastAsia="仿宋" w:cs="仿宋"/>
                <w:color w:val="auto"/>
              </w:rPr>
              <w:t>脱敏后数据保持其特性、关联性、一致性；</w:t>
            </w:r>
          </w:p>
          <w:p>
            <w:pPr>
              <w:spacing w:line="360" w:lineRule="auto"/>
              <w:jc w:val="left"/>
              <w:rPr>
                <w:rFonts w:ascii="仿宋" w:hAnsi="仿宋" w:eastAsia="仿宋" w:cs="仿宋"/>
                <w:color w:val="auto"/>
              </w:rPr>
            </w:pPr>
            <w:r>
              <w:rPr>
                <w:rFonts w:hint="eastAsia" w:ascii="仿宋" w:hAnsi="仿宋" w:eastAsia="仿宋" w:cs="仿宋"/>
                <w:color w:val="auto"/>
              </w:rPr>
              <w:t>支持表、主键、外键、索引、约束、视图、同义词、序列、自定义类型、存储过程、函数、触发器等数据库对象脱敏后在目标库中自动创建；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8</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rPr>
            </w:pPr>
            <w:r>
              <w:rPr>
                <w:rFonts w:hint="eastAsia" w:ascii="仿宋" w:hAnsi="仿宋" w:eastAsia="仿宋" w:cs="仿宋"/>
                <w:color w:val="auto"/>
              </w:rPr>
              <w:t>支持脱敏服务器性能监控，对脱敏服务器的CPU、内存、磁盘进行实时监控；</w:t>
            </w:r>
          </w:p>
          <w:p>
            <w:pPr>
              <w:spacing w:line="360" w:lineRule="auto"/>
              <w:jc w:val="left"/>
              <w:rPr>
                <w:rFonts w:ascii="仿宋" w:hAnsi="仿宋" w:eastAsia="仿宋" w:cs="仿宋"/>
                <w:color w:val="auto"/>
              </w:rPr>
            </w:pPr>
            <w:r>
              <w:rPr>
                <w:rFonts w:hint="eastAsia" w:ascii="仿宋" w:hAnsi="仿宋" w:eastAsia="仿宋" w:cs="仿宋"/>
                <w:color w:val="auto"/>
              </w:rPr>
              <w:t>具有完善的角色、权限管理体系，实现三权分立（管理员、操作员、审计员）；</w:t>
            </w:r>
          </w:p>
          <w:p>
            <w:pPr>
              <w:spacing w:line="360" w:lineRule="auto"/>
              <w:jc w:val="left"/>
              <w:rPr>
                <w:rFonts w:ascii="仿宋" w:hAnsi="仿宋" w:eastAsia="仿宋" w:cs="仿宋"/>
                <w:color w:val="auto"/>
              </w:rPr>
            </w:pPr>
            <w:r>
              <w:rPr>
                <w:rFonts w:hint="eastAsia" w:ascii="仿宋" w:hAnsi="仿宋" w:eastAsia="仿宋" w:cs="仿宋"/>
                <w:color w:val="auto"/>
              </w:rPr>
              <w:t>根据不同的用户对数据源进行权限管理；</w:t>
            </w:r>
          </w:p>
          <w:p>
            <w:pPr>
              <w:spacing w:line="360" w:lineRule="auto"/>
              <w:jc w:val="left"/>
              <w:rPr>
                <w:rFonts w:ascii="仿宋" w:hAnsi="仿宋" w:eastAsia="仿宋" w:cs="仿宋"/>
                <w:color w:val="auto"/>
                <w:sz w:val="24"/>
              </w:rPr>
            </w:pPr>
            <w:r>
              <w:rPr>
                <w:rFonts w:hint="eastAsia" w:ascii="仿宋" w:hAnsi="仿宋" w:eastAsia="仿宋" w:cs="仿宋"/>
                <w:color w:val="auto"/>
              </w:rPr>
              <w:t>支持自身安全审计能力，能够记录系统操作行为用户审计，提供审计管理和查询能力；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9</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rPr>
            </w:pPr>
            <w:r>
              <w:rPr>
                <w:rFonts w:hint="eastAsia" w:ascii="仿宋" w:hAnsi="仿宋" w:eastAsia="仿宋" w:cs="仿宋"/>
                <w:color w:val="auto"/>
              </w:rPr>
              <w:t>支持多种数据源，包括阿里云rds，阿里云drds，腾讯云tdsql，oracle, db2，mysql等数据库脱敏；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10</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rPr>
            </w:pPr>
            <w:r>
              <w:rPr>
                <w:rFonts w:hint="eastAsia" w:ascii="仿宋" w:hAnsi="仿宋" w:eastAsia="仿宋" w:cs="仿宋"/>
                <w:color w:val="auto"/>
              </w:rPr>
              <w:t>支持黑名单高危操作阻断功能；（提供产品证明截图)</w:t>
            </w:r>
          </w:p>
        </w:tc>
      </w:tr>
    </w:tbl>
    <w:p>
      <w:pPr>
        <w:spacing w:line="360" w:lineRule="auto"/>
        <w:rPr>
          <w:rFonts w:ascii="仿宋" w:hAnsi="仿宋" w:eastAsia="仿宋" w:cs="仿宋"/>
          <w:color w:val="auto"/>
          <w:sz w:val="22"/>
          <w:szCs w:val="22"/>
        </w:rPr>
      </w:pPr>
      <w:r>
        <w:rPr>
          <w:rFonts w:hint="eastAsia" w:ascii="仿宋" w:hAnsi="仿宋" w:eastAsia="仿宋" w:cs="仿宋"/>
          <w:color w:val="auto"/>
          <w:sz w:val="22"/>
          <w:szCs w:val="22"/>
        </w:rPr>
        <w:t>（9）终端侦测与响应客户端</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309"/>
        <w:gridCol w:w="6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1309"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产品名称</w:t>
            </w:r>
          </w:p>
        </w:tc>
        <w:tc>
          <w:tcPr>
            <w:tcW w:w="6635"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招标技术参数要求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09" w:type="dxa"/>
            <w:vMerge w:val="restar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终端侦测与响应客户端</w:t>
            </w: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实现轻代理CPU占用：非扫描时，不超过1%内存占用：不超过50M，尽可能少占用主机资源。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终端安全数据采集、监测、分析,发现潜在威胁和未知威胁。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支持Windows server 2003、Windows server 2008、Windows server 2012、Windows server 2016、win xp 、win 7、win 8、win 10、Centos 5.0 +、Redhat 5.0 + 、Suse11 +、Ubuntu 14 +、华为鲲鹏、中标麒麟、银河麒麟、凝思等操作系统。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支持下发文件、安装应用程序、远程执行命令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8"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309" w:type="dxa"/>
            <w:vMerge w:val="continue"/>
            <w:vAlign w:val="center"/>
          </w:tcPr>
          <w:p>
            <w:pPr>
              <w:spacing w:line="360" w:lineRule="auto"/>
              <w:jc w:val="center"/>
              <w:rPr>
                <w:rFonts w:ascii="仿宋" w:hAnsi="仿宋" w:eastAsia="仿宋" w:cs="仿宋"/>
                <w:color w:val="auto"/>
                <w:sz w:val="24"/>
              </w:rPr>
            </w:pPr>
          </w:p>
        </w:tc>
        <w:tc>
          <w:tcPr>
            <w:tcW w:w="6635"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支持屏幕水印对屏幕拍照泄密数据的行为进行溯源。</w:t>
            </w:r>
          </w:p>
        </w:tc>
      </w:tr>
    </w:tbl>
    <w:p>
      <w:pPr>
        <w:spacing w:line="360" w:lineRule="auto"/>
        <w:rPr>
          <w:rFonts w:ascii="仿宋" w:hAnsi="仿宋" w:eastAsia="仿宋" w:cs="仿宋"/>
          <w:color w:val="auto"/>
          <w:sz w:val="22"/>
          <w:szCs w:val="22"/>
        </w:rPr>
      </w:pPr>
      <w:r>
        <w:rPr>
          <w:rFonts w:hint="eastAsia" w:ascii="仿宋" w:hAnsi="仿宋" w:eastAsia="仿宋" w:cs="仿宋"/>
          <w:color w:val="auto"/>
          <w:sz w:val="22"/>
          <w:szCs w:val="22"/>
        </w:rPr>
        <w:t>（10）APP用户信息防泄漏</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72"/>
        <w:gridCol w:w="6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723"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1172"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产品名称</w:t>
            </w:r>
          </w:p>
        </w:tc>
        <w:tc>
          <w:tcPr>
            <w:tcW w:w="6627"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招标技术参数要求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3"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172" w:type="dxa"/>
            <w:vMerge w:val="restart"/>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APP用户信息防泄露</w:t>
            </w:r>
          </w:p>
        </w:tc>
        <w:tc>
          <w:tcPr>
            <w:tcW w:w="6627"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支持对java代码编译生成的DEX文件采用加壳保护，对代码中的函数及实现的方法单独存放保护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3"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172" w:type="dxa"/>
            <w:vMerge w:val="continue"/>
            <w:shd w:val="clear" w:color="auto" w:fill="auto"/>
            <w:vAlign w:val="center"/>
          </w:tcPr>
          <w:p>
            <w:pPr>
              <w:spacing w:line="360" w:lineRule="auto"/>
              <w:jc w:val="center"/>
              <w:rPr>
                <w:rFonts w:ascii="仿宋" w:hAnsi="仿宋" w:eastAsia="仿宋" w:cs="仿宋"/>
                <w:color w:val="auto"/>
                <w:sz w:val="24"/>
              </w:rPr>
            </w:pPr>
          </w:p>
        </w:tc>
        <w:tc>
          <w:tcPr>
            <w:tcW w:w="6627"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支持对java代码编译生成的DEX文件采用加壳保护，防止源码被获取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3"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172" w:type="dxa"/>
            <w:vMerge w:val="continue"/>
            <w:shd w:val="clear" w:color="auto" w:fill="auto"/>
            <w:vAlign w:val="center"/>
          </w:tcPr>
          <w:p>
            <w:pPr>
              <w:spacing w:line="360" w:lineRule="auto"/>
              <w:jc w:val="center"/>
              <w:rPr>
                <w:rFonts w:ascii="仿宋" w:hAnsi="仿宋" w:eastAsia="仿宋" w:cs="仿宋"/>
                <w:color w:val="auto"/>
                <w:sz w:val="24"/>
              </w:rPr>
            </w:pPr>
          </w:p>
        </w:tc>
        <w:tc>
          <w:tcPr>
            <w:tcW w:w="6627"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支持对SO文件中的字符串加密，防止被分析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3"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172" w:type="dxa"/>
            <w:vMerge w:val="continue"/>
            <w:shd w:val="clear" w:color="auto" w:fill="auto"/>
            <w:vAlign w:val="center"/>
          </w:tcPr>
          <w:p>
            <w:pPr>
              <w:spacing w:line="360" w:lineRule="auto"/>
              <w:jc w:val="center"/>
              <w:rPr>
                <w:rFonts w:ascii="仿宋" w:hAnsi="仿宋" w:eastAsia="仿宋" w:cs="仿宋"/>
                <w:color w:val="auto"/>
                <w:sz w:val="24"/>
              </w:rPr>
            </w:pPr>
          </w:p>
        </w:tc>
        <w:tc>
          <w:tcPr>
            <w:tcW w:w="6627"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支持对SO文件的执行格式做转换处理，达到无法解读SO文件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3"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172" w:type="dxa"/>
            <w:vMerge w:val="continue"/>
            <w:shd w:val="clear" w:color="auto" w:fill="auto"/>
            <w:vAlign w:val="center"/>
          </w:tcPr>
          <w:p>
            <w:pPr>
              <w:spacing w:line="360" w:lineRule="auto"/>
              <w:jc w:val="center"/>
              <w:rPr>
                <w:rFonts w:ascii="仿宋" w:hAnsi="仿宋" w:eastAsia="仿宋" w:cs="仿宋"/>
                <w:color w:val="auto"/>
                <w:sz w:val="24"/>
              </w:rPr>
            </w:pPr>
          </w:p>
        </w:tc>
        <w:tc>
          <w:tcPr>
            <w:tcW w:w="6627"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对代码模块的函数进行业务流的处理，保护核心的业务逻辑代码不被分析，支持SWIFT、Objective-C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3"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6</w:t>
            </w:r>
          </w:p>
        </w:tc>
        <w:tc>
          <w:tcPr>
            <w:tcW w:w="1172" w:type="dxa"/>
            <w:vMerge w:val="continue"/>
            <w:shd w:val="clear" w:color="auto" w:fill="auto"/>
            <w:vAlign w:val="center"/>
          </w:tcPr>
          <w:p>
            <w:pPr>
              <w:spacing w:line="360" w:lineRule="auto"/>
              <w:jc w:val="center"/>
              <w:rPr>
                <w:rFonts w:ascii="仿宋" w:hAnsi="仿宋" w:eastAsia="仿宋" w:cs="仿宋"/>
                <w:color w:val="auto"/>
                <w:sz w:val="24"/>
              </w:rPr>
            </w:pPr>
          </w:p>
        </w:tc>
        <w:tc>
          <w:tcPr>
            <w:tcW w:w="6627"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将DEX文件方法体单独抽离加密，防止查看；按需解密，使用到函数时进行解密，内存中的DEX不连续存储；防止通过内存DUMP获取明文DEX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3"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7</w:t>
            </w:r>
          </w:p>
        </w:tc>
        <w:tc>
          <w:tcPr>
            <w:tcW w:w="1172" w:type="dxa"/>
            <w:vMerge w:val="continue"/>
            <w:shd w:val="clear" w:color="auto" w:fill="auto"/>
            <w:vAlign w:val="center"/>
          </w:tcPr>
          <w:p>
            <w:pPr>
              <w:spacing w:line="360" w:lineRule="auto"/>
              <w:jc w:val="center"/>
              <w:rPr>
                <w:rFonts w:ascii="仿宋" w:hAnsi="仿宋" w:eastAsia="仿宋" w:cs="仿宋"/>
                <w:color w:val="auto"/>
                <w:sz w:val="24"/>
              </w:rPr>
            </w:pPr>
          </w:p>
        </w:tc>
        <w:tc>
          <w:tcPr>
            <w:tcW w:w="6627"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对APP签名信息做校验保护，防止篡改签名信息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3"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8</w:t>
            </w:r>
          </w:p>
        </w:tc>
        <w:tc>
          <w:tcPr>
            <w:tcW w:w="1172" w:type="dxa"/>
            <w:vMerge w:val="continue"/>
            <w:shd w:val="clear" w:color="auto" w:fill="auto"/>
            <w:vAlign w:val="center"/>
          </w:tcPr>
          <w:p>
            <w:pPr>
              <w:spacing w:line="360" w:lineRule="auto"/>
              <w:jc w:val="center"/>
              <w:rPr>
                <w:rFonts w:ascii="仿宋" w:hAnsi="仿宋" w:eastAsia="仿宋" w:cs="仿宋"/>
                <w:color w:val="auto"/>
                <w:sz w:val="24"/>
              </w:rPr>
            </w:pPr>
          </w:p>
        </w:tc>
        <w:tc>
          <w:tcPr>
            <w:tcW w:w="6627"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对AndroidManifest配置文件进行完整性校验，防止篡改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3"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9</w:t>
            </w:r>
          </w:p>
        </w:tc>
        <w:tc>
          <w:tcPr>
            <w:tcW w:w="1172" w:type="dxa"/>
            <w:vMerge w:val="continue"/>
            <w:shd w:val="clear" w:color="auto" w:fill="auto"/>
            <w:vAlign w:val="center"/>
          </w:tcPr>
          <w:p>
            <w:pPr>
              <w:spacing w:line="360" w:lineRule="auto"/>
              <w:jc w:val="center"/>
              <w:rPr>
                <w:rFonts w:ascii="仿宋" w:hAnsi="仿宋" w:eastAsia="仿宋" w:cs="仿宋"/>
                <w:color w:val="auto"/>
                <w:sz w:val="24"/>
              </w:rPr>
            </w:pPr>
          </w:p>
        </w:tc>
        <w:tc>
          <w:tcPr>
            <w:tcW w:w="6627"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防止运用运行起来被修改工具在内存中修改代码及数据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3" w:type="dxa"/>
            <w:shd w:val="clear" w:color="auto" w:fill="auto"/>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10</w:t>
            </w:r>
          </w:p>
        </w:tc>
        <w:tc>
          <w:tcPr>
            <w:tcW w:w="1172" w:type="dxa"/>
            <w:vMerge w:val="continue"/>
            <w:shd w:val="clear" w:color="auto" w:fill="auto"/>
            <w:vAlign w:val="center"/>
          </w:tcPr>
          <w:p>
            <w:pPr>
              <w:spacing w:line="360" w:lineRule="auto"/>
              <w:jc w:val="center"/>
              <w:rPr>
                <w:rFonts w:ascii="仿宋" w:hAnsi="仿宋" w:eastAsia="仿宋" w:cs="仿宋"/>
                <w:color w:val="auto"/>
                <w:sz w:val="24"/>
              </w:rPr>
            </w:pPr>
          </w:p>
        </w:tc>
        <w:tc>
          <w:tcPr>
            <w:tcW w:w="6627" w:type="dxa"/>
            <w:shd w:val="clear" w:color="auto" w:fill="auto"/>
            <w:vAlign w:val="center"/>
          </w:tcPr>
          <w:p>
            <w:pPr>
              <w:spacing w:line="360" w:lineRule="auto"/>
              <w:jc w:val="left"/>
              <w:rPr>
                <w:rFonts w:ascii="仿宋" w:hAnsi="仿宋" w:eastAsia="仿宋" w:cs="仿宋"/>
                <w:color w:val="auto"/>
                <w:sz w:val="24"/>
              </w:rPr>
            </w:pPr>
            <w:r>
              <w:rPr>
                <w:rFonts w:hint="eastAsia" w:ascii="仿宋" w:hAnsi="仿宋" w:eastAsia="仿宋" w:cs="仿宋"/>
                <w:color w:val="auto"/>
                <w:sz w:val="24"/>
              </w:rPr>
              <w:t>防止运用运行起来被第三方程序在代码中注入恶意代码</w:t>
            </w:r>
          </w:p>
        </w:tc>
      </w:tr>
    </w:tbl>
    <w:p>
      <w:pPr>
        <w:spacing w:line="360" w:lineRule="auto"/>
        <w:rPr>
          <w:rFonts w:ascii="仿宋" w:hAnsi="仿宋" w:eastAsia="仿宋" w:cs="仿宋"/>
          <w:color w:val="auto"/>
        </w:rPr>
      </w:pPr>
    </w:p>
    <w:p>
      <w:pPr>
        <w:widowControl/>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5.项目实施要求</w:t>
      </w:r>
      <w:bookmarkEnd w:id="723"/>
    </w:p>
    <w:p>
      <w:pPr>
        <w:spacing w:line="360" w:lineRule="auto"/>
        <w:rPr>
          <w:rFonts w:ascii="仿宋" w:hAnsi="仿宋" w:eastAsia="仿宋" w:cs="仿宋"/>
          <w:b/>
          <w:bCs/>
          <w:color w:val="auto"/>
          <w:sz w:val="24"/>
        </w:rPr>
      </w:pPr>
      <w:bookmarkStart w:id="724" w:name="_Toc40906407"/>
      <w:r>
        <w:rPr>
          <w:rFonts w:hint="eastAsia" w:ascii="仿宋" w:hAnsi="仿宋" w:eastAsia="仿宋" w:cs="仿宋"/>
          <w:b/>
          <w:bCs/>
          <w:color w:val="auto"/>
          <w:sz w:val="24"/>
        </w:rPr>
        <w:t>5.1</w:t>
      </w:r>
      <w:r>
        <w:rPr>
          <w:rFonts w:hint="eastAsia" w:ascii="仿宋" w:hAnsi="仿宋" w:eastAsia="仿宋" w:cs="仿宋"/>
          <w:color w:val="auto"/>
          <w:kern w:val="0"/>
          <w:sz w:val="20"/>
          <w:szCs w:val="20"/>
        </w:rPr>
        <w:t>▲</w:t>
      </w:r>
      <w:r>
        <w:rPr>
          <w:rFonts w:hint="eastAsia" w:ascii="仿宋" w:hAnsi="仿宋" w:eastAsia="仿宋" w:cs="仿宋"/>
          <w:b/>
          <w:bCs/>
          <w:color w:val="auto"/>
          <w:sz w:val="24"/>
        </w:rPr>
        <w:t>中标单位项目管理要求</w:t>
      </w:r>
      <w:bookmarkEnd w:id="724"/>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为保证本项目顺利实施，中标单位需提供本次建设的项目管理方案，中标单位为本包投入技术人员不少于10人，实施期间提供现场不少于7人的项目实施团队（包含1名项目经理，该团队的核心技术人员具备医保行业或医疗行业项目实施经验。中标单位应承诺提供现场实施服务，办公场地由中标单位自行解决。</w:t>
      </w:r>
    </w:p>
    <w:p>
      <w:pPr>
        <w:pStyle w:val="24"/>
        <w:tabs>
          <w:tab w:val="left" w:pos="0"/>
        </w:tabs>
        <w:ind w:firstLine="480" w:firstLineChars="200"/>
        <w:rPr>
          <w:rFonts w:ascii="仿宋" w:hAnsi="仿宋" w:eastAsia="仿宋" w:cs="仿宋"/>
          <w:color w:val="auto"/>
          <w:sz w:val="24"/>
        </w:rPr>
      </w:pPr>
      <w:r>
        <w:rPr>
          <w:rFonts w:hint="eastAsia" w:ascii="仿宋" w:hAnsi="仿宋" w:eastAsia="仿宋" w:cs="仿宋"/>
          <w:color w:val="auto"/>
          <w:sz w:val="24"/>
        </w:rPr>
        <w:t>中标单位应携手所投核心系统软件生产厂家在规定时间内完成系统软件安装、调试，提供详细的安装实施方案，包括施工人员、技术支持、工期进度安排、组织管理培训。</w:t>
      </w:r>
    </w:p>
    <w:p>
      <w:pPr>
        <w:widowControl/>
        <w:spacing w:line="360" w:lineRule="auto"/>
        <w:jc w:val="left"/>
        <w:rPr>
          <w:rFonts w:ascii="仿宋" w:hAnsi="仿宋" w:eastAsia="仿宋" w:cs="仿宋"/>
          <w:b/>
          <w:bCs/>
          <w:color w:val="auto"/>
          <w:sz w:val="24"/>
        </w:rPr>
      </w:pPr>
      <w:bookmarkStart w:id="725" w:name="_Toc40906408"/>
      <w:r>
        <w:rPr>
          <w:rFonts w:hint="eastAsia" w:ascii="仿宋" w:hAnsi="仿宋" w:eastAsia="仿宋" w:cs="仿宋"/>
          <w:b/>
          <w:bCs/>
          <w:color w:val="auto"/>
          <w:sz w:val="24"/>
        </w:rPr>
        <w:t>6.</w:t>
      </w:r>
      <w:r>
        <w:rPr>
          <w:rFonts w:hint="eastAsia" w:ascii="仿宋" w:hAnsi="仿宋" w:eastAsia="仿宋" w:cs="仿宋"/>
          <w:color w:val="auto"/>
          <w:kern w:val="0"/>
          <w:sz w:val="20"/>
          <w:szCs w:val="20"/>
        </w:rPr>
        <w:t>▲</w:t>
      </w:r>
      <w:r>
        <w:rPr>
          <w:rFonts w:hint="eastAsia" w:ascii="仿宋" w:hAnsi="仿宋" w:eastAsia="仿宋" w:cs="仿宋"/>
          <w:b/>
          <w:bCs/>
          <w:color w:val="auto"/>
          <w:sz w:val="24"/>
        </w:rPr>
        <w:t>质量管理要求</w:t>
      </w:r>
      <w:bookmarkEnd w:id="725"/>
    </w:p>
    <w:p>
      <w:pPr>
        <w:pStyle w:val="24"/>
        <w:tabs>
          <w:tab w:val="left" w:pos="0"/>
        </w:tabs>
        <w:ind w:firstLine="480" w:firstLineChars="200"/>
        <w:rPr>
          <w:rFonts w:ascii="仿宋" w:hAnsi="仿宋" w:eastAsia="仿宋" w:cs="仿宋"/>
          <w:color w:val="auto"/>
          <w:sz w:val="24"/>
        </w:rPr>
      </w:pPr>
      <w:r>
        <w:rPr>
          <w:rFonts w:hint="eastAsia" w:ascii="仿宋" w:hAnsi="仿宋" w:eastAsia="仿宋" w:cs="仿宋"/>
          <w:color w:val="auto"/>
          <w:sz w:val="24"/>
        </w:rPr>
        <w:t>中标单位需能提供项目准备、需求分析、设计、实施、上线、交付各阶段及项目管理等有关文档。</w:t>
      </w:r>
    </w:p>
    <w:p>
      <w:pPr>
        <w:widowControl/>
        <w:spacing w:line="360" w:lineRule="auto"/>
        <w:jc w:val="left"/>
        <w:rPr>
          <w:rFonts w:ascii="仿宋" w:hAnsi="仿宋" w:eastAsia="仿宋" w:cs="仿宋"/>
          <w:b/>
          <w:bCs/>
          <w:color w:val="auto"/>
          <w:sz w:val="24"/>
        </w:rPr>
      </w:pPr>
      <w:bookmarkStart w:id="726" w:name="_Toc40906409"/>
      <w:r>
        <w:rPr>
          <w:rFonts w:hint="eastAsia" w:ascii="仿宋" w:hAnsi="仿宋" w:eastAsia="仿宋" w:cs="仿宋"/>
          <w:b/>
          <w:bCs/>
          <w:color w:val="auto"/>
          <w:sz w:val="24"/>
        </w:rPr>
        <w:t>7.</w:t>
      </w:r>
      <w:r>
        <w:rPr>
          <w:rFonts w:hint="eastAsia" w:ascii="仿宋" w:hAnsi="仿宋" w:eastAsia="仿宋" w:cs="仿宋"/>
          <w:color w:val="auto"/>
          <w:kern w:val="0"/>
          <w:sz w:val="20"/>
          <w:szCs w:val="20"/>
        </w:rPr>
        <w:t>▲</w:t>
      </w:r>
      <w:r>
        <w:rPr>
          <w:rFonts w:hint="eastAsia" w:ascii="仿宋" w:hAnsi="仿宋" w:eastAsia="仿宋" w:cs="仿宋"/>
          <w:b/>
          <w:bCs/>
          <w:color w:val="auto"/>
          <w:sz w:val="24"/>
        </w:rPr>
        <w:t>风险控制要求</w:t>
      </w:r>
      <w:bookmarkEnd w:id="726"/>
    </w:p>
    <w:p>
      <w:pPr>
        <w:pStyle w:val="24"/>
        <w:tabs>
          <w:tab w:val="left" w:pos="0"/>
        </w:tabs>
        <w:ind w:firstLine="480" w:firstLineChars="200"/>
        <w:rPr>
          <w:rFonts w:ascii="仿宋" w:hAnsi="仿宋" w:eastAsia="仿宋" w:cs="仿宋"/>
          <w:color w:val="auto"/>
          <w:sz w:val="24"/>
        </w:rPr>
      </w:pPr>
      <w:r>
        <w:rPr>
          <w:rFonts w:hint="eastAsia" w:ascii="仿宋" w:hAnsi="仿宋" w:eastAsia="仿宋" w:cs="仿宋"/>
          <w:color w:val="auto"/>
          <w:sz w:val="24"/>
        </w:rPr>
        <w:t>投标方要能在充分理解本项目的基础上，对可能出现的各类风险进行评估和制定应对措施，以保证本项目的顺利上线。</w:t>
      </w:r>
    </w:p>
    <w:p>
      <w:pPr>
        <w:widowControl/>
        <w:spacing w:line="360" w:lineRule="auto"/>
        <w:jc w:val="left"/>
        <w:rPr>
          <w:rFonts w:ascii="仿宋" w:hAnsi="仿宋" w:eastAsia="仿宋" w:cs="仿宋"/>
          <w:b/>
          <w:bCs/>
          <w:color w:val="auto"/>
          <w:sz w:val="24"/>
        </w:rPr>
      </w:pPr>
      <w:bookmarkStart w:id="727" w:name="_Toc40906410"/>
      <w:r>
        <w:rPr>
          <w:rFonts w:hint="eastAsia" w:ascii="仿宋" w:hAnsi="仿宋" w:eastAsia="仿宋" w:cs="仿宋"/>
          <w:b/>
          <w:bCs/>
          <w:color w:val="auto"/>
          <w:sz w:val="24"/>
        </w:rPr>
        <w:t>8.</w:t>
      </w:r>
      <w:r>
        <w:rPr>
          <w:rFonts w:hint="eastAsia" w:ascii="仿宋" w:hAnsi="仿宋" w:eastAsia="仿宋" w:cs="仿宋"/>
          <w:color w:val="auto"/>
          <w:kern w:val="0"/>
          <w:sz w:val="20"/>
          <w:szCs w:val="20"/>
        </w:rPr>
        <w:t>▲</w:t>
      </w:r>
      <w:r>
        <w:rPr>
          <w:rFonts w:hint="eastAsia" w:ascii="仿宋" w:hAnsi="仿宋" w:eastAsia="仿宋" w:cs="仿宋"/>
          <w:b/>
          <w:bCs/>
          <w:color w:val="auto"/>
          <w:sz w:val="24"/>
        </w:rPr>
        <w:t>保密要求</w:t>
      </w:r>
      <w:bookmarkEnd w:id="727"/>
    </w:p>
    <w:p>
      <w:pPr>
        <w:pStyle w:val="24"/>
        <w:tabs>
          <w:tab w:val="left" w:pos="0"/>
        </w:tabs>
        <w:ind w:firstLine="480" w:firstLineChars="200"/>
        <w:rPr>
          <w:rFonts w:ascii="仿宋" w:hAnsi="仿宋" w:eastAsia="仿宋" w:cs="仿宋"/>
          <w:color w:val="auto"/>
          <w:sz w:val="24"/>
        </w:rPr>
      </w:pPr>
      <w:r>
        <w:rPr>
          <w:rFonts w:hint="eastAsia" w:ascii="仿宋" w:hAnsi="仿宋" w:eastAsia="仿宋" w:cs="仿宋"/>
          <w:color w:val="auto"/>
          <w:sz w:val="24"/>
        </w:rPr>
        <w:t>投标方需在投标文件中明确，本项目中数据（包含原始数据和衍生数据）全部为招标方所有，全部列入保密范围，投标方不得未经用户许可的情况下导出、分析以及移作他用。</w:t>
      </w:r>
    </w:p>
    <w:p>
      <w:pPr>
        <w:widowControl/>
        <w:spacing w:line="360" w:lineRule="auto"/>
        <w:jc w:val="left"/>
        <w:rPr>
          <w:rFonts w:ascii="仿宋" w:hAnsi="仿宋" w:eastAsia="仿宋" w:cs="仿宋"/>
          <w:b/>
          <w:bCs/>
          <w:color w:val="auto"/>
          <w:sz w:val="24"/>
        </w:rPr>
      </w:pPr>
      <w:bookmarkStart w:id="728" w:name="_Toc40906411"/>
      <w:r>
        <w:rPr>
          <w:rFonts w:hint="eastAsia" w:ascii="仿宋" w:hAnsi="仿宋" w:eastAsia="仿宋" w:cs="仿宋"/>
          <w:b/>
          <w:bCs/>
          <w:color w:val="auto"/>
          <w:sz w:val="24"/>
        </w:rPr>
        <w:t>9.</w:t>
      </w:r>
      <w:r>
        <w:rPr>
          <w:rFonts w:hint="eastAsia" w:ascii="仿宋" w:hAnsi="仿宋" w:eastAsia="仿宋" w:cs="仿宋"/>
          <w:color w:val="auto"/>
          <w:kern w:val="0"/>
          <w:sz w:val="20"/>
          <w:szCs w:val="20"/>
        </w:rPr>
        <w:t>▲</w:t>
      </w:r>
      <w:r>
        <w:rPr>
          <w:rFonts w:hint="eastAsia" w:ascii="仿宋" w:hAnsi="仿宋" w:eastAsia="仿宋" w:cs="仿宋"/>
          <w:b/>
          <w:bCs/>
          <w:color w:val="auto"/>
          <w:sz w:val="24"/>
        </w:rPr>
        <w:t>项目计划要求</w:t>
      </w:r>
      <w:bookmarkEnd w:id="728"/>
    </w:p>
    <w:p>
      <w:pPr>
        <w:pStyle w:val="18"/>
        <w:rPr>
          <w:rFonts w:ascii="仿宋" w:hAnsi="仿宋" w:eastAsia="仿宋" w:cs="仿宋"/>
          <w:color w:val="auto"/>
          <w:sz w:val="24"/>
        </w:rPr>
      </w:pPr>
      <w:r>
        <w:rPr>
          <w:rFonts w:hint="eastAsia" w:ascii="仿宋" w:hAnsi="仿宋" w:eastAsia="仿宋" w:cs="仿宋"/>
          <w:color w:val="auto"/>
          <w:sz w:val="24"/>
        </w:rPr>
        <w:t>服务期限：签订合同之日起至2021年</w:t>
      </w:r>
      <w:r>
        <w:rPr>
          <w:rFonts w:hint="eastAsia" w:ascii="仿宋" w:hAnsi="仿宋" w:eastAsia="仿宋" w:cs="仿宋"/>
          <w:color w:val="auto"/>
          <w:sz w:val="24"/>
          <w:lang w:val="en-US"/>
        </w:rPr>
        <w:t>6</w:t>
      </w:r>
      <w:r>
        <w:rPr>
          <w:rFonts w:hint="eastAsia" w:ascii="仿宋" w:hAnsi="仿宋" w:eastAsia="仿宋" w:cs="仿宋"/>
          <w:color w:val="auto"/>
          <w:sz w:val="24"/>
        </w:rPr>
        <w:t>底前完成系统初验，进入试运行，试运行期至少3个月，2021年底前完成系统终验。</w:t>
      </w:r>
    </w:p>
    <w:p>
      <w:pPr>
        <w:widowControl/>
        <w:spacing w:line="360" w:lineRule="auto"/>
        <w:jc w:val="left"/>
        <w:rPr>
          <w:rFonts w:ascii="仿宋" w:hAnsi="仿宋" w:eastAsia="仿宋" w:cs="仿宋"/>
          <w:b/>
          <w:bCs/>
          <w:color w:val="auto"/>
          <w:sz w:val="24"/>
        </w:rPr>
      </w:pPr>
      <w:bookmarkStart w:id="729" w:name="_Toc40906412"/>
      <w:r>
        <w:rPr>
          <w:rFonts w:hint="eastAsia" w:ascii="仿宋" w:hAnsi="仿宋" w:eastAsia="仿宋" w:cs="仿宋"/>
          <w:b/>
          <w:bCs/>
          <w:color w:val="auto"/>
          <w:sz w:val="24"/>
        </w:rPr>
        <w:t>10.</w:t>
      </w:r>
      <w:r>
        <w:rPr>
          <w:rFonts w:hint="eastAsia" w:ascii="仿宋" w:hAnsi="仿宋" w:eastAsia="仿宋" w:cs="仿宋"/>
          <w:color w:val="auto"/>
          <w:kern w:val="0"/>
          <w:sz w:val="20"/>
          <w:szCs w:val="20"/>
        </w:rPr>
        <w:t>▲</w:t>
      </w:r>
      <w:r>
        <w:rPr>
          <w:rFonts w:hint="eastAsia" w:ascii="仿宋" w:hAnsi="仿宋" w:eastAsia="仿宋" w:cs="仿宋"/>
          <w:b/>
          <w:bCs/>
          <w:color w:val="auto"/>
          <w:sz w:val="24"/>
        </w:rPr>
        <w:t>项目协作要求</w:t>
      </w:r>
      <w:bookmarkEnd w:id="729"/>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中标单位须配合其它相关包号中标单位。</w:t>
      </w:r>
    </w:p>
    <w:p>
      <w:pPr>
        <w:widowControl/>
        <w:spacing w:line="360" w:lineRule="auto"/>
        <w:jc w:val="left"/>
        <w:rPr>
          <w:rFonts w:ascii="仿宋" w:hAnsi="仿宋" w:eastAsia="仿宋" w:cs="仿宋"/>
          <w:b/>
          <w:bCs/>
          <w:color w:val="auto"/>
          <w:sz w:val="24"/>
        </w:rPr>
      </w:pPr>
      <w:bookmarkStart w:id="730" w:name="_Toc40906413"/>
      <w:r>
        <w:rPr>
          <w:rFonts w:hint="eastAsia" w:ascii="仿宋" w:hAnsi="仿宋" w:eastAsia="仿宋" w:cs="仿宋"/>
          <w:b/>
          <w:bCs/>
          <w:color w:val="auto"/>
          <w:sz w:val="24"/>
        </w:rPr>
        <w:t>11.</w:t>
      </w:r>
      <w:r>
        <w:rPr>
          <w:rFonts w:hint="eastAsia" w:ascii="仿宋" w:hAnsi="仿宋" w:eastAsia="仿宋" w:cs="仿宋"/>
          <w:color w:val="auto"/>
          <w:kern w:val="0"/>
          <w:sz w:val="20"/>
          <w:szCs w:val="20"/>
        </w:rPr>
        <w:t>▲</w:t>
      </w:r>
      <w:r>
        <w:rPr>
          <w:rFonts w:hint="eastAsia" w:ascii="仿宋" w:hAnsi="仿宋" w:eastAsia="仿宋" w:cs="仿宋"/>
          <w:b/>
          <w:bCs/>
          <w:color w:val="auto"/>
          <w:sz w:val="24"/>
        </w:rPr>
        <w:t>售后服务要求</w:t>
      </w:r>
      <w:bookmarkEnd w:id="730"/>
    </w:p>
    <w:p>
      <w:pPr>
        <w:pStyle w:val="19"/>
        <w:ind w:firstLine="480"/>
        <w:rPr>
          <w:rFonts w:ascii="仿宋" w:hAnsi="仿宋" w:eastAsia="仿宋" w:cs="仿宋"/>
          <w:color w:val="auto"/>
          <w:sz w:val="24"/>
          <w:szCs w:val="24"/>
        </w:rPr>
      </w:pPr>
      <w:r>
        <w:rPr>
          <w:rFonts w:hint="eastAsia" w:ascii="仿宋" w:hAnsi="仿宋" w:eastAsia="仿宋" w:cs="仿宋"/>
          <w:color w:val="auto"/>
          <w:sz w:val="24"/>
          <w:szCs w:val="24"/>
        </w:rPr>
        <w:t>（1）中标单位须为本项目提供项目终验合格后2年的维保服务。</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在设备维保期内，中标单位应提供灵活、多样的通信手段（包括但不限于场地、设备及人员、专用服务电话），提供7*24小时的响应服务，保证在任何时候招标方人员都能及时找到投标方的服务人员。如遇现场人员无法解决的问题或招标方认为需要，投标方的技术人员应在12小时内赶到现场支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中标单位应在项目建设方案中说明技术指导和技术支持的范围和程度，投标方应提供技术服务流程、技术支持与售后服务体系，需根据本次招标文件所制定的目标和范围，提出相应的技术支持服务和售后服务方案。</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(4)本项目需中标单位提供本地化服务，处理所有售后服务，同时提供7×24小时本地语言（中文）支持。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 中标单位应提供项目供货后两年的维保服务。在本项目存续期提供永久的技术支持。免费服务期满后的售后服务方式、费用，招标方根据需要，经双方协商后，签订相关售后服务合同。</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中标单位需做出无推诿承诺。即中标单位应提供特殊措施，无论由于哪一方产生的问题而使设备发生不正常情况时，并在得到招标方通知后，需立即派工程师到场，全力配合设备原厂商和其他供应商，使设备尽快恢复正常。</w:t>
      </w:r>
    </w:p>
    <w:p>
      <w:pPr>
        <w:widowControl/>
        <w:spacing w:line="360" w:lineRule="auto"/>
        <w:jc w:val="left"/>
        <w:rPr>
          <w:rFonts w:ascii="仿宋" w:hAnsi="仿宋" w:eastAsia="仿宋" w:cs="仿宋"/>
          <w:b/>
          <w:bCs/>
          <w:color w:val="auto"/>
          <w:sz w:val="24"/>
        </w:rPr>
      </w:pPr>
      <w:bookmarkStart w:id="731" w:name="_Toc40906414"/>
      <w:r>
        <w:rPr>
          <w:rFonts w:hint="eastAsia" w:ascii="仿宋" w:hAnsi="仿宋" w:eastAsia="仿宋" w:cs="仿宋"/>
          <w:b/>
          <w:bCs/>
          <w:color w:val="auto"/>
          <w:sz w:val="24"/>
        </w:rPr>
        <w:t>12.</w:t>
      </w:r>
      <w:r>
        <w:rPr>
          <w:rFonts w:hint="eastAsia" w:ascii="仿宋" w:hAnsi="仿宋" w:eastAsia="仿宋" w:cs="仿宋"/>
          <w:color w:val="auto"/>
          <w:kern w:val="0"/>
          <w:sz w:val="20"/>
          <w:szCs w:val="20"/>
        </w:rPr>
        <w:t>▲</w:t>
      </w:r>
      <w:r>
        <w:rPr>
          <w:rFonts w:hint="eastAsia" w:ascii="仿宋" w:hAnsi="仿宋" w:eastAsia="仿宋" w:cs="仿宋"/>
          <w:b/>
          <w:bCs/>
          <w:color w:val="auto"/>
          <w:sz w:val="24"/>
        </w:rPr>
        <w:t>其他要求</w:t>
      </w:r>
      <w:bookmarkEnd w:id="731"/>
    </w:p>
    <w:p>
      <w:pPr>
        <w:tabs>
          <w:tab w:val="left" w:pos="1301"/>
        </w:tabs>
        <w:autoSpaceDE w:val="0"/>
        <w:autoSpaceDN w:val="0"/>
        <w:spacing w:line="360" w:lineRule="auto"/>
        <w:ind w:right="318" w:firstLine="480" w:firstLineChars="200"/>
        <w:rPr>
          <w:rFonts w:ascii="仿宋" w:hAnsi="仿宋" w:eastAsia="仿宋" w:cs="仿宋"/>
          <w:color w:val="auto"/>
          <w:spacing w:val="-10"/>
          <w:sz w:val="24"/>
        </w:rPr>
      </w:pPr>
      <w:r>
        <w:rPr>
          <w:rFonts w:hint="eastAsia" w:ascii="仿宋" w:hAnsi="仿宋" w:eastAsia="仿宋" w:cs="仿宋"/>
          <w:color w:val="auto"/>
          <w:sz w:val="24"/>
        </w:rPr>
        <w:t>（1）</w:t>
      </w:r>
      <w:r>
        <w:rPr>
          <w:rFonts w:hint="eastAsia" w:ascii="仿宋" w:hAnsi="仿宋" w:eastAsia="仿宋" w:cs="仿宋"/>
          <w:color w:val="auto"/>
          <w:spacing w:val="-10"/>
          <w:sz w:val="24"/>
        </w:rPr>
        <w:t>投标方承诺：如投标单位在海南省无分公司或办事处，须承诺中标后在海南省注册分公司或办事处，办公地址须在海南省医疗保障局周边半径2公里范围内。</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（2）当招标方有新需求，而本文又未包括或与本文不符时，则应符合招标方新需求；对于招标方尚未有标准的，而本文又未提及的部分，中标单位提出其标准，留待双方认可后执行。</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（3）中标单位应确保其技术建议的可行性以及所提供服务和产品的完整性，若出现由于中标单位所提供的服务和产品不全面而导致系统功能无法实现或不能完全实现，由中标单位及时无偿补足，并负全部责任。</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4）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（5）投标方承诺承担驻场工程师就餐和相关差旅费用，并提供驻场工程师办公电脑、打印机等设备。</w:t>
      </w:r>
    </w:p>
    <w:p>
      <w:pPr>
        <w:spacing w:line="360" w:lineRule="auto"/>
        <w:ind w:firstLine="420"/>
        <w:rPr>
          <w:rFonts w:ascii="仿宋" w:hAnsi="仿宋" w:eastAsia="仿宋" w:cs="仿宋"/>
          <w:color w:val="auto"/>
          <w:sz w:val="24"/>
        </w:rPr>
      </w:pPr>
      <w:r>
        <w:rPr>
          <w:rFonts w:hint="eastAsia" w:ascii="仿宋" w:hAnsi="仿宋" w:eastAsia="仿宋" w:cs="仿宋"/>
          <w:color w:val="auto"/>
          <w:sz w:val="24"/>
        </w:rPr>
        <w:t>（6）投标方承诺本项目合作终止后1年内，无条件配合招标方进行数据迁移、数据字典提供、数据结构提供、对相关实现方式讲解。</w:t>
      </w:r>
    </w:p>
    <w:p>
      <w:pPr>
        <w:autoSpaceDE w:val="0"/>
        <w:autoSpaceDN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（7）本项目建设内容、需求若有变化，与本文不符的，则按照招标方与投标方友好协商修订为准。</w:t>
      </w:r>
    </w:p>
    <w:p>
      <w:pPr>
        <w:spacing w:line="360" w:lineRule="auto"/>
        <w:rPr>
          <w:rFonts w:ascii="仿宋" w:hAnsi="仿宋" w:eastAsia="仿宋" w:cs="仿宋"/>
          <w:color w:val="auto"/>
          <w:sz w:val="24"/>
        </w:rPr>
        <w:sectPr>
          <w:pgSz w:w="11906" w:h="16838"/>
          <w:pgMar w:top="1440" w:right="1800" w:bottom="1440" w:left="1800" w:header="851" w:footer="992" w:gutter="0"/>
          <w:cols w:space="425" w:num="1"/>
          <w:docGrid w:type="lines" w:linePitch="312" w:charSpace="0"/>
        </w:sectPr>
      </w:pPr>
    </w:p>
    <w:p>
      <w:pPr>
        <w:keepNext/>
        <w:keepLines/>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13包电子认证服务</w:t>
      </w:r>
    </w:p>
    <w:p>
      <w:pPr>
        <w:autoSpaceDE w:val="0"/>
        <w:autoSpaceDN w:val="0"/>
        <w:spacing w:line="360" w:lineRule="auto"/>
        <w:rPr>
          <w:rFonts w:ascii="仿宋" w:hAnsi="仿宋" w:eastAsia="仿宋" w:cs="仿宋"/>
          <w:b/>
          <w:color w:val="auto"/>
          <w:kern w:val="0"/>
          <w:sz w:val="24"/>
          <w:lang w:val="zh-CN" w:bidi="zh-CN"/>
        </w:rPr>
      </w:pPr>
      <w:bookmarkStart w:id="732" w:name="_Toc40971632"/>
      <w:r>
        <w:rPr>
          <w:rFonts w:hint="eastAsia" w:ascii="仿宋" w:hAnsi="仿宋" w:eastAsia="仿宋" w:cs="仿宋"/>
          <w:b/>
          <w:color w:val="auto"/>
          <w:kern w:val="0"/>
          <w:sz w:val="24"/>
          <w:lang w:val="zh-CN" w:bidi="zh-CN"/>
        </w:rPr>
        <w:t>1.项目概述</w:t>
      </w:r>
      <w:bookmarkEnd w:id="732"/>
      <w:bookmarkStart w:id="733" w:name="_Toc40971633"/>
      <w:bookmarkStart w:id="734" w:name="_Toc40908195"/>
    </w:p>
    <w:p>
      <w:pPr>
        <w:autoSpaceDE w:val="0"/>
        <w:autoSpaceDN w:val="0"/>
        <w:spacing w:line="360" w:lineRule="auto"/>
        <w:ind w:firstLine="482" w:firstLineChars="200"/>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1.1项目建设背景</w:t>
      </w:r>
      <w:bookmarkEnd w:id="733"/>
      <w:bookmarkEnd w:id="734"/>
    </w:p>
    <w:p>
      <w:pPr>
        <w:adjustRightInd w:val="0"/>
        <w:spacing w:line="360" w:lineRule="auto"/>
        <w:ind w:firstLine="480" w:firstLineChars="200"/>
        <w:jc w:val="left"/>
        <w:rPr>
          <w:rFonts w:ascii="仿宋" w:hAnsi="仿宋" w:eastAsia="仿宋" w:cs="仿宋"/>
          <w:bCs/>
          <w:color w:val="auto"/>
          <w:sz w:val="24"/>
        </w:rPr>
      </w:pPr>
      <w:bookmarkStart w:id="735" w:name="_Toc25230884"/>
      <w:r>
        <w:rPr>
          <w:rFonts w:hint="eastAsia" w:ascii="仿宋" w:hAnsi="仿宋" w:eastAsia="仿宋" w:cs="仿宋"/>
          <w:bCs/>
          <w:color w:val="auto"/>
          <w:sz w:val="24"/>
        </w:rPr>
        <w:t>以习近平新时代中国特色社会主义思想为指导，全面贯彻党的十九大、十九届二中三中全会精神和2019年全国“两会”精神，认真落实全国医疗保障工作会议座谈会精神，严格遵循《国家医疗保障局医疗保障信息化工作指导意见》及《医疗保障信息平台建设指南》，坚持“千方百计保基本、始终做到可持续、回应社会解民忧、敢于担当推改革”，以医保为龙头带动“三医联动”改革，以信息化建设为抓手推动医保覆盖与医保控费，积极融入医疗保障信息化全国“一盘棋”格局，为逐步构建起全国医保便捷可及“大服务”、规范高效“大经办”、智能精准“大治理”、融合共享“大协作”、在线可用“大数据”、安全可靠“大支撑”信息化支撑体系添枝加叶。</w:t>
      </w:r>
      <w:bookmarkStart w:id="736" w:name="_Toc40908196"/>
      <w:bookmarkStart w:id="737" w:name="_Toc40971634"/>
    </w:p>
    <w:p>
      <w:pPr>
        <w:autoSpaceDE w:val="0"/>
        <w:autoSpaceDN w:val="0"/>
        <w:spacing w:line="360" w:lineRule="auto"/>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2.项目建设目标</w:t>
      </w:r>
      <w:bookmarkEnd w:id="735"/>
      <w:bookmarkEnd w:id="736"/>
      <w:bookmarkEnd w:id="737"/>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针对海南地区人口经济发展差异和老龄化严重的社会问题及农垦职工医疗保险基金缺口等历史遗留问题，本项目按照国家医保局标准全国统一、数据两级集中、平台分级部署、网络全面覆盖的医疗保障信息化建设要求，注重顶层设计、统一业务标准、打造基础平台、做好数据汇集、强化协同共享、增强网络安全。依托国家平台与海南省平台之间的协作联通，使用国家下达的中台服务，贯彻表层应用能用即用，国家系统中未设计的表层应用，采用国家统一的中台进行组装的整体思路，建设海南省统一的医疗保障信息平台，实现医保全省统筹统收统支“九统一”的重点工作任务，即： 统一行政管理和稽查执法，统一医保发展规划，统一医保基金收缴，统一医保待遇政策，统一医保支付范围，统一医保基金管理，统一医保经办规程，统一医保定点机构，统一医保信息系统。进一步完善医疗保障制度体系，提升医疗保障基金监管，强化医保支付、深化医药服务价格改革、优化医疗保障管理服务水平，探索常住外籍人员医疗保障办法。发挥信息化对医疗保障事业的支撑作用。解决群众反映强烈的突出问题，不断提高人民群众医疗保障获利感、幸福感和安全感，助力提高医改整体效能同时促进海南自由贸易试验区快速建设和实施健康中国战略。</w:t>
      </w:r>
    </w:p>
    <w:p>
      <w:pPr>
        <w:adjustRightInd w:val="0"/>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2.1实现高效业务经办</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围绕待遇清单管理、结算规则管理、支付方式管理、参保管理、定点协议机构管理、跨省异地就医管理、预算结算与清算管理、基金财务管理等医保核心经办业务，实现智慧高效的业务经办体系。</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在国家医保局全国统一的基础信息管理系统基础上建设基础信息管理模块。根据海南对基础信息管理的要求，供疾病诊断、药品、医疗服务项目、耗材、人员、单位、机构等基础信息的管理功能和服务功能，为跨地区、跨业务、跨部门的信息共享和业务协同提供支持与管理。</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2）建设统一的医保业务基础管理模块。以参保人群、个人待遇、险种、病种、定点协议机构为维度，建立五维管理体系，为参保人员提供精准的医疗保障服务，支撑海南健全完善统一的职工医保、城乡居民医保、生育保险、医疗求助，扎实做好医保扶贫，落实“三个一批”，健全医疗服务价格、医保目录动态调整机制，建立快捷经办体系“前台统一受理、后台审核审批”理念，建成综合柜台，统一线下服务入口，提供“一窗式”服务，实现业务的受办分离、全省通办，各级医保经办机构、基层服务窗口、不同层级的工作人员在同一个信息化平台上开展服务。</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3）实现业务与财务一体化。核心是数据信息共享，业务反馈即时联动，业务数据在两大系统中双向流动，与财务资金的流动相对应，在全过程中有迹可循、有据可依，真正实现“钱（资金）在账上走，数（数据）在线上流”。业务财务一体化有效克服了业务和财务数据难以一致、无法联动、财务和相关部门对账复杂及基金财务防风险能力弱的缺点，进一步提高了财务信息化管理的科学性、基金财务风险点监控能力、财务人员工作效率以及基金财务安全运行的探索能力。</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（4）建设统一的支付方式管理子系统。强化实施总额预算下的总额控费、按按病种付费，基层医疗机构按人头付费，探索按疾病诊断相关分组付费试点，推进落实医疗共同体总额付费管理。</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5）建设基金运行与审计监管模块。对基金运行状况分析、趋势预测、基金审计、绩效考核，医疗机构的进销存情况进行实时监测，对监管过程中发现的违规的行为进行查处，加强医保基金预算管理，合理编制预决算，强化预算执行，提高基金使用效益。</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6）建设全生命周期档案管理模块。针对参保人从出生到死亡全生命周期所涉及到的医保业务相关的档案信息收集，其中包括参保人的险种、诊疗，病种、病历、报销比例等建立健康档案，从宏观角度考虑对医保政策辅助决策和预测提供有效依据，在中观角度可以有助于相关医保业务标准化的运行和统筹等方面的提高，在微观上对所有的参保人可以提供精准服务，为以后智慧医保打下坚实基础。</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7）建设专家库模块。专家库模块主要是实现对各个领域各个专业专家的管理，专家库的专家可辅助医保局完成相应的专家服务，如项目评审、评标、技术支持等服务。可通过自荐、推荐、抽取、退出等机制完成专家的管理，定时更新专家库信息。</w:t>
      </w:r>
    </w:p>
    <w:p>
      <w:pPr>
        <w:adjustRightInd w:val="0"/>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2.2打造普惠公共服务</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围绕惠民利民的宗旨，以参保单位、参保人员、医疗机构、药品耗材生产与配送企业等为服务对象，充分利用现代技术手段，打造以互联网、移动互联网为主体的，包含办事窗口、办事大厅、电话热线、自助服务一体机、网上办事大厅、微信公众号、APP等多种服务渠道的便捷准确公众服务。</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建设面向参保人的个人服务中心。为参保人提供个人待遇申请、个人定点医疗机构办理、跨省异地就医备案、关系转移接续申请、个人医保信息查询统计、个人参保助手等服务；建设面向参保单位、医疗机构、药品耗材生产与配送企业的机构服务中心，为企业提供职工医保参保、机构资格申请、单位信息维护、单位信息查询统计等服务，从而实现基本医疗保险、大病保险、医疗求助等的“一站式服务、一窗口办理、一单制结算”，简化定点医药机构协议管理流程，深入推进“放管服”改革，简化证明和备案手续，改善服务质量。</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2）对接省政务服务中心。围绕医保领域重点改革、重大政策、重要工作开展宣传，为群众提供医保政策法规、政策解读、医保知识，加大对典型经验、先进人物、改革成效、违规案例的宣传力度。在人工智能等先进技术的辅助下，发挥新媒体平台宣传优势，提供丰富的信息查询、在线咨询、智能帮助服务，为群众答疑解惑。</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3）建设面向公众的投诉举报与信访管理模块。充分发挥公众监督作用，及时发现社会问题，化解群众因历史遗留、特殊情况以及业务办理中遇到的堵点、难点，为群众排忧解难，维护医保制度的公平性，增强医保制度的公信力。</w:t>
      </w:r>
    </w:p>
    <w:p>
      <w:pPr>
        <w:adjustRightInd w:val="0"/>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2.3构建智能监管体系</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围绕提高基金持续保障能力，保障基金总体平稳运行的目的，以大数据分析决策技术为基础，通过构造智能监控规则，构建涵盖事前、事中、事后闭环的智能监管体系。</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（1）建设智能监管模块。针对执业人员、定点协议医疗机构、参保人员、药品耗材生产配送企业的不同特点，建立智能监控规则库，实现事前提醒，事中监控，事后审核，提升监管能力，创新监管方式。</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2）建设信用评价模块和内控模块。拓宽线索获取渠道，规范工作经办管理，丰富证据收集方式，支持针对薄弱环节开展专项治理，持续深入打击欺诈骗保，配合诚信体系的建设，健全完善“黑名单”和个人惩戒制度，同时加强对医保经办机构内部风险的防控，形成有效的监管机制。</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3）建设智慧医保管家模块。对业务监测、人员（参保人、医疗机构执业人员等）和机构（定点医疗机构、参保单位、药品、耗材生产/流通企业等）行为进行监管，对基金安全、公共服务、人员和机构信用、综合信息（气象、新闻、交通等）、工作进展等情况按场景实时展示并进行统计分析、排名、违规警示、处罚、风险预警及风险处置等。</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4）建设医保宏观决策大数据应用模块。充分利用大数据技术在数据治理、模拟运行、趋势预测、风险预警、精确推算与辅助决策方面的优势，全面支撑对使用基金违规行为、基金运行风险、医疗服务价格监测与动态调整、药品与耗材使用情况、重大政策调整、舆情监测方面的监控与决策，形成数据分析产品，分场景展示。</w:t>
      </w:r>
    </w:p>
    <w:p>
      <w:pPr>
        <w:adjustRightInd w:val="0"/>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2.4融合共享数据资源</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建设数据省级集中、平台统一部署、网络全面覆盖的医疗保障信息平台，结合海南省新型智慧城市和智慧岛建设规范，建设融合共享数据资源。</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建设省级集中的数据资源库，实现医疗保障业务标准数据统一汇聚和更新管理，主要提供疾病诊断、药品、医疗服务项目、耗材、人员、单位、机构等基础信息的管理功能和服务功能，为跨地区、跨业务、跨部门的信息共享和业务协同提供支持。</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（2）建设全省统一的基础设施，为整个平台提供计算服务、存储服务、网络服务、网络安全及虚拟化服务，保障新旧系统正常切换及平稳运行，高标准建成全国统</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4.1互联互通的医疗保障信息平台。</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部署全省统一的信息平台，提供公共服务区业务中台和核心业务区业务中台，抽取各子系统间可共享、可复用的业务能力，最大程度地提升子系统间协作效率，实现核心业务系统高弹性、高容错的技术特点。</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2）建设全面覆盖的医保核心业务网网络，纵向实现国家、海南省、市（县）互联互通，横向实现与人设、卫健、民政、财政、税务、公安等同级资源共享部门及医院、药店、商业银行、保险公司等外部关联单位的互联互通，最终建成数据共享、交互协同的全省一体化医疗保障网络体系。</w:t>
      </w:r>
    </w:p>
    <w:p>
      <w:pPr>
        <w:adjustRightInd w:val="0"/>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2.5支撑业务机制创新</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围绕医保的作用定位和改革发展思路，突破传统思维和行政方式，在全面实现更加公平更可持续目标的同时，主动适应并发挥信息系统的作用，围绕促进健康中国建设、促进医改、医疗进步，努力构建“大医保”格局，推动医保业务机制创新。</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打造服务形式的创新，推动互联网、大数据、人工智能与医保管理服务体系的融合，建立更加便捷、更有效率的医疗保障管理服务体系。提高业务工作全程数字化、标准化、一体化、智能化水平，依托统一的数字认证、电子签章、电子证照等技术手段，构建“无纸化办公”、“不见面审批”、“异地业务电子化”、“档案管理与应用数字化”等业务工作模式，各种医保电子档案、电子证照、电子单据、电子单证得以应用，跨区域、跨层级、跨部门、跨系统的电子材料得以全面共享与复用。</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2）打造监管模式的创新，将待遇政策、结算规则、医保规范推送到医院端诊疗平台，打造事前提醒与事中监督的基金监管新模式；打造医保基金非现场监督能力和医疗费用智能监管能力，严防并严厉打击各种骗保行为，同时既扼制过度医疗，又防止服务不足行为的发生；强化药品招采过程监管，将招采监管覆盖到生产企业与配送企业交易环节，让配送成本占比透明化，打造真正公平公正公开的阳光招采模式；实施多维度评价考核机制，既监督基金使用过程的规范性，亦考评基金使用的高效性、预算的准确性，打造具有激励作用的信用评价与绩效评价体系；推行大数据技术支撑下的医疗服务价格、药品与耗材价格监测机制、短缺药品预警机制，建立医保基金监管的长效机制。</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3）打造业务协同的创新，通过建立统一的数据标准，纵向符合国家的标准与规范，横向规范医保相关行业的数据建设与应用，既满足跨省信息资源的共享与业务协同，又达到与省内各相关职能部门的数据共建共享和业务协同，实现资源的集约化管理。</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4）打造支撑体系的创新，利用中台架构，将信息系统核心能力以共享服务中心进行沉淀，形成“大中台、小前台”的系统支撑体系；利用大数据技术，对海量数据进行采集、计算、存储、加工，统一标准形成大数据资产层，进而为前台提供高效服务，实现数据中台的建设。</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五是打造运营模式的创新，建立创新成果转化器，发挥高校与企业技术技术与资源优势，激励医保专项软课题研究成果的落地转化；打造商品管理与物流服务新模式；为公众提供消息推送、结算验证等实时信息服务；建立大数据脱敏，探索各种有助于大数据增值的协作、共享与运营服务。</w:t>
      </w:r>
    </w:p>
    <w:p>
      <w:pPr>
        <w:adjustRightInd w:val="0"/>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2.6建设网络安全体系</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严格按照国家相关法律法规要求，落实网络安全保护等级制度要求，加强医疗保障信息化基础设施和安全保障体系建设，确保海南省医疗保障信息平台安全稳定运行。</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海南省医疗保障信息平台数据中心网络系统设计采用分区域安全架构设计，总体划分为：核心业务区、内外网数据交换区、公共服务区、纵向接入区、横向接入区。在各网络区域边界部署边界防护设备，加强医疗保障核心业务网边界安全防护，实现安全可控的数据流访问和数据交换。</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依据信息化系统安全总体原则，医疗保障核心业务区的网络、系统和数据部署于医疗保障核心业务网内或政府专网环境内，按照网络安全等级保护三级标准建设，信息系统具备脱敏加密等能力。公共服务区对外应用时采取有效办法确保数据不泄露、不截留。保证接入和数据交换的安全，终端、网络、应用、数据具备相应的保护与防攻击措施，确保信息不被篡改和非法获取，保证数据传输时的保密性。基于CA技术实现签名功能、实现抗抵赖功能。对于不同的角色分配不同信息系统的访问权限。建立一套全面的、有效的回溯和追查机制，实时监测用户对信息系统的访问状态，及时发现非法访问事件，对出现的问题进行事后追溯和责任追究提供实证。</w:t>
      </w:r>
    </w:p>
    <w:p>
      <w:pPr>
        <w:adjustRightInd w:val="0"/>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2.7推进技术与业务深度融合</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围绕国家提出的网络强国、健全“互联网+医疗健康”服务体系、完善“互联网+医疗健康”支撑体系、加强行业监管和安全保障提出了明确的要求，其中就完善“互联网+”药品供应保障服务、推进“互联网+”医保结算服务、推动互联网与医疗健康服务融合，涵盖医疗、医药、医保“三医联动”实现技术与业务的深度融合。</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打造以互联网为载体的公共服务新模式，让业务上网，建设多渠道服务，特别是建设公众服务平台，发展移动服务，提供线上参保缴费服务、网上预约登记、权益信息查询服务、就医一卡通服务、待遇资格认证服务等，根据不同使用场景实现线上基于电子身份凭证的扫码码支付和线下基于社保卡的诊间结算的相结合。</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2）打造基于多种社会服务渠道的互联网+服务模式，探索医保在互联网企业服务入口上实现服务的延伸。建立医保与社会服务渠道的安全有效连接，利用社会服务渠道提升信息查询、参保缴费、医保移动支付等线上业务的便捷性，并实现线上业务的安全控制。</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（3）打造基于移动互联网的医保管理模式，让一切经办业务上网，将现场检查、现场审核、上门服务等线下管理与服务业务移植到移动互联网上，利用移动终端实现医保业务在基层、在一线的即时办结。</w:t>
      </w:r>
    </w:p>
    <w:p>
      <w:pPr>
        <w:autoSpaceDE w:val="0"/>
        <w:autoSpaceDN w:val="0"/>
        <w:spacing w:line="360" w:lineRule="auto"/>
        <w:rPr>
          <w:rFonts w:ascii="仿宋" w:hAnsi="仿宋" w:eastAsia="仿宋" w:cs="仿宋"/>
          <w:b/>
          <w:color w:val="auto"/>
          <w:kern w:val="0"/>
          <w:sz w:val="24"/>
          <w:lang w:val="zh-CN" w:bidi="zh-CN"/>
        </w:rPr>
      </w:pPr>
      <w:bookmarkStart w:id="738" w:name="_Toc40908197"/>
      <w:bookmarkStart w:id="739" w:name="_Toc25230885"/>
      <w:bookmarkStart w:id="740" w:name="_Toc40971635"/>
      <w:r>
        <w:rPr>
          <w:rFonts w:hint="eastAsia" w:ascii="仿宋" w:hAnsi="仿宋" w:eastAsia="仿宋" w:cs="仿宋"/>
          <w:b/>
          <w:color w:val="auto"/>
          <w:kern w:val="0"/>
          <w:sz w:val="24"/>
          <w:lang w:val="zh-CN" w:bidi="zh-CN"/>
        </w:rPr>
        <w:t>3.项目建设内容</w:t>
      </w:r>
      <w:bookmarkEnd w:id="738"/>
      <w:bookmarkEnd w:id="739"/>
      <w:bookmarkEnd w:id="740"/>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海南省医疗保障信息平台遵循统一设计、统一标准、统一技术架构、统一业务规范，支持横向纵向业务协同、信息共享。依据医疗保障信息平台建设指南，结合海南省医疗保障局实际情况，本期建设内容如下：</w:t>
      </w:r>
    </w:p>
    <w:p>
      <w:pPr>
        <w:adjustRightInd w:val="0"/>
        <w:spacing w:line="360" w:lineRule="auto"/>
        <w:ind w:firstLine="482" w:firstLineChars="200"/>
        <w:textAlignment w:val="baseline"/>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3.1基础设施建设</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云基础设施建设：本项目由政务云提供计算资源、存储资源、网络资源、安全资源等各项云基础设施，实现计算资源、存储资源、网络资源的动态管理和资源调配。通过云基础设施为上层应用提供基础设施支撑。依托政务云建设医疗保障局双数据中心，实现业务系统应用级容灾，同时在数据中心本地建设备份系统。</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网络系统建设：依托电子政务外网、互联网，建设双数据中心主备容灾模式的网络系统，两数据中心之间以光纤链路进行交互。本项目网络架构采用spine-leaf结构同时结合VxLAN+SDN技术对整个网络进行管理和配置。</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医保指挥中心建设：建设医保指挥中心，配置大屏、视频会议系统、音视频、网络接入及安全、数字时钟、视频会议室改造、供配电系统、操作台扩声系统、大屏显示系统、中控系统、计算机网络系统、综合布线系统等设备。</w:t>
      </w:r>
    </w:p>
    <w:p>
      <w:pPr>
        <w:adjustRightInd w:val="0"/>
        <w:spacing w:line="360" w:lineRule="auto"/>
        <w:ind w:firstLine="482" w:firstLineChars="200"/>
        <w:textAlignment w:val="baseline"/>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3.2 DaaS层建设</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Daas层主要承载着各个业务系统的基础业务数据库，各个业务系统的生产数据全部存储在业务系统的生产数据库中，并通过镜像的方式同步到交换库中，从而通过交换库实现纵向与国家医疗保障信息平台交换库的数据交换，横向基于海南省数据交换平台或直连方式实现与海南省自然人库、法人库、电子证照库、地理信息库以及公安、民政、人社、卫健、扶贫、市场监督管理局等相关省级局办委之间的数据共享和交换。</w:t>
      </w:r>
    </w:p>
    <w:p>
      <w:pPr>
        <w:adjustRightInd w:val="0"/>
        <w:spacing w:line="360" w:lineRule="auto"/>
        <w:ind w:firstLine="482" w:firstLineChars="200"/>
        <w:textAlignment w:val="baseline"/>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3.3 HSAF框架及云支撑服务</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海南省医疗保障信息平台建设依托“基于统一的技术框架”，包括HSAF（医疗保障应用框架）适配框架以及包括云服务总线、分布式数据库访问服务、分布式缓存在内的多种云支撑服务组件。云支撑服务具体包括分布式服务、消息队列服务、分布式缓存服务、分布式日志服务、分布式数据访问服务、关系型数据库、非结构化存储服务、分布式离线计算、分布式实时计算引擎、流计算引擎和云服务总线等。</w:t>
      </w:r>
    </w:p>
    <w:p>
      <w:pPr>
        <w:adjustRightInd w:val="0"/>
        <w:spacing w:line="360" w:lineRule="auto"/>
        <w:ind w:firstLine="482" w:firstLineChars="200"/>
        <w:textAlignment w:val="baseline"/>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3.4政务中台建设</w:t>
      </w:r>
    </w:p>
    <w:p>
      <w:pPr>
        <w:adjustRightInd w:val="0"/>
        <w:spacing w:line="360" w:lineRule="auto"/>
        <w:ind w:firstLine="480" w:firstLineChars="200"/>
        <w:textAlignment w:val="baseline"/>
        <w:rPr>
          <w:rFonts w:ascii="仿宋" w:hAnsi="仿宋" w:eastAsia="仿宋" w:cs="仿宋"/>
          <w:color w:val="auto"/>
          <w:sz w:val="24"/>
          <w:lang w:val="zh-CN" w:bidi="zh-CN"/>
        </w:rPr>
      </w:pPr>
      <w:r>
        <w:rPr>
          <w:rFonts w:hint="eastAsia" w:ascii="仿宋" w:hAnsi="仿宋" w:eastAsia="仿宋" w:cs="仿宋"/>
          <w:color w:val="auto"/>
          <w:kern w:val="0"/>
          <w:sz w:val="24"/>
          <w:lang w:val="zh-CN" w:bidi="zh-CN"/>
        </w:rPr>
        <w:t>政务中台包括业务中台和数据中台。</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业务中台包括国家统一下发的分别部署在海南省医疗保障平台核心业务区和公共服务区的25个业务中心。其中省内核心业务区的业务中心包括基本信息中心、用户中心、统一认证中心、政策中心、参保中心、征缴中心、结算中心、电子凭证中心、电子档案中心、消息中心、风控中心、工作流引擎中心、报表中心和招采中心共14个业务中心。公共服务区业务中心包括统一认证中心、用户中心、服务事项中心、CMS中心、咨询中心、电子凭证中心、电子票据中心、消息推送中心、知识库中心、位置管理中心和个人服务中心共11个业务中心。</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数据中台基于数据资源池提供数据综合治理服务和数据计算服务。数据综合治理服务通过数据可视化、数据管理、数据开发等手段构建平台数据综合治理服务能力，实现数据的深度综合治理。数据计算服务通过构建各类数据计算服务能力，搭建机器学习、深度学习、分析预测、决策、计算框架等计算服务能力，为上层业务系统进行数据处理、数据计算、数据分析提供能力保障。</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中台建设内容将根据国家医保局的最新成果进行修订。</w:t>
      </w:r>
    </w:p>
    <w:p>
      <w:pPr>
        <w:adjustRightInd w:val="0"/>
        <w:spacing w:line="360" w:lineRule="auto"/>
        <w:ind w:firstLine="482" w:firstLineChars="200"/>
        <w:textAlignment w:val="baseline"/>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3.5应用系统建设</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应用系统包括核心业务区的5个子系统和公共服务区的1个子系统。</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（1）核心业务区建设应用支撑子系统、业务经办子系统、支付方式管理子系统、综合管控子系统、智慧决策子系统等5个子系统。</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应用支撑子系统包括：内部统一门户模块、基础信息管理模块、专家库模块。</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业务经办子系统包括：医保基础业务模块、医疗救助模块、医保扶贫、跨省异地就医管理模块、医疗服务价格管理模块、医保结算收费平台模块。</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支付方式管理子系统做到支付参数与支付执行一致，实现支付方式的统一管理，包括对参保人支付和对医药机构支付两个方面。</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综合管控子系统包括：基金运行及审计监管模块、医疗保障智能监管模块、医保管家模块、内控管理模块、全生命周期档案管理模块。</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智慧决策子系统包括：信用评价管理模块和宏观决策大数据应用模块。</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（2）公共服务区建设公共服务子系统，包括：公共服务模块和医保药品和医用耗材招采管理模块。</w:t>
      </w:r>
    </w:p>
    <w:p>
      <w:pPr>
        <w:adjustRightInd w:val="0"/>
        <w:spacing w:line="360" w:lineRule="auto"/>
        <w:ind w:firstLine="482" w:firstLineChars="200"/>
        <w:textAlignment w:val="baseline"/>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3.6访问入口建设</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核心业务区的访问入口主要包括网站和智能终端。对于实现有线连接的经办机构、定点医疗机构使用网站接入，对于电子政务外网暂时无法覆盖的经办机构，暂时未能实现有线接入的定点医疗机构使用VPDN+4G+智能终端的方式接入。</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公共服务区的访问入口支持多种渠道的访问，具体包括国家平台访问入口、海南省政务服务网访问入口、医保局网站、自助终端、小程序、互联网企业等第三方渠道等。</w:t>
      </w:r>
    </w:p>
    <w:p>
      <w:pPr>
        <w:adjustRightInd w:val="0"/>
        <w:spacing w:line="360" w:lineRule="auto"/>
        <w:ind w:firstLine="482" w:firstLineChars="200"/>
        <w:textAlignment w:val="baseline"/>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3.7标准规范体系</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本次海南省医疗保障信息平台建设基于国家统一制定的国家医疗保障信息平台标准体系，结合海南省电子政务外网的接入标准规范、海南省人民政府政务服务中心的接入标准规范、海南省政务服务网等各级各类平台的接入标准规范要求进行建设。实现国家医疗保障信息平台总体标准标准规范体系、总体标准标准业务术语、系统建设标准、系统集成技术标准、网络安全开发标准、信息资源标准、外部系统交互规范、中台管理规范和数据归集标准、业务流程规范、业务管理规范和业务编码标准等12类标准规范的落地。在本项目建设过程中不涉及具体标准规范建设。</w:t>
      </w:r>
    </w:p>
    <w:p>
      <w:pPr>
        <w:adjustRightInd w:val="0"/>
        <w:spacing w:line="360" w:lineRule="auto"/>
        <w:ind w:firstLine="482" w:firstLineChars="200"/>
        <w:textAlignment w:val="baseline"/>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3.8安全运维体系</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本项目参考网络安全法、网络安全等级保护标准等国内相关安全标准并借鉴部署于云平台上信息系统安全防护的最佳实践经验，通过网络安全管理体系、网络安全技术体系和网络安全运营体系的建设，实现风险可控的建设目标。同时，制定运维体系保证信息化业务系统及硬件设施后期的安全稳定运行。</w:t>
      </w:r>
    </w:p>
    <w:p>
      <w:pPr>
        <w:adjustRightInd w:val="0"/>
        <w:spacing w:line="360" w:lineRule="auto"/>
        <w:ind w:firstLine="482" w:firstLineChars="200"/>
        <w:textAlignment w:val="baseline"/>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3.9其他自助终端采购</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包括医保自助一体机，在省本级医保局及每个市县配置；医保高拍仪，在每个市县医保局、社保局配置。</w:t>
      </w:r>
    </w:p>
    <w:p>
      <w:pPr>
        <w:adjustRightInd w:val="0"/>
        <w:spacing w:line="360" w:lineRule="auto"/>
        <w:ind w:firstLine="482" w:firstLineChars="200"/>
        <w:textAlignment w:val="baseline"/>
        <w:rPr>
          <w:rFonts w:ascii="仿宋" w:hAnsi="仿宋" w:eastAsia="仿宋" w:cs="仿宋"/>
          <w:b/>
          <w:color w:val="auto"/>
          <w:kern w:val="0"/>
          <w:sz w:val="24"/>
          <w:lang w:val="zh-CN" w:bidi="zh-CN"/>
        </w:rPr>
      </w:pPr>
      <w:r>
        <w:rPr>
          <w:rFonts w:hint="eastAsia" w:ascii="仿宋" w:hAnsi="仿宋" w:eastAsia="仿宋" w:cs="仿宋"/>
          <w:b/>
          <w:color w:val="auto"/>
          <w:kern w:val="0"/>
          <w:sz w:val="24"/>
          <w:lang w:val="zh-CN" w:bidi="zh-CN"/>
        </w:rPr>
        <w:t>3.10数据迁移</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数据迁移是指对原医保相关系统中的医保数据，经过数据整理、环境准备、数据分析转换、数据同步、数据验证与测试等操作，实现原系统中的医保数据在医保新建系统中得到复用的过程。</w:t>
      </w:r>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数据迁移包括多项工作：旧系统数据字典整理、旧系统数据质量分析、新系统数据字典整理、新旧系统数据差异分析、建立新旧系统数据之间的映射关系、开发部署数据转换与迁移工具/程序/脚本、制定数据转换与迁移的实施方案和应急方案、按方案实施旧系统数据到新系统的转换与迁移工作、检查转换与迁移后数据的完整性与正确性。</w:t>
      </w:r>
    </w:p>
    <w:p>
      <w:pPr>
        <w:autoSpaceDE w:val="0"/>
        <w:autoSpaceDN w:val="0"/>
        <w:spacing w:line="360" w:lineRule="auto"/>
        <w:rPr>
          <w:rFonts w:ascii="仿宋" w:hAnsi="仿宋" w:eastAsia="仿宋" w:cs="仿宋"/>
          <w:b/>
          <w:color w:val="auto"/>
          <w:kern w:val="0"/>
          <w:sz w:val="24"/>
          <w:lang w:val="zh-CN" w:bidi="zh-CN"/>
        </w:rPr>
      </w:pPr>
      <w:bookmarkStart w:id="741" w:name="_Toc40971636"/>
      <w:r>
        <w:rPr>
          <w:rFonts w:hint="eastAsia" w:ascii="仿宋" w:hAnsi="仿宋" w:eastAsia="仿宋" w:cs="仿宋"/>
          <w:b/>
          <w:color w:val="auto"/>
          <w:kern w:val="0"/>
          <w:sz w:val="24"/>
          <w:lang w:val="zh-CN" w:bidi="zh-CN"/>
        </w:rPr>
        <w:t>4.数字证书用户需求</w:t>
      </w:r>
      <w:bookmarkEnd w:id="741"/>
    </w:p>
    <w:p>
      <w:pPr>
        <w:adjustRightInd w:val="0"/>
        <w:spacing w:line="360" w:lineRule="auto"/>
        <w:ind w:firstLine="480" w:firstLineChars="200"/>
        <w:textAlignment w:val="baseline"/>
        <w:rPr>
          <w:rFonts w:ascii="仿宋" w:hAnsi="仿宋" w:eastAsia="仿宋" w:cs="仿宋"/>
          <w:color w:val="auto"/>
          <w:kern w:val="0"/>
          <w:sz w:val="24"/>
          <w:lang w:val="zh-CN" w:bidi="zh-CN"/>
        </w:rPr>
      </w:pPr>
      <w:r>
        <w:rPr>
          <w:rFonts w:hint="eastAsia" w:ascii="仿宋" w:hAnsi="仿宋" w:eastAsia="仿宋" w:cs="仿宋"/>
          <w:color w:val="auto"/>
          <w:kern w:val="0"/>
          <w:sz w:val="24"/>
          <w:lang w:val="zh-CN" w:bidi="zh-CN"/>
        </w:rPr>
        <w:t>本项目电子认证系统采购清单如下表：</w:t>
      </w:r>
    </w:p>
    <w:p>
      <w:pPr>
        <w:widowControl/>
        <w:shd w:val="clear" w:color="auto" w:fill="FFFFFF"/>
        <w:spacing w:line="360" w:lineRule="auto"/>
        <w:ind w:firstLine="200"/>
        <w:jc w:val="center"/>
        <w:rPr>
          <w:rFonts w:ascii="仿宋" w:hAnsi="仿宋" w:eastAsia="仿宋" w:cs="仿宋"/>
          <w:b/>
          <w:bCs/>
          <w:color w:val="auto"/>
          <w:kern w:val="0"/>
          <w:sz w:val="24"/>
        </w:rPr>
      </w:pPr>
      <w:r>
        <w:rPr>
          <w:rFonts w:hint="eastAsia" w:ascii="仿宋" w:hAnsi="仿宋" w:eastAsia="仿宋" w:cs="仿宋"/>
          <w:b/>
          <w:bCs/>
          <w:color w:val="auto"/>
          <w:kern w:val="0"/>
          <w:sz w:val="24"/>
        </w:rPr>
        <w:t>采购清单</w:t>
      </w:r>
    </w:p>
    <w:tbl>
      <w:tblPr>
        <w:tblStyle w:val="14"/>
        <w:tblW w:w="0" w:type="auto"/>
        <w:tblInd w:w="0" w:type="dxa"/>
        <w:tblLayout w:type="fixed"/>
        <w:tblCellMar>
          <w:top w:w="0" w:type="dxa"/>
          <w:left w:w="108" w:type="dxa"/>
          <w:bottom w:w="0" w:type="dxa"/>
          <w:right w:w="108" w:type="dxa"/>
        </w:tblCellMar>
      </w:tblPr>
      <w:tblGrid>
        <w:gridCol w:w="939"/>
        <w:gridCol w:w="3336"/>
        <w:gridCol w:w="1743"/>
        <w:gridCol w:w="893"/>
        <w:gridCol w:w="2376"/>
      </w:tblGrid>
      <w:tr>
        <w:tblPrEx>
          <w:tblCellMar>
            <w:top w:w="0" w:type="dxa"/>
            <w:left w:w="108" w:type="dxa"/>
            <w:bottom w:w="0" w:type="dxa"/>
            <w:right w:w="108" w:type="dxa"/>
          </w:tblCellMar>
        </w:tblPrEx>
        <w:trPr>
          <w:trHeight w:val="570" w:hRule="atLeast"/>
          <w:tblHeader/>
        </w:trPr>
        <w:tc>
          <w:tcPr>
            <w:tcW w:w="939" w:type="dxa"/>
            <w:tcBorders>
              <w:top w:val="single" w:color="auto" w:sz="8" w:space="0"/>
              <w:left w:val="single" w:color="auto" w:sz="8" w:space="0"/>
              <w:bottom w:val="single" w:color="auto" w:sz="4" w:space="0"/>
              <w:right w:val="single" w:color="auto" w:sz="4" w:space="0"/>
            </w:tcBorders>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3336" w:type="dxa"/>
            <w:tcBorders>
              <w:top w:val="single" w:color="auto" w:sz="8" w:space="0"/>
              <w:left w:val="nil"/>
              <w:bottom w:val="single" w:color="auto" w:sz="4" w:space="0"/>
              <w:right w:val="single" w:color="auto" w:sz="4" w:space="0"/>
            </w:tcBorders>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设备及软件名称</w:t>
            </w:r>
          </w:p>
        </w:tc>
        <w:tc>
          <w:tcPr>
            <w:tcW w:w="1743" w:type="dxa"/>
            <w:tcBorders>
              <w:top w:val="single" w:color="auto" w:sz="8" w:space="0"/>
              <w:left w:val="nil"/>
              <w:bottom w:val="single" w:color="auto" w:sz="4" w:space="0"/>
              <w:right w:val="single" w:color="auto" w:sz="4" w:space="0"/>
            </w:tcBorders>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所属系统及部署位置</w:t>
            </w:r>
          </w:p>
        </w:tc>
        <w:tc>
          <w:tcPr>
            <w:tcW w:w="893" w:type="dxa"/>
            <w:tcBorders>
              <w:top w:val="single" w:color="auto" w:sz="8" w:space="0"/>
              <w:left w:val="nil"/>
              <w:bottom w:val="single" w:color="auto" w:sz="4" w:space="0"/>
              <w:right w:val="single" w:color="auto" w:sz="4" w:space="0"/>
            </w:tcBorders>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数量</w:t>
            </w:r>
          </w:p>
        </w:tc>
        <w:tc>
          <w:tcPr>
            <w:tcW w:w="2376" w:type="dxa"/>
            <w:tcBorders>
              <w:top w:val="single" w:color="auto" w:sz="8" w:space="0"/>
              <w:left w:val="nil"/>
              <w:bottom w:val="single" w:color="auto" w:sz="4" w:space="0"/>
              <w:right w:val="single" w:color="auto" w:sz="4" w:space="0"/>
            </w:tcBorders>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单位</w:t>
            </w:r>
          </w:p>
        </w:tc>
      </w:tr>
      <w:tr>
        <w:tblPrEx>
          <w:tblCellMar>
            <w:top w:w="0" w:type="dxa"/>
            <w:left w:w="108" w:type="dxa"/>
            <w:bottom w:w="0" w:type="dxa"/>
            <w:right w:w="108" w:type="dxa"/>
          </w:tblCellMar>
        </w:tblPrEx>
        <w:trPr>
          <w:trHeight w:val="312" w:hRule="atLeast"/>
        </w:trPr>
        <w:tc>
          <w:tcPr>
            <w:tcW w:w="93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（一）</w:t>
            </w:r>
          </w:p>
        </w:tc>
        <w:tc>
          <w:tcPr>
            <w:tcW w:w="333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核心业务区A</w:t>
            </w:r>
          </w:p>
        </w:tc>
        <w:tc>
          <w:tcPr>
            <w:tcW w:w="174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w:t>
            </w:r>
          </w:p>
        </w:tc>
        <w:tc>
          <w:tcPr>
            <w:tcW w:w="89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70" w:hRule="atLeast"/>
        </w:trPr>
        <w:tc>
          <w:tcPr>
            <w:tcW w:w="93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33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服务器密码机</w:t>
            </w:r>
          </w:p>
        </w:tc>
        <w:tc>
          <w:tcPr>
            <w:tcW w:w="174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核心业务区</w:t>
            </w:r>
          </w:p>
        </w:tc>
        <w:tc>
          <w:tcPr>
            <w:tcW w:w="89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2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174" w:hRule="atLeast"/>
        </w:trPr>
        <w:tc>
          <w:tcPr>
            <w:tcW w:w="93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33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身份认证网关</w:t>
            </w:r>
          </w:p>
        </w:tc>
        <w:tc>
          <w:tcPr>
            <w:tcW w:w="174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核心业务区</w:t>
            </w:r>
          </w:p>
        </w:tc>
        <w:tc>
          <w:tcPr>
            <w:tcW w:w="89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2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319"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3336"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数字签名服务器</w:t>
            </w:r>
          </w:p>
        </w:tc>
        <w:tc>
          <w:tcPr>
            <w:tcW w:w="174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核心业务区</w:t>
            </w:r>
          </w:p>
        </w:tc>
        <w:tc>
          <w:tcPr>
            <w:tcW w:w="89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2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316"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数字证书存储介质（USBKEY）</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核心业务区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4360 </w:t>
            </w:r>
          </w:p>
        </w:tc>
        <w:tc>
          <w:tcPr>
            <w:tcW w:w="2376"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263"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5</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时间戳服务器（CA定制）</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核心业务区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1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375" w:hRule="atLeast"/>
        </w:trPr>
        <w:tc>
          <w:tcPr>
            <w:tcW w:w="93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（二）</w:t>
            </w:r>
          </w:p>
        </w:tc>
        <w:tc>
          <w:tcPr>
            <w:tcW w:w="333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公共服务区A</w:t>
            </w:r>
          </w:p>
        </w:tc>
        <w:tc>
          <w:tcPr>
            <w:tcW w:w="174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w:t>
            </w:r>
          </w:p>
        </w:tc>
        <w:tc>
          <w:tcPr>
            <w:tcW w:w="89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282" w:hRule="atLeast"/>
        </w:trPr>
        <w:tc>
          <w:tcPr>
            <w:tcW w:w="93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33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服务器密码机</w:t>
            </w:r>
          </w:p>
        </w:tc>
        <w:tc>
          <w:tcPr>
            <w:tcW w:w="174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公共服务区</w:t>
            </w:r>
          </w:p>
        </w:tc>
        <w:tc>
          <w:tcPr>
            <w:tcW w:w="89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2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271" w:hRule="atLeast"/>
        </w:trPr>
        <w:tc>
          <w:tcPr>
            <w:tcW w:w="939" w:type="dxa"/>
            <w:tcBorders>
              <w:top w:val="nil"/>
              <w:left w:val="single" w:color="auto" w:sz="8" w:space="0"/>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33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身份认证网关</w:t>
            </w:r>
          </w:p>
        </w:tc>
        <w:tc>
          <w:tcPr>
            <w:tcW w:w="174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公共服务区</w:t>
            </w:r>
          </w:p>
        </w:tc>
        <w:tc>
          <w:tcPr>
            <w:tcW w:w="89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2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262"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3336"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数字签名服务器</w:t>
            </w:r>
          </w:p>
        </w:tc>
        <w:tc>
          <w:tcPr>
            <w:tcW w:w="174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公共服务区</w:t>
            </w:r>
          </w:p>
        </w:tc>
        <w:tc>
          <w:tcPr>
            <w:tcW w:w="89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2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279"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数字证书存储介质（USBKEY）</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公共服务区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6900 </w:t>
            </w:r>
          </w:p>
        </w:tc>
        <w:tc>
          <w:tcPr>
            <w:tcW w:w="2376"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398"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5</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时间戳服务器（CA定制）</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公共服务区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1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398"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（一）</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核心业务区B</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398"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身份认证网关</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核心业务区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2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398"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数字签名服务器</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核心业务区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2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398"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时间戳服务器（CA定制）</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核心业务区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1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398"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（二）</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公共服务区B</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398"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身份认证网关</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核心业务区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2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398"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数字签名服务器</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核心业务区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2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398" w:hRule="atLeast"/>
        </w:trPr>
        <w:tc>
          <w:tcPr>
            <w:tcW w:w="939" w:type="dxa"/>
            <w:tcBorders>
              <w:top w:val="nil"/>
              <w:left w:val="single" w:color="auto" w:sz="8"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时间戳服务器（CA定制）</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公共服务区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1 </w:t>
            </w:r>
          </w:p>
        </w:tc>
        <w:tc>
          <w:tcPr>
            <w:tcW w:w="2376"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台</w:t>
            </w:r>
          </w:p>
        </w:tc>
      </w:tr>
      <w:tr>
        <w:tblPrEx>
          <w:tblCellMar>
            <w:top w:w="0" w:type="dxa"/>
            <w:left w:w="108" w:type="dxa"/>
            <w:bottom w:w="0" w:type="dxa"/>
            <w:right w:w="108" w:type="dxa"/>
          </w:tblCellMar>
        </w:tblPrEx>
        <w:trPr>
          <w:trHeight w:val="60" w:hRule="atLeast"/>
        </w:trPr>
        <w:tc>
          <w:tcPr>
            <w:tcW w:w="4275" w:type="dxa"/>
            <w:gridSpan w:val="2"/>
            <w:tcBorders>
              <w:top w:val="single" w:color="auto" w:sz="4" w:space="0"/>
              <w:left w:val="single" w:color="auto" w:sz="4" w:space="0"/>
              <w:bottom w:val="single" w:color="auto" w:sz="4" w:space="0"/>
              <w:right w:val="single" w:color="000000" w:sz="4" w:space="0"/>
            </w:tcBorders>
            <w:noWrap/>
            <w:vAlign w:val="center"/>
          </w:tcPr>
          <w:p>
            <w:pPr>
              <w:widowControl/>
              <w:spacing w:line="360" w:lineRule="auto"/>
              <w:jc w:val="left"/>
              <w:rPr>
                <w:rFonts w:ascii="仿宋" w:hAnsi="仿宋" w:eastAsia="仿宋" w:cs="仿宋"/>
                <w:b/>
                <w:bCs/>
                <w:color w:val="auto"/>
                <w:kern w:val="0"/>
                <w:sz w:val="24"/>
              </w:rPr>
            </w:pPr>
            <w:r>
              <w:rPr>
                <w:rFonts w:hint="eastAsia" w:ascii="仿宋" w:hAnsi="仿宋" w:eastAsia="仿宋" w:cs="仿宋"/>
                <w:b/>
                <w:bCs/>
                <w:color w:val="auto"/>
                <w:kern w:val="0"/>
                <w:sz w:val="24"/>
              </w:rPr>
              <w:t>三、其他系统软件</w:t>
            </w:r>
          </w:p>
        </w:tc>
        <w:tc>
          <w:tcPr>
            <w:tcW w:w="1743"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　</w:t>
            </w:r>
          </w:p>
        </w:tc>
        <w:tc>
          <w:tcPr>
            <w:tcW w:w="893"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　</w:t>
            </w:r>
          </w:p>
        </w:tc>
        <w:tc>
          <w:tcPr>
            <w:tcW w:w="2376"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461" w:hRule="atLeast"/>
        </w:trPr>
        <w:tc>
          <w:tcPr>
            <w:tcW w:w="93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移动证书</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省自建服务区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2376" w:type="dxa"/>
            <w:vMerge w:val="restart"/>
            <w:tcBorders>
              <w:top w:val="nil"/>
              <w:left w:val="single" w:color="auto" w:sz="4" w:space="0"/>
              <w:bottom w:val="single" w:color="000000"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省自主建设部分CA</w:t>
            </w:r>
          </w:p>
          <w:p>
            <w:pPr>
              <w:widowControl/>
              <w:spacing w:line="360" w:lineRule="auto"/>
              <w:jc w:val="left"/>
              <w:rPr>
                <w:rFonts w:ascii="仿宋" w:hAnsi="仿宋" w:eastAsia="仿宋" w:cs="仿宋"/>
                <w:color w:val="auto"/>
                <w:kern w:val="0"/>
                <w:sz w:val="24"/>
              </w:rPr>
            </w:pPr>
          </w:p>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移动APP 1套全业务使用</w:t>
            </w:r>
          </w:p>
        </w:tc>
      </w:tr>
      <w:tr>
        <w:tblPrEx>
          <w:tblCellMar>
            <w:top w:w="0" w:type="dxa"/>
            <w:left w:w="108" w:type="dxa"/>
            <w:bottom w:w="0" w:type="dxa"/>
            <w:right w:w="108" w:type="dxa"/>
          </w:tblCellMar>
        </w:tblPrEx>
        <w:trPr>
          <w:trHeight w:val="615" w:hRule="atLeast"/>
        </w:trPr>
        <w:tc>
          <w:tcPr>
            <w:tcW w:w="93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数字证书移动终端APP（含密码模块）</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省自建服务区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2376" w:type="dxa"/>
            <w:vMerge w:val="continue"/>
            <w:tcBorders>
              <w:top w:val="nil"/>
              <w:left w:val="single" w:color="auto" w:sz="4" w:space="0"/>
              <w:bottom w:val="single" w:color="000000"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p>
        </w:tc>
      </w:tr>
      <w:tr>
        <w:tblPrEx>
          <w:tblCellMar>
            <w:top w:w="0" w:type="dxa"/>
            <w:left w:w="108" w:type="dxa"/>
            <w:bottom w:w="0" w:type="dxa"/>
            <w:right w:w="108" w:type="dxa"/>
          </w:tblCellMar>
        </w:tblPrEx>
        <w:trPr>
          <w:trHeight w:val="398" w:hRule="atLeast"/>
        </w:trPr>
        <w:tc>
          <w:tcPr>
            <w:tcW w:w="939"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3336" w:type="dxa"/>
            <w:tcBorders>
              <w:top w:val="nil"/>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SSL服务器证书</w:t>
            </w:r>
          </w:p>
        </w:tc>
        <w:tc>
          <w:tcPr>
            <w:tcW w:w="1743" w:type="dxa"/>
            <w:tcBorders>
              <w:top w:val="nil"/>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省自建服务区</w:t>
            </w:r>
          </w:p>
        </w:tc>
        <w:tc>
          <w:tcPr>
            <w:tcW w:w="89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2376" w:type="dxa"/>
            <w:vMerge w:val="continue"/>
            <w:tcBorders>
              <w:top w:val="nil"/>
              <w:left w:val="single" w:color="auto" w:sz="4" w:space="0"/>
              <w:bottom w:val="single" w:color="000000"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p>
        </w:tc>
      </w:tr>
      <w:tr>
        <w:tblPrEx>
          <w:tblCellMar>
            <w:top w:w="0" w:type="dxa"/>
            <w:left w:w="108" w:type="dxa"/>
            <w:bottom w:w="0" w:type="dxa"/>
            <w:right w:w="108" w:type="dxa"/>
          </w:tblCellMar>
        </w:tblPrEx>
        <w:trPr>
          <w:trHeight w:val="398" w:hRule="atLeast"/>
        </w:trPr>
        <w:tc>
          <w:tcPr>
            <w:tcW w:w="93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3336" w:type="dxa"/>
            <w:tcBorders>
              <w:top w:val="nil"/>
              <w:left w:val="nil"/>
              <w:bottom w:val="single" w:color="auto" w:sz="4" w:space="0"/>
              <w:right w:val="single" w:color="auto" w:sz="4" w:space="0"/>
            </w:tcBorders>
            <w:shd w:val="clear" w:color="000000" w:fill="FFFFFF"/>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数字签名服务器</w:t>
            </w:r>
          </w:p>
        </w:tc>
        <w:tc>
          <w:tcPr>
            <w:tcW w:w="1743" w:type="dxa"/>
            <w:tcBorders>
              <w:top w:val="nil"/>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省自建服务区</w:t>
            </w:r>
          </w:p>
        </w:tc>
        <w:tc>
          <w:tcPr>
            <w:tcW w:w="89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2376" w:type="dxa"/>
            <w:vMerge w:val="continue"/>
            <w:tcBorders>
              <w:top w:val="nil"/>
              <w:left w:val="single" w:color="auto" w:sz="4" w:space="0"/>
              <w:bottom w:val="single" w:color="000000"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p>
        </w:tc>
      </w:tr>
      <w:tr>
        <w:tblPrEx>
          <w:tblCellMar>
            <w:top w:w="0" w:type="dxa"/>
            <w:left w:w="108" w:type="dxa"/>
            <w:bottom w:w="0" w:type="dxa"/>
            <w:right w:w="108" w:type="dxa"/>
          </w:tblCellMar>
        </w:tblPrEx>
        <w:trPr>
          <w:trHeight w:val="540" w:hRule="atLeast"/>
        </w:trPr>
        <w:tc>
          <w:tcPr>
            <w:tcW w:w="93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5</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用户注册管理</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省自建服务区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2376" w:type="dxa"/>
            <w:vMerge w:val="restart"/>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省自主建设其他部分</w:t>
            </w:r>
          </w:p>
        </w:tc>
      </w:tr>
      <w:tr>
        <w:tblPrEx>
          <w:tblCellMar>
            <w:top w:w="0" w:type="dxa"/>
            <w:left w:w="108" w:type="dxa"/>
            <w:bottom w:w="0" w:type="dxa"/>
            <w:right w:w="108" w:type="dxa"/>
          </w:tblCellMar>
        </w:tblPrEx>
        <w:trPr>
          <w:trHeight w:val="540" w:hRule="atLeast"/>
        </w:trPr>
        <w:tc>
          <w:tcPr>
            <w:tcW w:w="93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6</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二维码扫描</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省自建服务区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2376" w:type="dxa"/>
            <w:vMerge w:val="continue"/>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p>
        </w:tc>
      </w:tr>
      <w:tr>
        <w:tblPrEx>
          <w:tblCellMar>
            <w:top w:w="0" w:type="dxa"/>
            <w:left w:w="108" w:type="dxa"/>
            <w:bottom w:w="0" w:type="dxa"/>
            <w:right w:w="108" w:type="dxa"/>
          </w:tblCellMar>
        </w:tblPrEx>
        <w:trPr>
          <w:trHeight w:val="398" w:hRule="atLeast"/>
        </w:trPr>
        <w:tc>
          <w:tcPr>
            <w:tcW w:w="939"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7</w:t>
            </w:r>
          </w:p>
        </w:tc>
        <w:tc>
          <w:tcPr>
            <w:tcW w:w="3336" w:type="dxa"/>
            <w:tcBorders>
              <w:top w:val="nil"/>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证书注册管理系统（RA）</w:t>
            </w:r>
          </w:p>
        </w:tc>
        <w:tc>
          <w:tcPr>
            <w:tcW w:w="1743" w:type="dxa"/>
            <w:tcBorders>
              <w:top w:val="nil"/>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数据中心</w:t>
            </w:r>
          </w:p>
        </w:tc>
        <w:tc>
          <w:tcPr>
            <w:tcW w:w="89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2376" w:type="dxa"/>
            <w:vMerge w:val="restart"/>
            <w:tcBorders>
              <w:top w:val="nil"/>
              <w:left w:val="single" w:color="auto" w:sz="4" w:space="0"/>
              <w:bottom w:val="single" w:color="000000"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对接国家局CA</w:t>
            </w:r>
          </w:p>
        </w:tc>
      </w:tr>
      <w:tr>
        <w:tblPrEx>
          <w:tblCellMar>
            <w:top w:w="0" w:type="dxa"/>
            <w:left w:w="108" w:type="dxa"/>
            <w:bottom w:w="0" w:type="dxa"/>
            <w:right w:w="108" w:type="dxa"/>
          </w:tblCellMar>
        </w:tblPrEx>
        <w:trPr>
          <w:trHeight w:val="398" w:hRule="atLeast"/>
        </w:trPr>
        <w:tc>
          <w:tcPr>
            <w:tcW w:w="939"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8</w:t>
            </w:r>
          </w:p>
        </w:tc>
        <w:tc>
          <w:tcPr>
            <w:tcW w:w="3336" w:type="dxa"/>
            <w:tcBorders>
              <w:top w:val="nil"/>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证书综合管理系统</w:t>
            </w:r>
          </w:p>
        </w:tc>
        <w:tc>
          <w:tcPr>
            <w:tcW w:w="1743" w:type="dxa"/>
            <w:tcBorders>
              <w:top w:val="nil"/>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数据中心</w:t>
            </w:r>
          </w:p>
        </w:tc>
        <w:tc>
          <w:tcPr>
            <w:tcW w:w="89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2376" w:type="dxa"/>
            <w:vMerge w:val="continue"/>
            <w:tcBorders>
              <w:top w:val="nil"/>
              <w:left w:val="single" w:color="auto" w:sz="4" w:space="0"/>
              <w:bottom w:val="single" w:color="000000"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p>
        </w:tc>
      </w:tr>
      <w:tr>
        <w:tblPrEx>
          <w:tblCellMar>
            <w:top w:w="0" w:type="dxa"/>
            <w:left w:w="108" w:type="dxa"/>
            <w:bottom w:w="0" w:type="dxa"/>
            <w:right w:w="108" w:type="dxa"/>
          </w:tblCellMar>
        </w:tblPrEx>
        <w:trPr>
          <w:trHeight w:val="398" w:hRule="atLeast"/>
        </w:trPr>
        <w:tc>
          <w:tcPr>
            <w:tcW w:w="939"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9</w:t>
            </w:r>
          </w:p>
        </w:tc>
        <w:tc>
          <w:tcPr>
            <w:tcW w:w="3336" w:type="dxa"/>
            <w:tcBorders>
              <w:top w:val="nil"/>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目录服务器</w:t>
            </w:r>
          </w:p>
        </w:tc>
        <w:tc>
          <w:tcPr>
            <w:tcW w:w="1743" w:type="dxa"/>
            <w:tcBorders>
              <w:top w:val="nil"/>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数据中心</w:t>
            </w:r>
          </w:p>
        </w:tc>
        <w:tc>
          <w:tcPr>
            <w:tcW w:w="893" w:type="dxa"/>
            <w:tcBorders>
              <w:top w:val="nil"/>
              <w:left w:val="nil"/>
              <w:bottom w:val="single" w:color="auto" w:sz="4" w:space="0"/>
              <w:right w:val="single" w:color="auto" w:sz="4" w:space="0"/>
            </w:tcBorders>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2376" w:type="dxa"/>
            <w:vMerge w:val="continue"/>
            <w:tcBorders>
              <w:top w:val="nil"/>
              <w:left w:val="single" w:color="auto" w:sz="4" w:space="0"/>
              <w:bottom w:val="single" w:color="000000"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p>
        </w:tc>
      </w:tr>
      <w:tr>
        <w:tblPrEx>
          <w:tblCellMar>
            <w:top w:w="0" w:type="dxa"/>
            <w:left w:w="108" w:type="dxa"/>
            <w:bottom w:w="0" w:type="dxa"/>
            <w:right w:w="108" w:type="dxa"/>
          </w:tblCellMar>
        </w:tblPrEx>
        <w:trPr>
          <w:trHeight w:val="398" w:hRule="atLeast"/>
        </w:trPr>
        <w:tc>
          <w:tcPr>
            <w:tcW w:w="4275"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仿宋" w:hAnsi="仿宋" w:eastAsia="仿宋" w:cs="仿宋"/>
                <w:b/>
                <w:bCs/>
                <w:color w:val="auto"/>
                <w:kern w:val="0"/>
                <w:sz w:val="24"/>
              </w:rPr>
            </w:pPr>
            <w:r>
              <w:rPr>
                <w:rFonts w:hint="eastAsia" w:ascii="仿宋" w:hAnsi="仿宋" w:eastAsia="仿宋" w:cs="仿宋"/>
                <w:b/>
                <w:bCs/>
                <w:color w:val="auto"/>
                <w:kern w:val="0"/>
                <w:sz w:val="24"/>
              </w:rPr>
              <w:t>四、其他补充硬件</w:t>
            </w:r>
          </w:p>
        </w:tc>
        <w:tc>
          <w:tcPr>
            <w:tcW w:w="1743"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　</w:t>
            </w:r>
          </w:p>
        </w:tc>
        <w:tc>
          <w:tcPr>
            <w:tcW w:w="893"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　</w:t>
            </w:r>
          </w:p>
        </w:tc>
        <w:tc>
          <w:tcPr>
            <w:tcW w:w="2376"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　</w:t>
            </w:r>
          </w:p>
        </w:tc>
      </w:tr>
      <w:tr>
        <w:tblPrEx>
          <w:tblCellMar>
            <w:top w:w="0" w:type="dxa"/>
            <w:left w:w="108" w:type="dxa"/>
            <w:bottom w:w="0" w:type="dxa"/>
            <w:right w:w="108" w:type="dxa"/>
          </w:tblCellMar>
        </w:tblPrEx>
        <w:trPr>
          <w:trHeight w:val="88" w:hRule="atLeast"/>
        </w:trPr>
        <w:tc>
          <w:tcPr>
            <w:tcW w:w="93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服务器密码机</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省自建服务区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2376" w:type="dxa"/>
            <w:vMerge w:val="restart"/>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省自主建设</w:t>
            </w:r>
          </w:p>
        </w:tc>
      </w:tr>
      <w:tr>
        <w:tblPrEx>
          <w:tblCellMar>
            <w:top w:w="0" w:type="dxa"/>
            <w:left w:w="108" w:type="dxa"/>
            <w:bottom w:w="0" w:type="dxa"/>
            <w:right w:w="108" w:type="dxa"/>
          </w:tblCellMar>
        </w:tblPrEx>
        <w:trPr>
          <w:trHeight w:val="60" w:hRule="atLeast"/>
        </w:trPr>
        <w:tc>
          <w:tcPr>
            <w:tcW w:w="93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336"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数字签名服务器</w:t>
            </w:r>
          </w:p>
        </w:tc>
        <w:tc>
          <w:tcPr>
            <w:tcW w:w="174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仿宋"/>
                <w:color w:val="auto"/>
                <w:kern w:val="0"/>
                <w:sz w:val="24"/>
              </w:rPr>
            </w:pPr>
            <w:r>
              <w:rPr>
                <w:rFonts w:hint="eastAsia" w:ascii="仿宋" w:hAnsi="仿宋" w:eastAsia="仿宋" w:cs="仿宋"/>
                <w:color w:val="auto"/>
                <w:kern w:val="0"/>
                <w:sz w:val="24"/>
              </w:rPr>
              <w:t>省自建服务区</w:t>
            </w:r>
          </w:p>
        </w:tc>
        <w:tc>
          <w:tcPr>
            <w:tcW w:w="893" w:type="dxa"/>
            <w:tcBorders>
              <w:top w:val="nil"/>
              <w:left w:val="nil"/>
              <w:bottom w:val="single" w:color="auto" w:sz="4" w:space="0"/>
              <w:right w:val="single" w:color="auto" w:sz="4" w:space="0"/>
            </w:tcBorders>
            <w:shd w:val="clear" w:color="000000" w:fill="FFFFFF"/>
            <w:noWrap/>
            <w:vAlign w:val="center"/>
          </w:tcPr>
          <w:p>
            <w:pPr>
              <w:widowControl/>
              <w:spacing w:line="360"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2376" w:type="dxa"/>
            <w:vMerge w:val="continue"/>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仿宋" w:hAnsi="仿宋" w:eastAsia="仿宋" w:cs="仿宋"/>
                <w:color w:val="auto"/>
                <w:kern w:val="0"/>
                <w:sz w:val="24"/>
              </w:rPr>
            </w:pPr>
          </w:p>
        </w:tc>
      </w:tr>
    </w:tbl>
    <w:p>
      <w:pPr>
        <w:autoSpaceDE w:val="0"/>
        <w:autoSpaceDN w:val="0"/>
        <w:adjustRightInd w:val="0"/>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4.2 RA系统技术要求</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RA系统应具有相关产品（数字证书认证系统等）的商用密码产品型号。</w:t>
      </w:r>
    </w:p>
    <w:p>
      <w:pPr>
        <w:adjustRightInd w:val="0"/>
        <w:spacing w:line="360" w:lineRule="auto"/>
        <w:ind w:firstLine="482" w:firstLineChars="200"/>
        <w:textAlignment w:val="baseline"/>
        <w:rPr>
          <w:rFonts w:ascii="仿宋" w:hAnsi="仿宋" w:eastAsia="仿宋" w:cs="仿宋"/>
          <w:b/>
          <w:bCs/>
          <w:color w:val="auto"/>
          <w:kern w:val="0"/>
          <w:sz w:val="24"/>
        </w:rPr>
      </w:pPr>
      <w:r>
        <w:rPr>
          <w:rFonts w:hint="eastAsia" w:ascii="仿宋" w:hAnsi="仿宋" w:eastAsia="仿宋" w:cs="仿宋"/>
          <w:b/>
          <w:bCs/>
          <w:color w:val="auto"/>
          <w:kern w:val="0"/>
          <w:sz w:val="24"/>
        </w:rPr>
        <w:t>（1）遵循的标准：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GB/T 19714 信息技术 安全技术 公钥基础设施 在线证书状态协议。</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GB/T 25056 信息安全技术 证书认证系统密码及其相关安全技术规范。</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GM/T 0014 数字证书认证系统密码协议规范。</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PKCS#10（Certification</w:t>
      </w:r>
      <w:r>
        <w:rPr>
          <w:rFonts w:hint="eastAsia" w:ascii="MS Mincho" w:hAnsi="MS Mincho" w:eastAsia="MS Mincho" w:cs="MS Mincho"/>
          <w:color w:val="auto"/>
          <w:kern w:val="0"/>
          <w:sz w:val="24"/>
        </w:rPr>
        <w:t> </w:t>
      </w:r>
      <w:r>
        <w:rPr>
          <w:rFonts w:hint="eastAsia" w:ascii="仿宋" w:hAnsi="仿宋" w:eastAsia="仿宋" w:cs="仿宋"/>
          <w:color w:val="auto"/>
          <w:kern w:val="0"/>
          <w:sz w:val="24"/>
        </w:rPr>
        <w:t>Request</w:t>
      </w:r>
      <w:r>
        <w:rPr>
          <w:rFonts w:hint="eastAsia" w:ascii="MS Mincho" w:hAnsi="MS Mincho" w:eastAsia="MS Mincho" w:cs="MS Mincho"/>
          <w:color w:val="auto"/>
          <w:kern w:val="0"/>
          <w:sz w:val="24"/>
        </w:rPr>
        <w:t> </w:t>
      </w:r>
      <w:r>
        <w:rPr>
          <w:rFonts w:hint="eastAsia" w:ascii="仿宋" w:hAnsi="仿宋" w:eastAsia="仿宋" w:cs="仿宋"/>
          <w:color w:val="auto"/>
          <w:kern w:val="0"/>
          <w:sz w:val="24"/>
        </w:rPr>
        <w:t>Syntax</w:t>
      </w:r>
      <w:r>
        <w:rPr>
          <w:rFonts w:hint="eastAsia" w:ascii="MS Mincho" w:hAnsi="MS Mincho" w:eastAsia="MS Mincho" w:cs="MS Mincho"/>
          <w:color w:val="auto"/>
          <w:kern w:val="0"/>
          <w:sz w:val="24"/>
        </w:rPr>
        <w:t> </w:t>
      </w:r>
      <w:r>
        <w:rPr>
          <w:rFonts w:hint="eastAsia" w:ascii="仿宋" w:hAnsi="仿宋" w:eastAsia="仿宋" w:cs="仿宋"/>
          <w:color w:val="auto"/>
          <w:kern w:val="0"/>
          <w:sz w:val="24"/>
        </w:rPr>
        <w:t>Standard）:证书申请语法格式。</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ZWFF C0122 国家政务服务平台统一电子印章接口技术要求。</w:t>
      </w:r>
    </w:p>
    <w:p>
      <w:pPr>
        <w:adjustRightInd w:val="0"/>
        <w:spacing w:line="360" w:lineRule="auto"/>
        <w:ind w:firstLine="482" w:firstLineChars="200"/>
        <w:textAlignment w:val="baseline"/>
        <w:rPr>
          <w:rFonts w:ascii="仿宋" w:hAnsi="仿宋" w:eastAsia="仿宋" w:cs="仿宋"/>
          <w:b/>
          <w:bCs/>
          <w:color w:val="auto"/>
          <w:kern w:val="0"/>
          <w:sz w:val="24"/>
        </w:rPr>
      </w:pPr>
      <w:r>
        <w:rPr>
          <w:rFonts w:hint="eastAsia" w:ascii="仿宋" w:hAnsi="仿宋" w:eastAsia="仿宋" w:cs="仿宋"/>
          <w:b/>
          <w:bCs/>
          <w:color w:val="auto"/>
          <w:kern w:val="0"/>
          <w:sz w:val="24"/>
        </w:rPr>
        <w:t>（2）RA系统衔接要求：</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能够与国家医疗保障局已建成CA中心进行对接。</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能够与FCMS进行衔接。</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能够与商用密码型号服务器密码衔接，支持GM/T 0018接口标准。</w:t>
      </w:r>
    </w:p>
    <w:p>
      <w:pPr>
        <w:adjustRightInd w:val="0"/>
        <w:spacing w:line="360" w:lineRule="auto"/>
        <w:ind w:firstLine="482" w:firstLineChars="200"/>
        <w:textAlignment w:val="baseline"/>
        <w:rPr>
          <w:rFonts w:ascii="仿宋" w:hAnsi="仿宋" w:eastAsia="仿宋" w:cs="仿宋"/>
          <w:b/>
          <w:bCs/>
          <w:color w:val="auto"/>
          <w:kern w:val="0"/>
          <w:sz w:val="24"/>
        </w:rPr>
      </w:pPr>
      <w:r>
        <w:rPr>
          <w:rFonts w:hint="eastAsia" w:ascii="仿宋" w:hAnsi="仿宋" w:eastAsia="仿宋" w:cs="仿宋"/>
          <w:b/>
          <w:bCs/>
          <w:color w:val="auto"/>
          <w:kern w:val="0"/>
          <w:sz w:val="24"/>
        </w:rPr>
        <w:t>（3）RA证书注册系统功能需求：</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采用B/S结构，RA终端界面使用浏览器，具备严格的权限管理功能，拥有完善的管理手段和管理界面；</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证书申请服务：接收或者进行证书申请信息的录入、注册；</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证书冻结服务：对指定的数字证书进行暂时停用处理，并将结果告知OCSP；</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证书解冻服务：对已经停用的证书重新使之恢复效能，并将结果告知OCSP；</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证书更新服务：对证书中的信息、有效期限等进行改变，并由CA系统重新签发新证书；</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证书注销服务，对指定的证书进行销毁处理，并将结果告知CA、OCSP和CRL；</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证书下载服务：将已经制作好的数字证书给到指定的载体中；</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用户信息维护：对注册的用户、证书记录进行维护；</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提供审核服务：对证书申请、冻结、解冻、更新、注销等信息进行审核。支持自动、手动两种证书审核模式；</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证书配置服务：提供模板设计、模板提交、模板更新、策略更新的服务能力；</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证书业务服务：提供证书统计、批量申请、批量制作/下载等服务；</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系统管理服务：对整个RA系统进行密码设置、系统配置、角色管理、操作员管理、信息统计、操作审计、日志管理等多种管理；</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移动申请服务：支持移动端证书申请、制作/下载服务。</w:t>
      </w:r>
    </w:p>
    <w:p>
      <w:pPr>
        <w:adjustRightInd w:val="0"/>
        <w:spacing w:line="360" w:lineRule="auto"/>
        <w:ind w:firstLine="482" w:firstLineChars="200"/>
        <w:textAlignment w:val="baseline"/>
        <w:rPr>
          <w:rFonts w:ascii="仿宋" w:hAnsi="仿宋" w:eastAsia="仿宋" w:cs="仿宋"/>
          <w:b/>
          <w:bCs/>
          <w:color w:val="auto"/>
          <w:kern w:val="0"/>
          <w:sz w:val="24"/>
        </w:rPr>
      </w:pPr>
      <w:r>
        <w:rPr>
          <w:rFonts w:hint="eastAsia" w:ascii="仿宋" w:hAnsi="仿宋" w:eastAsia="仿宋" w:cs="仿宋"/>
          <w:b/>
          <w:bCs/>
          <w:color w:val="auto"/>
          <w:kern w:val="0"/>
          <w:sz w:val="24"/>
        </w:rPr>
        <w:t>（4）RA系统安全设计应包括：</w:t>
      </w:r>
    </w:p>
    <w:p>
      <w:pPr>
        <w:numPr>
          <w:ilvl w:val="0"/>
          <w:numId w:val="83"/>
        </w:numPr>
        <w:spacing w:line="360" w:lineRule="auto"/>
        <w:ind w:firstLine="6"/>
        <w:rPr>
          <w:rFonts w:ascii="仿宋" w:hAnsi="仿宋" w:eastAsia="仿宋" w:cs="仿宋"/>
          <w:color w:val="auto"/>
          <w:sz w:val="24"/>
        </w:rPr>
      </w:pPr>
      <w:r>
        <w:rPr>
          <w:rFonts w:hint="eastAsia" w:ascii="仿宋" w:hAnsi="仿宋" w:eastAsia="仿宋" w:cs="仿宋"/>
          <w:color w:val="auto"/>
          <w:sz w:val="24"/>
        </w:rPr>
        <w:t>网络安全</w:t>
      </w:r>
    </w:p>
    <w:p>
      <w:pPr>
        <w:numPr>
          <w:ilvl w:val="0"/>
          <w:numId w:val="83"/>
        </w:numPr>
        <w:spacing w:line="360" w:lineRule="auto"/>
        <w:ind w:firstLine="6"/>
        <w:rPr>
          <w:rFonts w:ascii="仿宋" w:hAnsi="仿宋" w:eastAsia="仿宋" w:cs="仿宋"/>
          <w:color w:val="auto"/>
          <w:sz w:val="24"/>
        </w:rPr>
      </w:pPr>
      <w:r>
        <w:rPr>
          <w:rFonts w:hint="eastAsia" w:ascii="仿宋" w:hAnsi="仿宋" w:eastAsia="仿宋" w:cs="仿宋"/>
          <w:color w:val="auto"/>
          <w:sz w:val="24"/>
        </w:rPr>
        <w:t>主机安全</w:t>
      </w:r>
    </w:p>
    <w:p>
      <w:pPr>
        <w:numPr>
          <w:ilvl w:val="0"/>
          <w:numId w:val="83"/>
        </w:numPr>
        <w:spacing w:line="360" w:lineRule="auto"/>
        <w:ind w:firstLine="6"/>
        <w:rPr>
          <w:rFonts w:ascii="仿宋" w:hAnsi="仿宋" w:eastAsia="仿宋" w:cs="仿宋"/>
          <w:color w:val="auto"/>
          <w:sz w:val="24"/>
        </w:rPr>
      </w:pPr>
      <w:r>
        <w:rPr>
          <w:rFonts w:hint="eastAsia" w:ascii="仿宋" w:hAnsi="仿宋" w:eastAsia="仿宋" w:cs="仿宋"/>
          <w:color w:val="auto"/>
          <w:sz w:val="24"/>
        </w:rPr>
        <w:t>数据库安全</w:t>
      </w:r>
    </w:p>
    <w:p>
      <w:pPr>
        <w:numPr>
          <w:ilvl w:val="0"/>
          <w:numId w:val="83"/>
        </w:numPr>
        <w:spacing w:line="360" w:lineRule="auto"/>
        <w:ind w:firstLine="6"/>
        <w:rPr>
          <w:rFonts w:ascii="仿宋" w:hAnsi="仿宋" w:eastAsia="仿宋" w:cs="仿宋"/>
          <w:color w:val="auto"/>
          <w:sz w:val="24"/>
        </w:rPr>
      </w:pPr>
      <w:r>
        <w:rPr>
          <w:rFonts w:hint="eastAsia" w:ascii="仿宋" w:hAnsi="仿宋" w:eastAsia="仿宋" w:cs="仿宋"/>
          <w:color w:val="auto"/>
          <w:sz w:val="24"/>
        </w:rPr>
        <w:t>数据存储安全</w:t>
      </w:r>
    </w:p>
    <w:p>
      <w:pPr>
        <w:numPr>
          <w:ilvl w:val="0"/>
          <w:numId w:val="83"/>
        </w:numPr>
        <w:spacing w:line="360" w:lineRule="auto"/>
        <w:ind w:firstLine="6"/>
        <w:rPr>
          <w:rFonts w:ascii="仿宋" w:hAnsi="仿宋" w:eastAsia="仿宋" w:cs="仿宋"/>
          <w:color w:val="auto"/>
          <w:sz w:val="24"/>
        </w:rPr>
      </w:pPr>
      <w:r>
        <w:rPr>
          <w:rFonts w:hint="eastAsia" w:ascii="仿宋" w:hAnsi="仿宋" w:eastAsia="仿宋" w:cs="仿宋"/>
          <w:color w:val="auto"/>
          <w:sz w:val="24"/>
        </w:rPr>
        <w:t>接入访问安全</w:t>
      </w:r>
    </w:p>
    <w:p>
      <w:pPr>
        <w:numPr>
          <w:ilvl w:val="0"/>
          <w:numId w:val="83"/>
        </w:numPr>
        <w:spacing w:line="360" w:lineRule="auto"/>
        <w:ind w:firstLine="6"/>
        <w:rPr>
          <w:rFonts w:ascii="仿宋" w:hAnsi="仿宋" w:eastAsia="仿宋" w:cs="仿宋"/>
          <w:color w:val="auto"/>
          <w:sz w:val="24"/>
        </w:rPr>
      </w:pPr>
      <w:r>
        <w:rPr>
          <w:rFonts w:hint="eastAsia" w:ascii="仿宋" w:hAnsi="仿宋" w:eastAsia="仿宋" w:cs="仿宋"/>
          <w:color w:val="auto"/>
          <w:sz w:val="24"/>
        </w:rPr>
        <w:t>人员管理安全</w:t>
      </w:r>
    </w:p>
    <w:p>
      <w:pPr>
        <w:adjustRightInd w:val="0"/>
        <w:spacing w:line="360" w:lineRule="auto"/>
        <w:ind w:firstLine="482" w:firstLineChars="200"/>
        <w:textAlignment w:val="baseline"/>
        <w:rPr>
          <w:rFonts w:ascii="仿宋" w:hAnsi="仿宋" w:eastAsia="仿宋" w:cs="仿宋"/>
          <w:b/>
          <w:bCs/>
          <w:color w:val="auto"/>
          <w:kern w:val="0"/>
          <w:sz w:val="24"/>
        </w:rPr>
      </w:pPr>
      <w:r>
        <w:rPr>
          <w:rFonts w:hint="eastAsia" w:ascii="仿宋" w:hAnsi="仿宋" w:eastAsia="仿宋" w:cs="仿宋"/>
          <w:b/>
          <w:bCs/>
          <w:color w:val="auto"/>
          <w:kern w:val="0"/>
          <w:sz w:val="24"/>
        </w:rPr>
        <w:t>（5）RA性能要求</w:t>
      </w:r>
    </w:p>
    <w:p>
      <w:pPr>
        <w:numPr>
          <w:ilvl w:val="0"/>
          <w:numId w:val="84"/>
        </w:numPr>
        <w:tabs>
          <w:tab w:val="left" w:pos="851"/>
        </w:tabs>
        <w:adjustRightInd w:val="0"/>
        <w:snapToGrid w:val="0"/>
        <w:spacing w:line="360" w:lineRule="auto"/>
        <w:rPr>
          <w:rFonts w:ascii="仿宋" w:hAnsi="仿宋" w:eastAsia="仿宋" w:cs="仿宋"/>
          <w:snapToGrid w:val="0"/>
          <w:color w:val="auto"/>
          <w:sz w:val="24"/>
        </w:rPr>
      </w:pPr>
      <w:r>
        <w:rPr>
          <w:rFonts w:hint="eastAsia" w:ascii="仿宋" w:hAnsi="仿宋" w:eastAsia="仿宋" w:cs="仿宋"/>
          <w:snapToGrid w:val="0"/>
          <w:color w:val="auto"/>
          <w:sz w:val="24"/>
        </w:rPr>
        <w:t>一个RA系统可以接收不少于2000个终端访问能力；</w:t>
      </w:r>
    </w:p>
    <w:p>
      <w:pPr>
        <w:numPr>
          <w:ilvl w:val="0"/>
          <w:numId w:val="84"/>
        </w:numPr>
        <w:tabs>
          <w:tab w:val="left" w:pos="851"/>
        </w:tabs>
        <w:adjustRightInd w:val="0"/>
        <w:snapToGrid w:val="0"/>
        <w:spacing w:line="360" w:lineRule="auto"/>
        <w:rPr>
          <w:rFonts w:ascii="仿宋" w:hAnsi="仿宋" w:eastAsia="仿宋" w:cs="仿宋"/>
          <w:snapToGrid w:val="0"/>
          <w:color w:val="auto"/>
          <w:sz w:val="24"/>
        </w:rPr>
      </w:pPr>
      <w:r>
        <w:rPr>
          <w:rFonts w:hint="eastAsia" w:ascii="仿宋" w:hAnsi="仿宋" w:eastAsia="仿宋" w:cs="仿宋"/>
          <w:snapToGrid w:val="0"/>
          <w:color w:val="auto"/>
          <w:sz w:val="24"/>
        </w:rPr>
        <w:t>RA系统能够支持千万级证书的签发和管理；</w:t>
      </w:r>
    </w:p>
    <w:p>
      <w:pPr>
        <w:numPr>
          <w:ilvl w:val="0"/>
          <w:numId w:val="84"/>
        </w:numPr>
        <w:tabs>
          <w:tab w:val="left" w:pos="851"/>
        </w:tabs>
        <w:adjustRightInd w:val="0"/>
        <w:snapToGrid w:val="0"/>
        <w:spacing w:line="360" w:lineRule="auto"/>
        <w:rPr>
          <w:rFonts w:ascii="仿宋" w:hAnsi="仿宋" w:eastAsia="仿宋" w:cs="仿宋"/>
          <w:snapToGrid w:val="0"/>
          <w:color w:val="auto"/>
          <w:sz w:val="24"/>
        </w:rPr>
      </w:pPr>
      <w:r>
        <w:rPr>
          <w:rFonts w:hint="eastAsia" w:ascii="仿宋" w:hAnsi="仿宋" w:eastAsia="仿宋" w:cs="仿宋"/>
          <w:snapToGrid w:val="0"/>
          <w:color w:val="auto"/>
          <w:sz w:val="24"/>
        </w:rPr>
        <w:t>批量申请能力100个/秒；</w:t>
      </w:r>
    </w:p>
    <w:p>
      <w:pPr>
        <w:autoSpaceDE w:val="0"/>
        <w:autoSpaceDN w:val="0"/>
        <w:adjustRightInd w:val="0"/>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4.3 证书综合管理系统（FCMS）</w:t>
      </w:r>
    </w:p>
    <w:p>
      <w:pPr>
        <w:widowControl/>
        <w:numPr>
          <w:ilvl w:val="0"/>
          <w:numId w:val="85"/>
        </w:numPr>
        <w:shd w:val="clear" w:color="auto" w:fill="F2F4F5"/>
        <w:adjustRightInd w:val="0"/>
        <w:spacing w:line="360" w:lineRule="auto"/>
        <w:ind w:firstLine="420"/>
        <w:jc w:val="left"/>
        <w:textAlignment w:val="baseline"/>
        <w:rPr>
          <w:rFonts w:ascii="仿宋" w:hAnsi="仿宋" w:eastAsia="仿宋" w:cs="仿宋"/>
          <w:b/>
          <w:vanish/>
          <w:color w:val="auto"/>
          <w:sz w:val="28"/>
          <w:szCs w:val="28"/>
        </w:rPr>
      </w:pPr>
    </w:p>
    <w:p>
      <w:pPr>
        <w:widowControl/>
        <w:numPr>
          <w:ilvl w:val="0"/>
          <w:numId w:val="85"/>
        </w:numPr>
        <w:shd w:val="clear" w:color="auto" w:fill="F2F4F5"/>
        <w:adjustRightInd w:val="0"/>
        <w:spacing w:line="360" w:lineRule="auto"/>
        <w:ind w:firstLine="420"/>
        <w:jc w:val="left"/>
        <w:textAlignment w:val="baseline"/>
        <w:rPr>
          <w:rFonts w:ascii="仿宋" w:hAnsi="仿宋" w:eastAsia="仿宋" w:cs="仿宋"/>
          <w:b/>
          <w:vanish/>
          <w:color w:val="auto"/>
          <w:sz w:val="28"/>
          <w:szCs w:val="28"/>
        </w:rPr>
      </w:pPr>
    </w:p>
    <w:p>
      <w:pPr>
        <w:widowControl/>
        <w:shd w:val="clear" w:color="auto" w:fill="FFFFFF"/>
        <w:adjustRightInd w:val="0"/>
        <w:spacing w:line="360" w:lineRule="auto"/>
        <w:ind w:left="425"/>
        <w:jc w:val="left"/>
        <w:textAlignment w:val="baseline"/>
        <w:rPr>
          <w:rFonts w:ascii="仿宋" w:hAnsi="仿宋" w:eastAsia="仿宋" w:cs="仿宋"/>
          <w:b/>
          <w:color w:val="auto"/>
          <w:kern w:val="0"/>
          <w:sz w:val="24"/>
        </w:rPr>
      </w:pPr>
      <w:r>
        <w:rPr>
          <w:rFonts w:hint="eastAsia" w:ascii="仿宋" w:hAnsi="仿宋" w:eastAsia="仿宋" w:cs="仿宋"/>
          <w:b/>
          <w:color w:val="auto"/>
          <w:kern w:val="0"/>
          <w:sz w:val="24"/>
        </w:rPr>
        <w:t>（1）功能要求</w:t>
      </w:r>
    </w:p>
    <w:p>
      <w:pPr>
        <w:widowControl/>
        <w:numPr>
          <w:ilvl w:val="0"/>
          <w:numId w:val="86"/>
        </w:numPr>
        <w:shd w:val="clear" w:color="auto" w:fill="FFFFFF"/>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支持与RA系统、移动端APP、电子签章系统对接；</w:t>
      </w:r>
    </w:p>
    <w:p>
      <w:pPr>
        <w:widowControl/>
        <w:numPr>
          <w:ilvl w:val="0"/>
          <w:numId w:val="86"/>
        </w:numPr>
        <w:shd w:val="clear" w:color="auto" w:fill="FFFFFF"/>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支持证书信息查询和统计，不仅限于按照名称、时间、组织机构查询；</w:t>
      </w:r>
    </w:p>
    <w:p>
      <w:pPr>
        <w:widowControl/>
        <w:numPr>
          <w:ilvl w:val="0"/>
          <w:numId w:val="86"/>
        </w:numPr>
        <w:shd w:val="clear" w:color="auto" w:fill="FFFFFF"/>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支持介质信息查询统计，不仅限于介质编号、类型、时间查询；</w:t>
      </w:r>
    </w:p>
    <w:p>
      <w:pPr>
        <w:widowControl/>
        <w:numPr>
          <w:ilvl w:val="0"/>
          <w:numId w:val="86"/>
        </w:numPr>
        <w:shd w:val="clear" w:color="auto" w:fill="FFFFFF"/>
        <w:adjustRightInd w:val="0"/>
        <w:spacing w:line="360" w:lineRule="auto"/>
        <w:jc w:val="left"/>
        <w:textAlignment w:val="baseline"/>
        <w:rPr>
          <w:rFonts w:ascii="仿宋" w:hAnsi="仿宋" w:eastAsia="仿宋" w:cs="仿宋"/>
          <w:bCs/>
          <w:color w:val="auto"/>
          <w:kern w:val="0"/>
          <w:sz w:val="24"/>
          <w:szCs w:val="21"/>
        </w:rPr>
      </w:pPr>
      <w:r>
        <w:rPr>
          <w:rFonts w:hint="eastAsia" w:ascii="仿宋" w:hAnsi="仿宋" w:eastAsia="仿宋" w:cs="仿宋"/>
          <w:bCs/>
          <w:color w:val="auto"/>
          <w:kern w:val="0"/>
          <w:sz w:val="24"/>
          <w:szCs w:val="21"/>
        </w:rPr>
        <w:t>支持个人信息管理，包括个人信息查询和基本信息修改；</w:t>
      </w:r>
    </w:p>
    <w:p>
      <w:pPr>
        <w:widowControl/>
        <w:numPr>
          <w:ilvl w:val="0"/>
          <w:numId w:val="86"/>
        </w:numPr>
        <w:shd w:val="clear" w:color="auto" w:fill="FFFFFF"/>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支持数据传输的的完整性和可靠性；</w:t>
      </w:r>
    </w:p>
    <w:p>
      <w:pPr>
        <w:widowControl/>
        <w:numPr>
          <w:ilvl w:val="0"/>
          <w:numId w:val="86"/>
        </w:numPr>
        <w:shd w:val="clear" w:color="auto" w:fill="FFFFFF"/>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管理员登录需要数字证书验证；</w:t>
      </w:r>
    </w:p>
    <w:p>
      <w:pPr>
        <w:widowControl/>
        <w:numPr>
          <w:ilvl w:val="0"/>
          <w:numId w:val="86"/>
        </w:numPr>
        <w:shd w:val="clear" w:color="auto" w:fill="FFFFFF"/>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支持用户证书介质PIN码修改和PIN码解锁；</w:t>
      </w:r>
    </w:p>
    <w:p>
      <w:pPr>
        <w:widowControl/>
        <w:numPr>
          <w:ilvl w:val="0"/>
          <w:numId w:val="86"/>
        </w:numPr>
        <w:shd w:val="clear" w:color="auto" w:fill="FFFFFF"/>
        <w:adjustRightInd w:val="0"/>
        <w:spacing w:line="360" w:lineRule="auto"/>
        <w:jc w:val="left"/>
        <w:textAlignment w:val="baseline"/>
        <w:rPr>
          <w:rFonts w:ascii="仿宋" w:hAnsi="仿宋" w:eastAsia="仿宋" w:cs="仿宋"/>
          <w:b/>
          <w:color w:val="auto"/>
          <w:kern w:val="0"/>
          <w:sz w:val="24"/>
          <w:szCs w:val="21"/>
        </w:rPr>
      </w:pPr>
      <w:r>
        <w:rPr>
          <w:rFonts w:hint="eastAsia" w:ascii="仿宋" w:hAnsi="仿宋" w:eastAsia="仿宋" w:cs="仿宋"/>
          <w:color w:val="auto"/>
          <w:kern w:val="0"/>
          <w:sz w:val="24"/>
          <w:szCs w:val="21"/>
        </w:rPr>
        <w:t>提供系统管理功能，包括角色设定，管理员授权，与RA系统的对接设置，系统自身密钥/证书、根证书的管理和配置；</w:t>
      </w:r>
    </w:p>
    <w:p>
      <w:pPr>
        <w:widowControl/>
        <w:numPr>
          <w:ilvl w:val="0"/>
          <w:numId w:val="86"/>
        </w:numPr>
        <w:shd w:val="clear" w:color="auto" w:fill="FFFFFF"/>
        <w:adjustRightInd w:val="0"/>
        <w:spacing w:line="360" w:lineRule="auto"/>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szCs w:val="21"/>
        </w:rPr>
        <w:t>提供系统安全审计功能</w:t>
      </w:r>
      <w:r>
        <w:rPr>
          <w:rFonts w:hint="eastAsia" w:ascii="仿宋" w:hAnsi="仿宋" w:eastAsia="仿宋" w:cs="仿宋"/>
          <w:b/>
          <w:color w:val="auto"/>
          <w:kern w:val="0"/>
          <w:sz w:val="24"/>
          <w:szCs w:val="21"/>
        </w:rPr>
        <w:t>：</w:t>
      </w:r>
      <w:r>
        <w:rPr>
          <w:rFonts w:hint="eastAsia" w:ascii="仿宋" w:hAnsi="仿宋" w:eastAsia="仿宋" w:cs="仿宋"/>
          <w:color w:val="auto"/>
          <w:kern w:val="0"/>
          <w:sz w:val="24"/>
          <w:szCs w:val="21"/>
        </w:rPr>
        <w:t>支持用户、管理员、系统操作数据的安全审计。</w:t>
      </w:r>
      <w:r>
        <w:rPr>
          <w:rFonts w:hint="eastAsia" w:ascii="仿宋" w:hAnsi="仿宋" w:eastAsia="仿宋" w:cs="仿宋"/>
          <w:b/>
          <w:bCs/>
          <w:color w:val="auto"/>
          <w:kern w:val="0"/>
          <w:sz w:val="24"/>
          <w:szCs w:val="21"/>
        </w:rPr>
        <w:t>（2）</w:t>
      </w:r>
      <w:r>
        <w:rPr>
          <w:rFonts w:hint="eastAsia" w:ascii="仿宋" w:hAnsi="仿宋" w:eastAsia="仿宋" w:cs="仿宋"/>
          <w:b/>
          <w:bCs/>
          <w:color w:val="auto"/>
          <w:kern w:val="0"/>
          <w:sz w:val="24"/>
        </w:rPr>
        <w:t>性能要求</w:t>
      </w:r>
    </w:p>
    <w:p>
      <w:pPr>
        <w:widowControl/>
        <w:numPr>
          <w:ilvl w:val="0"/>
          <w:numId w:val="87"/>
        </w:numPr>
        <w:shd w:val="clear" w:color="auto" w:fill="FFFFFF"/>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支持高并发，最大支持500tps；</w:t>
      </w:r>
    </w:p>
    <w:p>
      <w:pPr>
        <w:widowControl/>
        <w:numPr>
          <w:ilvl w:val="0"/>
          <w:numId w:val="87"/>
        </w:numPr>
        <w:shd w:val="clear" w:color="auto" w:fill="FFFFFF"/>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 xml:space="preserve">系统平均无障碍工作时间MTBF大于等于20000小时； </w:t>
      </w:r>
    </w:p>
    <w:p>
      <w:pPr>
        <w:widowControl/>
        <w:numPr>
          <w:ilvl w:val="0"/>
          <w:numId w:val="87"/>
        </w:numPr>
        <w:shd w:val="clear" w:color="auto" w:fill="FFFFFF"/>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100用户查询平均响应时间不大于 1 秒。</w:t>
      </w:r>
    </w:p>
    <w:p>
      <w:pPr>
        <w:widowControl/>
        <w:shd w:val="clear" w:color="auto" w:fill="FFFFFF"/>
        <w:adjustRightInd w:val="0"/>
        <w:spacing w:line="360" w:lineRule="auto"/>
        <w:ind w:left="482" w:hanging="482" w:hangingChars="200"/>
        <w:jc w:val="left"/>
        <w:textAlignment w:val="baseline"/>
        <w:rPr>
          <w:rFonts w:ascii="仿宋" w:hAnsi="仿宋" w:eastAsia="仿宋" w:cs="仿宋"/>
          <w:b/>
          <w:bCs/>
          <w:color w:val="auto"/>
          <w:sz w:val="24"/>
        </w:rPr>
      </w:pPr>
      <w:r>
        <w:rPr>
          <w:rFonts w:hint="eastAsia" w:ascii="仿宋" w:hAnsi="仿宋" w:eastAsia="仿宋" w:cs="仿宋"/>
          <w:b/>
          <w:bCs/>
          <w:color w:val="auto"/>
          <w:kern w:val="0"/>
          <w:sz w:val="24"/>
          <w:szCs w:val="21"/>
        </w:rPr>
        <w:tab/>
      </w:r>
      <w:r>
        <w:rPr>
          <w:rFonts w:hint="eastAsia" w:ascii="仿宋" w:hAnsi="仿宋" w:eastAsia="仿宋" w:cs="仿宋"/>
          <w:b/>
          <w:bCs/>
          <w:color w:val="auto"/>
          <w:kern w:val="0"/>
          <w:sz w:val="24"/>
          <w:szCs w:val="21"/>
        </w:rPr>
        <w:t>4.4</w:t>
      </w:r>
      <w:r>
        <w:rPr>
          <w:rFonts w:hint="eastAsia" w:ascii="仿宋" w:hAnsi="仿宋" w:eastAsia="仿宋" w:cs="仿宋"/>
          <w:b/>
          <w:bCs/>
          <w:color w:val="auto"/>
          <w:sz w:val="24"/>
        </w:rPr>
        <w:t>服务器密码机</w:t>
      </w:r>
    </w:p>
    <w:p>
      <w:pPr>
        <w:widowControl/>
        <w:adjustRightInd w:val="0"/>
        <w:spacing w:line="360" w:lineRule="auto"/>
        <w:ind w:firstLine="480" w:firstLineChars="200"/>
        <w:jc w:val="left"/>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设备具有商用密码产品型号；</w:t>
      </w:r>
    </w:p>
    <w:p>
      <w:pPr>
        <w:widowControl/>
        <w:adjustRightInd w:val="0"/>
        <w:spacing w:line="360" w:lineRule="auto"/>
        <w:ind w:firstLine="480" w:firstLineChars="200"/>
        <w:jc w:val="left"/>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接口标准符合GM/T 0018-2012 标准；</w:t>
      </w:r>
    </w:p>
    <w:p>
      <w:pPr>
        <w:widowControl/>
        <w:adjustRightInd w:val="0"/>
        <w:spacing w:line="360" w:lineRule="auto"/>
        <w:ind w:firstLine="480" w:firstLineChars="200"/>
        <w:jc w:val="left"/>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产品应用接口支持JAVA、C语言，支持Unix、Linux、中标麒麟等操作系统平台；</w:t>
      </w:r>
    </w:p>
    <w:p>
      <w:pPr>
        <w:widowControl/>
        <w:adjustRightInd w:val="0"/>
        <w:spacing w:line="360" w:lineRule="auto"/>
        <w:ind w:firstLine="480" w:firstLineChars="200"/>
        <w:jc w:val="left"/>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产品具备开启机箱销毁密钥的功能；</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产品支持下列算法和性能指标(高端+万兆网卡)：</w:t>
      </w:r>
    </w:p>
    <w:tbl>
      <w:tblPr>
        <w:tblStyle w:val="14"/>
        <w:tblW w:w="8341" w:type="dxa"/>
        <w:jc w:val="center"/>
        <w:tblLayout w:type="fixed"/>
        <w:tblCellMar>
          <w:top w:w="0" w:type="dxa"/>
          <w:left w:w="108" w:type="dxa"/>
          <w:bottom w:w="0" w:type="dxa"/>
          <w:right w:w="108" w:type="dxa"/>
        </w:tblCellMar>
      </w:tblPr>
      <w:tblGrid>
        <w:gridCol w:w="828"/>
        <w:gridCol w:w="1417"/>
        <w:gridCol w:w="1985"/>
        <w:gridCol w:w="1984"/>
        <w:gridCol w:w="2127"/>
      </w:tblGrid>
      <w:tr>
        <w:tblPrEx>
          <w:tblCellMar>
            <w:top w:w="0" w:type="dxa"/>
            <w:left w:w="108" w:type="dxa"/>
            <w:bottom w:w="0" w:type="dxa"/>
            <w:right w:w="108" w:type="dxa"/>
          </w:tblCellMar>
        </w:tblPrEx>
        <w:trPr>
          <w:trHeight w:val="780" w:hRule="atLeast"/>
          <w:jc w:val="center"/>
        </w:trPr>
        <w:tc>
          <w:tcPr>
            <w:tcW w:w="828" w:type="dxa"/>
            <w:tcBorders>
              <w:top w:val="double" w:color="auto" w:sz="6" w:space="0"/>
              <w:left w:val="double" w:color="auto" w:sz="6" w:space="0"/>
              <w:bottom w:val="double" w:color="auto" w:sz="6" w:space="0"/>
              <w:right w:val="single" w:color="auto" w:sz="8" w:space="0"/>
            </w:tcBorders>
            <w:shd w:val="clear" w:color="auto" w:fill="auto"/>
            <w:noWrap/>
            <w:vAlign w:val="center"/>
          </w:tcPr>
          <w:p>
            <w:pPr>
              <w:widowControl/>
              <w:adjustRightInd w:val="0"/>
              <w:spacing w:line="360" w:lineRule="auto"/>
              <w:jc w:val="center"/>
              <w:textAlignment w:val="baseline"/>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序号</w:t>
            </w:r>
          </w:p>
        </w:tc>
        <w:tc>
          <w:tcPr>
            <w:tcW w:w="1417" w:type="dxa"/>
            <w:tcBorders>
              <w:top w:val="double" w:color="auto" w:sz="6" w:space="0"/>
              <w:left w:val="nil"/>
              <w:bottom w:val="double" w:color="auto" w:sz="6" w:space="0"/>
              <w:right w:val="single" w:color="auto" w:sz="8" w:space="0"/>
            </w:tcBorders>
            <w:shd w:val="clear" w:color="auto" w:fill="auto"/>
            <w:noWrap/>
            <w:vAlign w:val="center"/>
          </w:tcPr>
          <w:p>
            <w:pPr>
              <w:widowControl/>
              <w:adjustRightInd w:val="0"/>
              <w:spacing w:line="360" w:lineRule="auto"/>
              <w:jc w:val="center"/>
              <w:textAlignment w:val="baseline"/>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算法类别</w:t>
            </w:r>
          </w:p>
        </w:tc>
        <w:tc>
          <w:tcPr>
            <w:tcW w:w="1985" w:type="dxa"/>
            <w:tcBorders>
              <w:top w:val="double" w:color="auto" w:sz="6" w:space="0"/>
              <w:left w:val="nil"/>
              <w:bottom w:val="double" w:color="auto" w:sz="6" w:space="0"/>
              <w:right w:val="single" w:color="auto" w:sz="8" w:space="0"/>
            </w:tcBorders>
            <w:shd w:val="clear" w:color="auto" w:fill="auto"/>
            <w:noWrap/>
            <w:vAlign w:val="center"/>
          </w:tcPr>
          <w:p>
            <w:pPr>
              <w:widowControl/>
              <w:adjustRightInd w:val="0"/>
              <w:spacing w:line="360" w:lineRule="auto"/>
              <w:jc w:val="center"/>
              <w:textAlignment w:val="baseline"/>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密码算法类型</w:t>
            </w:r>
          </w:p>
        </w:tc>
        <w:tc>
          <w:tcPr>
            <w:tcW w:w="1984" w:type="dxa"/>
            <w:tcBorders>
              <w:top w:val="double" w:color="auto" w:sz="6" w:space="0"/>
              <w:left w:val="nil"/>
              <w:bottom w:val="double" w:color="auto" w:sz="6" w:space="0"/>
              <w:right w:val="single" w:color="auto" w:sz="8" w:space="0"/>
            </w:tcBorders>
            <w:shd w:val="clear" w:color="auto" w:fill="auto"/>
            <w:noWrap/>
            <w:vAlign w:val="center"/>
          </w:tcPr>
          <w:p>
            <w:pPr>
              <w:widowControl/>
              <w:adjustRightInd w:val="0"/>
              <w:spacing w:line="360" w:lineRule="auto"/>
              <w:jc w:val="center"/>
              <w:textAlignment w:val="baseline"/>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功能或模式</w:t>
            </w:r>
          </w:p>
        </w:tc>
        <w:tc>
          <w:tcPr>
            <w:tcW w:w="2127" w:type="dxa"/>
            <w:tcBorders>
              <w:top w:val="double" w:color="auto" w:sz="6" w:space="0"/>
              <w:left w:val="nil"/>
              <w:bottom w:val="double" w:color="auto" w:sz="6" w:space="0"/>
              <w:right w:val="double" w:color="auto" w:sz="6" w:space="0"/>
            </w:tcBorders>
            <w:shd w:val="clear" w:color="auto" w:fill="auto"/>
            <w:noWrap/>
            <w:vAlign w:val="center"/>
          </w:tcPr>
          <w:p>
            <w:pPr>
              <w:widowControl/>
              <w:adjustRightInd w:val="0"/>
              <w:spacing w:line="360" w:lineRule="auto"/>
              <w:jc w:val="center"/>
              <w:textAlignment w:val="baseline"/>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性能指标</w:t>
            </w:r>
          </w:p>
        </w:tc>
      </w:tr>
      <w:tr>
        <w:tblPrEx>
          <w:tblCellMar>
            <w:top w:w="0" w:type="dxa"/>
            <w:left w:w="108" w:type="dxa"/>
            <w:bottom w:w="0" w:type="dxa"/>
            <w:right w:w="108" w:type="dxa"/>
          </w:tblCellMar>
        </w:tblPrEx>
        <w:trPr>
          <w:trHeight w:val="780" w:hRule="atLeast"/>
          <w:jc w:val="center"/>
        </w:trPr>
        <w:tc>
          <w:tcPr>
            <w:tcW w:w="828" w:type="dxa"/>
            <w:tcBorders>
              <w:top w:val="nil"/>
              <w:left w:val="double" w:color="auto" w:sz="6" w:space="0"/>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1</w:t>
            </w:r>
          </w:p>
        </w:tc>
        <w:tc>
          <w:tcPr>
            <w:tcW w:w="1417" w:type="dxa"/>
            <w:vMerge w:val="restart"/>
            <w:tcBorders>
              <w:top w:val="nil"/>
              <w:left w:val="single" w:color="auto" w:sz="8" w:space="0"/>
              <w:bottom w:val="single" w:color="000000"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对称算法</w:t>
            </w:r>
          </w:p>
        </w:tc>
        <w:tc>
          <w:tcPr>
            <w:tcW w:w="1985" w:type="dxa"/>
            <w:vMerge w:val="restart"/>
            <w:tcBorders>
              <w:top w:val="nil"/>
              <w:left w:val="single" w:color="auto" w:sz="8" w:space="0"/>
              <w:bottom w:val="single" w:color="000000"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SM1密码算法</w:t>
            </w:r>
          </w:p>
        </w:tc>
        <w:tc>
          <w:tcPr>
            <w:tcW w:w="1984" w:type="dxa"/>
            <w:tcBorders>
              <w:top w:val="nil"/>
              <w:left w:val="nil"/>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ECB模式</w:t>
            </w:r>
          </w:p>
        </w:tc>
        <w:tc>
          <w:tcPr>
            <w:tcW w:w="2127" w:type="dxa"/>
            <w:tcBorders>
              <w:top w:val="nil"/>
              <w:left w:val="nil"/>
              <w:bottom w:val="single" w:color="auto" w:sz="8" w:space="0"/>
              <w:right w:val="double" w:color="auto" w:sz="6"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900Mbps</w:t>
            </w:r>
          </w:p>
        </w:tc>
      </w:tr>
      <w:tr>
        <w:tblPrEx>
          <w:tblCellMar>
            <w:top w:w="0" w:type="dxa"/>
            <w:left w:w="108" w:type="dxa"/>
            <w:bottom w:w="0" w:type="dxa"/>
            <w:right w:w="108" w:type="dxa"/>
          </w:tblCellMar>
        </w:tblPrEx>
        <w:trPr>
          <w:trHeight w:val="765" w:hRule="atLeast"/>
          <w:jc w:val="center"/>
        </w:trPr>
        <w:tc>
          <w:tcPr>
            <w:tcW w:w="828" w:type="dxa"/>
            <w:tcBorders>
              <w:top w:val="nil"/>
              <w:left w:val="double" w:color="auto" w:sz="6" w:space="0"/>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2</w:t>
            </w:r>
          </w:p>
        </w:tc>
        <w:tc>
          <w:tcPr>
            <w:tcW w:w="1417" w:type="dxa"/>
            <w:vMerge w:val="continue"/>
            <w:tcBorders>
              <w:top w:val="nil"/>
              <w:left w:val="single" w:color="auto" w:sz="8" w:space="0"/>
              <w:bottom w:val="single" w:color="000000"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5" w:type="dxa"/>
            <w:vMerge w:val="continue"/>
            <w:tcBorders>
              <w:top w:val="nil"/>
              <w:left w:val="single" w:color="auto" w:sz="8" w:space="0"/>
              <w:bottom w:val="single" w:color="000000"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4" w:type="dxa"/>
            <w:tcBorders>
              <w:top w:val="nil"/>
              <w:left w:val="nil"/>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CBC模式</w:t>
            </w:r>
          </w:p>
        </w:tc>
        <w:tc>
          <w:tcPr>
            <w:tcW w:w="2127" w:type="dxa"/>
            <w:tcBorders>
              <w:top w:val="nil"/>
              <w:left w:val="nil"/>
              <w:bottom w:val="single" w:color="auto" w:sz="8" w:space="0"/>
              <w:right w:val="double" w:color="auto" w:sz="6"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900Mbps </w:t>
            </w:r>
          </w:p>
        </w:tc>
      </w:tr>
      <w:tr>
        <w:tblPrEx>
          <w:tblCellMar>
            <w:top w:w="0" w:type="dxa"/>
            <w:left w:w="108" w:type="dxa"/>
            <w:bottom w:w="0" w:type="dxa"/>
            <w:right w:w="108" w:type="dxa"/>
          </w:tblCellMar>
        </w:tblPrEx>
        <w:trPr>
          <w:trHeight w:val="765" w:hRule="atLeast"/>
          <w:jc w:val="center"/>
        </w:trPr>
        <w:tc>
          <w:tcPr>
            <w:tcW w:w="828" w:type="dxa"/>
            <w:tcBorders>
              <w:top w:val="nil"/>
              <w:left w:val="double" w:color="auto" w:sz="6" w:space="0"/>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3</w:t>
            </w:r>
          </w:p>
        </w:tc>
        <w:tc>
          <w:tcPr>
            <w:tcW w:w="1417" w:type="dxa"/>
            <w:vMerge w:val="continue"/>
            <w:tcBorders>
              <w:top w:val="nil"/>
              <w:left w:val="single" w:color="auto" w:sz="8" w:space="0"/>
              <w:bottom w:val="single" w:color="000000"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5" w:type="dxa"/>
            <w:vMerge w:val="restart"/>
            <w:tcBorders>
              <w:top w:val="nil"/>
              <w:left w:val="single" w:color="auto" w:sz="8" w:space="0"/>
              <w:bottom w:val="single" w:color="000000"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SM4密码算法</w:t>
            </w:r>
          </w:p>
        </w:tc>
        <w:tc>
          <w:tcPr>
            <w:tcW w:w="1984" w:type="dxa"/>
            <w:tcBorders>
              <w:top w:val="nil"/>
              <w:left w:val="nil"/>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ECB模式</w:t>
            </w:r>
          </w:p>
        </w:tc>
        <w:tc>
          <w:tcPr>
            <w:tcW w:w="2127" w:type="dxa"/>
            <w:tcBorders>
              <w:top w:val="nil"/>
              <w:left w:val="nil"/>
              <w:bottom w:val="single" w:color="auto" w:sz="8" w:space="0"/>
              <w:right w:val="double" w:color="auto" w:sz="6"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3Gbps </w:t>
            </w:r>
          </w:p>
        </w:tc>
      </w:tr>
      <w:tr>
        <w:tblPrEx>
          <w:tblCellMar>
            <w:top w:w="0" w:type="dxa"/>
            <w:left w:w="108" w:type="dxa"/>
            <w:bottom w:w="0" w:type="dxa"/>
            <w:right w:w="108" w:type="dxa"/>
          </w:tblCellMar>
        </w:tblPrEx>
        <w:trPr>
          <w:trHeight w:val="765" w:hRule="atLeast"/>
          <w:jc w:val="center"/>
        </w:trPr>
        <w:tc>
          <w:tcPr>
            <w:tcW w:w="828" w:type="dxa"/>
            <w:tcBorders>
              <w:top w:val="nil"/>
              <w:left w:val="double" w:color="auto" w:sz="6" w:space="0"/>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4</w:t>
            </w:r>
          </w:p>
        </w:tc>
        <w:tc>
          <w:tcPr>
            <w:tcW w:w="1417" w:type="dxa"/>
            <w:vMerge w:val="continue"/>
            <w:tcBorders>
              <w:top w:val="nil"/>
              <w:left w:val="single" w:color="auto" w:sz="8" w:space="0"/>
              <w:bottom w:val="single" w:color="000000"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5" w:type="dxa"/>
            <w:vMerge w:val="continue"/>
            <w:tcBorders>
              <w:top w:val="nil"/>
              <w:left w:val="single" w:color="auto" w:sz="8" w:space="0"/>
              <w:bottom w:val="single" w:color="000000"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4" w:type="dxa"/>
            <w:tcBorders>
              <w:top w:val="nil"/>
              <w:left w:val="nil"/>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CBC模式</w:t>
            </w:r>
          </w:p>
        </w:tc>
        <w:tc>
          <w:tcPr>
            <w:tcW w:w="2127" w:type="dxa"/>
            <w:tcBorders>
              <w:top w:val="nil"/>
              <w:left w:val="nil"/>
              <w:bottom w:val="single" w:color="auto" w:sz="8" w:space="0"/>
              <w:right w:val="double" w:color="auto" w:sz="6"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3Gbps </w:t>
            </w:r>
          </w:p>
        </w:tc>
      </w:tr>
      <w:tr>
        <w:tblPrEx>
          <w:tblCellMar>
            <w:top w:w="0" w:type="dxa"/>
            <w:left w:w="108" w:type="dxa"/>
            <w:bottom w:w="0" w:type="dxa"/>
            <w:right w:w="108" w:type="dxa"/>
          </w:tblCellMar>
        </w:tblPrEx>
        <w:trPr>
          <w:trHeight w:val="765" w:hRule="atLeast"/>
          <w:jc w:val="center"/>
        </w:trPr>
        <w:tc>
          <w:tcPr>
            <w:tcW w:w="828" w:type="dxa"/>
            <w:tcBorders>
              <w:top w:val="nil"/>
              <w:left w:val="double" w:color="auto" w:sz="6" w:space="0"/>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5</w:t>
            </w:r>
          </w:p>
        </w:tc>
        <w:tc>
          <w:tcPr>
            <w:tcW w:w="1417" w:type="dxa"/>
            <w:vMerge w:val="restart"/>
            <w:tcBorders>
              <w:top w:val="nil"/>
              <w:left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非对称算法</w:t>
            </w:r>
          </w:p>
        </w:tc>
        <w:tc>
          <w:tcPr>
            <w:tcW w:w="1985" w:type="dxa"/>
            <w:vMerge w:val="restart"/>
            <w:tcBorders>
              <w:top w:val="nil"/>
              <w:left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SM2</w:t>
            </w:r>
          </w:p>
        </w:tc>
        <w:tc>
          <w:tcPr>
            <w:tcW w:w="1984" w:type="dxa"/>
            <w:tcBorders>
              <w:top w:val="nil"/>
              <w:left w:val="nil"/>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密钥对生成</w:t>
            </w:r>
          </w:p>
        </w:tc>
        <w:tc>
          <w:tcPr>
            <w:tcW w:w="2127" w:type="dxa"/>
            <w:tcBorders>
              <w:top w:val="nil"/>
              <w:left w:val="nil"/>
              <w:bottom w:val="single" w:color="auto" w:sz="8" w:space="0"/>
              <w:right w:val="double" w:color="auto" w:sz="6"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10000对/秒</w:t>
            </w:r>
          </w:p>
        </w:tc>
      </w:tr>
      <w:tr>
        <w:tblPrEx>
          <w:tblCellMar>
            <w:top w:w="0" w:type="dxa"/>
            <w:left w:w="108" w:type="dxa"/>
            <w:bottom w:w="0" w:type="dxa"/>
            <w:right w:w="108" w:type="dxa"/>
          </w:tblCellMar>
        </w:tblPrEx>
        <w:trPr>
          <w:trHeight w:val="765" w:hRule="atLeast"/>
          <w:jc w:val="center"/>
        </w:trPr>
        <w:tc>
          <w:tcPr>
            <w:tcW w:w="828" w:type="dxa"/>
            <w:tcBorders>
              <w:top w:val="nil"/>
              <w:left w:val="double" w:color="auto" w:sz="6" w:space="0"/>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6</w:t>
            </w:r>
          </w:p>
        </w:tc>
        <w:tc>
          <w:tcPr>
            <w:tcW w:w="1417" w:type="dxa"/>
            <w:vMerge w:val="continue"/>
            <w:tcBorders>
              <w:left w:val="single" w:color="auto"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5" w:type="dxa"/>
            <w:vMerge w:val="continue"/>
            <w:tcBorders>
              <w:left w:val="single" w:color="auto"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4" w:type="dxa"/>
            <w:tcBorders>
              <w:top w:val="nil"/>
              <w:left w:val="nil"/>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公钥加密</w:t>
            </w:r>
          </w:p>
        </w:tc>
        <w:tc>
          <w:tcPr>
            <w:tcW w:w="2127" w:type="dxa"/>
            <w:tcBorders>
              <w:top w:val="nil"/>
              <w:left w:val="nil"/>
              <w:bottom w:val="single" w:color="auto" w:sz="8" w:space="0"/>
              <w:right w:val="double" w:color="auto" w:sz="6"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7Mbps(32字节)</w:t>
            </w:r>
          </w:p>
        </w:tc>
      </w:tr>
      <w:tr>
        <w:tblPrEx>
          <w:tblCellMar>
            <w:top w:w="0" w:type="dxa"/>
            <w:left w:w="108" w:type="dxa"/>
            <w:bottom w:w="0" w:type="dxa"/>
            <w:right w:w="108" w:type="dxa"/>
          </w:tblCellMar>
        </w:tblPrEx>
        <w:trPr>
          <w:trHeight w:val="765" w:hRule="atLeast"/>
          <w:jc w:val="center"/>
        </w:trPr>
        <w:tc>
          <w:tcPr>
            <w:tcW w:w="828" w:type="dxa"/>
            <w:tcBorders>
              <w:top w:val="nil"/>
              <w:left w:val="double" w:color="auto" w:sz="6" w:space="0"/>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7</w:t>
            </w:r>
          </w:p>
        </w:tc>
        <w:tc>
          <w:tcPr>
            <w:tcW w:w="1417" w:type="dxa"/>
            <w:vMerge w:val="continue"/>
            <w:tcBorders>
              <w:left w:val="single" w:color="auto"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5" w:type="dxa"/>
            <w:vMerge w:val="continue"/>
            <w:tcBorders>
              <w:left w:val="single" w:color="auto"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4" w:type="dxa"/>
            <w:tcBorders>
              <w:top w:val="nil"/>
              <w:left w:val="nil"/>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私钥解密</w:t>
            </w:r>
          </w:p>
        </w:tc>
        <w:tc>
          <w:tcPr>
            <w:tcW w:w="2127" w:type="dxa"/>
            <w:tcBorders>
              <w:top w:val="nil"/>
              <w:left w:val="nil"/>
              <w:bottom w:val="single" w:color="auto" w:sz="8" w:space="0"/>
              <w:right w:val="double" w:color="auto" w:sz="6"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7Mbps(32字节)</w:t>
            </w:r>
          </w:p>
        </w:tc>
      </w:tr>
      <w:tr>
        <w:tblPrEx>
          <w:tblCellMar>
            <w:top w:w="0" w:type="dxa"/>
            <w:left w:w="108" w:type="dxa"/>
            <w:bottom w:w="0" w:type="dxa"/>
            <w:right w:w="108" w:type="dxa"/>
          </w:tblCellMar>
        </w:tblPrEx>
        <w:trPr>
          <w:trHeight w:val="765" w:hRule="atLeast"/>
          <w:jc w:val="center"/>
        </w:trPr>
        <w:tc>
          <w:tcPr>
            <w:tcW w:w="828" w:type="dxa"/>
            <w:tcBorders>
              <w:top w:val="nil"/>
              <w:left w:val="double" w:color="auto" w:sz="6" w:space="0"/>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8</w:t>
            </w:r>
          </w:p>
        </w:tc>
        <w:tc>
          <w:tcPr>
            <w:tcW w:w="1417" w:type="dxa"/>
            <w:vMerge w:val="continue"/>
            <w:tcBorders>
              <w:left w:val="single" w:color="auto"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5" w:type="dxa"/>
            <w:vMerge w:val="continue"/>
            <w:tcBorders>
              <w:left w:val="single" w:color="auto"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4" w:type="dxa"/>
            <w:tcBorders>
              <w:top w:val="nil"/>
              <w:left w:val="nil"/>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私钥签名</w:t>
            </w:r>
          </w:p>
        </w:tc>
        <w:tc>
          <w:tcPr>
            <w:tcW w:w="2127" w:type="dxa"/>
            <w:tcBorders>
              <w:top w:val="nil"/>
              <w:left w:val="nil"/>
              <w:bottom w:val="single" w:color="auto" w:sz="8" w:space="0"/>
              <w:right w:val="double" w:color="auto" w:sz="6"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30000 次/秒</w:t>
            </w:r>
          </w:p>
        </w:tc>
      </w:tr>
      <w:tr>
        <w:tblPrEx>
          <w:tblCellMar>
            <w:top w:w="0" w:type="dxa"/>
            <w:left w:w="108" w:type="dxa"/>
            <w:bottom w:w="0" w:type="dxa"/>
            <w:right w:w="108" w:type="dxa"/>
          </w:tblCellMar>
        </w:tblPrEx>
        <w:trPr>
          <w:trHeight w:val="765" w:hRule="atLeast"/>
          <w:jc w:val="center"/>
        </w:trPr>
        <w:tc>
          <w:tcPr>
            <w:tcW w:w="828" w:type="dxa"/>
            <w:tcBorders>
              <w:top w:val="nil"/>
              <w:left w:val="double" w:color="auto" w:sz="6" w:space="0"/>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10</w:t>
            </w:r>
          </w:p>
        </w:tc>
        <w:tc>
          <w:tcPr>
            <w:tcW w:w="1417" w:type="dxa"/>
            <w:vMerge w:val="continue"/>
            <w:tcBorders>
              <w:left w:val="single" w:color="auto"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5" w:type="dxa"/>
            <w:vMerge w:val="continue"/>
            <w:tcBorders>
              <w:left w:val="single" w:color="auto"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4" w:type="dxa"/>
            <w:tcBorders>
              <w:top w:val="nil"/>
              <w:left w:val="nil"/>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公钥验签</w:t>
            </w:r>
          </w:p>
        </w:tc>
        <w:tc>
          <w:tcPr>
            <w:tcW w:w="2127" w:type="dxa"/>
            <w:tcBorders>
              <w:top w:val="nil"/>
              <w:left w:val="nil"/>
              <w:bottom w:val="single" w:color="auto" w:sz="8" w:space="0"/>
              <w:right w:val="double" w:color="auto" w:sz="6"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30000 次/秒</w:t>
            </w:r>
          </w:p>
        </w:tc>
      </w:tr>
      <w:tr>
        <w:tblPrEx>
          <w:tblCellMar>
            <w:top w:w="0" w:type="dxa"/>
            <w:left w:w="108" w:type="dxa"/>
            <w:bottom w:w="0" w:type="dxa"/>
            <w:right w:w="108" w:type="dxa"/>
          </w:tblCellMar>
        </w:tblPrEx>
        <w:trPr>
          <w:trHeight w:val="765" w:hRule="atLeast"/>
          <w:jc w:val="center"/>
        </w:trPr>
        <w:tc>
          <w:tcPr>
            <w:tcW w:w="828" w:type="dxa"/>
            <w:tcBorders>
              <w:top w:val="nil"/>
              <w:left w:val="double" w:color="auto" w:sz="6" w:space="0"/>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p>
        </w:tc>
        <w:tc>
          <w:tcPr>
            <w:tcW w:w="1417" w:type="dxa"/>
            <w:vMerge w:val="continue"/>
            <w:tcBorders>
              <w:left w:val="single" w:color="auto" w:sz="8" w:space="0"/>
              <w:bottom w:val="single" w:color="000000"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5" w:type="dxa"/>
            <w:vMerge w:val="continue"/>
            <w:tcBorders>
              <w:left w:val="single" w:color="auto" w:sz="8" w:space="0"/>
              <w:bottom w:val="single" w:color="000000" w:sz="8" w:space="0"/>
              <w:right w:val="single" w:color="auto" w:sz="8"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p>
        </w:tc>
        <w:tc>
          <w:tcPr>
            <w:tcW w:w="1984" w:type="dxa"/>
            <w:tcBorders>
              <w:top w:val="nil"/>
              <w:left w:val="nil"/>
              <w:bottom w:val="single" w:color="auto" w:sz="8"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密钥空间</w:t>
            </w:r>
          </w:p>
        </w:tc>
        <w:tc>
          <w:tcPr>
            <w:tcW w:w="2127" w:type="dxa"/>
            <w:tcBorders>
              <w:top w:val="nil"/>
              <w:left w:val="nil"/>
              <w:bottom w:val="single" w:color="auto" w:sz="8" w:space="0"/>
              <w:right w:val="double" w:color="auto" w:sz="6"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10000个密钥索引</w:t>
            </w:r>
          </w:p>
        </w:tc>
      </w:tr>
      <w:tr>
        <w:tblPrEx>
          <w:tblCellMar>
            <w:top w:w="0" w:type="dxa"/>
            <w:left w:w="108" w:type="dxa"/>
            <w:bottom w:w="0" w:type="dxa"/>
            <w:right w:w="108" w:type="dxa"/>
          </w:tblCellMar>
        </w:tblPrEx>
        <w:trPr>
          <w:trHeight w:val="765" w:hRule="atLeast"/>
          <w:jc w:val="center"/>
        </w:trPr>
        <w:tc>
          <w:tcPr>
            <w:tcW w:w="828" w:type="dxa"/>
            <w:tcBorders>
              <w:top w:val="nil"/>
              <w:left w:val="double" w:color="auto" w:sz="6" w:space="0"/>
              <w:bottom w:val="double" w:color="auto" w:sz="6"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12</w:t>
            </w:r>
          </w:p>
        </w:tc>
        <w:tc>
          <w:tcPr>
            <w:tcW w:w="1417" w:type="dxa"/>
            <w:tcBorders>
              <w:top w:val="nil"/>
              <w:left w:val="nil"/>
              <w:bottom w:val="double" w:color="auto" w:sz="6"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杂凑算法</w:t>
            </w:r>
          </w:p>
        </w:tc>
        <w:tc>
          <w:tcPr>
            <w:tcW w:w="1985" w:type="dxa"/>
            <w:tcBorders>
              <w:top w:val="nil"/>
              <w:left w:val="nil"/>
              <w:bottom w:val="double" w:color="auto" w:sz="6"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SM3</w:t>
            </w:r>
          </w:p>
        </w:tc>
        <w:tc>
          <w:tcPr>
            <w:tcW w:w="1984" w:type="dxa"/>
            <w:tcBorders>
              <w:top w:val="nil"/>
              <w:left w:val="nil"/>
              <w:bottom w:val="double" w:color="auto" w:sz="6" w:space="0"/>
              <w:right w:val="single" w:color="auto" w:sz="8" w:space="0"/>
            </w:tcBorders>
            <w:shd w:val="clear" w:color="auto" w:fill="auto"/>
            <w:noWrap/>
            <w:vAlign w:val="center"/>
          </w:tcPr>
          <w:p>
            <w:pPr>
              <w:widowControl/>
              <w:adjustRightInd w:val="0"/>
              <w:spacing w:line="360" w:lineRule="auto"/>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w:t>
            </w:r>
          </w:p>
        </w:tc>
        <w:tc>
          <w:tcPr>
            <w:tcW w:w="2127" w:type="dxa"/>
            <w:tcBorders>
              <w:top w:val="nil"/>
              <w:left w:val="nil"/>
              <w:bottom w:val="single" w:color="auto" w:sz="8" w:space="0"/>
              <w:right w:val="double" w:color="auto" w:sz="6" w:space="0"/>
            </w:tcBorders>
            <w:shd w:val="clear" w:color="auto" w:fill="auto"/>
            <w:noWrap/>
            <w:vAlign w:val="center"/>
          </w:tcPr>
          <w:p>
            <w:pPr>
              <w:widowControl/>
              <w:adjustRightInd w:val="0"/>
              <w:spacing w:line="360" w:lineRule="auto"/>
              <w:jc w:val="left"/>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2Gbps </w:t>
            </w:r>
          </w:p>
        </w:tc>
      </w:tr>
    </w:tbl>
    <w:p>
      <w:pPr>
        <w:autoSpaceDE w:val="0"/>
        <w:autoSpaceDN w:val="0"/>
        <w:adjustRightInd w:val="0"/>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4.5 LDAP</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447"/>
        <w:gridCol w:w="1166"/>
        <w:gridCol w:w="5568"/>
        <w:gridCol w:w="447"/>
        <w:gridCol w:w="447"/>
        <w:gridCol w:w="44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339" w:type="pct"/>
            <w:tcBorders>
              <w:top w:val="single" w:color="auto" w:sz="12" w:space="0"/>
              <w:left w:val="single" w:color="auto" w:sz="12" w:space="0"/>
              <w:bottom w:val="single" w:color="000000" w:sz="4" w:space="0"/>
              <w:right w:val="single" w:color="000000" w:sz="4" w:space="0"/>
            </w:tcBorders>
            <w:noWrap/>
            <w:vAlign w:val="center"/>
          </w:tcPr>
          <w:p>
            <w:pPr>
              <w:widowControl/>
              <w:adjustRightInd w:val="0"/>
              <w:snapToGrid w:val="0"/>
              <w:spacing w:line="360" w:lineRule="auto"/>
              <w:jc w:val="center"/>
              <w:textAlignment w:val="baseline"/>
              <w:rPr>
                <w:rFonts w:ascii="仿宋" w:hAnsi="仿宋" w:eastAsia="仿宋" w:cs="仿宋"/>
                <w:b/>
                <w:color w:val="auto"/>
                <w:kern w:val="0"/>
                <w:sz w:val="24"/>
                <w:szCs w:val="21"/>
              </w:rPr>
            </w:pPr>
            <w:r>
              <w:rPr>
                <w:rFonts w:hint="eastAsia" w:ascii="仿宋" w:hAnsi="仿宋" w:eastAsia="仿宋" w:cs="仿宋"/>
                <w:b/>
                <w:color w:val="auto"/>
                <w:kern w:val="0"/>
                <w:sz w:val="24"/>
                <w:szCs w:val="21"/>
              </w:rPr>
              <w:t>序号</w:t>
            </w:r>
          </w:p>
        </w:tc>
        <w:tc>
          <w:tcPr>
            <w:tcW w:w="777" w:type="pct"/>
            <w:tcBorders>
              <w:top w:val="single" w:color="auto" w:sz="12" w:space="0"/>
              <w:left w:val="single" w:color="000000" w:sz="4" w:space="0"/>
              <w:bottom w:val="single" w:color="000000" w:sz="4" w:space="0"/>
              <w:right w:val="single" w:color="000000" w:sz="4" w:space="0"/>
            </w:tcBorders>
            <w:noWrap/>
            <w:vAlign w:val="center"/>
          </w:tcPr>
          <w:p>
            <w:pPr>
              <w:widowControl/>
              <w:adjustRightInd w:val="0"/>
              <w:snapToGrid w:val="0"/>
              <w:spacing w:line="360" w:lineRule="auto"/>
              <w:jc w:val="center"/>
              <w:textAlignment w:val="baseline"/>
              <w:rPr>
                <w:rFonts w:ascii="仿宋" w:hAnsi="仿宋" w:eastAsia="仿宋" w:cs="仿宋"/>
                <w:b/>
                <w:color w:val="auto"/>
                <w:kern w:val="0"/>
                <w:sz w:val="24"/>
                <w:szCs w:val="21"/>
              </w:rPr>
            </w:pPr>
            <w:r>
              <w:rPr>
                <w:rFonts w:hint="eastAsia" w:ascii="仿宋" w:hAnsi="仿宋" w:eastAsia="仿宋" w:cs="仿宋"/>
                <w:b/>
                <w:color w:val="auto"/>
                <w:kern w:val="0"/>
                <w:sz w:val="24"/>
                <w:szCs w:val="21"/>
              </w:rPr>
              <w:t xml:space="preserve"> 名称</w:t>
            </w:r>
          </w:p>
        </w:tc>
        <w:tc>
          <w:tcPr>
            <w:tcW w:w="2099" w:type="pct"/>
            <w:tcBorders>
              <w:top w:val="single" w:color="auto" w:sz="12" w:space="0"/>
              <w:left w:val="single" w:color="000000" w:sz="4" w:space="0"/>
              <w:bottom w:val="single" w:color="000000" w:sz="4" w:space="0"/>
              <w:right w:val="single" w:color="000000" w:sz="4" w:space="0"/>
            </w:tcBorders>
            <w:noWrap/>
            <w:vAlign w:val="center"/>
          </w:tcPr>
          <w:p>
            <w:pPr>
              <w:widowControl/>
              <w:adjustRightInd w:val="0"/>
              <w:snapToGrid w:val="0"/>
              <w:spacing w:line="360" w:lineRule="auto"/>
              <w:jc w:val="center"/>
              <w:textAlignment w:val="baseline"/>
              <w:rPr>
                <w:rFonts w:ascii="仿宋" w:hAnsi="仿宋" w:eastAsia="仿宋" w:cs="仿宋"/>
                <w:b/>
                <w:color w:val="auto"/>
                <w:kern w:val="0"/>
                <w:sz w:val="24"/>
                <w:szCs w:val="21"/>
              </w:rPr>
            </w:pPr>
            <w:r>
              <w:rPr>
                <w:rFonts w:hint="eastAsia" w:ascii="仿宋" w:hAnsi="仿宋" w:eastAsia="仿宋" w:cs="仿宋"/>
                <w:b/>
                <w:color w:val="auto"/>
                <w:kern w:val="0"/>
                <w:sz w:val="24"/>
                <w:szCs w:val="21"/>
              </w:rPr>
              <w:t>功  能</w:t>
            </w:r>
          </w:p>
        </w:tc>
        <w:tc>
          <w:tcPr>
            <w:tcW w:w="446" w:type="pct"/>
            <w:tcBorders>
              <w:top w:val="single" w:color="auto" w:sz="12" w:space="0"/>
              <w:left w:val="single" w:color="000000" w:sz="4" w:space="0"/>
              <w:bottom w:val="single" w:color="000000" w:sz="4" w:space="0"/>
              <w:right w:val="single" w:color="000000" w:sz="4" w:space="0"/>
            </w:tcBorders>
            <w:noWrap/>
            <w:vAlign w:val="center"/>
          </w:tcPr>
          <w:p>
            <w:pPr>
              <w:widowControl/>
              <w:adjustRightInd w:val="0"/>
              <w:snapToGrid w:val="0"/>
              <w:spacing w:line="360" w:lineRule="auto"/>
              <w:jc w:val="center"/>
              <w:textAlignment w:val="baseline"/>
              <w:rPr>
                <w:rFonts w:ascii="仿宋" w:hAnsi="仿宋" w:eastAsia="仿宋" w:cs="仿宋"/>
                <w:b/>
                <w:color w:val="auto"/>
                <w:kern w:val="0"/>
                <w:sz w:val="24"/>
                <w:szCs w:val="21"/>
              </w:rPr>
            </w:pPr>
            <w:r>
              <w:rPr>
                <w:rFonts w:hint="eastAsia" w:ascii="仿宋" w:hAnsi="仿宋" w:eastAsia="仿宋" w:cs="仿宋"/>
                <w:b/>
                <w:color w:val="auto"/>
                <w:kern w:val="0"/>
                <w:sz w:val="24"/>
                <w:szCs w:val="21"/>
              </w:rPr>
              <w:t>单位</w:t>
            </w:r>
          </w:p>
        </w:tc>
        <w:tc>
          <w:tcPr>
            <w:tcW w:w="893" w:type="pct"/>
            <w:tcBorders>
              <w:top w:val="single" w:color="auto" w:sz="12" w:space="0"/>
              <w:left w:val="single" w:color="000000" w:sz="4" w:space="0"/>
              <w:bottom w:val="single" w:color="000000" w:sz="4" w:space="0"/>
              <w:right w:val="single" w:color="000000" w:sz="4" w:space="0"/>
            </w:tcBorders>
            <w:noWrap/>
            <w:vAlign w:val="center"/>
          </w:tcPr>
          <w:p>
            <w:pPr>
              <w:widowControl/>
              <w:adjustRightInd w:val="0"/>
              <w:snapToGrid w:val="0"/>
              <w:spacing w:line="360" w:lineRule="auto"/>
              <w:jc w:val="center"/>
              <w:textAlignment w:val="baseline"/>
              <w:rPr>
                <w:rFonts w:ascii="仿宋" w:hAnsi="仿宋" w:eastAsia="仿宋" w:cs="仿宋"/>
                <w:b/>
                <w:color w:val="auto"/>
                <w:kern w:val="0"/>
                <w:sz w:val="24"/>
                <w:szCs w:val="21"/>
              </w:rPr>
            </w:pPr>
            <w:r>
              <w:rPr>
                <w:rFonts w:hint="eastAsia" w:ascii="仿宋" w:hAnsi="仿宋" w:eastAsia="仿宋" w:cs="仿宋"/>
                <w:b/>
                <w:color w:val="auto"/>
                <w:kern w:val="0"/>
                <w:sz w:val="24"/>
                <w:szCs w:val="21"/>
              </w:rPr>
              <w:t>数量</w:t>
            </w:r>
          </w:p>
        </w:tc>
        <w:tc>
          <w:tcPr>
            <w:tcW w:w="446" w:type="pct"/>
            <w:tcBorders>
              <w:top w:val="single" w:color="auto" w:sz="12" w:space="0"/>
              <w:left w:val="single" w:color="000000" w:sz="4" w:space="0"/>
              <w:bottom w:val="single" w:color="000000" w:sz="4" w:space="0"/>
              <w:right w:val="single" w:color="auto" w:sz="12" w:space="0"/>
            </w:tcBorders>
            <w:noWrap/>
            <w:vAlign w:val="center"/>
          </w:tcPr>
          <w:p>
            <w:pPr>
              <w:widowControl/>
              <w:adjustRightInd w:val="0"/>
              <w:snapToGrid w:val="0"/>
              <w:spacing w:line="360" w:lineRule="auto"/>
              <w:jc w:val="center"/>
              <w:textAlignment w:val="baseline"/>
              <w:rPr>
                <w:rFonts w:ascii="仿宋" w:hAnsi="仿宋" w:eastAsia="仿宋" w:cs="仿宋"/>
                <w:b/>
                <w:color w:val="auto"/>
                <w:kern w:val="0"/>
                <w:sz w:val="24"/>
                <w:szCs w:val="21"/>
              </w:rPr>
            </w:pPr>
            <w:r>
              <w:rPr>
                <w:rFonts w:hint="eastAsia" w:ascii="仿宋" w:hAnsi="仿宋" w:eastAsia="仿宋" w:cs="仿宋"/>
                <w:b/>
                <w:color w:val="auto"/>
                <w:kern w:val="0"/>
                <w:sz w:val="24"/>
                <w:szCs w:val="21"/>
              </w:rPr>
              <w:t>备注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9" w:type="pct"/>
            <w:tcBorders>
              <w:top w:val="single" w:color="000000" w:sz="4" w:space="0"/>
              <w:left w:val="single" w:color="auto" w:sz="12" w:space="0"/>
              <w:bottom w:val="single" w:color="000000" w:sz="4" w:space="0"/>
              <w:right w:val="single" w:color="000000" w:sz="4" w:space="0"/>
            </w:tcBorders>
            <w:shd w:val="clear" w:color="auto" w:fill="FFFFFF"/>
            <w:noWrap/>
            <w:vAlign w:val="center"/>
          </w:tcPr>
          <w:p>
            <w:pPr>
              <w:widowControl/>
              <w:adjustRightInd w:val="0"/>
              <w:snapToGrid w:val="0"/>
              <w:spacing w:line="360" w:lineRule="auto"/>
              <w:jc w:val="center"/>
              <w:textAlignment w:val="baseline"/>
              <w:rPr>
                <w:rFonts w:ascii="仿宋" w:hAnsi="仿宋" w:eastAsia="仿宋" w:cs="仿宋"/>
                <w:color w:val="auto"/>
                <w:kern w:val="0"/>
                <w:sz w:val="24"/>
                <w:szCs w:val="21"/>
              </w:rPr>
            </w:pPr>
          </w:p>
        </w:tc>
        <w:tc>
          <w:tcPr>
            <w:tcW w:w="7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adjustRightInd w:val="0"/>
              <w:snapToGrid w:val="0"/>
              <w:spacing w:line="360" w:lineRule="auto"/>
              <w:jc w:val="center"/>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LDAP目录服务系统</w:t>
            </w:r>
          </w:p>
        </w:tc>
        <w:tc>
          <w:tcPr>
            <w:tcW w:w="20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adjustRightInd w:val="0"/>
              <w:snapToGri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最大数据容量：单个服务系统可管理1千万级条目数据；</w:t>
            </w:r>
          </w:p>
          <w:p>
            <w:pPr>
              <w:widowControl/>
              <w:adjustRightInd w:val="0"/>
              <w:snapToGri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最大并发连接数：1024并发；</w:t>
            </w:r>
          </w:p>
          <w:p>
            <w:pPr>
              <w:widowControl/>
              <w:adjustRightInd w:val="0"/>
              <w:snapToGri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查询性能：百万级条目下，50线程查询平均速率到达50毫秒以内；</w:t>
            </w:r>
          </w:p>
          <w:p>
            <w:pPr>
              <w:widowControl/>
              <w:adjustRightInd w:val="0"/>
              <w:snapToGri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Referral：宽度超过50，深度超过7级；</w:t>
            </w:r>
          </w:p>
          <w:p>
            <w:pPr>
              <w:widowControl/>
              <w:adjustRightInd w:val="0"/>
              <w:snapToGri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复制：从目录服务器的宽度超过50，</w:t>
            </w:r>
          </w:p>
          <w:p>
            <w:pPr>
              <w:widowControl/>
              <w:adjustRightInd w:val="0"/>
              <w:snapToGri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深度超过7级；子树复制的最小粒度为条目；定时复制的最小间隔时间为分钟；支持双向复制；</w:t>
            </w:r>
          </w:p>
          <w:p>
            <w:pPr>
              <w:widowControl/>
              <w:adjustRightInd w:val="0"/>
              <w:snapToGri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支持负载均衡: 写操作重定向到主服务器，所有读操作优先使用从服务器；</w:t>
            </w:r>
          </w:p>
          <w:p>
            <w:pPr>
              <w:widowControl/>
              <w:adjustRightInd w:val="0"/>
              <w:snapToGri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支持对条目建立索引，以提高查询性能；</w:t>
            </w:r>
          </w:p>
          <w:p>
            <w:pPr>
              <w:widowControl/>
              <w:adjustRightInd w:val="0"/>
              <w:snapToGri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支持多种认证方式：例如简单口令认证、ldaps，同时通过acl权限访问列表控制对用户数据的访问规则；</w:t>
            </w:r>
          </w:p>
          <w:p>
            <w:pPr>
              <w:widowControl/>
              <w:adjustRightInd w:val="0"/>
              <w:snapToGri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支持客户端多种sdk调用方式，如C、JAVA、PHP等，实现在C/S、B/S应用模式下的快速开发。</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adjustRightInd w:val="0"/>
              <w:snapToGrid w:val="0"/>
              <w:spacing w:line="360" w:lineRule="auto"/>
              <w:jc w:val="center"/>
              <w:textAlignment w:val="baseline"/>
              <w:rPr>
                <w:rFonts w:ascii="仿宋" w:hAnsi="仿宋" w:eastAsia="仿宋" w:cs="仿宋"/>
                <w:color w:val="auto"/>
                <w:kern w:val="0"/>
                <w:sz w:val="24"/>
                <w:szCs w:val="21"/>
              </w:rPr>
            </w:pPr>
          </w:p>
        </w:tc>
        <w:tc>
          <w:tcPr>
            <w:tcW w:w="8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adjustRightInd w:val="0"/>
              <w:snapToGrid w:val="0"/>
              <w:spacing w:line="360" w:lineRule="auto"/>
              <w:jc w:val="center"/>
              <w:textAlignment w:val="baseline"/>
              <w:rPr>
                <w:rFonts w:ascii="仿宋" w:hAnsi="仿宋" w:eastAsia="仿宋" w:cs="仿宋"/>
                <w:color w:val="auto"/>
                <w:kern w:val="0"/>
                <w:sz w:val="24"/>
                <w:szCs w:val="21"/>
              </w:rPr>
            </w:pPr>
          </w:p>
        </w:tc>
        <w:tc>
          <w:tcPr>
            <w:tcW w:w="446" w:type="pct"/>
            <w:tcBorders>
              <w:top w:val="single" w:color="000000" w:sz="4" w:space="0"/>
              <w:left w:val="single" w:color="000000" w:sz="4" w:space="0"/>
              <w:bottom w:val="single" w:color="000000" w:sz="4" w:space="0"/>
              <w:right w:val="single" w:color="auto" w:sz="12" w:space="0"/>
            </w:tcBorders>
            <w:shd w:val="clear" w:color="auto" w:fill="FFFFFF"/>
            <w:noWrap/>
            <w:vAlign w:val="center"/>
          </w:tcPr>
          <w:p>
            <w:pPr>
              <w:widowControl/>
              <w:adjustRightInd w:val="0"/>
              <w:snapToGrid w:val="0"/>
              <w:spacing w:line="360" w:lineRule="auto"/>
              <w:jc w:val="center"/>
              <w:textAlignment w:val="baseline"/>
              <w:rPr>
                <w:rFonts w:ascii="仿宋" w:hAnsi="仿宋" w:eastAsia="仿宋" w:cs="仿宋"/>
                <w:color w:val="auto"/>
                <w:kern w:val="0"/>
                <w:sz w:val="24"/>
                <w:szCs w:val="21"/>
              </w:rPr>
            </w:pPr>
          </w:p>
        </w:tc>
      </w:tr>
    </w:tbl>
    <w:p>
      <w:pPr>
        <w:autoSpaceDE w:val="0"/>
        <w:autoSpaceDN w:val="0"/>
        <w:adjustRightInd w:val="0"/>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4.6 身份认证网关</w:t>
      </w:r>
    </w:p>
    <w:p>
      <w:pPr>
        <w:autoSpaceDE w:val="0"/>
        <w:autoSpaceDN w:val="0"/>
        <w:adjustRightInd w:val="0"/>
        <w:spacing w:line="360" w:lineRule="auto"/>
        <w:ind w:firstLine="480" w:firstLineChars="2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应用安全组件包括身份认证网关、服务器密码机。身份认证网关与业务系统进行安全集成，提供基于数字证书的强身份鉴别、入门级访问控制、访问行为审计服务，同时支持国际通用和国密双算法，采取双机热备部署模式。服务器密码机以接口服务方式与业务系统进行安全集成，为业务系统提供数字签名、签名验证、数字信封、解密信封服务，保障数据的机密性、完整性、抗抵赖性。</w:t>
      </w:r>
    </w:p>
    <w:p>
      <w:pPr>
        <w:spacing w:line="360" w:lineRule="auto"/>
        <w:ind w:firstLine="240" w:firstLineChars="100"/>
        <w:jc w:val="left"/>
        <w:rPr>
          <w:rFonts w:ascii="仿宋" w:hAnsi="仿宋" w:eastAsia="仿宋" w:cs="仿宋"/>
          <w:color w:val="auto"/>
          <w:kern w:val="16"/>
          <w:sz w:val="24"/>
        </w:rPr>
      </w:pPr>
      <w:r>
        <w:rPr>
          <w:rFonts w:hint="eastAsia" w:ascii="仿宋" w:hAnsi="仿宋" w:eastAsia="仿宋" w:cs="仿宋"/>
          <w:color w:val="auto"/>
          <w:kern w:val="16"/>
          <w:sz w:val="24"/>
        </w:rPr>
        <w:t>身份认证网关应具备商用密码产品型号。</w:t>
      </w:r>
    </w:p>
    <w:p>
      <w:pPr>
        <w:spacing w:line="360" w:lineRule="auto"/>
        <w:ind w:firstLine="240" w:firstLineChars="100"/>
        <w:jc w:val="left"/>
        <w:rPr>
          <w:rFonts w:ascii="仿宋" w:hAnsi="仿宋" w:eastAsia="仿宋" w:cs="仿宋"/>
          <w:color w:val="auto"/>
          <w:sz w:val="22"/>
          <w:szCs w:val="22"/>
        </w:rPr>
      </w:pPr>
      <w:r>
        <w:rPr>
          <w:rFonts w:hint="eastAsia" w:ascii="仿宋" w:hAnsi="仿宋" w:eastAsia="仿宋" w:cs="仿宋"/>
          <w:color w:val="auto"/>
          <w:kern w:val="16"/>
          <w:sz w:val="24"/>
        </w:rPr>
        <w:t>参数要求如下：</w:t>
      </w:r>
    </w:p>
    <w:tbl>
      <w:tblPr>
        <w:tblStyle w:val="14"/>
        <w:tblW w:w="8332" w:type="dxa"/>
        <w:jc w:val="center"/>
        <w:tblLayout w:type="autofit"/>
        <w:tblCellMar>
          <w:top w:w="0" w:type="dxa"/>
          <w:left w:w="108" w:type="dxa"/>
          <w:bottom w:w="0" w:type="dxa"/>
          <w:right w:w="108" w:type="dxa"/>
        </w:tblCellMar>
      </w:tblPr>
      <w:tblGrid>
        <w:gridCol w:w="870"/>
        <w:gridCol w:w="1792"/>
        <w:gridCol w:w="5670"/>
      </w:tblGrid>
      <w:tr>
        <w:tblPrEx>
          <w:tblCellMar>
            <w:top w:w="0" w:type="dxa"/>
            <w:left w:w="108" w:type="dxa"/>
            <w:bottom w:w="0" w:type="dxa"/>
            <w:right w:w="108" w:type="dxa"/>
          </w:tblCellMar>
        </w:tblPrEx>
        <w:trPr>
          <w:trHeight w:val="405" w:hRule="atLeast"/>
          <w:jc w:val="center"/>
        </w:trPr>
        <w:tc>
          <w:tcPr>
            <w:tcW w:w="870" w:type="dxa"/>
            <w:tcBorders>
              <w:top w:val="single" w:color="auto" w:sz="8" w:space="0"/>
              <w:left w:val="single" w:color="auto" w:sz="8" w:space="0"/>
              <w:bottom w:val="single" w:color="auto" w:sz="8" w:space="0"/>
              <w:right w:val="single" w:color="auto" w:sz="4" w:space="0"/>
            </w:tcBorders>
            <w:shd w:val="clear" w:color="auto" w:fill="C0C0C0"/>
            <w:noWrap/>
            <w:vAlign w:val="center"/>
          </w:tcPr>
          <w:p>
            <w:pPr>
              <w:widowControl/>
              <w:adjustRightInd w:val="0"/>
              <w:spacing w:line="360" w:lineRule="auto"/>
              <w:textAlignment w:val="baseline"/>
              <w:rPr>
                <w:rFonts w:ascii="仿宋" w:hAnsi="仿宋" w:eastAsia="仿宋" w:cs="仿宋"/>
                <w:b/>
                <w:color w:val="auto"/>
                <w:kern w:val="0"/>
                <w:sz w:val="22"/>
                <w:szCs w:val="21"/>
              </w:rPr>
            </w:pPr>
            <w:r>
              <w:rPr>
                <w:rFonts w:hint="eastAsia" w:ascii="仿宋" w:hAnsi="仿宋" w:eastAsia="仿宋" w:cs="仿宋"/>
                <w:b/>
                <w:color w:val="auto"/>
                <w:kern w:val="0"/>
                <w:sz w:val="22"/>
                <w:szCs w:val="21"/>
              </w:rPr>
              <w:t>序号</w:t>
            </w:r>
          </w:p>
        </w:tc>
        <w:tc>
          <w:tcPr>
            <w:tcW w:w="1792" w:type="dxa"/>
            <w:tcBorders>
              <w:top w:val="single" w:color="auto" w:sz="8" w:space="0"/>
              <w:left w:val="nil"/>
              <w:bottom w:val="single" w:color="auto" w:sz="8" w:space="0"/>
              <w:right w:val="single" w:color="auto" w:sz="4" w:space="0"/>
            </w:tcBorders>
            <w:shd w:val="clear" w:color="auto" w:fill="C0C0C0"/>
            <w:noWrap/>
            <w:vAlign w:val="center"/>
          </w:tcPr>
          <w:p>
            <w:pPr>
              <w:widowControl/>
              <w:adjustRightInd w:val="0"/>
              <w:spacing w:line="360" w:lineRule="auto"/>
              <w:jc w:val="center"/>
              <w:textAlignment w:val="baseline"/>
              <w:rPr>
                <w:rFonts w:ascii="仿宋" w:hAnsi="仿宋" w:eastAsia="仿宋" w:cs="仿宋"/>
                <w:b/>
                <w:color w:val="auto"/>
                <w:kern w:val="0"/>
                <w:sz w:val="22"/>
                <w:szCs w:val="21"/>
              </w:rPr>
            </w:pPr>
            <w:r>
              <w:rPr>
                <w:rFonts w:hint="eastAsia" w:ascii="仿宋" w:hAnsi="仿宋" w:eastAsia="仿宋" w:cs="仿宋"/>
                <w:b/>
                <w:color w:val="auto"/>
                <w:kern w:val="0"/>
                <w:sz w:val="22"/>
                <w:szCs w:val="21"/>
              </w:rPr>
              <w:t>技术参数</w:t>
            </w:r>
          </w:p>
        </w:tc>
        <w:tc>
          <w:tcPr>
            <w:tcW w:w="5670" w:type="dxa"/>
            <w:tcBorders>
              <w:top w:val="single" w:color="auto" w:sz="8" w:space="0"/>
              <w:left w:val="nil"/>
              <w:bottom w:val="single" w:color="auto" w:sz="8" w:space="0"/>
              <w:right w:val="single" w:color="auto" w:sz="4" w:space="0"/>
            </w:tcBorders>
            <w:shd w:val="clear" w:color="auto" w:fill="C0C0C0"/>
            <w:noWrap/>
            <w:vAlign w:val="center"/>
          </w:tcPr>
          <w:p>
            <w:pPr>
              <w:widowControl/>
              <w:adjustRightInd w:val="0"/>
              <w:spacing w:line="360" w:lineRule="auto"/>
              <w:jc w:val="center"/>
              <w:textAlignment w:val="baseline"/>
              <w:rPr>
                <w:rFonts w:ascii="仿宋" w:hAnsi="仿宋" w:eastAsia="仿宋" w:cs="仿宋"/>
                <w:b/>
                <w:color w:val="auto"/>
                <w:kern w:val="0"/>
                <w:sz w:val="22"/>
                <w:szCs w:val="21"/>
              </w:rPr>
            </w:pPr>
            <w:r>
              <w:rPr>
                <w:rFonts w:hint="eastAsia" w:ascii="仿宋" w:hAnsi="仿宋" w:eastAsia="仿宋" w:cs="仿宋"/>
                <w:b/>
                <w:color w:val="auto"/>
                <w:kern w:val="0"/>
                <w:sz w:val="22"/>
                <w:szCs w:val="21"/>
              </w:rPr>
              <w:t>指标和性能</w:t>
            </w:r>
          </w:p>
        </w:tc>
      </w:tr>
      <w:tr>
        <w:tblPrEx>
          <w:tblCellMar>
            <w:top w:w="0" w:type="dxa"/>
            <w:left w:w="108" w:type="dxa"/>
            <w:bottom w:w="0" w:type="dxa"/>
            <w:right w:w="108" w:type="dxa"/>
          </w:tblCellMar>
        </w:tblPrEx>
        <w:trPr>
          <w:trHeight w:val="405" w:hRule="atLeast"/>
          <w:jc w:val="center"/>
        </w:trPr>
        <w:tc>
          <w:tcPr>
            <w:tcW w:w="870" w:type="dxa"/>
            <w:tcBorders>
              <w:top w:val="single" w:color="auto" w:sz="8" w:space="0"/>
              <w:left w:val="single" w:color="auto" w:sz="8" w:space="0"/>
              <w:bottom w:val="single" w:color="auto" w:sz="4" w:space="0"/>
              <w:right w:val="single" w:color="auto" w:sz="4" w:space="0"/>
            </w:tcBorders>
            <w:shd w:val="clear" w:color="auto" w:fill="FFFFFF"/>
            <w:noWrap/>
            <w:vAlign w:val="center"/>
          </w:tcPr>
          <w:p>
            <w:pPr>
              <w:widowControl/>
              <w:adjustRightInd w:val="0"/>
              <w:spacing w:line="360" w:lineRule="auto"/>
              <w:jc w:val="center"/>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1</w:t>
            </w:r>
          </w:p>
        </w:tc>
        <w:tc>
          <w:tcPr>
            <w:tcW w:w="1792" w:type="dxa"/>
            <w:tcBorders>
              <w:top w:val="single" w:color="auto" w:sz="8" w:space="0"/>
              <w:left w:val="nil"/>
              <w:bottom w:val="single" w:color="auto" w:sz="4" w:space="0"/>
              <w:right w:val="single" w:color="auto" w:sz="4" w:space="0"/>
            </w:tcBorders>
            <w:shd w:val="clear" w:color="auto" w:fill="FFFFFF"/>
            <w:noWrap/>
            <w:vAlign w:val="center"/>
          </w:tcPr>
          <w:p>
            <w:pPr>
              <w:widowControl/>
              <w:adjustRightInd w:val="0"/>
              <w:spacing w:line="360" w:lineRule="auto"/>
              <w:jc w:val="center"/>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产品形态</w:t>
            </w:r>
          </w:p>
        </w:tc>
        <w:tc>
          <w:tcPr>
            <w:tcW w:w="5670" w:type="dxa"/>
            <w:tcBorders>
              <w:top w:val="single" w:color="auto" w:sz="8" w:space="0"/>
              <w:left w:val="nil"/>
              <w:bottom w:val="single" w:color="auto" w:sz="4" w:space="0"/>
              <w:right w:val="single" w:color="auto" w:sz="4" w:space="0"/>
            </w:tcBorders>
            <w:shd w:val="clear" w:color="auto" w:fill="FFFFFF"/>
            <w:noWrap/>
            <w:vAlign w:val="center"/>
          </w:tcPr>
          <w:p>
            <w:pPr>
              <w:widowControl/>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硬件</w:t>
            </w:r>
          </w:p>
        </w:tc>
      </w:tr>
      <w:tr>
        <w:tblPrEx>
          <w:tblCellMar>
            <w:top w:w="0" w:type="dxa"/>
            <w:left w:w="108" w:type="dxa"/>
            <w:bottom w:w="0" w:type="dxa"/>
            <w:right w:w="108" w:type="dxa"/>
          </w:tblCellMar>
        </w:tblPrEx>
        <w:trPr>
          <w:trHeight w:val="405" w:hRule="atLeast"/>
          <w:jc w:val="center"/>
        </w:trPr>
        <w:tc>
          <w:tcPr>
            <w:tcW w:w="870" w:type="dxa"/>
            <w:tcBorders>
              <w:top w:val="single" w:color="auto" w:sz="8" w:space="0"/>
              <w:left w:val="single" w:color="auto" w:sz="8" w:space="0"/>
              <w:bottom w:val="single" w:color="auto" w:sz="4" w:space="0"/>
              <w:right w:val="single" w:color="auto" w:sz="4" w:space="0"/>
            </w:tcBorders>
            <w:shd w:val="clear" w:color="auto" w:fill="FFFFFF"/>
            <w:noWrap/>
            <w:vAlign w:val="center"/>
          </w:tcPr>
          <w:p>
            <w:pPr>
              <w:widowControl/>
              <w:adjustRightInd w:val="0"/>
              <w:spacing w:line="360" w:lineRule="auto"/>
              <w:jc w:val="center"/>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2</w:t>
            </w:r>
          </w:p>
        </w:tc>
        <w:tc>
          <w:tcPr>
            <w:tcW w:w="1792" w:type="dxa"/>
            <w:tcBorders>
              <w:top w:val="single" w:color="auto" w:sz="8" w:space="0"/>
              <w:left w:val="nil"/>
              <w:bottom w:val="single" w:color="auto" w:sz="4" w:space="0"/>
              <w:right w:val="single" w:color="auto" w:sz="4" w:space="0"/>
            </w:tcBorders>
            <w:shd w:val="clear" w:color="auto" w:fill="FFFFFF"/>
            <w:noWrap/>
            <w:vAlign w:val="center"/>
          </w:tcPr>
          <w:p>
            <w:pPr>
              <w:widowControl/>
              <w:adjustRightInd w:val="0"/>
              <w:spacing w:line="360" w:lineRule="auto"/>
              <w:jc w:val="center"/>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数量</w:t>
            </w:r>
          </w:p>
        </w:tc>
        <w:tc>
          <w:tcPr>
            <w:tcW w:w="5670" w:type="dxa"/>
            <w:tcBorders>
              <w:top w:val="single" w:color="auto" w:sz="8" w:space="0"/>
              <w:left w:val="nil"/>
              <w:bottom w:val="single" w:color="auto" w:sz="4" w:space="0"/>
              <w:right w:val="single" w:color="auto" w:sz="4" w:space="0"/>
            </w:tcBorders>
            <w:shd w:val="clear" w:color="auto" w:fill="FFFFFF"/>
            <w:noWrap/>
            <w:vAlign w:val="center"/>
          </w:tcPr>
          <w:p>
            <w:pPr>
              <w:widowControl/>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2台</w:t>
            </w:r>
          </w:p>
        </w:tc>
      </w:tr>
      <w:tr>
        <w:tblPrEx>
          <w:tblCellMar>
            <w:top w:w="0" w:type="dxa"/>
            <w:left w:w="108" w:type="dxa"/>
            <w:bottom w:w="0" w:type="dxa"/>
            <w:right w:w="108" w:type="dxa"/>
          </w:tblCellMar>
        </w:tblPrEx>
        <w:trPr>
          <w:trHeight w:val="405" w:hRule="atLeast"/>
          <w:jc w:val="center"/>
        </w:trPr>
        <w:tc>
          <w:tcPr>
            <w:tcW w:w="870" w:type="dxa"/>
            <w:tcBorders>
              <w:top w:val="single" w:color="auto" w:sz="8" w:space="0"/>
              <w:left w:val="single" w:color="auto" w:sz="8" w:space="0"/>
              <w:bottom w:val="single" w:color="auto" w:sz="4" w:space="0"/>
              <w:right w:val="single" w:color="auto" w:sz="4" w:space="0"/>
            </w:tcBorders>
            <w:shd w:val="clear" w:color="auto" w:fill="FFFFFF"/>
            <w:noWrap/>
            <w:vAlign w:val="center"/>
          </w:tcPr>
          <w:p>
            <w:pPr>
              <w:widowControl/>
              <w:adjustRightInd w:val="0"/>
              <w:spacing w:line="360" w:lineRule="auto"/>
              <w:jc w:val="center"/>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3</w:t>
            </w:r>
          </w:p>
        </w:tc>
        <w:tc>
          <w:tcPr>
            <w:tcW w:w="1792" w:type="dxa"/>
            <w:tcBorders>
              <w:top w:val="single" w:color="auto" w:sz="8" w:space="0"/>
              <w:left w:val="nil"/>
              <w:bottom w:val="single" w:color="auto" w:sz="4" w:space="0"/>
              <w:right w:val="single" w:color="auto" w:sz="4" w:space="0"/>
            </w:tcBorders>
            <w:shd w:val="clear" w:color="auto" w:fill="FFFFFF"/>
            <w:noWrap/>
            <w:vAlign w:val="center"/>
          </w:tcPr>
          <w:p>
            <w:pPr>
              <w:adjustRightInd w:val="0"/>
              <w:spacing w:line="360" w:lineRule="auto"/>
              <w:jc w:val="center"/>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功能要求</w:t>
            </w:r>
          </w:p>
        </w:tc>
        <w:tc>
          <w:tcPr>
            <w:tcW w:w="5670" w:type="dxa"/>
            <w:tcBorders>
              <w:top w:val="single" w:color="auto" w:sz="8" w:space="0"/>
              <w:left w:val="nil"/>
              <w:bottom w:val="single" w:color="auto" w:sz="4" w:space="0"/>
              <w:right w:val="single" w:color="auto" w:sz="4" w:space="0"/>
            </w:tcBorders>
            <w:shd w:val="clear" w:color="auto" w:fill="FFFFFF"/>
            <w:noWrap/>
            <w:vAlign w:val="center"/>
          </w:tcPr>
          <w:p>
            <w:pPr>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（1）构架在身份认证系统和授权管理系统基础之上。</w:t>
            </w:r>
            <w:r>
              <w:rPr>
                <w:rFonts w:hint="eastAsia" w:ascii="仿宋" w:hAnsi="仿宋" w:eastAsia="仿宋" w:cs="仿宋"/>
                <w:color w:val="auto"/>
                <w:kern w:val="0"/>
                <w:sz w:val="24"/>
                <w:szCs w:val="21"/>
              </w:rPr>
              <w:br w:type="textWrapping"/>
            </w:r>
            <w:r>
              <w:rPr>
                <w:rFonts w:hint="eastAsia" w:ascii="仿宋" w:hAnsi="仿宋" w:eastAsia="仿宋" w:cs="仿宋"/>
                <w:color w:val="auto"/>
                <w:kern w:val="0"/>
                <w:sz w:val="24"/>
                <w:szCs w:val="21"/>
              </w:rPr>
              <w:t xml:space="preserve">  （2）服务的管理基于B/S。</w:t>
            </w:r>
            <w:r>
              <w:rPr>
                <w:rFonts w:hint="eastAsia" w:ascii="仿宋" w:hAnsi="仿宋" w:eastAsia="仿宋" w:cs="仿宋"/>
                <w:color w:val="auto"/>
                <w:kern w:val="0"/>
                <w:sz w:val="24"/>
                <w:szCs w:val="21"/>
              </w:rPr>
              <w:br w:type="textWrapping"/>
            </w:r>
            <w:r>
              <w:rPr>
                <w:rFonts w:hint="eastAsia" w:ascii="仿宋" w:hAnsi="仿宋" w:eastAsia="仿宋" w:cs="仿宋"/>
                <w:color w:val="auto"/>
                <w:kern w:val="0"/>
                <w:sz w:val="24"/>
                <w:szCs w:val="21"/>
              </w:rPr>
              <w:t xml:space="preserve">  （3）遵循国家医疗保障局统一的应用接入在身份层面的标准要求。</w:t>
            </w:r>
            <w:r>
              <w:rPr>
                <w:rFonts w:hint="eastAsia" w:ascii="仿宋" w:hAnsi="仿宋" w:eastAsia="仿宋" w:cs="仿宋"/>
                <w:color w:val="auto"/>
                <w:kern w:val="0"/>
                <w:sz w:val="24"/>
                <w:szCs w:val="21"/>
              </w:rPr>
              <w:br w:type="textWrapping"/>
            </w:r>
            <w:r>
              <w:rPr>
                <w:rFonts w:hint="eastAsia" w:ascii="仿宋" w:hAnsi="仿宋" w:eastAsia="仿宋" w:cs="仿宋"/>
                <w:color w:val="auto"/>
                <w:kern w:val="0"/>
                <w:sz w:val="24"/>
                <w:szCs w:val="21"/>
              </w:rPr>
              <w:t xml:space="preserve">  （4）兼容多样的应用模式（C/S、B/S等），对功能无任何影响。</w:t>
            </w:r>
            <w:r>
              <w:rPr>
                <w:rFonts w:hint="eastAsia" w:ascii="仿宋" w:hAnsi="仿宋" w:eastAsia="仿宋" w:cs="仿宋"/>
                <w:color w:val="auto"/>
                <w:kern w:val="0"/>
                <w:sz w:val="24"/>
                <w:szCs w:val="21"/>
              </w:rPr>
              <w:br w:type="textWrapping"/>
            </w:r>
            <w:r>
              <w:rPr>
                <w:rFonts w:hint="eastAsia" w:ascii="仿宋" w:hAnsi="仿宋" w:eastAsia="仿宋" w:cs="仿宋"/>
                <w:color w:val="auto"/>
                <w:kern w:val="0"/>
                <w:sz w:val="24"/>
                <w:szCs w:val="21"/>
              </w:rPr>
              <w:t xml:space="preserve">  （5）提供旁路的认证方案。</w:t>
            </w:r>
            <w:r>
              <w:rPr>
                <w:rFonts w:hint="eastAsia" w:ascii="仿宋" w:hAnsi="仿宋" w:eastAsia="仿宋" w:cs="仿宋"/>
                <w:color w:val="auto"/>
                <w:kern w:val="0"/>
                <w:sz w:val="24"/>
                <w:szCs w:val="21"/>
              </w:rPr>
              <w:br w:type="textWrapping"/>
            </w:r>
            <w:r>
              <w:rPr>
                <w:rFonts w:hint="eastAsia" w:ascii="仿宋" w:hAnsi="仿宋" w:eastAsia="仿宋" w:cs="仿宋"/>
                <w:color w:val="auto"/>
                <w:kern w:val="0"/>
                <w:sz w:val="24"/>
                <w:szCs w:val="21"/>
              </w:rPr>
              <w:t xml:space="preserve">  （6）支持多证书链管理。</w:t>
            </w:r>
            <w:r>
              <w:rPr>
                <w:rFonts w:hint="eastAsia" w:ascii="仿宋" w:hAnsi="仿宋" w:eastAsia="仿宋" w:cs="仿宋"/>
                <w:color w:val="auto"/>
                <w:kern w:val="0"/>
                <w:sz w:val="24"/>
                <w:szCs w:val="21"/>
              </w:rPr>
              <w:br w:type="textWrapping"/>
            </w:r>
            <w:r>
              <w:rPr>
                <w:rFonts w:hint="eastAsia" w:ascii="仿宋" w:hAnsi="仿宋" w:eastAsia="仿宋" w:cs="仿宋"/>
                <w:color w:val="auto"/>
                <w:kern w:val="0"/>
                <w:sz w:val="24"/>
                <w:szCs w:val="21"/>
              </w:rPr>
              <w:t xml:space="preserve">  （7）会话周期可以管理。</w:t>
            </w:r>
            <w:r>
              <w:rPr>
                <w:rFonts w:hint="eastAsia" w:ascii="仿宋" w:hAnsi="仿宋" w:eastAsia="仿宋" w:cs="仿宋"/>
                <w:color w:val="auto"/>
                <w:kern w:val="0"/>
                <w:sz w:val="24"/>
                <w:szCs w:val="21"/>
              </w:rPr>
              <w:br w:type="textWrapping"/>
            </w:r>
            <w:r>
              <w:rPr>
                <w:rFonts w:hint="eastAsia" w:ascii="仿宋" w:hAnsi="仿宋" w:eastAsia="仿宋" w:cs="仿宋"/>
                <w:color w:val="auto"/>
                <w:kern w:val="0"/>
                <w:sz w:val="24"/>
                <w:szCs w:val="21"/>
              </w:rPr>
              <w:t xml:space="preserve">  （8）支持SM2算法。</w:t>
            </w:r>
          </w:p>
          <w:p>
            <w:pPr>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（9）支持GB/T 20518格式的数字证书；</w:t>
            </w:r>
          </w:p>
          <w:p>
            <w:pPr>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（10）采用HTTP标准协议、XML数据格式与其他相关产品和应用系统交互，无缝衔接；</w:t>
            </w:r>
          </w:p>
          <w:p>
            <w:pPr>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（11）支持三员分立，管理员的安全登录及超时的自动注销；</w:t>
            </w:r>
          </w:p>
          <w:p>
            <w:pPr>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（12）具备严格的认证日志存储及查询机制，日志支持以syslog方式向第三方审计服务器发送；</w:t>
            </w:r>
          </w:p>
          <w:p>
            <w:pPr>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（13）支持以LDAP、WEB等多种方式下载CRL，并能根据最新的CRL对证书进行有效性校验；</w:t>
            </w:r>
          </w:p>
          <w:p>
            <w:pPr>
              <w:adjustRightInd w:val="0"/>
              <w:spacing w:line="360" w:lineRule="auto"/>
              <w:jc w:val="left"/>
              <w:textAlignment w:val="baseline"/>
              <w:rPr>
                <w:rFonts w:ascii="仿宋" w:hAnsi="仿宋" w:eastAsia="仿宋" w:cs="仿宋"/>
                <w:color w:val="auto"/>
                <w:kern w:val="0"/>
                <w:sz w:val="24"/>
                <w:szCs w:val="21"/>
              </w:rPr>
            </w:pPr>
          </w:p>
        </w:tc>
      </w:tr>
      <w:tr>
        <w:tblPrEx>
          <w:tblCellMar>
            <w:top w:w="0" w:type="dxa"/>
            <w:left w:w="108" w:type="dxa"/>
            <w:bottom w:w="0" w:type="dxa"/>
            <w:right w:w="108" w:type="dxa"/>
          </w:tblCellMar>
        </w:tblPrEx>
        <w:trPr>
          <w:trHeight w:val="405" w:hRule="atLeast"/>
          <w:jc w:val="center"/>
        </w:trPr>
        <w:tc>
          <w:tcPr>
            <w:tcW w:w="870" w:type="dxa"/>
            <w:tcBorders>
              <w:top w:val="single" w:color="auto" w:sz="8" w:space="0"/>
              <w:left w:val="single" w:color="auto" w:sz="8" w:space="0"/>
              <w:bottom w:val="single" w:color="auto" w:sz="4" w:space="0"/>
              <w:right w:val="single" w:color="auto" w:sz="4" w:space="0"/>
            </w:tcBorders>
            <w:shd w:val="clear" w:color="auto" w:fill="FFFFFF"/>
            <w:noWrap/>
            <w:vAlign w:val="center"/>
          </w:tcPr>
          <w:p>
            <w:pPr>
              <w:widowControl/>
              <w:adjustRightInd w:val="0"/>
              <w:spacing w:line="360" w:lineRule="auto"/>
              <w:jc w:val="center"/>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4</w:t>
            </w:r>
          </w:p>
        </w:tc>
        <w:tc>
          <w:tcPr>
            <w:tcW w:w="1792" w:type="dxa"/>
            <w:tcBorders>
              <w:top w:val="single" w:color="auto" w:sz="8" w:space="0"/>
              <w:left w:val="nil"/>
              <w:bottom w:val="single" w:color="auto" w:sz="4" w:space="0"/>
              <w:right w:val="single" w:color="auto" w:sz="4" w:space="0"/>
            </w:tcBorders>
            <w:shd w:val="clear" w:color="auto" w:fill="FFFFFF"/>
            <w:noWrap/>
            <w:vAlign w:val="center"/>
          </w:tcPr>
          <w:p>
            <w:pPr>
              <w:adjustRightInd w:val="0"/>
              <w:spacing w:line="360" w:lineRule="auto"/>
              <w:jc w:val="center"/>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性能要求</w:t>
            </w:r>
          </w:p>
        </w:tc>
        <w:tc>
          <w:tcPr>
            <w:tcW w:w="5670" w:type="dxa"/>
            <w:tcBorders>
              <w:top w:val="single" w:color="auto" w:sz="8" w:space="0"/>
              <w:left w:val="nil"/>
              <w:bottom w:val="single" w:color="auto" w:sz="4" w:space="0"/>
              <w:right w:val="single" w:color="auto" w:sz="4" w:space="0"/>
            </w:tcBorders>
            <w:shd w:val="clear" w:color="auto" w:fill="FFFFFF"/>
            <w:noWrap/>
            <w:vAlign w:val="center"/>
          </w:tcPr>
          <w:p>
            <w:pPr>
              <w:adjustRightInd w:val="0"/>
              <w:spacing w:line="360" w:lineRule="auto"/>
              <w:jc w:val="left"/>
              <w:textAlignment w:val="baseline"/>
              <w:rPr>
                <w:rFonts w:ascii="仿宋" w:hAnsi="仿宋" w:eastAsia="仿宋" w:cs="仿宋"/>
                <w:color w:val="auto"/>
                <w:kern w:val="0"/>
                <w:sz w:val="24"/>
                <w:szCs w:val="21"/>
              </w:rPr>
            </w:pPr>
            <w:bookmarkStart w:id="742" w:name="_Hlk40867627"/>
            <w:r>
              <w:rPr>
                <w:rFonts w:hint="eastAsia" w:ascii="仿宋" w:hAnsi="仿宋" w:eastAsia="仿宋" w:cs="仿宋"/>
                <w:color w:val="auto"/>
                <w:kern w:val="0"/>
                <w:sz w:val="24"/>
                <w:szCs w:val="21"/>
              </w:rPr>
              <w:t>（1）SM2算法用户认证速度不低于5000次/秒。</w:t>
            </w:r>
            <w:bookmarkEnd w:id="742"/>
          </w:p>
          <w:p>
            <w:pPr>
              <w:adjustRightInd w:val="0"/>
              <w:spacing w:line="360" w:lineRule="auto"/>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（2）平均响应时间</w:t>
            </w:r>
            <w:r>
              <w:rPr>
                <w:rFonts w:hint="eastAsia" w:ascii="仿宋" w:hAnsi="仿宋" w:eastAsia="仿宋" w:cs="仿宋"/>
                <w:color w:val="auto"/>
                <w:kern w:val="0"/>
                <w:sz w:val="24"/>
                <w:szCs w:val="20"/>
              </w:rPr>
              <w:t>&lt; 1秒。</w:t>
            </w:r>
          </w:p>
        </w:tc>
      </w:tr>
    </w:tbl>
    <w:p>
      <w:pPr>
        <w:adjustRightInd w:val="0"/>
        <w:spacing w:line="360" w:lineRule="auto"/>
        <w:jc w:val="left"/>
        <w:rPr>
          <w:rFonts w:ascii="仿宋" w:hAnsi="仿宋" w:eastAsia="仿宋" w:cs="仿宋"/>
          <w:bCs/>
          <w:color w:val="auto"/>
          <w:sz w:val="24"/>
          <w:szCs w:val="28"/>
        </w:rPr>
      </w:pPr>
    </w:p>
    <w:p>
      <w:pPr>
        <w:autoSpaceDE w:val="0"/>
        <w:autoSpaceDN w:val="0"/>
        <w:adjustRightInd w:val="0"/>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4.7 用户注册与管理授权系统</w:t>
      </w:r>
    </w:p>
    <w:p>
      <w:pPr>
        <w:adjustRightInd w:val="0"/>
        <w:spacing w:line="360" w:lineRule="auto"/>
        <w:ind w:firstLine="482" w:firstLineChars="200"/>
        <w:textAlignment w:val="baseline"/>
        <w:rPr>
          <w:rFonts w:ascii="仿宋" w:hAnsi="仿宋" w:eastAsia="仿宋" w:cs="仿宋"/>
          <w:b/>
          <w:bCs/>
          <w:color w:val="auto"/>
          <w:kern w:val="0"/>
          <w:sz w:val="24"/>
        </w:rPr>
      </w:pPr>
      <w:r>
        <w:rPr>
          <w:rFonts w:hint="eastAsia" w:ascii="仿宋" w:hAnsi="仿宋" w:eastAsia="仿宋" w:cs="仿宋"/>
          <w:b/>
          <w:bCs/>
          <w:color w:val="auto"/>
          <w:kern w:val="0"/>
          <w:sz w:val="24"/>
        </w:rPr>
        <w:t>（1）授权服务衔接要求</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能够为业务系统提供访问接口，实现权限控制。</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能够为电子签章系统提供访问接口，实现印章管理控制。</w:t>
      </w:r>
    </w:p>
    <w:p>
      <w:pPr>
        <w:adjustRightInd w:val="0"/>
        <w:spacing w:line="360" w:lineRule="auto"/>
        <w:ind w:firstLine="482" w:firstLineChars="200"/>
        <w:textAlignment w:val="baseline"/>
        <w:rPr>
          <w:rFonts w:ascii="仿宋" w:hAnsi="仿宋" w:eastAsia="仿宋" w:cs="仿宋"/>
          <w:b/>
          <w:bCs/>
          <w:color w:val="auto"/>
          <w:kern w:val="0"/>
          <w:sz w:val="24"/>
        </w:rPr>
      </w:pPr>
      <w:r>
        <w:rPr>
          <w:rFonts w:hint="eastAsia" w:ascii="仿宋" w:hAnsi="仿宋" w:eastAsia="仿宋" w:cs="仿宋"/>
          <w:b/>
          <w:bCs/>
          <w:color w:val="auto"/>
          <w:kern w:val="0"/>
          <w:sz w:val="24"/>
        </w:rPr>
        <w:t>（2）用户注册功能需求：</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支持机构管理：包括创建或同步、增、删、改、查基本管理功能。</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支持用户管理：包括增、删、改、查基本管理功能。</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支持与授权服务结合，配合移动终端进行管理。</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支持基于移动端的登录、增加、修改、删除、查询等基本功能。</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支持管理端WEB方式管理。</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支持签名验签服务。</w:t>
      </w:r>
    </w:p>
    <w:p>
      <w:pPr>
        <w:adjustRightInd w:val="0"/>
        <w:spacing w:line="360" w:lineRule="auto"/>
        <w:ind w:firstLine="482" w:firstLineChars="200"/>
        <w:textAlignment w:val="baseline"/>
        <w:rPr>
          <w:rFonts w:ascii="仿宋" w:hAnsi="仿宋" w:eastAsia="仿宋" w:cs="仿宋"/>
          <w:b/>
          <w:bCs/>
          <w:color w:val="auto"/>
          <w:kern w:val="0"/>
          <w:sz w:val="24"/>
        </w:rPr>
      </w:pPr>
      <w:r>
        <w:rPr>
          <w:rFonts w:hint="eastAsia" w:ascii="仿宋" w:hAnsi="仿宋" w:eastAsia="仿宋" w:cs="仿宋"/>
          <w:b/>
          <w:bCs/>
          <w:color w:val="auto"/>
          <w:kern w:val="0"/>
          <w:sz w:val="24"/>
        </w:rPr>
        <w:t>（3）授权功能需求</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基于机构的权限管理配置，能够为每个机构设置法人、代办人、经办人等角色；</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基于机构范围内的人员权限管理；</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基于机构范围的印章使用权限设置；</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支持签名验签服务。</w:t>
      </w:r>
    </w:p>
    <w:p>
      <w:pPr>
        <w:adjustRightInd w:val="0"/>
        <w:spacing w:line="360" w:lineRule="auto"/>
        <w:ind w:firstLine="482" w:firstLineChars="200"/>
        <w:textAlignment w:val="baseline"/>
        <w:rPr>
          <w:rFonts w:ascii="仿宋" w:hAnsi="仿宋" w:eastAsia="仿宋" w:cs="仿宋"/>
          <w:b/>
          <w:bCs/>
          <w:color w:val="auto"/>
          <w:kern w:val="0"/>
          <w:sz w:val="24"/>
        </w:rPr>
      </w:pPr>
      <w:r>
        <w:rPr>
          <w:rFonts w:hint="eastAsia" w:ascii="仿宋" w:hAnsi="仿宋" w:eastAsia="仿宋" w:cs="仿宋"/>
          <w:b/>
          <w:bCs/>
          <w:color w:val="auto"/>
          <w:kern w:val="0"/>
          <w:sz w:val="24"/>
        </w:rPr>
        <w:t>（4）用户注册性能要求</w:t>
      </w:r>
    </w:p>
    <w:p>
      <w:pPr>
        <w:adjustRightInd w:val="0"/>
        <w:spacing w:line="360" w:lineRule="auto"/>
        <w:ind w:firstLine="480" w:firstLineChars="200"/>
        <w:textAlignment w:val="baseline"/>
        <w:rPr>
          <w:rFonts w:ascii="仿宋" w:hAnsi="仿宋" w:eastAsia="仿宋" w:cs="仿宋"/>
          <w:snapToGrid w:val="0"/>
          <w:color w:val="auto"/>
          <w:kern w:val="0"/>
          <w:sz w:val="24"/>
        </w:rPr>
      </w:pPr>
      <w:r>
        <w:rPr>
          <w:rFonts w:hint="eastAsia" w:ascii="仿宋" w:hAnsi="仿宋" w:eastAsia="仿宋" w:cs="仿宋"/>
          <w:snapToGrid w:val="0"/>
          <w:color w:val="auto"/>
          <w:kern w:val="0"/>
          <w:sz w:val="24"/>
        </w:rPr>
        <w:t>能够支持千万级的用户管理。</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snapToGrid w:val="0"/>
          <w:color w:val="auto"/>
          <w:kern w:val="0"/>
          <w:sz w:val="24"/>
        </w:rPr>
        <w:t>能够支持3000并发访问能力。</w:t>
      </w:r>
    </w:p>
    <w:p>
      <w:pPr>
        <w:adjustRightInd w:val="0"/>
        <w:spacing w:line="360" w:lineRule="auto"/>
        <w:ind w:firstLine="482" w:firstLineChars="200"/>
        <w:textAlignment w:val="baseline"/>
        <w:rPr>
          <w:rFonts w:ascii="仿宋" w:hAnsi="仿宋" w:eastAsia="仿宋" w:cs="仿宋"/>
          <w:b/>
          <w:bCs/>
          <w:color w:val="auto"/>
          <w:kern w:val="0"/>
          <w:sz w:val="24"/>
        </w:rPr>
      </w:pPr>
      <w:r>
        <w:rPr>
          <w:rFonts w:hint="eastAsia" w:ascii="仿宋" w:hAnsi="仿宋" w:eastAsia="仿宋" w:cs="仿宋"/>
          <w:b/>
          <w:bCs/>
          <w:color w:val="auto"/>
          <w:kern w:val="0"/>
          <w:sz w:val="24"/>
        </w:rPr>
        <w:t>（5）权限管理性能要求</w:t>
      </w:r>
    </w:p>
    <w:p>
      <w:pPr>
        <w:adjustRightInd w:val="0"/>
        <w:spacing w:line="360" w:lineRule="auto"/>
        <w:ind w:firstLine="480" w:firstLineChars="200"/>
        <w:textAlignment w:val="baseline"/>
        <w:rPr>
          <w:rFonts w:ascii="仿宋" w:hAnsi="仿宋" w:eastAsia="仿宋" w:cs="仿宋"/>
          <w:snapToGrid w:val="0"/>
          <w:color w:val="auto"/>
          <w:kern w:val="0"/>
          <w:sz w:val="24"/>
        </w:rPr>
      </w:pPr>
      <w:r>
        <w:rPr>
          <w:rFonts w:hint="eastAsia" w:ascii="仿宋" w:hAnsi="仿宋" w:eastAsia="仿宋" w:cs="仿宋"/>
          <w:snapToGrid w:val="0"/>
          <w:color w:val="auto"/>
          <w:kern w:val="0"/>
          <w:sz w:val="24"/>
        </w:rPr>
        <w:t>能够支持100万级的机构管理。</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snapToGrid w:val="0"/>
          <w:color w:val="auto"/>
          <w:kern w:val="0"/>
          <w:sz w:val="24"/>
        </w:rPr>
        <w:t>能够支持100个业务系统并发访问。</w:t>
      </w:r>
    </w:p>
    <w:p>
      <w:pPr>
        <w:adjustRightInd w:val="0"/>
        <w:spacing w:line="360" w:lineRule="auto"/>
        <w:ind w:firstLine="480" w:firstLineChars="200"/>
        <w:textAlignment w:val="baseline"/>
        <w:rPr>
          <w:rFonts w:ascii="仿宋" w:hAnsi="仿宋" w:eastAsia="仿宋" w:cs="仿宋"/>
          <w:color w:val="auto"/>
          <w:kern w:val="0"/>
          <w:sz w:val="24"/>
          <w:szCs w:val="20"/>
        </w:rPr>
      </w:pPr>
      <w:r>
        <w:rPr>
          <w:rFonts w:hint="eastAsia" w:ascii="仿宋" w:hAnsi="仿宋" w:eastAsia="仿宋" w:cs="仿宋"/>
          <w:color w:val="auto"/>
          <w:kern w:val="0"/>
          <w:sz w:val="24"/>
          <w:szCs w:val="20"/>
        </w:rPr>
        <w:t>权限判别响应能力1000次/秒。</w:t>
      </w:r>
    </w:p>
    <w:p>
      <w:pPr>
        <w:autoSpaceDE w:val="0"/>
        <w:autoSpaceDN w:val="0"/>
        <w:adjustRightInd w:val="0"/>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4.8 身份认证模块</w:t>
      </w:r>
    </w:p>
    <w:p>
      <w:pPr>
        <w:autoSpaceDE w:val="0"/>
        <w:autoSpaceDN w:val="0"/>
        <w:adjustRightInd w:val="0"/>
        <w:spacing w:line="360" w:lineRule="auto"/>
        <w:ind w:firstLine="480" w:firstLineChars="2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身份认证模块为参保人和参保单位提供数字证书申请管理及身份认证服务。采用权威可信的第三发CA机构进行数字证书签发，数字证书支持国产标准算法，格式符合GB/T 20518《信息安全技术 公钥基础设施 数字证书格式》。</w:t>
      </w:r>
    </w:p>
    <w:p>
      <w:pPr>
        <w:autoSpaceDE w:val="0"/>
        <w:autoSpaceDN w:val="0"/>
        <w:adjustRightInd w:val="0"/>
        <w:spacing w:line="360" w:lineRule="auto"/>
        <w:ind w:firstLine="482" w:firstLineChars="200"/>
        <w:jc w:val="left"/>
        <w:textAlignment w:val="baseline"/>
        <w:rPr>
          <w:rFonts w:ascii="仿宋" w:hAnsi="仿宋" w:eastAsia="仿宋" w:cs="仿宋"/>
          <w:b/>
          <w:bCs/>
          <w:color w:val="auto"/>
          <w:kern w:val="0"/>
          <w:sz w:val="24"/>
        </w:rPr>
      </w:pPr>
      <w:r>
        <w:rPr>
          <w:rFonts w:hint="eastAsia" w:ascii="仿宋" w:hAnsi="仿宋" w:eastAsia="仿宋" w:cs="仿宋"/>
          <w:b/>
          <w:bCs/>
          <w:color w:val="auto"/>
          <w:kern w:val="0"/>
          <w:sz w:val="24"/>
        </w:rPr>
        <w:t>（1）在线资料收集平台（数字证书在线申请系统）功能如下：</w:t>
      </w:r>
    </w:p>
    <w:p>
      <w:pPr>
        <w:numPr>
          <w:ilvl w:val="0"/>
          <w:numId w:val="88"/>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平台为第三方CA机构的业务平台，为用户提供全面的线上证书办理业务。平台通过互联网接收、审核、查验参保人及参保单位提交的资料正确性、合法性和有效性；</w:t>
      </w:r>
    </w:p>
    <w:p>
      <w:pPr>
        <w:numPr>
          <w:ilvl w:val="0"/>
          <w:numId w:val="88"/>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支持用户通过电脑、手机在线提交证书申请材料，并及时获取申请审核进度，实现全线上证书办理与下载；</w:t>
      </w:r>
    </w:p>
    <w:p>
      <w:pPr>
        <w:numPr>
          <w:ilvl w:val="0"/>
          <w:numId w:val="88"/>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提供数字证书全生命周期服务，包括数字证书申请、发放、更新等服务内容，方便注册授权用户及时获取证书服务，支持千万数字证书的发放；</w:t>
      </w:r>
    </w:p>
    <w:p>
      <w:pPr>
        <w:numPr>
          <w:ilvl w:val="0"/>
          <w:numId w:val="88"/>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具备对数字证书发放情况、证书状态等情况进行查询、统计功能，满足日常管理需要。</w:t>
      </w:r>
    </w:p>
    <w:p>
      <w:pPr>
        <w:autoSpaceDE w:val="0"/>
        <w:autoSpaceDN w:val="0"/>
        <w:adjustRightInd w:val="0"/>
        <w:spacing w:line="360" w:lineRule="auto"/>
        <w:ind w:firstLine="482" w:firstLineChars="200"/>
        <w:jc w:val="left"/>
        <w:textAlignment w:val="baseline"/>
        <w:rPr>
          <w:rFonts w:ascii="仿宋" w:hAnsi="仿宋" w:eastAsia="仿宋" w:cs="仿宋"/>
          <w:color w:val="auto"/>
          <w:kern w:val="0"/>
          <w:sz w:val="24"/>
        </w:rPr>
      </w:pPr>
      <w:r>
        <w:rPr>
          <w:rFonts w:hint="eastAsia" w:ascii="仿宋" w:hAnsi="仿宋" w:eastAsia="仿宋" w:cs="仿宋"/>
          <w:b/>
          <w:bCs/>
          <w:color w:val="auto"/>
          <w:kern w:val="0"/>
          <w:sz w:val="24"/>
        </w:rPr>
        <w:t>（2）证书同步服务功能如下：</w:t>
      </w:r>
    </w:p>
    <w:p>
      <w:pPr>
        <w:autoSpaceDE w:val="0"/>
        <w:autoSpaceDN w:val="0"/>
        <w:adjustRightInd w:val="0"/>
        <w:spacing w:line="360" w:lineRule="auto"/>
        <w:ind w:firstLine="480" w:firstLineChars="2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支持通用证书服务器的LDAP、OCSP等协议接口，实现OCSP在线证书查询协议、LDAP数据同步，实现数字身份证书发布和查询。</w:t>
      </w:r>
    </w:p>
    <w:p>
      <w:pPr>
        <w:autoSpaceDE w:val="0"/>
        <w:autoSpaceDN w:val="0"/>
        <w:adjustRightInd w:val="0"/>
        <w:spacing w:line="360" w:lineRule="auto"/>
        <w:ind w:firstLine="482" w:firstLineChars="200"/>
        <w:jc w:val="left"/>
        <w:textAlignment w:val="baseline"/>
        <w:rPr>
          <w:rFonts w:ascii="仿宋" w:hAnsi="仿宋" w:eastAsia="仿宋" w:cs="仿宋"/>
          <w:color w:val="auto"/>
          <w:kern w:val="0"/>
          <w:sz w:val="24"/>
        </w:rPr>
      </w:pPr>
      <w:r>
        <w:rPr>
          <w:rFonts w:hint="eastAsia" w:ascii="仿宋" w:hAnsi="仿宋" w:eastAsia="仿宋" w:cs="仿宋"/>
          <w:b/>
          <w:bCs/>
          <w:color w:val="auto"/>
          <w:kern w:val="0"/>
          <w:sz w:val="24"/>
        </w:rPr>
        <w:t>（3）身份认证服务功能如下：</w:t>
      </w:r>
    </w:p>
    <w:p>
      <w:pPr>
        <w:numPr>
          <w:ilvl w:val="0"/>
          <w:numId w:val="89"/>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采用基于数字证书的强身份鉴别机制，支持国产密码算法，认证机制符合国家相关标准要求。</w:t>
      </w:r>
    </w:p>
    <w:p>
      <w:pPr>
        <w:numPr>
          <w:ilvl w:val="0"/>
          <w:numId w:val="89"/>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向公共服务用户（参保单位、参保人、横向接入单位需接入医保核心系统的终端）提供安全的身份鉴别，实现对参保人身份进行验证以及登录医保相关系统进行登录身份认证功能；</w:t>
      </w:r>
    </w:p>
    <w:p>
      <w:pPr>
        <w:numPr>
          <w:ilvl w:val="0"/>
          <w:numId w:val="89"/>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具备严格的认证日志存储及查询机制；</w:t>
      </w:r>
    </w:p>
    <w:p>
      <w:pPr>
        <w:numPr>
          <w:ilvl w:val="0"/>
          <w:numId w:val="89"/>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连接服务器密码机，可为公共服务子系统提供客户端电子签名的验证、解密信封等密码服务；</w:t>
      </w:r>
    </w:p>
    <w:p>
      <w:pPr>
        <w:autoSpaceDE w:val="0"/>
        <w:autoSpaceDN w:val="0"/>
        <w:adjustRightInd w:val="0"/>
        <w:spacing w:line="360" w:lineRule="auto"/>
        <w:ind w:firstLine="482" w:firstLineChars="200"/>
        <w:jc w:val="left"/>
        <w:textAlignment w:val="baseline"/>
        <w:rPr>
          <w:rFonts w:ascii="仿宋" w:hAnsi="仿宋" w:eastAsia="仿宋" w:cs="仿宋"/>
          <w:b/>
          <w:bCs/>
          <w:color w:val="auto"/>
          <w:kern w:val="0"/>
          <w:sz w:val="24"/>
        </w:rPr>
      </w:pPr>
      <w:r>
        <w:rPr>
          <w:rFonts w:hint="eastAsia" w:ascii="仿宋" w:hAnsi="仿宋" w:eastAsia="仿宋" w:cs="仿宋"/>
          <w:b/>
          <w:bCs/>
          <w:color w:val="auto"/>
          <w:kern w:val="0"/>
          <w:sz w:val="24"/>
        </w:rPr>
        <w:t>（4）身份认证模块性能要求如下：</w:t>
      </w:r>
    </w:p>
    <w:p>
      <w:pPr>
        <w:autoSpaceDE w:val="0"/>
        <w:autoSpaceDN w:val="0"/>
        <w:adjustRightInd w:val="0"/>
        <w:spacing w:line="360" w:lineRule="auto"/>
        <w:ind w:left="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支持百万级别的用户认证，用户认证速度不低于1000次/秒。</w:t>
      </w:r>
    </w:p>
    <w:p>
      <w:pPr>
        <w:autoSpaceDE w:val="0"/>
        <w:autoSpaceDN w:val="0"/>
        <w:adjustRightInd w:val="0"/>
        <w:spacing w:line="360" w:lineRule="auto"/>
        <w:jc w:val="left"/>
        <w:textAlignment w:val="baseline"/>
        <w:rPr>
          <w:rFonts w:ascii="仿宋" w:hAnsi="仿宋" w:eastAsia="仿宋" w:cs="仿宋"/>
          <w:b/>
          <w:bCs/>
          <w:color w:val="auto"/>
          <w:sz w:val="24"/>
        </w:rPr>
      </w:pPr>
      <w:r>
        <w:rPr>
          <w:rFonts w:hint="eastAsia" w:ascii="仿宋" w:hAnsi="仿宋" w:eastAsia="仿宋" w:cs="仿宋"/>
          <w:b/>
          <w:bCs/>
          <w:color w:val="auto"/>
          <w:sz w:val="24"/>
        </w:rPr>
        <w:t>4.9 电子签章系统</w:t>
      </w:r>
    </w:p>
    <w:p>
      <w:pPr>
        <w:autoSpaceDE w:val="0"/>
        <w:autoSpaceDN w:val="0"/>
        <w:adjustRightInd w:val="0"/>
        <w:spacing w:line="360" w:lineRule="auto"/>
        <w:ind w:firstLine="480" w:firstLineChars="2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电子签章系统提供电子签章等相关服务，可为业务系统提供基于数字证书和PDF/OFD版式文件的可视化电子签名服务。电子签章系统分为服务端和客户端两部分。服务端提供电子印章制作、状态发布查询及验证、应用管理服务，包括电子印章制作子系统、电子印章状态发布子系统和电子印章应用子系统。客户端为用户提供电子印章的签章和验章服务，用户可以通过手机进行手机签章。</w:t>
      </w:r>
    </w:p>
    <w:p>
      <w:pPr>
        <w:autoSpaceDE w:val="0"/>
        <w:autoSpaceDN w:val="0"/>
        <w:adjustRightInd w:val="0"/>
        <w:spacing w:line="360" w:lineRule="auto"/>
        <w:ind w:firstLine="480" w:firstLineChars="2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电子签章系统应具</w:t>
      </w:r>
      <w:r>
        <w:rPr>
          <w:rFonts w:hint="eastAsia" w:ascii="仿宋" w:hAnsi="仿宋" w:eastAsia="仿宋" w:cs="仿宋"/>
          <w:color w:val="auto"/>
          <w:kern w:val="16"/>
          <w:sz w:val="24"/>
          <w:szCs w:val="32"/>
        </w:rPr>
        <w:t>备商用密码产品型号。</w:t>
      </w:r>
    </w:p>
    <w:p>
      <w:pPr>
        <w:autoSpaceDE w:val="0"/>
        <w:autoSpaceDN w:val="0"/>
        <w:adjustRightInd w:val="0"/>
        <w:spacing w:line="360" w:lineRule="auto"/>
        <w:ind w:left="480"/>
        <w:jc w:val="left"/>
        <w:rPr>
          <w:rFonts w:ascii="仿宋" w:hAnsi="仿宋" w:eastAsia="仿宋" w:cs="仿宋"/>
          <w:b/>
          <w:bCs/>
          <w:color w:val="auto"/>
          <w:sz w:val="24"/>
        </w:rPr>
      </w:pPr>
      <w:r>
        <w:rPr>
          <w:rFonts w:hint="eastAsia" w:ascii="仿宋" w:hAnsi="仿宋" w:eastAsia="仿宋" w:cs="仿宋"/>
          <w:b/>
          <w:bCs/>
          <w:color w:val="auto"/>
          <w:sz w:val="24"/>
        </w:rPr>
        <w:t>（1）电子印章制作服务（子系统）功能如下：</w:t>
      </w:r>
    </w:p>
    <w:p>
      <w:pPr>
        <w:numPr>
          <w:ilvl w:val="0"/>
          <w:numId w:val="90"/>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电子印章信息录入和印模制作导入功能；</w:t>
      </w:r>
    </w:p>
    <w:p>
      <w:pPr>
        <w:numPr>
          <w:ilvl w:val="0"/>
          <w:numId w:val="90"/>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电子印章申请、制作、延期、变更、变更、补发功能，所制作的电子印章采用国密算法，符合国家标准GB/T 38540《信息安全技术 安全电子签章密码技术规范》；</w:t>
      </w:r>
    </w:p>
    <w:p>
      <w:pPr>
        <w:numPr>
          <w:ilvl w:val="0"/>
          <w:numId w:val="90"/>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可与RA或FCMS对接，实现电子印章数字证书的在线申请、续期、变更等服务，支持ZWFW C0122《国家政务服务平台 统一电子印章 系统接口要求》中的数字证书申请协议；</w:t>
      </w:r>
    </w:p>
    <w:p>
      <w:pPr>
        <w:numPr>
          <w:ilvl w:val="0"/>
          <w:numId w:val="90"/>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系统具备三员管理功能、日志管理功能，支持USBKey登录方式，并对制作过程的行为提供数字签名。</w:t>
      </w:r>
    </w:p>
    <w:p>
      <w:pPr>
        <w:numPr>
          <w:ilvl w:val="0"/>
          <w:numId w:val="90"/>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支持千万级的印章制作。</w:t>
      </w:r>
    </w:p>
    <w:p>
      <w:pPr>
        <w:autoSpaceDE w:val="0"/>
        <w:autoSpaceDN w:val="0"/>
        <w:adjustRightInd w:val="0"/>
        <w:spacing w:line="360" w:lineRule="auto"/>
        <w:ind w:left="480"/>
        <w:jc w:val="left"/>
        <w:rPr>
          <w:rFonts w:ascii="仿宋" w:hAnsi="仿宋" w:eastAsia="仿宋" w:cs="仿宋"/>
          <w:b/>
          <w:bCs/>
          <w:color w:val="auto"/>
          <w:sz w:val="24"/>
        </w:rPr>
      </w:pPr>
      <w:r>
        <w:rPr>
          <w:rFonts w:hint="eastAsia" w:ascii="仿宋" w:hAnsi="仿宋" w:eastAsia="仿宋" w:cs="仿宋"/>
          <w:b/>
          <w:bCs/>
          <w:color w:val="auto"/>
          <w:sz w:val="24"/>
        </w:rPr>
        <w:t>（2）电子印章状态发布服务（子系统）功能如下：</w:t>
      </w:r>
    </w:p>
    <w:p>
      <w:pPr>
        <w:numPr>
          <w:ilvl w:val="0"/>
          <w:numId w:val="91"/>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具备电子印章的状态发布、查询、下载及变更服务；</w:t>
      </w:r>
    </w:p>
    <w:p>
      <w:pPr>
        <w:numPr>
          <w:ilvl w:val="0"/>
          <w:numId w:val="91"/>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接收制作系统推送的电子印章状态信息；</w:t>
      </w:r>
    </w:p>
    <w:p>
      <w:pPr>
        <w:numPr>
          <w:ilvl w:val="0"/>
          <w:numId w:val="91"/>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电子印章状态查询支持页面查询和接口查询两种方式；</w:t>
      </w:r>
    </w:p>
    <w:p>
      <w:pPr>
        <w:numPr>
          <w:ilvl w:val="0"/>
          <w:numId w:val="91"/>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接口查询具备电子印章状态查询和电子印章吊销列表下载服务；</w:t>
      </w:r>
    </w:p>
    <w:p>
      <w:pPr>
        <w:numPr>
          <w:ilvl w:val="0"/>
          <w:numId w:val="91"/>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具备电子印章状态变更服务，用于电子印章制发部门对其管辖范围内的电子印章进行状态变更；</w:t>
      </w:r>
    </w:p>
    <w:p>
      <w:pPr>
        <w:numPr>
          <w:ilvl w:val="0"/>
          <w:numId w:val="91"/>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系统具备三员管理功能、日志管理功能。</w:t>
      </w:r>
    </w:p>
    <w:p>
      <w:pPr>
        <w:autoSpaceDE w:val="0"/>
        <w:autoSpaceDN w:val="0"/>
        <w:adjustRightInd w:val="0"/>
        <w:spacing w:line="360" w:lineRule="auto"/>
        <w:ind w:left="480"/>
        <w:jc w:val="left"/>
        <w:rPr>
          <w:rFonts w:ascii="仿宋" w:hAnsi="仿宋" w:eastAsia="仿宋" w:cs="仿宋"/>
          <w:b/>
          <w:bCs/>
          <w:color w:val="auto"/>
          <w:sz w:val="24"/>
        </w:rPr>
      </w:pPr>
      <w:r>
        <w:rPr>
          <w:rFonts w:hint="eastAsia" w:ascii="仿宋" w:hAnsi="仿宋" w:eastAsia="仿宋" w:cs="仿宋"/>
          <w:b/>
          <w:bCs/>
          <w:color w:val="auto"/>
          <w:sz w:val="24"/>
        </w:rPr>
        <w:t>（3）电子印章应用服务（子系统）</w:t>
      </w:r>
    </w:p>
    <w:p>
      <w:pPr>
        <w:numPr>
          <w:ilvl w:val="0"/>
          <w:numId w:val="92"/>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电子印章的导入、授权、冻结、解冻等印章管理功能；</w:t>
      </w:r>
    </w:p>
    <w:p>
      <w:pPr>
        <w:numPr>
          <w:ilvl w:val="0"/>
          <w:numId w:val="92"/>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用户管理、电子印章权限管理功能，也可与用户注册与管理授权系统对接，同步用户信息；</w:t>
      </w:r>
    </w:p>
    <w:p>
      <w:pPr>
        <w:numPr>
          <w:ilvl w:val="0"/>
          <w:numId w:val="92"/>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文档签章和签名服务，实现PDF、OFD版式文件格式的签章和签名服务，签章格式符合GB/T 38540《信息安全技术 安全电子签章密码技术规范》；</w:t>
      </w:r>
    </w:p>
    <w:p>
      <w:pPr>
        <w:numPr>
          <w:ilvl w:val="0"/>
          <w:numId w:val="92"/>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文档验章功能，对签章文件验证其文档真实性及电子印章的真伪，显示电子印章相关信息；</w:t>
      </w:r>
    </w:p>
    <w:p>
      <w:pPr>
        <w:numPr>
          <w:ilvl w:val="0"/>
          <w:numId w:val="92"/>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具备二次开发接口，提供签章文档验章和批量验章接口，具备自动定位和关键字定位方式的文档签章功能；</w:t>
      </w:r>
    </w:p>
    <w:p>
      <w:pPr>
        <w:numPr>
          <w:ilvl w:val="0"/>
          <w:numId w:val="92"/>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具备应用统计功能，实现对用章名称、用章时间等信息统计，便于监管；</w:t>
      </w:r>
    </w:p>
    <w:p>
      <w:pPr>
        <w:numPr>
          <w:ilvl w:val="0"/>
          <w:numId w:val="92"/>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支持调用时间戳服务，为签章文档增加可信的、权威的、公正的第三方时间戳；</w:t>
      </w:r>
    </w:p>
    <w:p>
      <w:pPr>
        <w:numPr>
          <w:ilvl w:val="0"/>
          <w:numId w:val="92"/>
        </w:numPr>
        <w:autoSpaceDE w:val="0"/>
        <w:autoSpaceDN w:val="0"/>
        <w:adjustRightInd w:val="0"/>
        <w:spacing w:line="360" w:lineRule="auto"/>
        <w:ind w:left="0" w:firstLine="900"/>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系统具备三员管理和日志管理服务。</w:t>
      </w:r>
    </w:p>
    <w:p>
      <w:pPr>
        <w:autoSpaceDE w:val="0"/>
        <w:autoSpaceDN w:val="0"/>
        <w:adjustRightInd w:val="0"/>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4.10数字证书移动终端APP（含密码模块）</w:t>
      </w:r>
    </w:p>
    <w:p>
      <w:pPr>
        <w:numPr>
          <w:ilvl w:val="0"/>
          <w:numId w:val="93"/>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用户注册：支持新用户注册和基本信息录入；</w:t>
      </w:r>
    </w:p>
    <w:p>
      <w:pPr>
        <w:numPr>
          <w:ilvl w:val="0"/>
          <w:numId w:val="93"/>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用户信息修改：支持用户基本信息修改；</w:t>
      </w:r>
    </w:p>
    <w:p>
      <w:pPr>
        <w:numPr>
          <w:ilvl w:val="0"/>
          <w:numId w:val="93"/>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证书申请：提供用户证书申请功能，包括申请状态查看；</w:t>
      </w:r>
    </w:p>
    <w:p>
      <w:pPr>
        <w:numPr>
          <w:ilvl w:val="0"/>
          <w:numId w:val="93"/>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证书下载：提供证书下载功能；</w:t>
      </w:r>
    </w:p>
    <w:p>
      <w:pPr>
        <w:numPr>
          <w:ilvl w:val="0"/>
          <w:numId w:val="93"/>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证书更新；提供证书更新申请，包括申请状态查看；</w:t>
      </w:r>
    </w:p>
    <w:p>
      <w:pPr>
        <w:numPr>
          <w:ilvl w:val="0"/>
          <w:numId w:val="93"/>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印章申请：提供印章申请功能，包括申请状态查看；</w:t>
      </w:r>
    </w:p>
    <w:p>
      <w:pPr>
        <w:numPr>
          <w:ilvl w:val="0"/>
          <w:numId w:val="93"/>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印章下载：提供印章下载功能；</w:t>
      </w:r>
    </w:p>
    <w:p>
      <w:pPr>
        <w:numPr>
          <w:ilvl w:val="0"/>
          <w:numId w:val="93"/>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PIN码修改：提供PIN修改功能，PIN最小长度为6位；</w:t>
      </w:r>
    </w:p>
    <w:p>
      <w:pPr>
        <w:numPr>
          <w:ilvl w:val="0"/>
          <w:numId w:val="93"/>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PIN码解锁：提供PIN码解锁功能，PIN码解锁要验证用户身份。</w:t>
      </w:r>
    </w:p>
    <w:p>
      <w:pPr>
        <w:numPr>
          <w:ilvl w:val="0"/>
          <w:numId w:val="93"/>
        </w:numPr>
        <w:autoSpaceDE w:val="0"/>
        <w:autoSpaceDN w:val="0"/>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二维码身份认证：支持二维码身份认证功能。</w:t>
      </w:r>
    </w:p>
    <w:p>
      <w:pPr>
        <w:autoSpaceDE w:val="0"/>
        <w:autoSpaceDN w:val="0"/>
        <w:adjustRightInd w:val="0"/>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4.11二维码扫描服务</w:t>
      </w:r>
    </w:p>
    <w:p>
      <w:pPr>
        <w:widowControl/>
        <w:numPr>
          <w:ilvl w:val="0"/>
          <w:numId w:val="94"/>
        </w:numPr>
        <w:shd w:val="clear" w:color="auto" w:fill="FFFFFF"/>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提供二维码生成服务；</w:t>
      </w:r>
    </w:p>
    <w:p>
      <w:pPr>
        <w:widowControl/>
        <w:numPr>
          <w:ilvl w:val="0"/>
          <w:numId w:val="94"/>
        </w:numPr>
        <w:shd w:val="clear" w:color="auto" w:fill="FFFFFF"/>
        <w:adjustRightInd w:val="0"/>
        <w:spacing w:line="360" w:lineRule="auto"/>
        <w:jc w:val="left"/>
        <w:textAlignment w:val="baseline"/>
        <w:rPr>
          <w:rFonts w:ascii="仿宋" w:hAnsi="仿宋" w:eastAsia="仿宋" w:cs="仿宋"/>
          <w:color w:val="auto"/>
          <w:kern w:val="0"/>
          <w:sz w:val="24"/>
        </w:rPr>
      </w:pPr>
      <w:r>
        <w:rPr>
          <w:rFonts w:hint="eastAsia" w:ascii="仿宋" w:hAnsi="仿宋" w:eastAsia="仿宋" w:cs="仿宋"/>
          <w:color w:val="auto"/>
          <w:kern w:val="0"/>
          <w:sz w:val="24"/>
        </w:rPr>
        <w:t>支持移动端扫描二维码并验证、登录。</w:t>
      </w:r>
    </w:p>
    <w:p>
      <w:pPr>
        <w:autoSpaceDE w:val="0"/>
        <w:autoSpaceDN w:val="0"/>
        <w:adjustRightInd w:val="0"/>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4.12 时间戳服务器</w:t>
      </w:r>
    </w:p>
    <w:p>
      <w:pPr>
        <w:widowControl/>
        <w:shd w:val="clear" w:color="auto" w:fill="FFFFFF"/>
        <w:adjustRightInd w:val="0"/>
        <w:spacing w:line="360" w:lineRule="auto"/>
        <w:ind w:left="420" w:firstLine="480" w:firstLineChars="200"/>
        <w:jc w:val="left"/>
        <w:textAlignment w:val="baseline"/>
        <w:rPr>
          <w:rFonts w:ascii="仿宋" w:hAnsi="仿宋" w:eastAsia="仿宋" w:cs="仿宋"/>
          <w:color w:val="auto"/>
          <w:kern w:val="0"/>
          <w:sz w:val="24"/>
          <w:szCs w:val="21"/>
        </w:rPr>
      </w:pPr>
      <w:r>
        <w:rPr>
          <w:rFonts w:hint="eastAsia" w:ascii="仿宋" w:hAnsi="仿宋" w:eastAsia="仿宋" w:cs="仿宋"/>
          <w:color w:val="auto"/>
          <w:kern w:val="0"/>
          <w:sz w:val="24"/>
          <w:szCs w:val="21"/>
        </w:rPr>
        <w:t>时间戳设备根据需要时，提供可信时间服务，用于标识可信时间。</w:t>
      </w:r>
    </w:p>
    <w:p>
      <w:pPr>
        <w:widowControl/>
        <w:numPr>
          <w:ilvl w:val="0"/>
          <w:numId w:val="95"/>
        </w:numPr>
        <w:shd w:val="clear" w:color="auto" w:fill="FFFFFF"/>
        <w:tabs>
          <w:tab w:val="left" w:pos="1567"/>
        </w:tabs>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ab/>
      </w:r>
      <w:r>
        <w:rPr>
          <w:rFonts w:hint="eastAsia" w:ascii="仿宋" w:hAnsi="仿宋" w:eastAsia="仿宋" w:cs="仿宋"/>
          <w:color w:val="auto"/>
          <w:kern w:val="0"/>
          <w:sz w:val="24"/>
          <w:szCs w:val="21"/>
        </w:rPr>
        <w:t>产品应具有商用密码产品型号；</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时间戳服务请求遵循GB/T20520-2006《信息安全技术 公钥基础设施 时间戳规范》；</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提供的接口能够与现有系统对接集成，且不影响现有系统功能和正常运行；</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提供应用系统调用时间戳服务器的二次开发接口，包括建立时间戳请求接口、请求时间戳接口、验证时间戳有效性接口、时间戳数据解析接口、数字摘要生成接口等；</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证书格式支持标准GB/T20518《信息安全技术 公钥基础设施 数字证书格式》证书格式；</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内置国家权威可信时间源：支持多种授时方式，不仅限于CDMA、GPS等方式，并提供授时和守时功能；</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可基于SNTP协议，从指定时间源设备获取标准时间并同步；</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支持SM2\SM3\SM4等国产商用密码算法；</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支持符合《GM/T 0018-2012 密码设备应用接口规范》的硬件密码卡，密钥在密码卡中生成和存储，运算在密码卡中完成；</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具备时间戳证书管理、时间源管理、日志管理、系统配置功能；</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支持备份恢复功能，可通过界面备份当前所有配置，保证系统瘫痪时的快速恢复；</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支持多设备相互热备，同时提供自动回切、热备分组、配置同步等功能。可支持自身和第三方的负载均衡集群服务；</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签发速率：≥500次/秒，验证速率：≥500次/秒；</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授时精度：≤3ms(毫秒)；守时精度：≤2ms（72小时）。</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千兆网口≥2个；</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220V双电源；</w:t>
      </w:r>
    </w:p>
    <w:p>
      <w:pPr>
        <w:widowControl/>
        <w:numPr>
          <w:ilvl w:val="0"/>
          <w:numId w:val="95"/>
        </w:numPr>
        <w:shd w:val="clear" w:color="auto" w:fill="FFFFFF"/>
        <w:spacing w:line="360" w:lineRule="auto"/>
        <w:ind w:left="480" w:firstLine="425"/>
        <w:jc w:val="left"/>
        <w:rPr>
          <w:rFonts w:ascii="仿宋" w:hAnsi="仿宋" w:eastAsia="仿宋" w:cs="仿宋"/>
          <w:color w:val="auto"/>
          <w:kern w:val="0"/>
          <w:sz w:val="24"/>
          <w:szCs w:val="21"/>
        </w:rPr>
      </w:pPr>
      <w:r>
        <w:rPr>
          <w:rFonts w:hint="eastAsia" w:ascii="仿宋" w:hAnsi="仿宋" w:eastAsia="仿宋" w:cs="仿宋"/>
          <w:color w:val="auto"/>
          <w:kern w:val="0"/>
          <w:sz w:val="24"/>
          <w:szCs w:val="21"/>
        </w:rPr>
        <w:t>工作环境：40℃≥温度≥0℃， 90%≥湿度≥0（无冷凝）；</w:t>
      </w:r>
    </w:p>
    <w:p>
      <w:pPr>
        <w:autoSpaceDE w:val="0"/>
        <w:autoSpaceDN w:val="0"/>
        <w:spacing w:line="360" w:lineRule="auto"/>
        <w:rPr>
          <w:rFonts w:ascii="仿宋" w:hAnsi="仿宋" w:eastAsia="仿宋" w:cs="仿宋"/>
          <w:b/>
          <w:color w:val="auto"/>
          <w:kern w:val="0"/>
          <w:sz w:val="24"/>
          <w:lang w:val="zh-CN" w:bidi="zh-CN"/>
        </w:rPr>
      </w:pPr>
      <w:bookmarkStart w:id="743" w:name="_Toc40971638"/>
      <w:r>
        <w:rPr>
          <w:rFonts w:hint="eastAsia" w:ascii="仿宋" w:hAnsi="仿宋" w:eastAsia="仿宋" w:cs="仿宋"/>
          <w:b/>
          <w:color w:val="auto"/>
          <w:kern w:val="0"/>
          <w:sz w:val="24"/>
          <w:lang w:val="zh-CN" w:bidi="zh-CN"/>
        </w:rPr>
        <w:t>5.服务要求</w:t>
      </w:r>
      <w:bookmarkEnd w:id="743"/>
    </w:p>
    <w:p>
      <w:pPr>
        <w:autoSpaceDE w:val="0"/>
        <w:autoSpaceDN w:val="0"/>
        <w:spacing w:line="360" w:lineRule="auto"/>
        <w:ind w:firstLine="482" w:firstLineChars="200"/>
        <w:jc w:val="left"/>
        <w:rPr>
          <w:rFonts w:ascii="仿宋" w:hAnsi="仿宋" w:eastAsia="仿宋" w:cs="仿宋"/>
          <w:b/>
          <w:bCs/>
          <w:color w:val="auto"/>
          <w:sz w:val="24"/>
          <w:lang w:bidi="zh-CN"/>
        </w:rPr>
      </w:pPr>
      <w:bookmarkStart w:id="744" w:name="_Toc40971639"/>
      <w:r>
        <w:rPr>
          <w:rFonts w:hint="eastAsia" w:ascii="仿宋" w:hAnsi="仿宋" w:eastAsia="仿宋" w:cs="仿宋"/>
          <w:b/>
          <w:bCs/>
          <w:color w:val="auto"/>
          <w:sz w:val="24"/>
          <w:lang w:bidi="zh-CN"/>
        </w:rPr>
        <w:t>5.1</w:t>
      </w:r>
      <w:r>
        <w:rPr>
          <w:rFonts w:hint="eastAsia" w:ascii="仿宋" w:hAnsi="仿宋" w:eastAsia="仿宋" w:cs="仿宋"/>
          <w:color w:val="auto"/>
          <w:kern w:val="0"/>
          <w:sz w:val="20"/>
          <w:szCs w:val="20"/>
        </w:rPr>
        <w:t>▲</w:t>
      </w:r>
      <w:r>
        <w:rPr>
          <w:rFonts w:hint="eastAsia" w:ascii="仿宋" w:hAnsi="仿宋" w:eastAsia="仿宋" w:cs="仿宋"/>
          <w:b/>
          <w:bCs/>
          <w:color w:val="auto"/>
          <w:sz w:val="24"/>
          <w:lang w:bidi="zh-CN"/>
        </w:rPr>
        <w:t>集成要求</w:t>
      </w:r>
      <w:bookmarkEnd w:id="744"/>
    </w:p>
    <w:p>
      <w:pPr>
        <w:tabs>
          <w:tab w:val="left" w:pos="1301"/>
        </w:tabs>
        <w:autoSpaceDE w:val="0"/>
        <w:autoSpaceDN w:val="0"/>
        <w:adjustRightInd w:val="0"/>
        <w:spacing w:line="360" w:lineRule="auto"/>
        <w:ind w:left="220" w:right="315" w:firstLine="480"/>
        <w:rPr>
          <w:rFonts w:ascii="仿宋" w:hAnsi="仿宋" w:eastAsia="仿宋" w:cs="仿宋"/>
          <w:color w:val="auto"/>
          <w:sz w:val="24"/>
          <w:lang w:val="zh-CN" w:bidi="zh-CN"/>
        </w:rPr>
      </w:pPr>
      <w:r>
        <w:rPr>
          <w:rFonts w:hint="eastAsia" w:ascii="仿宋" w:hAnsi="仿宋" w:eastAsia="仿宋" w:cs="仿宋"/>
          <w:color w:val="auto"/>
          <w:sz w:val="24"/>
          <w:lang w:val="zh-CN" w:bidi="zh-CN"/>
        </w:rPr>
        <w:t>投标方应配合招标方及系统集成商完成数字证书的集成工作，包括相关软硬件部署，系统软件上线运行以及与其他子系统的互联等。</w:t>
      </w:r>
    </w:p>
    <w:p>
      <w:pPr>
        <w:autoSpaceDE w:val="0"/>
        <w:autoSpaceDN w:val="0"/>
        <w:spacing w:line="360" w:lineRule="auto"/>
        <w:ind w:firstLine="482" w:firstLineChars="200"/>
        <w:jc w:val="left"/>
        <w:rPr>
          <w:rFonts w:ascii="仿宋" w:hAnsi="仿宋" w:eastAsia="仿宋" w:cs="仿宋"/>
          <w:b/>
          <w:bCs/>
          <w:color w:val="auto"/>
          <w:sz w:val="24"/>
          <w:lang w:bidi="zh-CN"/>
        </w:rPr>
      </w:pPr>
      <w:bookmarkStart w:id="745" w:name="_Toc40971640"/>
      <w:r>
        <w:rPr>
          <w:rFonts w:hint="eastAsia" w:ascii="仿宋" w:hAnsi="仿宋" w:eastAsia="仿宋" w:cs="仿宋"/>
          <w:b/>
          <w:bCs/>
          <w:color w:val="auto"/>
          <w:sz w:val="24"/>
          <w:lang w:bidi="zh-CN"/>
        </w:rPr>
        <w:t>5.2</w:t>
      </w:r>
      <w:r>
        <w:rPr>
          <w:rFonts w:hint="eastAsia" w:ascii="仿宋" w:hAnsi="仿宋" w:eastAsia="仿宋" w:cs="仿宋"/>
          <w:color w:val="auto"/>
          <w:kern w:val="0"/>
          <w:sz w:val="20"/>
          <w:szCs w:val="20"/>
        </w:rPr>
        <w:t>▲</w:t>
      </w:r>
      <w:r>
        <w:rPr>
          <w:rFonts w:hint="eastAsia" w:ascii="仿宋" w:hAnsi="仿宋" w:eastAsia="仿宋" w:cs="仿宋"/>
          <w:b/>
          <w:bCs/>
          <w:color w:val="auto"/>
          <w:sz w:val="24"/>
          <w:lang w:bidi="zh-CN"/>
        </w:rPr>
        <w:t>中标单位项目管理要求</w:t>
      </w:r>
      <w:bookmarkEnd w:id="745"/>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中标单位需提供本次工程建设的项目管理方案以及现场实施和本地化运维服务。本包投入技术人员不少于7人，中标单位安排的项目人员必须固定，若有替换，必须与招标方协商，未经甲方同意，人员变动扣除项目合同额1%/人，人员超过总人数10%，甲方有权终止项目。此外，中标单位所安排的开发和运维人员必须专职于本项目的开发）及角色分工、项目实施计划、项目变更管理方案以及项目风险管理方案等。中标单位应承诺提供现场实施服务。基本要求如下：</w:t>
      </w:r>
    </w:p>
    <w:p>
      <w:pPr>
        <w:autoSpaceDE w:val="0"/>
        <w:autoSpaceDN w:val="0"/>
        <w:spacing w:line="360" w:lineRule="auto"/>
        <w:ind w:right="163" w:firstLine="466" w:firstLineChars="200"/>
        <w:jc w:val="left"/>
        <w:rPr>
          <w:rFonts w:ascii="仿宋" w:hAnsi="仿宋" w:eastAsia="仿宋" w:cs="仿宋"/>
          <w:b/>
          <w:color w:val="auto"/>
          <w:spacing w:val="-4"/>
          <w:sz w:val="24"/>
          <w:lang w:val="zh-CN" w:bidi="zh-CN"/>
        </w:rPr>
      </w:pPr>
      <w:r>
        <w:rPr>
          <w:rFonts w:hint="eastAsia" w:ascii="仿宋" w:hAnsi="仿宋" w:eastAsia="仿宋" w:cs="仿宋"/>
          <w:b/>
          <w:color w:val="auto"/>
          <w:spacing w:val="-4"/>
          <w:sz w:val="24"/>
          <w:lang w:val="zh-CN" w:bidi="zh-CN"/>
        </w:rPr>
        <w:t>（</w:t>
      </w:r>
      <w:r>
        <w:rPr>
          <w:rFonts w:hint="eastAsia" w:ascii="仿宋" w:hAnsi="仿宋" w:eastAsia="仿宋" w:cs="仿宋"/>
          <w:b/>
          <w:color w:val="auto"/>
          <w:spacing w:val="-4"/>
          <w:sz w:val="24"/>
          <w:lang w:bidi="zh-CN"/>
        </w:rPr>
        <w:t>1</w:t>
      </w:r>
      <w:r>
        <w:rPr>
          <w:rFonts w:hint="eastAsia" w:ascii="仿宋" w:hAnsi="仿宋" w:eastAsia="仿宋" w:cs="仿宋"/>
          <w:b/>
          <w:color w:val="auto"/>
          <w:spacing w:val="-4"/>
          <w:sz w:val="24"/>
          <w:lang w:val="zh-CN" w:bidi="zh-CN"/>
        </w:rPr>
        <w:t>）项目经理</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具有5 年以上的数字证书规划和建设管理经验，具有数字证书总体规划能力，有良好的沟通能力和综合素质。</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中标单位参与的项目经理负责对数字证书建设的项目管理工作。</w:t>
      </w:r>
    </w:p>
    <w:p>
      <w:pPr>
        <w:autoSpaceDE w:val="0"/>
        <w:autoSpaceDN w:val="0"/>
        <w:spacing w:line="360" w:lineRule="auto"/>
        <w:ind w:left="466"/>
        <w:jc w:val="left"/>
        <w:rPr>
          <w:rFonts w:ascii="仿宋" w:hAnsi="仿宋" w:eastAsia="仿宋" w:cs="仿宋"/>
          <w:b/>
          <w:color w:val="auto"/>
          <w:spacing w:val="-4"/>
          <w:sz w:val="24"/>
          <w:lang w:val="zh-CN" w:bidi="zh-CN"/>
        </w:rPr>
      </w:pPr>
      <w:r>
        <w:rPr>
          <w:rFonts w:hint="eastAsia" w:ascii="仿宋" w:hAnsi="仿宋" w:eastAsia="仿宋" w:cs="仿宋"/>
          <w:b/>
          <w:color w:val="auto"/>
          <w:spacing w:val="-4"/>
          <w:sz w:val="24"/>
          <w:lang w:val="zh-CN" w:bidi="zh-CN"/>
        </w:rPr>
        <w:t>（2）需求分析阶段</w:t>
      </w:r>
    </w:p>
    <w:p>
      <w:pPr>
        <w:tabs>
          <w:tab w:val="left" w:pos="1301"/>
        </w:tabs>
        <w:autoSpaceDE w:val="0"/>
        <w:autoSpaceDN w:val="0"/>
        <w:adjustRightInd w:val="0"/>
        <w:spacing w:line="360" w:lineRule="auto"/>
        <w:ind w:left="220" w:right="315" w:firstLine="480" w:firstLineChars="200"/>
        <w:rPr>
          <w:rFonts w:ascii="仿宋" w:hAnsi="仿宋" w:eastAsia="仿宋" w:cs="仿宋"/>
          <w:color w:val="auto"/>
          <w:sz w:val="24"/>
          <w:lang w:val="zh-CN" w:bidi="zh-CN"/>
        </w:rPr>
      </w:pPr>
      <w:r>
        <w:rPr>
          <w:rFonts w:hint="eastAsia" w:ascii="仿宋" w:hAnsi="仿宋" w:eastAsia="仿宋" w:cs="仿宋"/>
          <w:color w:val="auto"/>
          <w:sz w:val="24"/>
          <w:lang w:val="zh-CN" w:bidi="zh-CN"/>
        </w:rPr>
        <w:t>投标方需与</w:t>
      </w:r>
      <w:r>
        <w:rPr>
          <w:rFonts w:hint="eastAsia" w:ascii="仿宋" w:hAnsi="仿宋" w:eastAsia="仿宋" w:cs="仿宋"/>
          <w:color w:val="auto"/>
          <w:kern w:val="0"/>
          <w:sz w:val="24"/>
          <w:lang w:val="zh-CN" w:bidi="zh-CN"/>
        </w:rPr>
        <w:t>海南省医疗保障局等相关部门</w:t>
      </w:r>
      <w:r>
        <w:rPr>
          <w:rFonts w:hint="eastAsia" w:ascii="仿宋" w:hAnsi="仿宋" w:eastAsia="仿宋" w:cs="仿宋"/>
          <w:color w:val="auto"/>
          <w:sz w:val="24"/>
          <w:lang w:val="zh-CN" w:bidi="zh-CN"/>
        </w:rPr>
        <w:t>相关人员充分沟通，掌握本项目的需求。</w:t>
      </w:r>
    </w:p>
    <w:p>
      <w:pPr>
        <w:widowControl/>
        <w:numPr>
          <w:ilvl w:val="0"/>
          <w:numId w:val="42"/>
        </w:numPr>
        <w:adjustRightInd w:val="0"/>
        <w:spacing w:line="360" w:lineRule="auto"/>
        <w:ind w:left="0" w:firstLine="480" w:firstLineChars="200"/>
        <w:jc w:val="left"/>
        <w:textAlignment w:val="baseline"/>
        <w:rPr>
          <w:rFonts w:ascii="仿宋" w:hAnsi="仿宋" w:eastAsia="仿宋" w:cs="仿宋"/>
          <w:bCs/>
          <w:color w:val="auto"/>
          <w:sz w:val="24"/>
        </w:rPr>
      </w:pPr>
      <w:r>
        <w:rPr>
          <w:rFonts w:hint="eastAsia" w:ascii="仿宋" w:hAnsi="仿宋" w:eastAsia="仿宋" w:cs="仿宋"/>
          <w:bCs/>
          <w:color w:val="auto"/>
          <w:sz w:val="24"/>
        </w:rPr>
        <w:t>中标单位参与人员数量，针对数字证书建设：总数不少于 5人。</w:t>
      </w:r>
    </w:p>
    <w:p>
      <w:pPr>
        <w:widowControl/>
        <w:numPr>
          <w:ilvl w:val="0"/>
          <w:numId w:val="42"/>
        </w:numPr>
        <w:adjustRightInd w:val="0"/>
        <w:spacing w:line="360" w:lineRule="auto"/>
        <w:ind w:left="0" w:firstLine="480" w:firstLineChars="200"/>
        <w:jc w:val="left"/>
        <w:textAlignment w:val="baseline"/>
        <w:rPr>
          <w:rFonts w:ascii="仿宋" w:hAnsi="仿宋" w:eastAsia="仿宋" w:cs="仿宋"/>
          <w:bCs/>
          <w:color w:val="auto"/>
          <w:sz w:val="24"/>
        </w:rPr>
      </w:pPr>
      <w:r>
        <w:rPr>
          <w:rFonts w:hint="eastAsia" w:ascii="仿宋" w:hAnsi="仿宋" w:eastAsia="仿宋" w:cs="仿宋"/>
          <w:bCs/>
          <w:color w:val="auto"/>
          <w:sz w:val="24"/>
        </w:rPr>
        <w:t>中标单位至少需提交的文档：业务需求调研报告、应用系统需求分析规格说明书。</w:t>
      </w:r>
    </w:p>
    <w:p>
      <w:pPr>
        <w:autoSpaceDE w:val="0"/>
        <w:autoSpaceDN w:val="0"/>
        <w:spacing w:line="360" w:lineRule="auto"/>
        <w:ind w:left="420"/>
        <w:jc w:val="left"/>
        <w:rPr>
          <w:rFonts w:ascii="仿宋" w:hAnsi="仿宋" w:eastAsia="仿宋" w:cs="仿宋"/>
          <w:b/>
          <w:color w:val="auto"/>
          <w:sz w:val="24"/>
        </w:rPr>
      </w:pPr>
      <w:r>
        <w:rPr>
          <w:rFonts w:hint="eastAsia" w:ascii="仿宋" w:hAnsi="仿宋" w:eastAsia="仿宋" w:cs="仿宋"/>
          <w:b/>
          <w:color w:val="auto"/>
          <w:spacing w:val="-4"/>
          <w:sz w:val="24"/>
          <w:lang w:val="zh-CN" w:bidi="zh-CN"/>
        </w:rPr>
        <w:t>（3）系统设计研发阶段</w:t>
      </w:r>
    </w:p>
    <w:p>
      <w:pPr>
        <w:widowControl/>
        <w:numPr>
          <w:ilvl w:val="0"/>
          <w:numId w:val="43"/>
        </w:numPr>
        <w:adjustRightInd w:val="0"/>
        <w:spacing w:line="360" w:lineRule="auto"/>
        <w:ind w:left="0" w:firstLine="480" w:firstLineChars="200"/>
        <w:jc w:val="left"/>
        <w:textAlignment w:val="baseline"/>
        <w:rPr>
          <w:rFonts w:ascii="仿宋" w:hAnsi="仿宋" w:eastAsia="仿宋" w:cs="仿宋"/>
          <w:bCs/>
          <w:color w:val="auto"/>
          <w:sz w:val="24"/>
        </w:rPr>
      </w:pPr>
      <w:r>
        <w:rPr>
          <w:rFonts w:hint="eastAsia" w:ascii="仿宋" w:hAnsi="仿宋" w:eastAsia="仿宋" w:cs="仿宋"/>
          <w:bCs/>
          <w:color w:val="auto"/>
          <w:sz w:val="24"/>
        </w:rPr>
        <w:t>中标单位参与人员数量，针对数字证书建设：总数不少于10人。</w:t>
      </w:r>
    </w:p>
    <w:p>
      <w:pPr>
        <w:widowControl/>
        <w:numPr>
          <w:ilvl w:val="0"/>
          <w:numId w:val="43"/>
        </w:numPr>
        <w:adjustRightInd w:val="0"/>
        <w:spacing w:line="360" w:lineRule="auto"/>
        <w:ind w:left="0" w:firstLine="480" w:firstLineChars="200"/>
        <w:jc w:val="left"/>
        <w:textAlignment w:val="baseline"/>
        <w:rPr>
          <w:rFonts w:ascii="仿宋" w:hAnsi="仿宋" w:eastAsia="仿宋" w:cs="仿宋"/>
          <w:bCs/>
          <w:color w:val="auto"/>
          <w:sz w:val="24"/>
        </w:rPr>
      </w:pPr>
      <w:r>
        <w:rPr>
          <w:rFonts w:hint="eastAsia" w:ascii="仿宋" w:hAnsi="仿宋" w:eastAsia="仿宋" w:cs="仿宋"/>
          <w:bCs/>
          <w:color w:val="auto"/>
          <w:sz w:val="24"/>
        </w:rPr>
        <w:t>中标单位至少需提交的文档：系统架构设计说明书，系统详细设计说明书，数据库设计说明书，各软件功能模块、流程、数据、接口模块的详细说明及内部测试报告。</w:t>
      </w:r>
    </w:p>
    <w:p>
      <w:pPr>
        <w:widowControl/>
        <w:numPr>
          <w:ilvl w:val="0"/>
          <w:numId w:val="96"/>
        </w:numPr>
        <w:adjustRightInd w:val="0"/>
        <w:spacing w:line="360" w:lineRule="auto"/>
        <w:jc w:val="left"/>
        <w:textAlignment w:val="baseline"/>
        <w:rPr>
          <w:rFonts w:ascii="仿宋" w:hAnsi="仿宋" w:eastAsia="仿宋" w:cs="仿宋"/>
          <w:b/>
          <w:bCs/>
          <w:color w:val="auto"/>
          <w:sz w:val="24"/>
        </w:rPr>
      </w:pPr>
      <w:r>
        <w:rPr>
          <w:rFonts w:hint="eastAsia" w:ascii="仿宋" w:hAnsi="仿宋" w:eastAsia="仿宋" w:cs="仿宋"/>
          <w:b/>
          <w:bCs/>
          <w:color w:val="auto"/>
          <w:spacing w:val="-4"/>
          <w:sz w:val="24"/>
          <w:lang w:val="zh-CN" w:bidi="zh-CN"/>
        </w:rPr>
        <w:t>系统测试阶段</w:t>
      </w:r>
    </w:p>
    <w:p>
      <w:pPr>
        <w:numPr>
          <w:ilvl w:val="0"/>
          <w:numId w:val="44"/>
        </w:numPr>
        <w:spacing w:line="360" w:lineRule="auto"/>
        <w:ind w:left="0" w:firstLine="480" w:firstLineChars="200"/>
        <w:rPr>
          <w:rFonts w:ascii="仿宋" w:hAnsi="仿宋" w:eastAsia="仿宋" w:cs="仿宋"/>
          <w:color w:val="auto"/>
          <w:sz w:val="24"/>
        </w:rPr>
      </w:pPr>
      <w:r>
        <w:rPr>
          <w:rFonts w:hint="eastAsia" w:ascii="仿宋" w:hAnsi="仿宋" w:eastAsia="仿宋" w:cs="仿宋"/>
          <w:color w:val="auto"/>
          <w:sz w:val="24"/>
        </w:rPr>
        <w:t>中标单位参与人员数量，针对数字证书建设：总数不少于10人。</w:t>
      </w:r>
    </w:p>
    <w:p>
      <w:pPr>
        <w:numPr>
          <w:ilvl w:val="0"/>
          <w:numId w:val="44"/>
        </w:numPr>
        <w:spacing w:line="360" w:lineRule="auto"/>
        <w:ind w:left="0" w:firstLine="480" w:firstLineChars="200"/>
        <w:rPr>
          <w:rFonts w:ascii="仿宋" w:hAnsi="仿宋" w:eastAsia="仿宋" w:cs="仿宋"/>
          <w:color w:val="auto"/>
          <w:sz w:val="24"/>
        </w:rPr>
      </w:pPr>
      <w:r>
        <w:rPr>
          <w:rFonts w:hint="eastAsia" w:ascii="仿宋" w:hAnsi="仿宋" w:eastAsia="仿宋" w:cs="仿宋"/>
          <w:color w:val="auto"/>
          <w:sz w:val="24"/>
        </w:rPr>
        <w:t>中标单位至少需提交的文档：测试方案、测试过程文档、系统整体测试报告。</w:t>
      </w:r>
    </w:p>
    <w:p>
      <w:pPr>
        <w:numPr>
          <w:ilvl w:val="0"/>
          <w:numId w:val="97"/>
        </w:numPr>
        <w:autoSpaceDE w:val="0"/>
        <w:autoSpaceDN w:val="0"/>
        <w:spacing w:line="360" w:lineRule="auto"/>
        <w:jc w:val="left"/>
        <w:rPr>
          <w:rFonts w:ascii="仿宋" w:hAnsi="仿宋" w:eastAsia="仿宋" w:cs="仿宋"/>
          <w:b/>
          <w:color w:val="auto"/>
          <w:spacing w:val="-4"/>
          <w:sz w:val="24"/>
          <w:lang w:val="zh-CN" w:bidi="zh-CN"/>
        </w:rPr>
      </w:pPr>
      <w:r>
        <w:rPr>
          <w:rFonts w:hint="eastAsia" w:ascii="仿宋" w:hAnsi="仿宋" w:eastAsia="仿宋" w:cs="仿宋"/>
          <w:b/>
          <w:color w:val="auto"/>
          <w:spacing w:val="-4"/>
          <w:sz w:val="24"/>
          <w:lang w:val="zh-CN" w:bidi="zh-CN"/>
        </w:rPr>
        <w:t>系统实施阶段</w:t>
      </w:r>
    </w:p>
    <w:p>
      <w:pPr>
        <w:numPr>
          <w:ilvl w:val="0"/>
          <w:numId w:val="45"/>
        </w:numPr>
        <w:spacing w:line="360" w:lineRule="auto"/>
        <w:ind w:left="0" w:firstLine="480" w:firstLineChars="200"/>
        <w:rPr>
          <w:rFonts w:ascii="仿宋" w:hAnsi="仿宋" w:eastAsia="仿宋" w:cs="仿宋"/>
          <w:color w:val="auto"/>
          <w:sz w:val="24"/>
        </w:rPr>
      </w:pPr>
      <w:r>
        <w:rPr>
          <w:rFonts w:hint="eastAsia" w:ascii="仿宋" w:hAnsi="仿宋" w:eastAsia="仿宋" w:cs="仿宋"/>
          <w:color w:val="auto"/>
          <w:sz w:val="24"/>
        </w:rPr>
        <w:t>中标单位驻场参与人员数量，针对数字证书建设：总数不少于20人。</w:t>
      </w:r>
    </w:p>
    <w:p>
      <w:pPr>
        <w:numPr>
          <w:ilvl w:val="0"/>
          <w:numId w:val="45"/>
        </w:numPr>
        <w:spacing w:line="360" w:lineRule="auto"/>
        <w:ind w:left="0" w:firstLine="480" w:firstLineChars="200"/>
        <w:rPr>
          <w:rFonts w:ascii="仿宋" w:hAnsi="仿宋" w:eastAsia="仿宋" w:cs="仿宋"/>
          <w:color w:val="auto"/>
          <w:sz w:val="24"/>
        </w:rPr>
      </w:pPr>
      <w:r>
        <w:rPr>
          <w:rFonts w:hint="eastAsia" w:ascii="仿宋" w:hAnsi="仿宋" w:eastAsia="仿宋" w:cs="仿宋"/>
          <w:color w:val="auto"/>
          <w:sz w:val="24"/>
        </w:rPr>
        <w:t>中标单位至少需提交的文档：系统实施计划、过程文档、试运行报告。</w:t>
      </w:r>
    </w:p>
    <w:p>
      <w:pPr>
        <w:numPr>
          <w:ilvl w:val="0"/>
          <w:numId w:val="97"/>
        </w:numPr>
        <w:autoSpaceDE w:val="0"/>
        <w:autoSpaceDN w:val="0"/>
        <w:spacing w:line="360" w:lineRule="auto"/>
        <w:jc w:val="left"/>
        <w:rPr>
          <w:rFonts w:ascii="仿宋" w:hAnsi="仿宋" w:eastAsia="仿宋" w:cs="仿宋"/>
          <w:b/>
          <w:color w:val="auto"/>
          <w:spacing w:val="-4"/>
          <w:sz w:val="24"/>
          <w:lang w:val="zh-CN" w:bidi="zh-CN"/>
        </w:rPr>
      </w:pPr>
      <w:r>
        <w:rPr>
          <w:rFonts w:hint="eastAsia" w:ascii="仿宋" w:hAnsi="仿宋" w:eastAsia="仿宋" w:cs="仿宋"/>
          <w:b/>
          <w:color w:val="auto"/>
          <w:spacing w:val="-4"/>
          <w:sz w:val="24"/>
          <w:lang w:val="zh-CN" w:bidi="zh-CN"/>
        </w:rPr>
        <w:t>驻场服务</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本项目服务期内需提供至少5名本项目专职长期驻场工程师，驻场工程师工作量不额外计费，驻场工程师具备本系统进行修改、调整能力，并按客户要求调整本系统（包括驻场工程师工作量内的新需求）。</w:t>
      </w:r>
    </w:p>
    <w:p>
      <w:pPr>
        <w:pStyle w:val="19"/>
        <w:ind w:firstLine="480"/>
        <w:jc w:val="both"/>
        <w:rPr>
          <w:rFonts w:ascii="仿宋" w:hAnsi="仿宋" w:eastAsia="仿宋" w:cs="仿宋"/>
          <w:color w:val="auto"/>
          <w:sz w:val="24"/>
          <w:szCs w:val="24"/>
        </w:rPr>
      </w:pPr>
      <w:r>
        <w:rPr>
          <w:rFonts w:hint="eastAsia" w:ascii="仿宋" w:hAnsi="仿宋" w:eastAsia="仿宋" w:cs="仿宋"/>
          <w:color w:val="auto"/>
          <w:sz w:val="24"/>
          <w:szCs w:val="24"/>
        </w:rPr>
        <w:t>人员要求：驻场负责人</w:t>
      </w:r>
      <w:r>
        <w:rPr>
          <w:rFonts w:hint="eastAsia" w:ascii="仿宋" w:hAnsi="仿宋" w:eastAsia="仿宋" w:cs="仿宋"/>
          <w:color w:val="auto"/>
          <w:kern w:val="0"/>
          <w:sz w:val="24"/>
          <w:szCs w:val="24"/>
        </w:rPr>
        <w:t>具有</w:t>
      </w:r>
      <w:r>
        <w:rPr>
          <w:rFonts w:ascii="仿宋" w:hAnsi="仿宋" w:eastAsia="仿宋" w:cs="仿宋"/>
          <w:bCs w:val="0"/>
          <w:color w:val="auto"/>
          <w:kern w:val="0"/>
          <w:sz w:val="24"/>
          <w:szCs w:val="24"/>
        </w:rPr>
        <w:t>一定医保信息平台开发建设实践经验</w:t>
      </w:r>
      <w:r>
        <w:rPr>
          <w:rFonts w:hint="eastAsia" w:ascii="仿宋" w:hAnsi="仿宋" w:eastAsia="仿宋" w:cs="仿宋"/>
          <w:bCs w:val="0"/>
          <w:color w:val="auto"/>
          <w:kern w:val="0"/>
          <w:sz w:val="24"/>
        </w:rPr>
        <w:t>且具备</w:t>
      </w:r>
      <w:r>
        <w:rPr>
          <w:rFonts w:hint="eastAsia" w:ascii="仿宋" w:hAnsi="仿宋" w:eastAsia="仿宋" w:cs="仿宋"/>
          <w:color w:val="auto"/>
          <w:kern w:val="0"/>
          <w:sz w:val="24"/>
          <w:szCs w:val="24"/>
        </w:rPr>
        <w:t>5</w:t>
      </w:r>
      <w:r>
        <w:rPr>
          <w:rFonts w:hint="eastAsia" w:ascii="仿宋" w:hAnsi="仿宋" w:eastAsia="仿宋" w:cs="仿宋"/>
          <w:color w:val="auto"/>
          <w:sz w:val="24"/>
          <w:szCs w:val="24"/>
        </w:rPr>
        <w:t>以上的政府相关领域信息化研发经验，具备省级及以上政府相关行业建设经验，对政府相关领域信息化有深入理解，有良好的沟通能力、 耐性和综合素质。</w:t>
      </w:r>
    </w:p>
    <w:p>
      <w:pPr>
        <w:numPr>
          <w:ilvl w:val="0"/>
          <w:numId w:val="97"/>
        </w:numPr>
        <w:autoSpaceDE w:val="0"/>
        <w:autoSpaceDN w:val="0"/>
        <w:spacing w:line="360" w:lineRule="auto"/>
        <w:jc w:val="left"/>
        <w:rPr>
          <w:rFonts w:ascii="仿宋" w:hAnsi="仿宋" w:eastAsia="仿宋" w:cs="仿宋"/>
          <w:b/>
          <w:color w:val="auto"/>
          <w:spacing w:val="-4"/>
          <w:sz w:val="24"/>
          <w:lang w:val="zh-CN" w:bidi="zh-CN"/>
        </w:rPr>
      </w:pPr>
      <w:r>
        <w:rPr>
          <w:rFonts w:hint="eastAsia" w:ascii="仿宋" w:hAnsi="仿宋" w:eastAsia="仿宋" w:cs="仿宋"/>
          <w:b/>
          <w:color w:val="auto"/>
          <w:spacing w:val="-4"/>
          <w:sz w:val="24"/>
          <w:lang w:val="zh-CN" w:bidi="zh-CN"/>
        </w:rPr>
        <w:t>系统优化服务</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本项目服务期内至少每半年进行一次系统性数据梳理和整体优化，确保数据管理效率。</w:t>
      </w:r>
    </w:p>
    <w:p>
      <w:pPr>
        <w:numPr>
          <w:ilvl w:val="0"/>
          <w:numId w:val="97"/>
        </w:numPr>
        <w:autoSpaceDE w:val="0"/>
        <w:autoSpaceDN w:val="0"/>
        <w:spacing w:line="360" w:lineRule="auto"/>
        <w:ind w:left="0" w:firstLine="466" w:firstLineChars="200"/>
        <w:jc w:val="left"/>
        <w:rPr>
          <w:rFonts w:ascii="仿宋" w:hAnsi="仿宋" w:eastAsia="仿宋" w:cs="仿宋"/>
          <w:b/>
          <w:color w:val="auto"/>
          <w:spacing w:val="-4"/>
          <w:sz w:val="24"/>
          <w:lang w:val="zh-CN" w:bidi="zh-CN"/>
        </w:rPr>
      </w:pPr>
      <w:r>
        <w:rPr>
          <w:rFonts w:hint="eastAsia" w:ascii="仿宋" w:hAnsi="仿宋" w:eastAsia="仿宋" w:cs="仿宋"/>
          <w:b/>
          <w:color w:val="auto"/>
          <w:spacing w:val="-4"/>
          <w:sz w:val="24"/>
          <w:lang w:val="zh-CN" w:bidi="zh-CN"/>
        </w:rPr>
        <w:t>保密内容</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投标方需在投标文件中明确，本项目中数据（包含原始数据和衍生数据）全部为招标方所有，全部列入保密范围，投标方不得未经用户许可的情况下导出、分析以及移作他用。</w:t>
      </w:r>
    </w:p>
    <w:p>
      <w:pPr>
        <w:numPr>
          <w:ilvl w:val="0"/>
          <w:numId w:val="97"/>
        </w:numPr>
        <w:autoSpaceDE w:val="0"/>
        <w:autoSpaceDN w:val="0"/>
        <w:spacing w:line="360" w:lineRule="auto"/>
        <w:ind w:left="0" w:firstLine="466" w:firstLineChars="200"/>
        <w:jc w:val="left"/>
        <w:rPr>
          <w:rFonts w:ascii="仿宋" w:hAnsi="仿宋" w:eastAsia="仿宋" w:cs="仿宋"/>
          <w:b/>
          <w:color w:val="auto"/>
          <w:spacing w:val="-4"/>
          <w:sz w:val="24"/>
          <w:lang w:val="zh-CN" w:bidi="zh-CN"/>
        </w:rPr>
      </w:pPr>
      <w:r>
        <w:rPr>
          <w:rFonts w:hint="eastAsia" w:ascii="仿宋" w:hAnsi="仿宋" w:eastAsia="仿宋" w:cs="仿宋"/>
          <w:b/>
          <w:color w:val="auto"/>
          <w:spacing w:val="-4"/>
          <w:sz w:val="24"/>
          <w:lang w:val="zh-CN" w:bidi="zh-CN"/>
        </w:rPr>
        <w:t>源代码和产权要求</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投标方需在投标文件中明确，本项目中的全部源代码（不包含既有知识产权类和工具）和知识产权全部为招标方所有，中标单位需在合作期间及合作终止后 5 年内，在招标方提出要求的 3 天内无条件提供本项目源代码。</w:t>
      </w:r>
    </w:p>
    <w:p>
      <w:pPr>
        <w:autoSpaceDE w:val="0"/>
        <w:autoSpaceDN w:val="0"/>
        <w:spacing w:line="360" w:lineRule="auto"/>
        <w:rPr>
          <w:rFonts w:ascii="仿宋" w:hAnsi="仿宋" w:eastAsia="仿宋" w:cs="仿宋"/>
          <w:b/>
          <w:color w:val="auto"/>
          <w:kern w:val="0"/>
          <w:sz w:val="24"/>
          <w:lang w:val="zh-CN" w:bidi="zh-CN"/>
        </w:rPr>
      </w:pPr>
      <w:bookmarkStart w:id="746" w:name="_Toc40971641"/>
      <w:r>
        <w:rPr>
          <w:rFonts w:hint="eastAsia" w:ascii="仿宋" w:hAnsi="仿宋" w:eastAsia="仿宋" w:cs="仿宋"/>
          <w:b/>
          <w:color w:val="auto"/>
          <w:kern w:val="0"/>
          <w:sz w:val="24"/>
          <w:lang w:val="zh-CN" w:bidi="zh-CN"/>
        </w:rPr>
        <w:t>6.</w:t>
      </w:r>
      <w:r>
        <w:rPr>
          <w:rFonts w:hint="eastAsia" w:ascii="仿宋" w:hAnsi="仿宋" w:eastAsia="仿宋" w:cs="仿宋"/>
          <w:color w:val="auto"/>
          <w:kern w:val="0"/>
          <w:sz w:val="20"/>
          <w:szCs w:val="20"/>
        </w:rPr>
        <w:t>▲</w:t>
      </w:r>
      <w:r>
        <w:rPr>
          <w:rFonts w:hint="eastAsia" w:ascii="仿宋" w:hAnsi="仿宋" w:eastAsia="仿宋" w:cs="仿宋"/>
          <w:b/>
          <w:color w:val="auto"/>
          <w:kern w:val="0"/>
          <w:sz w:val="24"/>
          <w:lang w:val="zh-CN" w:bidi="zh-CN"/>
        </w:rPr>
        <w:t>培训要求</w:t>
      </w:r>
      <w:bookmarkEnd w:id="746"/>
    </w:p>
    <w:p>
      <w:pPr>
        <w:autoSpaceDE w:val="0"/>
        <w:autoSpaceDN w:val="0"/>
        <w:adjustRightInd w:val="0"/>
        <w:spacing w:line="360" w:lineRule="auto"/>
        <w:ind w:firstLine="466" w:firstLineChars="200"/>
        <w:jc w:val="left"/>
        <w:rPr>
          <w:rFonts w:ascii="仿宋" w:hAnsi="仿宋" w:eastAsia="仿宋" w:cs="仿宋"/>
          <w:b/>
          <w:color w:val="auto"/>
          <w:spacing w:val="-4"/>
          <w:sz w:val="24"/>
          <w:lang w:val="zh-CN" w:bidi="zh-CN"/>
        </w:rPr>
      </w:pPr>
      <w:r>
        <w:rPr>
          <w:rFonts w:hint="eastAsia" w:ascii="仿宋" w:hAnsi="仿宋" w:eastAsia="仿宋" w:cs="仿宋"/>
          <w:b/>
          <w:color w:val="auto"/>
          <w:spacing w:val="-4"/>
          <w:sz w:val="24"/>
          <w:lang w:val="zh-CN" w:bidi="zh-CN"/>
        </w:rPr>
        <w:t>（1）对项目相关其它中标单位人员的培训</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与本项目有关联的其它系统中标单位，对其相关人员进行系统培训。</w:t>
      </w:r>
    </w:p>
    <w:p>
      <w:pPr>
        <w:autoSpaceDE w:val="0"/>
        <w:autoSpaceDN w:val="0"/>
        <w:adjustRightInd w:val="0"/>
        <w:spacing w:line="360" w:lineRule="auto"/>
        <w:ind w:firstLine="466" w:firstLineChars="200"/>
        <w:jc w:val="left"/>
        <w:rPr>
          <w:rFonts w:ascii="仿宋" w:hAnsi="仿宋" w:eastAsia="仿宋" w:cs="仿宋"/>
          <w:b/>
          <w:color w:val="auto"/>
          <w:spacing w:val="-4"/>
          <w:sz w:val="24"/>
          <w:lang w:val="zh-CN" w:bidi="zh-CN"/>
        </w:rPr>
      </w:pPr>
      <w:r>
        <w:rPr>
          <w:rFonts w:hint="eastAsia" w:ascii="仿宋" w:hAnsi="仿宋" w:eastAsia="仿宋" w:cs="仿宋"/>
          <w:b/>
          <w:color w:val="auto"/>
          <w:spacing w:val="-4"/>
          <w:sz w:val="24"/>
          <w:lang w:val="zh-CN" w:bidi="zh-CN"/>
        </w:rPr>
        <w:t>（2）对应用部门各级系统应用人员的培训</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使之能够了解信息系统的建设思想、主要功能和操作规程，能够熟练应用这一系统辅助开展工作，并能结合实际工作需要提出各种改进意见。根据人员对系统的使用特点不同，对应用人员的培训分为两个层次：</w:t>
      </w:r>
    </w:p>
    <w:p>
      <w:pPr>
        <w:widowControl/>
        <w:numPr>
          <w:ilvl w:val="0"/>
          <w:numId w:val="46"/>
        </w:numPr>
        <w:adjustRightInd w:val="0"/>
        <w:spacing w:line="360" w:lineRule="auto"/>
        <w:ind w:left="0" w:firstLine="480" w:firstLineChars="200"/>
        <w:jc w:val="left"/>
        <w:textAlignment w:val="baseline"/>
        <w:rPr>
          <w:rFonts w:ascii="仿宋" w:hAnsi="仿宋" w:eastAsia="仿宋" w:cs="仿宋"/>
          <w:bCs/>
          <w:color w:val="auto"/>
          <w:sz w:val="24"/>
        </w:rPr>
      </w:pPr>
      <w:r>
        <w:rPr>
          <w:rFonts w:hint="eastAsia" w:ascii="仿宋" w:hAnsi="仿宋" w:eastAsia="仿宋" w:cs="仿宋"/>
          <w:bCs/>
          <w:color w:val="auto"/>
          <w:sz w:val="24"/>
        </w:rPr>
        <w:t>对领导培训的主要目的是使有关主管领导对系统有一定的了解，同时能够应用系统进行决策、指挥工作；</w:t>
      </w:r>
    </w:p>
    <w:p>
      <w:pPr>
        <w:widowControl/>
        <w:numPr>
          <w:ilvl w:val="0"/>
          <w:numId w:val="46"/>
        </w:numPr>
        <w:adjustRightInd w:val="0"/>
        <w:spacing w:line="360" w:lineRule="auto"/>
        <w:ind w:left="0" w:firstLine="480" w:firstLineChars="200"/>
        <w:jc w:val="left"/>
        <w:textAlignment w:val="baseline"/>
        <w:rPr>
          <w:rFonts w:ascii="仿宋" w:hAnsi="仿宋" w:eastAsia="仿宋" w:cs="仿宋"/>
          <w:bCs/>
          <w:color w:val="auto"/>
          <w:sz w:val="24"/>
        </w:rPr>
      </w:pPr>
      <w:r>
        <w:rPr>
          <w:rFonts w:hint="eastAsia" w:ascii="仿宋" w:hAnsi="仿宋" w:eastAsia="仿宋" w:cs="仿宋"/>
          <w:bCs/>
          <w:color w:val="auto"/>
          <w:sz w:val="24"/>
        </w:rPr>
        <w:t>对其他应用人员的培训，主要使他们在各业务环境下能够很好地利用系统完成相应的专业工作，提高工作效率，提高信息的准确性和全面性。</w:t>
      </w:r>
    </w:p>
    <w:p>
      <w:pPr>
        <w:autoSpaceDE w:val="0"/>
        <w:autoSpaceDN w:val="0"/>
        <w:adjustRightInd w:val="0"/>
        <w:spacing w:line="360" w:lineRule="auto"/>
        <w:ind w:firstLine="464" w:firstLineChars="200"/>
        <w:jc w:val="left"/>
        <w:rPr>
          <w:rFonts w:ascii="仿宋" w:hAnsi="仿宋" w:eastAsia="仿宋" w:cs="仿宋"/>
          <w:color w:val="auto"/>
          <w:spacing w:val="-4"/>
          <w:sz w:val="24"/>
          <w:lang w:val="zh-CN" w:bidi="zh-CN"/>
        </w:rPr>
      </w:pPr>
      <w:r>
        <w:rPr>
          <w:rFonts w:hint="eastAsia" w:ascii="仿宋" w:hAnsi="仿宋" w:eastAsia="仿宋" w:cs="仿宋"/>
          <w:color w:val="auto"/>
          <w:spacing w:val="-4"/>
          <w:sz w:val="24"/>
          <w:lang w:val="zh-CN" w:bidi="zh-CN"/>
        </w:rPr>
        <w:t>3）系统运行维护人员的培训</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运维人员培训主要包括以下几个方面：系统整体知识培训、业务系统培训等。通过培训使项目运维队伍能够充分了解本项目。</w:t>
      </w:r>
    </w:p>
    <w:p>
      <w:pPr>
        <w:autoSpaceDE w:val="0"/>
        <w:autoSpaceDN w:val="0"/>
        <w:spacing w:line="360" w:lineRule="auto"/>
        <w:rPr>
          <w:rFonts w:ascii="仿宋" w:hAnsi="仿宋" w:eastAsia="仿宋" w:cs="仿宋"/>
          <w:b/>
          <w:color w:val="auto"/>
          <w:kern w:val="0"/>
          <w:sz w:val="24"/>
          <w:lang w:val="zh-CN" w:bidi="zh-CN"/>
        </w:rPr>
      </w:pPr>
      <w:bookmarkStart w:id="747" w:name="_Toc40971642"/>
      <w:r>
        <w:rPr>
          <w:rFonts w:hint="eastAsia" w:ascii="仿宋" w:hAnsi="仿宋" w:eastAsia="仿宋" w:cs="仿宋"/>
          <w:b/>
          <w:color w:val="auto"/>
          <w:kern w:val="0"/>
          <w:sz w:val="24"/>
          <w:lang w:val="zh-CN" w:bidi="zh-CN"/>
        </w:rPr>
        <w:t>7.</w:t>
      </w:r>
      <w:r>
        <w:rPr>
          <w:rFonts w:hint="eastAsia" w:ascii="仿宋" w:hAnsi="仿宋" w:eastAsia="仿宋" w:cs="仿宋"/>
          <w:color w:val="auto"/>
          <w:kern w:val="0"/>
          <w:sz w:val="20"/>
          <w:szCs w:val="20"/>
        </w:rPr>
        <w:t>▲</w:t>
      </w:r>
      <w:r>
        <w:rPr>
          <w:rFonts w:hint="eastAsia" w:ascii="仿宋" w:hAnsi="仿宋" w:eastAsia="仿宋" w:cs="仿宋"/>
          <w:b/>
          <w:color w:val="auto"/>
          <w:kern w:val="0"/>
          <w:sz w:val="24"/>
          <w:lang w:val="zh-CN" w:bidi="zh-CN"/>
        </w:rPr>
        <w:t>维护及技术支持要求</w:t>
      </w:r>
      <w:bookmarkEnd w:id="747"/>
    </w:p>
    <w:p>
      <w:pPr>
        <w:numPr>
          <w:ilvl w:val="0"/>
          <w:numId w:val="98"/>
        </w:numPr>
        <w:spacing w:line="360" w:lineRule="auto"/>
        <w:ind w:left="420" w:leftChars="200" w:firstLine="0"/>
        <w:rPr>
          <w:rFonts w:ascii="仿宋" w:hAnsi="仿宋" w:eastAsia="仿宋" w:cs="仿宋"/>
          <w:color w:val="auto"/>
          <w:kern w:val="0"/>
          <w:sz w:val="24"/>
        </w:rPr>
      </w:pPr>
      <w:r>
        <w:rPr>
          <w:rFonts w:hint="eastAsia" w:ascii="仿宋" w:hAnsi="仿宋" w:eastAsia="仿宋" w:cs="仿宋"/>
          <w:color w:val="auto"/>
          <w:kern w:val="0"/>
          <w:sz w:val="24"/>
        </w:rPr>
        <w:t>针对所有软硬件件，中标单位应提供项目终验后2 年的免费原厂维保服务。</w:t>
      </w:r>
    </w:p>
    <w:p>
      <w:pPr>
        <w:numPr>
          <w:ilvl w:val="0"/>
          <w:numId w:val="98"/>
        </w:numPr>
        <w:spacing w:line="360" w:lineRule="auto"/>
        <w:ind w:left="420" w:leftChars="200" w:firstLine="0"/>
        <w:rPr>
          <w:rFonts w:ascii="仿宋" w:hAnsi="仿宋" w:eastAsia="仿宋" w:cs="仿宋"/>
          <w:color w:val="auto"/>
          <w:kern w:val="0"/>
          <w:sz w:val="24"/>
        </w:rPr>
      </w:pPr>
      <w:r>
        <w:rPr>
          <w:rFonts w:hint="eastAsia" w:ascii="仿宋" w:hAnsi="仿宋" w:eastAsia="仿宋" w:cs="仿宋"/>
          <w:color w:val="auto"/>
          <w:kern w:val="0"/>
          <w:sz w:val="24"/>
        </w:rPr>
        <w:t>在软件维保期内，中标单位应提供灵活、多样的通信手段（包括但不限于场地、设备及人员、专用服务电话），提供7*24 小时的响应服务，保证在任何时候招标方人员都能及时找到中标单位的服务人员。如遇驻场人员无法解决的问题或招标方认为需要，承建商的技术人员应在12 小时内赶到现场支持。</w:t>
      </w:r>
    </w:p>
    <w:p>
      <w:pPr>
        <w:numPr>
          <w:ilvl w:val="0"/>
          <w:numId w:val="98"/>
        </w:numPr>
        <w:spacing w:line="360" w:lineRule="auto"/>
        <w:ind w:left="420" w:leftChars="200" w:firstLine="0"/>
        <w:rPr>
          <w:rFonts w:ascii="仿宋" w:hAnsi="仿宋" w:eastAsia="仿宋" w:cs="仿宋"/>
          <w:color w:val="auto"/>
          <w:kern w:val="0"/>
          <w:sz w:val="24"/>
        </w:rPr>
      </w:pPr>
      <w:r>
        <w:rPr>
          <w:rFonts w:hint="eastAsia" w:ascii="仿宋" w:hAnsi="仿宋" w:eastAsia="仿宋" w:cs="仿宋"/>
          <w:color w:val="auto"/>
          <w:kern w:val="0"/>
          <w:sz w:val="24"/>
        </w:rPr>
        <w:t>所供软件出现问题时，其响应时间不超过15 分钟，一般故障处理时间不大于2 小时；特殊情况下，故障修复时间不大于12小时。</w:t>
      </w:r>
    </w:p>
    <w:p>
      <w:pPr>
        <w:numPr>
          <w:ilvl w:val="0"/>
          <w:numId w:val="98"/>
        </w:numPr>
        <w:spacing w:line="360" w:lineRule="auto"/>
        <w:ind w:left="420" w:leftChars="200" w:firstLine="0"/>
        <w:rPr>
          <w:rFonts w:ascii="仿宋" w:hAnsi="仿宋" w:eastAsia="仿宋" w:cs="仿宋"/>
          <w:color w:val="auto"/>
          <w:kern w:val="0"/>
          <w:sz w:val="24"/>
        </w:rPr>
      </w:pPr>
      <w:r>
        <w:rPr>
          <w:rFonts w:hint="eastAsia" w:ascii="仿宋" w:hAnsi="仿宋" w:eastAsia="仿宋" w:cs="仿宋"/>
          <w:color w:val="auto"/>
          <w:kern w:val="0"/>
          <w:sz w:val="24"/>
        </w:rPr>
        <w:t>中标单位应提供排除故障响应的具体流程。</w:t>
      </w:r>
    </w:p>
    <w:p>
      <w:pPr>
        <w:numPr>
          <w:ilvl w:val="0"/>
          <w:numId w:val="98"/>
        </w:numPr>
        <w:spacing w:line="360" w:lineRule="auto"/>
        <w:ind w:left="420" w:leftChars="200" w:firstLine="0"/>
        <w:rPr>
          <w:rFonts w:ascii="仿宋" w:hAnsi="仿宋" w:eastAsia="仿宋" w:cs="仿宋"/>
          <w:color w:val="auto"/>
          <w:kern w:val="0"/>
          <w:sz w:val="24"/>
        </w:rPr>
      </w:pPr>
      <w:r>
        <w:rPr>
          <w:rFonts w:hint="eastAsia" w:ascii="仿宋" w:hAnsi="仿宋" w:eastAsia="仿宋" w:cs="仿宋"/>
          <w:color w:val="auto"/>
          <w:kern w:val="0"/>
          <w:sz w:val="24"/>
        </w:rPr>
        <w:t>中标单位应在项目方案中说明技术指导和技术支持的范围和程度，中标单位应提供技术服务流程，技术服务内容和价格清单，若维保期内与期外不同，则应分别列出。</w:t>
      </w:r>
    </w:p>
    <w:p>
      <w:pPr>
        <w:autoSpaceDE w:val="0"/>
        <w:autoSpaceDN w:val="0"/>
        <w:spacing w:line="360" w:lineRule="auto"/>
        <w:rPr>
          <w:rFonts w:ascii="仿宋" w:hAnsi="仿宋" w:eastAsia="仿宋" w:cs="仿宋"/>
          <w:b/>
          <w:color w:val="auto"/>
          <w:kern w:val="0"/>
          <w:sz w:val="24"/>
          <w:lang w:val="zh-CN" w:bidi="zh-CN"/>
        </w:rPr>
      </w:pPr>
      <w:bookmarkStart w:id="748" w:name="_Toc40971643"/>
      <w:r>
        <w:rPr>
          <w:rFonts w:hint="eastAsia" w:ascii="仿宋" w:hAnsi="仿宋" w:eastAsia="仿宋" w:cs="仿宋"/>
          <w:b/>
          <w:color w:val="auto"/>
          <w:kern w:val="0"/>
          <w:sz w:val="24"/>
          <w:lang w:val="zh-CN" w:bidi="zh-CN"/>
        </w:rPr>
        <w:t>8.</w:t>
      </w:r>
      <w:r>
        <w:rPr>
          <w:rFonts w:hint="eastAsia" w:ascii="仿宋" w:hAnsi="仿宋" w:eastAsia="仿宋" w:cs="仿宋"/>
          <w:color w:val="auto"/>
          <w:kern w:val="0"/>
          <w:sz w:val="20"/>
          <w:szCs w:val="20"/>
        </w:rPr>
        <w:t>▲</w:t>
      </w:r>
      <w:r>
        <w:rPr>
          <w:rFonts w:hint="eastAsia" w:ascii="仿宋" w:hAnsi="仿宋" w:eastAsia="仿宋" w:cs="仿宋"/>
          <w:b/>
          <w:color w:val="auto"/>
          <w:kern w:val="0"/>
          <w:sz w:val="24"/>
          <w:lang w:val="zh-CN" w:bidi="zh-CN"/>
        </w:rPr>
        <w:t>技术文件要求</w:t>
      </w:r>
      <w:bookmarkEnd w:id="748"/>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中标单位提供的书面技术资料必须能够满足确保系统正常运行所需的管理、运营、验收及维护的全套文件。中标单位提供的技术文件必须包括但不限于：</w:t>
      </w:r>
    </w:p>
    <w:p>
      <w:pPr>
        <w:numPr>
          <w:ilvl w:val="0"/>
          <w:numId w:val="99"/>
        </w:numPr>
        <w:spacing w:line="360" w:lineRule="auto"/>
        <w:ind w:left="0" w:firstLine="852"/>
        <w:rPr>
          <w:rFonts w:ascii="仿宋" w:hAnsi="仿宋" w:eastAsia="仿宋" w:cs="仿宋"/>
          <w:color w:val="auto"/>
          <w:sz w:val="24"/>
        </w:rPr>
      </w:pPr>
      <w:r>
        <w:rPr>
          <w:rFonts w:hint="eastAsia" w:ascii="仿宋" w:hAnsi="仿宋" w:eastAsia="仿宋" w:cs="仿宋"/>
          <w:color w:val="auto"/>
          <w:sz w:val="24"/>
        </w:rPr>
        <w:t>系统说明文件</w:t>
      </w:r>
    </w:p>
    <w:p>
      <w:pPr>
        <w:numPr>
          <w:ilvl w:val="0"/>
          <w:numId w:val="99"/>
        </w:numPr>
        <w:spacing w:line="360" w:lineRule="auto"/>
        <w:ind w:left="0" w:firstLine="852"/>
        <w:rPr>
          <w:rFonts w:ascii="仿宋" w:hAnsi="仿宋" w:eastAsia="仿宋" w:cs="仿宋"/>
          <w:color w:val="auto"/>
          <w:sz w:val="24"/>
        </w:rPr>
      </w:pPr>
      <w:r>
        <w:rPr>
          <w:rFonts w:hint="eastAsia" w:ascii="仿宋" w:hAnsi="仿宋" w:eastAsia="仿宋" w:cs="仿宋"/>
          <w:color w:val="auto"/>
          <w:sz w:val="24"/>
        </w:rPr>
        <w:t>技术手册（安装、操作、维护、故障排除、培训文档等）</w:t>
      </w:r>
    </w:p>
    <w:p>
      <w:pPr>
        <w:numPr>
          <w:ilvl w:val="0"/>
          <w:numId w:val="99"/>
        </w:numPr>
        <w:spacing w:line="360" w:lineRule="auto"/>
        <w:ind w:left="0" w:firstLine="852"/>
        <w:rPr>
          <w:rFonts w:ascii="仿宋" w:hAnsi="仿宋" w:eastAsia="仿宋" w:cs="仿宋"/>
          <w:color w:val="auto"/>
          <w:sz w:val="24"/>
        </w:rPr>
      </w:pPr>
      <w:r>
        <w:rPr>
          <w:rFonts w:hint="eastAsia" w:ascii="仿宋" w:hAnsi="仿宋" w:eastAsia="仿宋" w:cs="仿宋"/>
          <w:color w:val="auto"/>
          <w:sz w:val="24"/>
        </w:rPr>
        <w:t>详细的工程日志</w:t>
      </w:r>
    </w:p>
    <w:p>
      <w:pPr>
        <w:numPr>
          <w:ilvl w:val="0"/>
          <w:numId w:val="99"/>
        </w:numPr>
        <w:spacing w:line="360" w:lineRule="auto"/>
        <w:ind w:left="0" w:firstLine="852"/>
        <w:rPr>
          <w:rFonts w:ascii="仿宋" w:hAnsi="仿宋" w:eastAsia="仿宋" w:cs="仿宋"/>
          <w:color w:val="auto"/>
          <w:sz w:val="24"/>
        </w:rPr>
      </w:pPr>
      <w:r>
        <w:rPr>
          <w:rFonts w:hint="eastAsia" w:ascii="仿宋" w:hAnsi="仿宋" w:eastAsia="仿宋" w:cs="仿宋"/>
          <w:color w:val="auto"/>
          <w:sz w:val="24"/>
        </w:rPr>
        <w:t>系统完整文档</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其中，（1）、（2）项必须在安装调测前提供，（3）必须在工程实施过程中随时提供，并在工程实施后1 个月内汇总移交。所有的文档必须包括书面和电子两种形式。（4）在工程完成初验后，厂家提供完整的技术文档。</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请投标方在项目方案中列出提供的书面技术资料详细清单。</w:t>
      </w:r>
    </w:p>
    <w:p>
      <w:pPr>
        <w:autoSpaceDE w:val="0"/>
        <w:autoSpaceDN w:val="0"/>
        <w:spacing w:line="360" w:lineRule="auto"/>
        <w:rPr>
          <w:rFonts w:ascii="仿宋" w:hAnsi="仿宋" w:eastAsia="仿宋" w:cs="仿宋"/>
          <w:b/>
          <w:color w:val="auto"/>
          <w:kern w:val="0"/>
          <w:sz w:val="24"/>
          <w:lang w:val="zh-CN" w:bidi="zh-CN"/>
        </w:rPr>
      </w:pPr>
      <w:bookmarkStart w:id="749" w:name="_Toc40971644"/>
      <w:r>
        <w:rPr>
          <w:rFonts w:hint="eastAsia" w:ascii="仿宋" w:hAnsi="仿宋" w:eastAsia="仿宋" w:cs="仿宋"/>
          <w:b/>
          <w:color w:val="auto"/>
          <w:kern w:val="0"/>
          <w:sz w:val="24"/>
          <w:lang w:val="zh-CN" w:bidi="zh-CN"/>
        </w:rPr>
        <w:t>9.</w:t>
      </w:r>
      <w:r>
        <w:rPr>
          <w:rFonts w:hint="eastAsia" w:ascii="仿宋" w:hAnsi="仿宋" w:eastAsia="仿宋" w:cs="仿宋"/>
          <w:color w:val="auto"/>
          <w:kern w:val="0"/>
          <w:sz w:val="20"/>
          <w:szCs w:val="20"/>
        </w:rPr>
        <w:t>▲</w:t>
      </w:r>
      <w:r>
        <w:rPr>
          <w:rFonts w:hint="eastAsia" w:ascii="仿宋" w:hAnsi="仿宋" w:eastAsia="仿宋" w:cs="仿宋"/>
          <w:b/>
          <w:color w:val="auto"/>
          <w:kern w:val="0"/>
          <w:sz w:val="24"/>
          <w:lang w:val="zh-CN" w:bidi="zh-CN"/>
        </w:rPr>
        <w:t>项目协作要求</w:t>
      </w:r>
      <w:bookmarkEnd w:id="749"/>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中标单位须配合其它相关子系统中标单位。</w:t>
      </w:r>
    </w:p>
    <w:p>
      <w:pPr>
        <w:autoSpaceDE w:val="0"/>
        <w:autoSpaceDN w:val="0"/>
        <w:spacing w:line="360" w:lineRule="auto"/>
        <w:rPr>
          <w:rFonts w:ascii="仿宋" w:hAnsi="仿宋" w:eastAsia="仿宋" w:cs="仿宋"/>
          <w:b/>
          <w:color w:val="auto"/>
          <w:kern w:val="0"/>
          <w:sz w:val="24"/>
          <w:lang w:val="zh-CN" w:bidi="zh-CN"/>
        </w:rPr>
      </w:pPr>
      <w:bookmarkStart w:id="750" w:name="_Toc40971645"/>
      <w:r>
        <w:rPr>
          <w:rFonts w:hint="eastAsia" w:ascii="仿宋" w:hAnsi="仿宋" w:eastAsia="仿宋" w:cs="仿宋"/>
          <w:b/>
          <w:color w:val="auto"/>
          <w:kern w:val="0"/>
          <w:sz w:val="24"/>
          <w:lang w:val="zh-CN" w:bidi="zh-CN"/>
        </w:rPr>
        <w:t>10.</w:t>
      </w:r>
      <w:r>
        <w:rPr>
          <w:rFonts w:hint="eastAsia" w:ascii="仿宋" w:hAnsi="仿宋" w:eastAsia="仿宋" w:cs="仿宋"/>
          <w:color w:val="auto"/>
          <w:kern w:val="0"/>
          <w:sz w:val="20"/>
          <w:szCs w:val="20"/>
        </w:rPr>
        <w:t>▲</w:t>
      </w:r>
      <w:r>
        <w:rPr>
          <w:rFonts w:hint="eastAsia" w:ascii="仿宋" w:hAnsi="仿宋" w:eastAsia="仿宋" w:cs="仿宋"/>
          <w:b/>
          <w:color w:val="auto"/>
          <w:kern w:val="0"/>
          <w:sz w:val="24"/>
          <w:lang w:val="zh-CN" w:bidi="zh-CN"/>
        </w:rPr>
        <w:t>项目计划要求</w:t>
      </w:r>
      <w:bookmarkEnd w:id="750"/>
    </w:p>
    <w:p>
      <w:pPr>
        <w:autoSpaceDE w:val="0"/>
        <w:autoSpaceDN w:val="0"/>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服务期限：签订合同之日起至2021年</w:t>
      </w:r>
      <w:r>
        <w:rPr>
          <w:rFonts w:hint="eastAsia" w:ascii="仿宋" w:hAnsi="仿宋" w:eastAsia="仿宋" w:cs="仿宋"/>
          <w:color w:val="auto"/>
          <w:sz w:val="24"/>
        </w:rPr>
        <w:t>6</w:t>
      </w:r>
      <w:r>
        <w:rPr>
          <w:rFonts w:hint="eastAsia" w:ascii="仿宋" w:hAnsi="仿宋" w:eastAsia="仿宋" w:cs="仿宋"/>
          <w:color w:val="auto"/>
          <w:sz w:val="24"/>
          <w:lang w:val="zh-CN"/>
        </w:rPr>
        <w:t>底前完成系统初验，进入试运行，试运行期至少3个月，2021年底前完成系统终验。</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在工程实施全过程中，招</w:t>
      </w:r>
      <w:r>
        <w:rPr>
          <w:rFonts w:hint="eastAsia" w:ascii="仿宋" w:hAnsi="仿宋" w:eastAsia="仿宋" w:cs="仿宋"/>
          <w:color w:val="auto"/>
          <w:sz w:val="24"/>
        </w:rPr>
        <w:t>标</w:t>
      </w:r>
      <w:r>
        <w:rPr>
          <w:rFonts w:hint="eastAsia" w:ascii="仿宋" w:hAnsi="仿宋" w:eastAsia="仿宋" w:cs="仿宋"/>
          <w:bCs/>
          <w:color w:val="auto"/>
          <w:sz w:val="24"/>
        </w:rPr>
        <w:t>方有对工程质量进行监督控制的职责和权利，中标单位应按照项目管理要求进行严格的质量控制，并制定详细合理的沟通计划，至少包括周报、月报和项目例会，应确保双方能及时了解所需的信息。</w:t>
      </w:r>
    </w:p>
    <w:p>
      <w:pPr>
        <w:autoSpaceDE w:val="0"/>
        <w:autoSpaceDN w:val="0"/>
        <w:spacing w:line="360" w:lineRule="auto"/>
        <w:rPr>
          <w:rFonts w:ascii="仿宋" w:hAnsi="仿宋" w:eastAsia="仿宋" w:cs="仿宋"/>
          <w:b/>
          <w:color w:val="auto"/>
          <w:kern w:val="0"/>
          <w:sz w:val="24"/>
          <w:lang w:val="zh-CN" w:bidi="zh-CN"/>
        </w:rPr>
      </w:pPr>
      <w:bookmarkStart w:id="751" w:name="_Toc40971646"/>
      <w:r>
        <w:rPr>
          <w:rFonts w:hint="eastAsia" w:ascii="仿宋" w:hAnsi="仿宋" w:eastAsia="仿宋" w:cs="仿宋"/>
          <w:b/>
          <w:color w:val="auto"/>
          <w:kern w:val="0"/>
          <w:sz w:val="24"/>
          <w:lang w:val="zh-CN" w:bidi="zh-CN"/>
        </w:rPr>
        <w:t>11.</w:t>
      </w:r>
      <w:r>
        <w:rPr>
          <w:rFonts w:hint="eastAsia" w:ascii="仿宋" w:hAnsi="仿宋" w:eastAsia="仿宋" w:cs="仿宋"/>
          <w:color w:val="auto"/>
          <w:kern w:val="0"/>
          <w:sz w:val="20"/>
          <w:szCs w:val="20"/>
        </w:rPr>
        <w:t>▲</w:t>
      </w:r>
      <w:r>
        <w:rPr>
          <w:rFonts w:hint="eastAsia" w:ascii="仿宋" w:hAnsi="仿宋" w:eastAsia="仿宋" w:cs="仿宋"/>
          <w:b/>
          <w:color w:val="auto"/>
          <w:kern w:val="0"/>
          <w:sz w:val="24"/>
          <w:lang w:val="zh-CN" w:bidi="zh-CN"/>
        </w:rPr>
        <w:t>保密要求</w:t>
      </w:r>
      <w:bookmarkEnd w:id="751"/>
    </w:p>
    <w:p>
      <w:pPr>
        <w:adjustRightInd w:val="0"/>
        <w:spacing w:line="360" w:lineRule="auto"/>
        <w:ind w:firstLine="480" w:firstLineChars="200"/>
        <w:textAlignment w:val="baseline"/>
        <w:rPr>
          <w:rFonts w:ascii="仿宋" w:hAnsi="仿宋" w:eastAsia="仿宋" w:cs="仿宋"/>
          <w:color w:val="auto"/>
          <w:sz w:val="24"/>
        </w:rPr>
      </w:pPr>
      <w:r>
        <w:rPr>
          <w:rFonts w:hint="eastAsia" w:ascii="仿宋" w:hAnsi="仿宋" w:eastAsia="仿宋" w:cs="仿宋"/>
          <w:color w:val="auto"/>
          <w:sz w:val="24"/>
        </w:rPr>
        <w:t>中标单位中标单位中标单位(含项目组所有成员)必须对项目技术文件以及由招标人提供的所有内部资料、技术文档、数据和信息予以保密。中标单位中标单位中标单位必须与招标人签订保密协议并严格遵守，未经招标人书面许可，中标单位中标单位中标单位不得以任何形式向第三方透露本项目标书以及本项目的任何内容。</w:t>
      </w:r>
    </w:p>
    <w:p>
      <w:pPr>
        <w:autoSpaceDE w:val="0"/>
        <w:autoSpaceDN w:val="0"/>
        <w:spacing w:line="360" w:lineRule="auto"/>
        <w:rPr>
          <w:rFonts w:ascii="仿宋" w:hAnsi="仿宋" w:eastAsia="仿宋" w:cs="仿宋"/>
          <w:b/>
          <w:color w:val="auto"/>
          <w:kern w:val="0"/>
          <w:sz w:val="24"/>
          <w:lang w:val="zh-CN" w:bidi="zh-CN"/>
        </w:rPr>
      </w:pPr>
      <w:bookmarkStart w:id="752" w:name="_Toc40971647"/>
      <w:r>
        <w:rPr>
          <w:rFonts w:hint="eastAsia" w:ascii="仿宋" w:hAnsi="仿宋" w:eastAsia="仿宋" w:cs="仿宋"/>
          <w:b/>
          <w:color w:val="auto"/>
          <w:kern w:val="0"/>
          <w:sz w:val="24"/>
          <w:lang w:val="zh-CN" w:bidi="zh-CN"/>
        </w:rPr>
        <w:t>12.</w:t>
      </w:r>
      <w:r>
        <w:rPr>
          <w:rFonts w:hint="eastAsia" w:ascii="仿宋" w:hAnsi="仿宋" w:eastAsia="仿宋" w:cs="仿宋"/>
          <w:color w:val="auto"/>
          <w:kern w:val="0"/>
          <w:sz w:val="20"/>
          <w:szCs w:val="20"/>
        </w:rPr>
        <w:t>▲</w:t>
      </w:r>
      <w:r>
        <w:rPr>
          <w:rFonts w:hint="eastAsia" w:ascii="仿宋" w:hAnsi="仿宋" w:eastAsia="仿宋" w:cs="仿宋"/>
          <w:b/>
          <w:color w:val="auto"/>
          <w:kern w:val="0"/>
          <w:sz w:val="24"/>
          <w:lang w:val="zh-CN" w:bidi="zh-CN"/>
        </w:rPr>
        <w:t>项目验收标准与要求</w:t>
      </w:r>
      <w:bookmarkEnd w:id="752"/>
    </w:p>
    <w:p>
      <w:pPr>
        <w:adjustRightInd w:val="0"/>
        <w:spacing w:line="360" w:lineRule="auto"/>
        <w:ind w:left="360" w:firstLine="482" w:firstLineChars="200"/>
        <w:textAlignment w:val="baseline"/>
        <w:rPr>
          <w:rFonts w:ascii="仿宋" w:hAnsi="仿宋" w:eastAsia="仿宋" w:cs="仿宋"/>
          <w:b/>
          <w:color w:val="auto"/>
          <w:kern w:val="0"/>
          <w:sz w:val="24"/>
        </w:rPr>
      </w:pPr>
      <w:r>
        <w:rPr>
          <w:rFonts w:hint="eastAsia" w:ascii="仿宋" w:hAnsi="仿宋" w:eastAsia="仿宋" w:cs="仿宋"/>
          <w:b/>
          <w:color w:val="auto"/>
          <w:kern w:val="0"/>
          <w:sz w:val="24"/>
        </w:rPr>
        <w:t>12.1.验收总体要求</w:t>
      </w:r>
    </w:p>
    <w:p>
      <w:pPr>
        <w:tabs>
          <w:tab w:val="left" w:pos="1301"/>
        </w:tabs>
        <w:autoSpaceDE w:val="0"/>
        <w:autoSpaceDN w:val="0"/>
        <w:adjustRightInd w:val="0"/>
        <w:spacing w:line="360" w:lineRule="auto"/>
        <w:ind w:left="220" w:right="315" w:firstLine="480"/>
        <w:rPr>
          <w:rFonts w:ascii="仿宋" w:hAnsi="仿宋" w:eastAsia="仿宋" w:cs="仿宋"/>
          <w:color w:val="auto"/>
          <w:sz w:val="24"/>
          <w:lang w:val="zh-CN" w:bidi="zh-CN"/>
        </w:rPr>
      </w:pPr>
      <w:r>
        <w:rPr>
          <w:rFonts w:hint="eastAsia" w:ascii="仿宋" w:hAnsi="仿宋" w:eastAsia="仿宋" w:cs="仿宋"/>
          <w:color w:val="auto"/>
          <w:sz w:val="24"/>
          <w:lang w:val="zh-CN" w:bidi="zh-CN"/>
        </w:rPr>
        <w:t>项目验收标准：按照国家医疗保障局和海南省医疗保障局要求，协同其他业务子系统，满足采购人提出的业务需求。如果项目未完成验收前，由于相关政策导致业务发生变化进行升级或调整，中标单位应按照最新政策和最新技术标准方案完成本项建设。</w:t>
      </w:r>
    </w:p>
    <w:p>
      <w:pPr>
        <w:tabs>
          <w:tab w:val="left" w:pos="1301"/>
        </w:tabs>
        <w:autoSpaceDE w:val="0"/>
        <w:autoSpaceDN w:val="0"/>
        <w:adjustRightInd w:val="0"/>
        <w:spacing w:line="360" w:lineRule="auto"/>
        <w:ind w:left="220" w:right="315" w:firstLine="480"/>
        <w:rPr>
          <w:rFonts w:ascii="仿宋" w:hAnsi="仿宋" w:eastAsia="仿宋" w:cs="仿宋"/>
          <w:color w:val="auto"/>
          <w:sz w:val="24"/>
          <w:lang w:val="zh-CN" w:bidi="zh-CN"/>
        </w:rPr>
      </w:pPr>
      <w:r>
        <w:rPr>
          <w:rFonts w:hint="eastAsia" w:ascii="仿宋" w:hAnsi="仿宋" w:eastAsia="仿宋" w:cs="仿宋"/>
          <w:color w:val="auto"/>
          <w:sz w:val="24"/>
          <w:lang w:val="zh-CN" w:bidi="zh-CN"/>
        </w:rPr>
        <w:t>投标人负责组织所投电子签章产品制造厂商合格的技术人员完成供货设备及软件的安装、测试和安装验收以及终验，并解决此过程中出现的有关问题，系统调试结束后，由投标人和原厂商签字后交给采购人验收，提供项目与技术服务以及安装验收过程中应提供的完整文档。</w:t>
      </w:r>
    </w:p>
    <w:p>
      <w:pPr>
        <w:tabs>
          <w:tab w:val="left" w:pos="1301"/>
        </w:tabs>
        <w:autoSpaceDE w:val="0"/>
        <w:autoSpaceDN w:val="0"/>
        <w:adjustRightInd w:val="0"/>
        <w:spacing w:line="360" w:lineRule="auto"/>
        <w:ind w:left="220" w:right="315" w:firstLine="480"/>
        <w:rPr>
          <w:rFonts w:ascii="仿宋" w:hAnsi="仿宋" w:eastAsia="仿宋" w:cs="仿宋"/>
          <w:color w:val="auto"/>
          <w:sz w:val="24"/>
          <w:lang w:val="zh-CN" w:bidi="zh-CN"/>
        </w:rPr>
      </w:pPr>
      <w:r>
        <w:rPr>
          <w:rFonts w:hint="eastAsia" w:ascii="仿宋" w:hAnsi="仿宋" w:eastAsia="仿宋" w:cs="仿宋"/>
          <w:color w:val="auto"/>
          <w:sz w:val="24"/>
          <w:lang w:val="zh-CN" w:bidi="zh-CN"/>
        </w:rPr>
        <w:t>由海南省医疗保障局统一组织，招标人与相关人员组成验收小组完成验收。双方根据最终验收情况，编写最终验收报告。中标单位应完成项目验收资料的准备。</w:t>
      </w:r>
    </w:p>
    <w:p>
      <w:pPr>
        <w:tabs>
          <w:tab w:val="left" w:pos="1301"/>
        </w:tabs>
        <w:autoSpaceDE w:val="0"/>
        <w:autoSpaceDN w:val="0"/>
        <w:adjustRightInd w:val="0"/>
        <w:spacing w:line="360" w:lineRule="auto"/>
        <w:ind w:left="220" w:right="315" w:firstLine="480"/>
        <w:rPr>
          <w:rFonts w:ascii="仿宋" w:hAnsi="仿宋" w:eastAsia="仿宋" w:cs="仿宋"/>
          <w:color w:val="auto"/>
          <w:sz w:val="24"/>
          <w:lang w:val="zh-CN" w:bidi="zh-CN"/>
        </w:rPr>
      </w:pPr>
      <w:r>
        <w:rPr>
          <w:rFonts w:hint="eastAsia" w:ascii="仿宋" w:hAnsi="仿宋" w:eastAsia="仿宋" w:cs="仿宋"/>
          <w:color w:val="auto"/>
          <w:sz w:val="24"/>
          <w:lang w:val="zh-CN" w:bidi="zh-CN"/>
        </w:rPr>
        <w:t>在服务过程中出现性能指标或功能上不符合标书和合同要求时，由中标单位负责解决，招标人有拒绝验收的权利并保留索赔权利。</w:t>
      </w:r>
    </w:p>
    <w:p>
      <w:pPr>
        <w:tabs>
          <w:tab w:val="left" w:pos="1301"/>
        </w:tabs>
        <w:autoSpaceDE w:val="0"/>
        <w:autoSpaceDN w:val="0"/>
        <w:adjustRightInd w:val="0"/>
        <w:spacing w:line="360" w:lineRule="auto"/>
        <w:ind w:left="220" w:right="315" w:firstLine="480"/>
        <w:rPr>
          <w:rFonts w:ascii="仿宋" w:hAnsi="仿宋" w:eastAsia="仿宋" w:cs="仿宋"/>
          <w:color w:val="auto"/>
          <w:sz w:val="24"/>
          <w:lang w:val="zh-CN" w:bidi="zh-CN"/>
        </w:rPr>
      </w:pPr>
      <w:r>
        <w:rPr>
          <w:rFonts w:hint="eastAsia" w:ascii="仿宋" w:hAnsi="仿宋" w:eastAsia="仿宋" w:cs="仿宋"/>
          <w:color w:val="auto"/>
          <w:sz w:val="24"/>
          <w:lang w:val="zh-CN" w:bidi="zh-CN"/>
        </w:rPr>
        <w:t>本项目的实施过程中将产生大量的技术及管理文档，中标单位应协助招标人，负责建立、维护、交接项目实施过程中产生的各类文档，确保项目文档的内容体现本项目的实施过程，并确保项目文档的完整性和准确性。</w:t>
      </w:r>
    </w:p>
    <w:p>
      <w:pPr>
        <w:adjustRightInd w:val="0"/>
        <w:spacing w:line="360" w:lineRule="auto"/>
        <w:ind w:left="359" w:leftChars="171"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投标人按照要求提交全部文档，通过验收，视为本项工作完成。</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（1）验收组织</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项目验收分为初验和终验，都由招标方组织进行。</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（2）初验流程</w:t>
      </w:r>
    </w:p>
    <w:p>
      <w:pPr>
        <w:numPr>
          <w:ilvl w:val="0"/>
          <w:numId w:val="100"/>
        </w:numPr>
        <w:spacing w:line="360" w:lineRule="auto"/>
        <w:ind w:left="0" w:firstLine="852"/>
        <w:rPr>
          <w:rFonts w:ascii="仿宋" w:hAnsi="仿宋" w:eastAsia="仿宋" w:cs="仿宋"/>
          <w:color w:val="auto"/>
          <w:sz w:val="24"/>
        </w:rPr>
      </w:pPr>
      <w:r>
        <w:rPr>
          <w:rFonts w:hint="eastAsia" w:ascii="仿宋" w:hAnsi="仿宋" w:eastAsia="仿宋" w:cs="仿宋"/>
          <w:color w:val="auto"/>
          <w:sz w:val="24"/>
        </w:rPr>
        <w:t>招标方依据相关批复文件、招标采购文件、合同，对项目的工程、技术、财务和档案等进行验收，形成验收报告。</w:t>
      </w:r>
    </w:p>
    <w:p>
      <w:pPr>
        <w:numPr>
          <w:ilvl w:val="0"/>
          <w:numId w:val="100"/>
        </w:numPr>
        <w:spacing w:line="360" w:lineRule="auto"/>
        <w:ind w:left="0" w:firstLine="852"/>
        <w:rPr>
          <w:rFonts w:ascii="仿宋" w:hAnsi="仿宋" w:eastAsia="仿宋" w:cs="仿宋"/>
          <w:color w:val="auto"/>
          <w:sz w:val="24"/>
        </w:rPr>
      </w:pPr>
      <w:r>
        <w:rPr>
          <w:rFonts w:hint="eastAsia" w:ascii="仿宋" w:hAnsi="仿宋" w:eastAsia="仿宋" w:cs="仿宋"/>
          <w:color w:val="auto"/>
          <w:sz w:val="24"/>
        </w:rPr>
        <w:t>项目初验后进入试运行，试运行期至少3 个月。</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（2）终验流程</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招标方组织成立验收组，负责开展终验的先期基础性工作，重点检查项目建设、设计、监理、施工、招标采购、档案资料、预（概）算执行和财务决算等情况，提出验收评价意见和建议。</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（3）验收内容</w:t>
      </w:r>
    </w:p>
    <w:p>
      <w:pPr>
        <w:numPr>
          <w:ilvl w:val="0"/>
          <w:numId w:val="101"/>
        </w:numPr>
        <w:spacing w:line="360" w:lineRule="auto"/>
        <w:ind w:left="0" w:firstLine="852"/>
        <w:rPr>
          <w:rFonts w:ascii="仿宋" w:hAnsi="仿宋" w:eastAsia="仿宋" w:cs="仿宋"/>
          <w:color w:val="auto"/>
          <w:sz w:val="24"/>
        </w:rPr>
      </w:pPr>
      <w:r>
        <w:rPr>
          <w:rFonts w:hint="eastAsia" w:ascii="仿宋" w:hAnsi="仿宋" w:eastAsia="仿宋" w:cs="仿宋"/>
          <w:color w:val="auto"/>
          <w:sz w:val="24"/>
        </w:rPr>
        <w:t>审查项目的建设目标、规模、内容、质量及资金使用等情况。</w:t>
      </w:r>
    </w:p>
    <w:p>
      <w:pPr>
        <w:numPr>
          <w:ilvl w:val="0"/>
          <w:numId w:val="101"/>
        </w:numPr>
        <w:spacing w:line="360" w:lineRule="auto"/>
        <w:ind w:left="0" w:firstLine="852"/>
        <w:rPr>
          <w:rFonts w:ascii="仿宋" w:hAnsi="仿宋" w:eastAsia="仿宋" w:cs="仿宋"/>
          <w:color w:val="auto"/>
          <w:sz w:val="24"/>
        </w:rPr>
      </w:pPr>
      <w:r>
        <w:rPr>
          <w:rFonts w:hint="eastAsia" w:ascii="仿宋" w:hAnsi="仿宋" w:eastAsia="仿宋" w:cs="仿宋"/>
          <w:color w:val="auto"/>
          <w:sz w:val="24"/>
        </w:rPr>
        <w:t>审核项目形成的资产情况。</w:t>
      </w:r>
    </w:p>
    <w:p>
      <w:pPr>
        <w:numPr>
          <w:ilvl w:val="0"/>
          <w:numId w:val="101"/>
        </w:numPr>
        <w:spacing w:line="360" w:lineRule="auto"/>
        <w:ind w:left="0" w:firstLine="852"/>
        <w:rPr>
          <w:rFonts w:ascii="仿宋" w:hAnsi="仿宋" w:eastAsia="仿宋" w:cs="仿宋"/>
          <w:color w:val="auto"/>
          <w:sz w:val="24"/>
        </w:rPr>
      </w:pPr>
      <w:r>
        <w:rPr>
          <w:rFonts w:hint="eastAsia" w:ascii="仿宋" w:hAnsi="仿宋" w:eastAsia="仿宋" w:cs="仿宋"/>
          <w:color w:val="auto"/>
          <w:sz w:val="24"/>
        </w:rPr>
        <w:t>评价项目交付使用情况。</w:t>
      </w:r>
    </w:p>
    <w:p>
      <w:pPr>
        <w:numPr>
          <w:ilvl w:val="0"/>
          <w:numId w:val="101"/>
        </w:numPr>
        <w:spacing w:line="360" w:lineRule="auto"/>
        <w:ind w:left="0" w:firstLine="852"/>
        <w:rPr>
          <w:rFonts w:ascii="仿宋" w:hAnsi="仿宋" w:eastAsia="仿宋" w:cs="仿宋"/>
          <w:color w:val="auto"/>
          <w:sz w:val="24"/>
        </w:rPr>
      </w:pPr>
      <w:r>
        <w:rPr>
          <w:rFonts w:hint="eastAsia" w:ascii="仿宋" w:hAnsi="仿宋" w:eastAsia="仿宋" w:cs="仿宋"/>
          <w:color w:val="auto"/>
          <w:sz w:val="24"/>
        </w:rPr>
        <w:t>检查项目建设单位执行国家法律、法规情况。</w:t>
      </w:r>
    </w:p>
    <w:p>
      <w:pPr>
        <w:adjustRightInd w:val="0"/>
        <w:spacing w:line="360" w:lineRule="auto"/>
        <w:ind w:firstLine="480" w:firstLineChars="200"/>
        <w:textAlignment w:val="baseline"/>
        <w:rPr>
          <w:rFonts w:ascii="仿宋" w:hAnsi="仿宋" w:eastAsia="仿宋" w:cs="仿宋"/>
          <w:color w:val="auto"/>
          <w:kern w:val="0"/>
          <w:sz w:val="24"/>
        </w:rPr>
      </w:pPr>
      <w:r>
        <w:rPr>
          <w:rFonts w:hint="eastAsia" w:ascii="仿宋" w:hAnsi="仿宋" w:eastAsia="仿宋" w:cs="仿宋"/>
          <w:color w:val="auto"/>
          <w:kern w:val="0"/>
          <w:sz w:val="24"/>
        </w:rPr>
        <w:t>（4）验收相关材料</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中标单位须负责整理并提供以下验收材料，包括但不限于：项目实施方案、项目合同、项目建设总结、项目建设相关文档、初步验收报告、软件测试报告等。</w:t>
      </w:r>
    </w:p>
    <w:p>
      <w:pPr>
        <w:autoSpaceDE w:val="0"/>
        <w:autoSpaceDN w:val="0"/>
        <w:spacing w:line="360" w:lineRule="auto"/>
        <w:rPr>
          <w:rFonts w:ascii="仿宋" w:hAnsi="仿宋" w:eastAsia="仿宋" w:cs="仿宋"/>
          <w:b/>
          <w:color w:val="auto"/>
          <w:kern w:val="0"/>
          <w:sz w:val="24"/>
          <w:lang w:val="zh-CN" w:bidi="zh-CN"/>
        </w:rPr>
      </w:pPr>
      <w:bookmarkStart w:id="753" w:name="_Toc40971648"/>
      <w:r>
        <w:rPr>
          <w:rFonts w:hint="eastAsia" w:ascii="仿宋" w:hAnsi="仿宋" w:eastAsia="仿宋" w:cs="仿宋"/>
          <w:b/>
          <w:color w:val="auto"/>
          <w:kern w:val="0"/>
          <w:sz w:val="24"/>
          <w:lang w:val="zh-CN" w:bidi="zh-CN"/>
        </w:rPr>
        <w:t>13.</w:t>
      </w:r>
      <w:r>
        <w:rPr>
          <w:rFonts w:hint="eastAsia" w:ascii="仿宋" w:hAnsi="仿宋" w:eastAsia="仿宋" w:cs="仿宋"/>
          <w:color w:val="auto"/>
          <w:kern w:val="0"/>
          <w:sz w:val="20"/>
          <w:szCs w:val="20"/>
        </w:rPr>
        <w:t>▲</w:t>
      </w:r>
      <w:r>
        <w:rPr>
          <w:rFonts w:hint="eastAsia" w:ascii="仿宋" w:hAnsi="仿宋" w:eastAsia="仿宋" w:cs="仿宋"/>
          <w:b/>
          <w:color w:val="auto"/>
          <w:kern w:val="0"/>
          <w:sz w:val="24"/>
          <w:lang w:val="zh-CN" w:bidi="zh-CN"/>
        </w:rPr>
        <w:t>其它要求</w:t>
      </w:r>
      <w:bookmarkEnd w:id="753"/>
    </w:p>
    <w:p>
      <w:pPr>
        <w:tabs>
          <w:tab w:val="left" w:pos="1301"/>
        </w:tabs>
        <w:autoSpaceDE w:val="0"/>
        <w:autoSpaceDN w:val="0"/>
        <w:spacing w:line="360" w:lineRule="auto"/>
        <w:ind w:right="318" w:firstLine="480" w:firstLineChars="200"/>
        <w:rPr>
          <w:rFonts w:ascii="仿宋" w:hAnsi="仿宋" w:eastAsia="仿宋" w:cs="仿宋"/>
          <w:color w:val="auto"/>
          <w:spacing w:val="-10"/>
          <w:kern w:val="0"/>
          <w:sz w:val="24"/>
        </w:rPr>
      </w:pPr>
      <w:r>
        <w:rPr>
          <w:rFonts w:hint="eastAsia" w:ascii="仿宋" w:hAnsi="仿宋" w:eastAsia="仿宋" w:cs="仿宋"/>
          <w:color w:val="auto"/>
          <w:kern w:val="0"/>
          <w:sz w:val="24"/>
        </w:rPr>
        <w:t>（1）</w:t>
      </w:r>
      <w:r>
        <w:rPr>
          <w:rFonts w:hint="eastAsia" w:ascii="仿宋" w:hAnsi="仿宋" w:eastAsia="仿宋" w:cs="仿宋"/>
          <w:color w:val="auto"/>
          <w:spacing w:val="-10"/>
          <w:kern w:val="0"/>
          <w:sz w:val="24"/>
        </w:rPr>
        <w:t>投标方承诺：如投标单位在海南省无分公司或办事处，须承诺中标后在海南省注册分公司或办事处，办公地址须在海南省医疗保障局周边半径2公里范围内。</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（2）当招标方有新需求，而本文又未包括或与本文不符时，则应符合招标方新需求；对于招标方尚未有标准的，而本文又未提及的部分，中标单位提出其标准，留待双方认可后执行。</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（3）中标单位应确保其技术建议的可行性以及所提供服务和产品的完整性，若出现由于中标单位所提供的服务和产品不全面而导致系统功能无法实现或不能完全实现，由中标单位及时无偿补足，并负全部责任。</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4）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（5）投标方承诺承担驻场工程师就餐和相关差旅费用，并提供驻场工程师办公电脑、打印机等设备。</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（6）投标方承诺本项目合作终止后1年内，无条件配合招标方进行数据迁移、数据字典提供、数据结构提供、对相关实现方式讲解。</w:t>
      </w:r>
    </w:p>
    <w:p>
      <w:pPr>
        <w:adjustRightIn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（7）本项目建设内容、需求若有变化，与本文不符的，则按照招标方与投标方友好协商修订为准。</w:t>
      </w:r>
    </w:p>
    <w:p>
      <w:pPr>
        <w:widowControl/>
        <w:shd w:val="clear" w:color="auto" w:fill="FFFFFF"/>
        <w:spacing w:line="360" w:lineRule="auto"/>
        <w:ind w:firstLine="200"/>
        <w:jc w:val="left"/>
        <w:rPr>
          <w:rFonts w:ascii="仿宋" w:hAnsi="仿宋" w:eastAsia="仿宋" w:cs="仿宋"/>
          <w:color w:val="auto"/>
          <w:kern w:val="0"/>
          <w:sz w:val="24"/>
        </w:rPr>
      </w:pPr>
    </w:p>
    <w:p>
      <w:pPr>
        <w:spacing w:line="360" w:lineRule="auto"/>
        <w:rPr>
          <w:rFonts w:ascii="仿宋" w:hAnsi="仿宋" w:eastAsia="仿宋" w:cs="仿宋"/>
          <w:color w:val="auto"/>
          <w:sz w:val="24"/>
        </w:rPr>
      </w:pPr>
    </w:p>
    <w:p>
      <w:pPr>
        <w:spacing w:line="360" w:lineRule="auto"/>
        <w:rPr>
          <w:rFonts w:ascii="仿宋" w:hAnsi="仿宋" w:eastAsia="仿宋" w:cs="仿宋"/>
          <w:color w:val="auto"/>
          <w:sz w:val="24"/>
        </w:rPr>
      </w:pPr>
    </w:p>
    <w:p>
      <w:pPr>
        <w:spacing w:line="360" w:lineRule="auto"/>
        <w:rPr>
          <w:rFonts w:ascii="仿宋" w:hAnsi="仿宋" w:eastAsia="仿宋" w:cs="仿宋"/>
          <w:color w:val="auto"/>
          <w:sz w:val="24"/>
        </w:rPr>
      </w:pPr>
    </w:p>
    <w:p>
      <w:pPr>
        <w:spacing w:line="360" w:lineRule="auto"/>
        <w:rPr>
          <w:rFonts w:ascii="仿宋" w:hAnsi="仿宋" w:eastAsia="仿宋" w:cs="仿宋"/>
          <w:color w:val="auto"/>
          <w:sz w:val="24"/>
        </w:rPr>
      </w:pPr>
    </w:p>
    <w:p>
      <w:pPr>
        <w:spacing w:line="360" w:lineRule="auto"/>
        <w:rPr>
          <w:rFonts w:ascii="仿宋" w:hAnsi="仿宋" w:eastAsia="仿宋" w:cs="仿宋"/>
          <w:color w:val="auto"/>
          <w:sz w:val="24"/>
        </w:rPr>
      </w:pPr>
    </w:p>
    <w:p>
      <w:pPr>
        <w:spacing w:line="360" w:lineRule="auto"/>
        <w:rPr>
          <w:rFonts w:ascii="仿宋" w:hAnsi="仿宋" w:eastAsia="仿宋" w:cs="仿宋"/>
          <w:color w:val="auto"/>
          <w:sz w:val="24"/>
        </w:rPr>
      </w:pPr>
    </w:p>
    <w:p>
      <w:pPr>
        <w:spacing w:line="360" w:lineRule="auto"/>
        <w:rPr>
          <w:rFonts w:ascii="仿宋" w:hAnsi="仿宋" w:eastAsia="仿宋" w:cs="仿宋"/>
          <w:color w:val="auto"/>
          <w:sz w:val="24"/>
        </w:rPr>
      </w:pPr>
    </w:p>
    <w:p>
      <w:pPr>
        <w:spacing w:line="360" w:lineRule="auto"/>
        <w:rPr>
          <w:rFonts w:ascii="仿宋" w:hAnsi="仿宋" w:eastAsia="仿宋" w:cs="仿宋"/>
          <w:color w:val="auto"/>
          <w:sz w:val="24"/>
        </w:rPr>
      </w:pPr>
    </w:p>
    <w:p>
      <w:pPr>
        <w:spacing w:line="360" w:lineRule="auto"/>
        <w:rPr>
          <w:rFonts w:ascii="仿宋" w:hAnsi="仿宋" w:eastAsia="仿宋" w:cs="仿宋"/>
          <w:color w:val="auto"/>
          <w:sz w:val="24"/>
        </w:rPr>
      </w:pPr>
    </w:p>
    <w:p>
      <w:pPr>
        <w:spacing w:line="360" w:lineRule="auto"/>
        <w:rPr>
          <w:rFonts w:ascii="仿宋" w:hAnsi="仿宋" w:eastAsia="仿宋" w:cs="仿宋"/>
          <w:color w:val="auto"/>
          <w:sz w:val="24"/>
        </w:rPr>
      </w:pPr>
    </w:p>
    <w:p>
      <w:pPr>
        <w:spacing w:line="360" w:lineRule="auto"/>
        <w:rPr>
          <w:rFonts w:ascii="仿宋" w:hAnsi="仿宋" w:eastAsia="仿宋"/>
          <w:color w:val="auto"/>
        </w:rPr>
      </w:pPr>
    </w:p>
    <w:p>
      <w:pPr>
        <w:spacing w:line="360" w:lineRule="auto"/>
        <w:rPr>
          <w:rFonts w:ascii="仿宋" w:hAnsi="仿宋" w:eastAsia="仿宋" w:cs="仿宋"/>
          <w:color w:val="auto"/>
          <w:sz w:val="24"/>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rPr>
          <w:rFonts w:ascii="仿宋" w:hAnsi="仿宋" w:eastAsia="仿宋"/>
          <w:color w:val="auto"/>
        </w:rPr>
      </w:pPr>
    </w:p>
    <w:p>
      <w:pPr>
        <w:spacing w:line="360" w:lineRule="auto"/>
        <w:rPr>
          <w:rFonts w:ascii="仿宋" w:hAnsi="仿宋" w:eastAsia="仿宋" w:cs="仿宋"/>
          <w:color w:val="auto"/>
          <w:sz w:val="24"/>
        </w:rPr>
        <w:sectPr>
          <w:pgSz w:w="11906" w:h="16838"/>
          <w:pgMar w:top="1440" w:right="1800" w:bottom="1440" w:left="1800" w:header="851" w:footer="992" w:gutter="0"/>
          <w:cols w:space="425" w:num="1"/>
          <w:docGrid w:type="lines" w:linePitch="312" w:charSpace="0"/>
        </w:sectPr>
      </w:pPr>
    </w:p>
    <w:p>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14包项目监理服务</w:t>
      </w:r>
    </w:p>
    <w:p>
      <w:pPr>
        <w:keepNext/>
        <w:keepLines/>
        <w:spacing w:line="360" w:lineRule="auto"/>
        <w:rPr>
          <w:rFonts w:ascii="仿宋" w:hAnsi="仿宋" w:eastAsia="仿宋" w:cs="仿宋"/>
          <w:b/>
          <w:bCs/>
          <w:color w:val="auto"/>
          <w:kern w:val="44"/>
          <w:sz w:val="24"/>
        </w:rPr>
      </w:pPr>
      <w:bookmarkStart w:id="754" w:name="_Toc40908499"/>
      <w:r>
        <w:rPr>
          <w:rFonts w:hint="eastAsia" w:ascii="仿宋" w:hAnsi="仿宋" w:eastAsia="仿宋" w:cs="仿宋"/>
          <w:b/>
          <w:bCs/>
          <w:color w:val="auto"/>
          <w:kern w:val="44"/>
          <w:sz w:val="24"/>
        </w:rPr>
        <w:t>1.项目概述</w:t>
      </w:r>
      <w:bookmarkEnd w:id="754"/>
    </w:p>
    <w:p>
      <w:pPr>
        <w:keepNext/>
        <w:keepLines/>
        <w:spacing w:line="360" w:lineRule="auto"/>
        <w:ind w:firstLine="482" w:firstLineChars="200"/>
        <w:rPr>
          <w:rFonts w:ascii="仿宋" w:hAnsi="仿宋" w:eastAsia="仿宋" w:cs="仿宋"/>
          <w:b/>
          <w:bCs/>
          <w:color w:val="auto"/>
          <w:sz w:val="24"/>
        </w:rPr>
      </w:pPr>
      <w:bookmarkStart w:id="755" w:name="_Toc40908500"/>
      <w:r>
        <w:rPr>
          <w:rFonts w:hint="eastAsia" w:ascii="仿宋" w:hAnsi="仿宋" w:eastAsia="仿宋" w:cs="仿宋"/>
          <w:b/>
          <w:bCs/>
          <w:color w:val="auto"/>
          <w:sz w:val="24"/>
        </w:rPr>
        <w:t>1.1项目背景</w:t>
      </w:r>
      <w:bookmarkEnd w:id="755"/>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共中央《深化党和国家机构改革方案》中要求：（三十九）组建国家医疗保障局。医疗保险制度对于保障人民群众就医需求、减轻医药费用负担、提高健康水平有着重要作用。为完善统一的城乡居民基本医疗保险制度和大病保险制度，不断提高医疗保障水平，确保医保资金合理使用、安全可控，推进医疗、医保、医药“三医联动”改革，更好保障病有所医，将人力资源和社会保障部的城镇职工和城镇居民基本医疗保险、生育保险职责，国家卫生和计划生育委员会的新型农村合作医疗职责，国家发展和改革委员会的药品和医疗服务价格管理职责，民政部的医疗救助职责整合，组建国家医疗保障局，作为国务院直属机构。</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为加快推进医保信息化建设，国家医疗保障局印发《关于医疗保障信息化工作的指导意见》的通知（医保发〔2019〕1号），要求到“十三五”期末，初步建成标准统一、数据汇聚、规范协同的“内部管理、业务管理、生产经办、数据分析”四类系统组成的国家医疗保障信息化支撑体系，有效支撑全国医疗保障部门规范、高效、科学履职，支撑构建更加公平、可持续的医疗保障体系，在纵横一体、软硬协同的基础上，实现医疗保障信息化规范高效“大经办”、便捷可及“大服务”、智能精准“大治理”、融合共享“大协作”、在线可用“大数据”、安全可靠“大支撑”六大目标。</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海南省医疗保障局医疗保障信息平台建设遵循全国医疗保障信息化顶层设计和总体规划，依据全国统一的技术标准、业务标准、业务规范，打造医疗保障现代化支撑平台，助力自上而下医疗保障信息化“一盘棋”格局的形成，发挥信息化对医疗保障事业的支撑作用。</w:t>
      </w:r>
    </w:p>
    <w:p>
      <w:pPr>
        <w:keepNext/>
        <w:keepLines/>
        <w:spacing w:line="360" w:lineRule="auto"/>
        <w:rPr>
          <w:rFonts w:ascii="仿宋" w:hAnsi="仿宋" w:eastAsia="仿宋" w:cs="仿宋"/>
          <w:b/>
          <w:bCs/>
          <w:color w:val="auto"/>
          <w:kern w:val="44"/>
          <w:sz w:val="24"/>
        </w:rPr>
      </w:pPr>
      <w:bookmarkStart w:id="756" w:name="_Toc40908501"/>
      <w:r>
        <w:rPr>
          <w:rFonts w:hint="eastAsia" w:ascii="仿宋" w:hAnsi="仿宋" w:eastAsia="仿宋" w:cs="仿宋"/>
          <w:b/>
          <w:bCs/>
          <w:color w:val="auto"/>
          <w:kern w:val="44"/>
          <w:sz w:val="24"/>
        </w:rPr>
        <w:t>2.项目建设目标</w:t>
      </w:r>
      <w:bookmarkEnd w:id="756"/>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习近平新时代中国特色社会主义思想为指导，全面贯彻党的十九大、十九届二中三中全会精神和2019年全国“两会”精神，认真落实全国医疗保障工作会议座谈会精神，严格遵循《国家医疗保障局医疗保障信息化工作指导意见》及《医疗保障信息平台建设指南》，坚持“千方百计保基本、始终做到可持续、回应社会解民忧、敢于担当推改革”，以医保为龙头带动“三医联动”改革，以信息化建设为抓手推动医保覆盖与医保控费，积极融入医疗保障信息化全国“一盘棋”格局，为逐步构建起全国医保便捷可及“大服务”、规范高效“大经办”、智能精准“大治理”、融合共享“大协作”、在线可用“大数据”、安全可靠“大支撑”信息化支撑体系添枝加叶。</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针对海南地区人口经济发展差异和老龄化严重的社会问题及农垦职工医疗保险基金缺口等历史遗留问题，本项目按照国家医保局标准全国统一、数据两级集中、平台分级部署、网络全面覆盖的医疗保障信息化建设要求，注重顶层设计、统一业务标准、打造基础平台、做好数据汇集、强化协同共享、增强网络安全。依托国家平台与海南省平台之间的协作联通，使用国家下达的中台服务，贯彻表层应用能用即用，国家系统中未设计的表层应用，采用国家统一的中台进行组装的整体思路，建设海南省统一的医疗保障信息平台，实现医保全省统筹统收统支“九统一”的重点工作任务，即： 统一行政管理和稽查执法，统一医保发展规划，统一医保基金收缴，统一医保待遇政策，统一医保支付范围，统一医保基金管理，统一医保经办规程，统一医保定点机构，统一医保信息系统。进一步完善医疗保障制度体系，提升医疗保障基金监管，强化医保支付、深化医药服务价格改革、优化医疗保障管理服务水平，探索常住外籍人员医疗保障办法。发挥信息化对医疗保障事业的支撑作用。解决群众反映强烈的突出问题，不断提高人民群众医疗保障获利感、幸福感和安全感，助力提高医改整体效能同时促进海南自由贸易试验区快速建设和实施健康中国战略。</w:t>
      </w:r>
    </w:p>
    <w:p>
      <w:pPr>
        <w:keepNext/>
        <w:keepLines/>
        <w:spacing w:line="360" w:lineRule="auto"/>
        <w:rPr>
          <w:rFonts w:ascii="仿宋" w:hAnsi="仿宋" w:eastAsia="仿宋" w:cs="仿宋"/>
          <w:b/>
          <w:bCs/>
          <w:color w:val="auto"/>
          <w:kern w:val="44"/>
          <w:sz w:val="24"/>
        </w:rPr>
      </w:pPr>
      <w:bookmarkStart w:id="757" w:name="_Toc40908502"/>
      <w:r>
        <w:rPr>
          <w:rFonts w:hint="eastAsia" w:ascii="仿宋" w:hAnsi="仿宋" w:eastAsia="仿宋" w:cs="仿宋"/>
          <w:b/>
          <w:bCs/>
          <w:color w:val="auto"/>
          <w:kern w:val="44"/>
          <w:sz w:val="24"/>
        </w:rPr>
        <w:t>3.项目建设内容</w:t>
      </w:r>
      <w:bookmarkEnd w:id="757"/>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海南省医疗保障信息平台遵循统一设计、统一标准、统一技术架构、统一业务规范，支持横向纵向业务协同、信息共享。依据医疗保障信息平台建设指南，结合海南省医疗保障局实际情况，本期建设内容如下：</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3.1基础设施建设</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云基础设施建设：本项目由政务云提供计算资源、存储资源、网络资源、安全资源等各项云基础设施，实现计算资源、存储资源、网络资源的动态管理和资源调配。通过云基础设施为上层应用提供基础设施支撑。依托政务云建设医疗保障局双数据中心，实现业务系统应用级容灾，同时在数据中心本地建设备份系统。</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网络系统建设：依托电子政务外网、互联网，建设双数据中心主备容灾模式的网络系统，两数据中心之间以光纤链路进行交互。本项目网络架构采用spine-leaf结构同时结合VxLAN+SDN技术对整个网络进行管理和配置。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医保指挥中心建设：建设医保指挥中心，配置大屏、视频会议系统、音视频、网络接入及安全、数字时钟、视频会议室改造、供配电系统、操作台扩声系统、大屏显示系统、中控系统、计算机网络系统、综合布线系统等设备。</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3.2 DaaS层建设</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Daas层主要承载着各个业务系统的基础业务数据库，各个业务系统的生产数据全部存储在业务系统的生产数据库中，并通过镜像的方式同步到交换库中，从而通过交换库实现纵向与国家医疗保障信息平台交换库的数据交换，横向基于海南省数据交换平台或直连方式实现与海南省自然人库、法人库、电子证照库、地理信息库以及公安、民政、人社、卫健、扶贫、市场监督管理局等相关省级局办委之间的数据共享和交换。</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3.3 HSAF框架及云支撑服务</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海南省医疗保障信息平台建设依托“基于统一的技术框架”，包括HSAF（医疗保障应用框架）适配框架以及包括云服务总线、分布式数据库访问服务、分布式缓存在内的多种云支撑服务组件。云支撑服务具体包括分布式服务、消息队列服务、分布式缓存服务、分布式日志服务、分布式数据访问服务、关系型数据库、非结构化存储服务、分布式离线计算、分布式实时计算引擎、流计算引擎和云服务总线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3.4政务中台建设</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政务中台包括业务中台和数据中台。</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业务中台包括国家统一下发的分别部署在海南省医疗保障平台核心业务区和公共服务区的25个业务中心。其中省内核心业务区的业务中心包括基本信息中心、用户中心、统一认证中心、政策中心、参保中心、征缴中心、结算中心、电子凭证中心、电子档案中心、消息中心、风控中心、工作流引擎中心、报表中心和招采中心共14个业务中心。公共服务区业务中心包括统一认证中心、用户中心、服务事项中心、CMS中心、咨询中心、电子凭证中心、电子票据中心、消息推送中心、知识库中心、位置管理中心和个人服务中心共11个业务中心。</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数据中台基于数据资源池提供数据综合治理服务和数据计算服务。数据综合治理服务通过数据可视化、数据管理、数据开发等手段构建平台数据综合治理服务能力，实现数据的深度综合治理。数据计算服务通过构建各类数据计算服务能力，搭建机器学习、深度学习、分析预测、决策、计算框架等计算服务能力，为上层业务系统进行数据处理、数据计算、数据分析提供能力保障。</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中台建设内容将根据国家医保局的最新成果进行修订。</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3.5应用系统建设</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应用系统包括核心业务区的5个子系统和公共服务区的1个子系统。</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（1）核心业务区建设应用支撑子系统、业务经办子系统、支付方式管理子系统、综合管控子系统、智慧决策子系统等5个子系统。</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应用支撑子系统包括：内部统一门户模块、基础信息管理模块、专家库模块。</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业务经办子系统包括：医保基础业务模块、医疗救助模块、医保扶贫、跨省异地就医管理模块、医疗服务价格管理模块、医保结算收费平台模块。</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支付方式管理子系统做到支付参数与支付执行一致，实现支付方式的统一管理，包括对参保人支付和对医药机构支付两个方面。</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综合管控子系统包括：基金运行及审计监管模块、医疗保障智能监管模块、医保管家模块、内控管理模块、全生命周期档案管理模块。</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智慧决策子系统包括：信用评价管理模块和宏观决策大数据应用模块。</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（2）公共服务区建设公共服务子系统，包括：公共服务模块和医保药品和医用耗材招采管理模块。</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3.6访问入口建设</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核心业务区的访问入口主要包括网站和智能终端。对于实现有线连接的经办机构、定点医疗机构使用网站接入，对于电子政务外网暂时无法覆盖的经办机构，暂时未能实现有线接入的定点医疗机构使用VPDN+4G+智能终端的方式接入。</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公共服务区的访问入口支持多种渠道的访问，具体包括国家平台访问入口、海南省政务服务网访问入口、医保局网站、自助终端、小程序、互联网企业等第三方渠道等。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3.7标准规范体系</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次海南省医疗保障信息平台建设基于国家统一制定的国家医疗保障信息平台标准体系，结合海南省电子政务外网的接入标准规范、海南省人民政府政务服务中心的接入标准规范、海南省政务服务网等各级各类平台的接入标准规范要求进行建设。实现国家医疗保障信息平台总体标准标准规范体系、总体标准标准业务术语、系统建设标准、系统集成技术标准、网络安全开发标准、信息资源标准、外部系统交互规范、中台管理规范和数据归集标准、业务流程规范、业务管理规范和业务编码标准等12类标准规范的落地。在本项目建设过程中不涉及具体标准规范建设。</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3.8安全运维体系</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项目参考网络安全法、网络安全等级保护标准等国内相关安全标准并借鉴部署于云平台上信息系统安全防护的最佳实践经验，通过网络安全管理体系、网络安全技术体系和网络安全运营体系的建设，实现风险可控的建设目标。同时，制定运维体系保证信息化业务系统及硬件设施后期的安全稳定运行。</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3.9其他自助终端采购</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包括医保自助一体机，在省本级医保局及每个市县配置；医保高拍仪，在每个市县医保局、社保局配置。</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3.10数据迁移</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数据迁移是指对原医保相关系统中的医保数据，经过数据整理、环境准备、数据分析转换、数据同步、数据验证与测试等操作，实现原系统中的医保数据在医保新建系统中得到复用的过程。</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数据迁移包括多项工作：旧系统数据字典整理、旧系统数据质量分析、新系统数据字典整理、新旧系统数据差异分析、建立新旧系统数据之间的映射关系、开发部署数据转换与迁移工具/程序/脚本、制定数据转换与迁移的实施方案和应急方案、按方案实施旧系统数据到新系统的转换与迁移工作、检查转换与迁移后数据的完整性与正确性。</w:t>
      </w:r>
    </w:p>
    <w:p>
      <w:pPr>
        <w:keepNext/>
        <w:keepLines/>
        <w:spacing w:line="360" w:lineRule="auto"/>
        <w:rPr>
          <w:rFonts w:ascii="仿宋" w:hAnsi="仿宋" w:eastAsia="仿宋" w:cs="仿宋"/>
          <w:b/>
          <w:bCs/>
          <w:color w:val="auto"/>
          <w:kern w:val="44"/>
          <w:sz w:val="24"/>
        </w:rPr>
      </w:pPr>
      <w:bookmarkStart w:id="758" w:name="_Toc40908503"/>
      <w:r>
        <w:rPr>
          <w:rFonts w:hint="eastAsia" w:ascii="仿宋" w:hAnsi="仿宋" w:eastAsia="仿宋" w:cs="仿宋"/>
          <w:b/>
          <w:bCs/>
          <w:color w:val="auto"/>
          <w:kern w:val="44"/>
          <w:sz w:val="24"/>
        </w:rPr>
        <w:t>4.平台总体架构</w:t>
      </w:r>
      <w:bookmarkEnd w:id="758"/>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海南省医疗保障信息平台严格遵照国家医疗保障信息平台建设指南的相关约束与要求，依照国家医疗保障信息平台的统一设计原则，贯彻使用全国统一的标准规范体系和中台服务，依托全国统一的技术体系和架构建设海南全新的医疗保障信息平台。</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平台总体架构划分为公共服务区和核心业务区，其中核心业务区分为生产区、交换区和大数据区。</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平台总体架构如下：</w:t>
      </w:r>
    </w:p>
    <w:p>
      <w:pPr>
        <w:tabs>
          <w:tab w:val="left" w:pos="1301"/>
        </w:tabs>
        <w:autoSpaceDE w:val="0"/>
        <w:autoSpaceDN w:val="0"/>
        <w:spacing w:line="360" w:lineRule="auto"/>
        <w:ind w:right="318" w:firstLine="480" w:firstLineChars="200"/>
        <w:rPr>
          <w:rFonts w:ascii="仿宋" w:hAnsi="仿宋" w:eastAsia="仿宋" w:cs="仿宋"/>
          <w:color w:val="auto"/>
          <w:sz w:val="24"/>
        </w:rPr>
      </w:pPr>
      <w:r>
        <w:rPr>
          <w:rFonts w:hint="eastAsia" w:ascii="仿宋" w:hAnsi="仿宋" w:eastAsia="仿宋" w:cs="仿宋"/>
          <w:color w:val="auto"/>
          <w:sz w:val="24"/>
        </w:rPr>
        <w:drawing>
          <wp:inline distT="0" distB="0" distL="114300" distR="114300">
            <wp:extent cx="5209540" cy="2837180"/>
            <wp:effectExtent l="0" t="0" r="10160" b="127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4"/>
                    <a:stretch>
                      <a:fillRect/>
                    </a:stretch>
                  </pic:blipFill>
                  <pic:spPr>
                    <a:xfrm>
                      <a:off x="0" y="0"/>
                      <a:ext cx="5209540" cy="2837180"/>
                    </a:xfrm>
                    <a:prstGeom prst="rect">
                      <a:avLst/>
                    </a:prstGeom>
                    <a:noFill/>
                    <a:ln>
                      <a:noFill/>
                    </a:ln>
                  </pic:spPr>
                </pic:pic>
              </a:graphicData>
            </a:graphic>
          </wp:inline>
        </w:drawing>
      </w:r>
    </w:p>
    <w:p>
      <w:pPr>
        <w:spacing w:line="360" w:lineRule="auto"/>
        <w:ind w:firstLine="480"/>
        <w:jc w:val="center"/>
        <w:rPr>
          <w:rFonts w:ascii="仿宋" w:hAnsi="仿宋" w:eastAsia="仿宋" w:cs="仿宋"/>
          <w:b/>
          <w:color w:val="auto"/>
          <w:sz w:val="24"/>
        </w:rPr>
      </w:pPr>
      <w:r>
        <w:rPr>
          <w:rFonts w:hint="eastAsia" w:ascii="仿宋" w:hAnsi="仿宋" w:eastAsia="仿宋" w:cs="仿宋"/>
          <w:b/>
          <w:color w:val="auto"/>
          <w:sz w:val="24"/>
        </w:rPr>
        <w:t>平台总体架构</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（1）展现层</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核心业务区入口：通过内部统一门户面向全省工作人员提供统一的核心业务区系统访问入口，实现全省人员在医疗保障信息平台的单点登录和统一身份认证，同时通过内部统一门户接收医疗保障信息平台的消息提醒并处理自身日常工作的各类待办事务。</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公共服务区入口：通过个人网厅、企业网厅、APP及自助终端等面向执业人员、医疗机构、社会公众和企业提供医保业务的办理、查询、咨询、监督等渠道；药品和医用耗材招采管理模块为药品和医用耗材招采提供访问入口。</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（2）应用层</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核心业务区中的生产区应用系统：包括业务经办子系统、综合管控子系统、支付方式管理子系统、应用支撑子系统。</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核心业务区中的大数据区应用系统：智慧决策子系统，通过大数据服务及在线分析数据库、离线分析数据库作为数据应用场景的支撑。</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公共服务区中的应用系统：公共服务子系统，包括公共服务模块和药品和医用耗材招采两个模块。</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（3）政务中台层</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政务中台包括业务中台和数据中台，对应用系统提供服务逻辑支撑。核心业务中台抽取各系统间可共享、可复用的业务能力，形成共享业务中心。应用层的各应用系统通过调用核心业务中台所提供的各业务中心中台服务，并要应用层进行逻辑组装和业务实现。最大程度地提升系统间协作效率，实现核心业务系统高弹性、高容错的技术特点。同时，服务层提供了数据中台，实现数据计算和分析服务，并且完成数据的综合治理。</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数据中台基于数据资源池提供数据综合治理服务和数据计算服务。数据综合治理服务通过数据可视化、数据管理、数据开发等手段构建平台数据综合治理服务能力，实现数据的深度综合治理。数据计算服务通过构建各类数据计算服务能力，搭建机器学习、深度学习、分析预测、决策、计算框架等计算服务能力，为上层业务系统进行数据处理、数据计算、数据分析提供能力保障</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核心业务区数据中台包括了两大能力：</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1）数据综合治理能力，完成数据的整合、转换、清洗及数据质量处理，并实现专题数据的生产能力；</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2）大数据价值挖掘能力，通过定义数据应用场景，构建模型，并进行训练和计算，挖掘大数据价值，为新业务及政策优化提供数据依据。</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（4）支撑层</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支撑层包括了核心业务区中的交换区所提供的共享交换支撑平台能力，并且提供适配器，以及可加载的第三方分布式中间件、工具、产品或应用。</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核心业务区中交换区：</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交换区主要基于数据中台支撑数据交换库以及共享交换平台的建设，以实现海南医保平台横向与海南省数据交换平台和纵向与国家局平台的数据共享与交换。</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适配器：</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适配器包括核心业务区适配器和公共服务区适配器，是为了实现分布式中间件与产品服务与业务中台之间的技术解藕而建立，负责服务第三方分布式中间件、工具、产品或应用的注册、对象引用的创建和解释、对象实现的激活和去活以及客户请求的分发等。</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（5）分布式中间件及产品服务</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为上层应用系统提供各类基础能力支持，包括：</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1）业务支撑类服务组件</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业务支撑服务组件是针对医疗保障信息平台所需的各项服务能力。业务支撑服务组件所包含用于进行数据交换的业务网关、用于进行消息接收的即时消息、用于进行对账操作的对账服务组件等。</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2)基础服务支撑组件</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基础服务支撑组件是通过整合系统运行时所需的各项服务能力提供统一的功能服务。基础服务支撑组件提供的基础服务功能包括数据采集、二维码管理、站内消息、邮件服务、生物识别和密码管理。</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3)中间件</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中间件是一种独立的系统软件或服务程序，分布式应用软件借助中间件在不同的技术之间共享资源。中间件包括业务通用服务组件、大数据分析组件。</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（6）基础设施层</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构建计算、存储、网络资源池，提供计算服务、存储服务和网络服务。</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（7）安全运维体系</w:t>
      </w:r>
    </w:p>
    <w:p>
      <w:pPr>
        <w:widowControl/>
        <w:adjustRightInd w:val="0"/>
        <w:spacing w:line="360" w:lineRule="auto"/>
        <w:ind w:firstLine="480" w:firstLineChars="200"/>
        <w:jc w:val="left"/>
        <w:textAlignment w:val="baseline"/>
        <w:rPr>
          <w:rFonts w:ascii="仿宋" w:hAnsi="仿宋" w:eastAsia="仿宋" w:cs="仿宋"/>
          <w:bCs/>
          <w:color w:val="auto"/>
          <w:kern w:val="0"/>
          <w:sz w:val="24"/>
          <w:lang w:val="zh-CN" w:bidi="zh-CN"/>
        </w:rPr>
      </w:pPr>
      <w:r>
        <w:rPr>
          <w:rFonts w:hint="eastAsia" w:ascii="仿宋" w:hAnsi="仿宋" w:eastAsia="仿宋" w:cs="仿宋"/>
          <w:bCs/>
          <w:color w:val="auto"/>
          <w:kern w:val="0"/>
          <w:sz w:val="24"/>
        </w:rPr>
        <w:t>针对医疗保障信息平台进行安全防护体系建设，并制定相关信息化标准体系指导信息化整体项目的推进工作，同时制定运维体系保证信息化业务系统及硬件设施后期的安全稳定运行。其中安全防护体系内容包括网络安全技术体系、网络安全管理体系和网络安全运营体系；运维管理体系主要包括运维管理平台、运维服务体系、运维组织体系、运维管理制度体系、运维管理考核指标。</w:t>
      </w:r>
    </w:p>
    <w:p>
      <w:pPr>
        <w:keepNext/>
        <w:keepLines/>
        <w:spacing w:line="360" w:lineRule="auto"/>
        <w:rPr>
          <w:rFonts w:ascii="仿宋" w:hAnsi="仿宋" w:eastAsia="仿宋" w:cs="仿宋"/>
          <w:b/>
          <w:bCs/>
          <w:color w:val="auto"/>
          <w:kern w:val="44"/>
          <w:sz w:val="24"/>
        </w:rPr>
      </w:pPr>
      <w:bookmarkStart w:id="759" w:name="_Toc25230883"/>
      <w:bookmarkStart w:id="760" w:name="_Toc40908504"/>
      <w:r>
        <w:rPr>
          <w:rFonts w:hint="eastAsia" w:ascii="仿宋" w:hAnsi="仿宋" w:eastAsia="仿宋" w:cs="仿宋"/>
          <w:b/>
          <w:bCs/>
          <w:color w:val="auto"/>
          <w:kern w:val="44"/>
          <w:sz w:val="24"/>
        </w:rPr>
        <w:t>5.项目</w:t>
      </w:r>
      <w:bookmarkEnd w:id="759"/>
      <w:r>
        <w:rPr>
          <w:rFonts w:hint="eastAsia" w:ascii="仿宋" w:hAnsi="仿宋" w:eastAsia="仿宋" w:cs="仿宋"/>
          <w:b/>
          <w:bCs/>
          <w:color w:val="auto"/>
          <w:kern w:val="44"/>
          <w:sz w:val="24"/>
        </w:rPr>
        <w:t>监理工作要求</w:t>
      </w:r>
      <w:bookmarkEnd w:id="760"/>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（1）服务期限：签订合同之日起至项目终验合格止</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（2）项目概况及技术参数</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（3）监理内容：海南省医疗保障局医保信息平台二期建设全过程、全方面进行监理，项目投资约15230.25万；</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（4）监理服务范围：监理过程覆盖项目的实施、验收等所有阶段。 </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（5）监理服务要求:按照相关国家标准，对项目实施全过程进行监理，监理工作内容包括质量控制、进度控制、投资控制、变更控制、合同管理、信息管理和组织协调等，包括但不限于以下内容： </w:t>
      </w:r>
    </w:p>
    <w:p>
      <w:pPr>
        <w:keepNext/>
        <w:keepLines/>
        <w:numPr>
          <w:ilvl w:val="0"/>
          <w:numId w:val="102"/>
        </w:numPr>
        <w:spacing w:line="360" w:lineRule="auto"/>
        <w:ind w:firstLine="420"/>
        <w:rPr>
          <w:rFonts w:ascii="仿宋" w:hAnsi="仿宋" w:eastAsia="仿宋" w:cs="仿宋"/>
          <w:b/>
          <w:bCs/>
          <w:vanish/>
          <w:color w:val="auto"/>
          <w:sz w:val="24"/>
        </w:rPr>
      </w:pPr>
      <w:bookmarkStart w:id="761" w:name="_Toc40908505"/>
      <w:bookmarkEnd w:id="761"/>
      <w:bookmarkStart w:id="762" w:name="_Toc40908485"/>
      <w:bookmarkEnd w:id="762"/>
    </w:p>
    <w:p>
      <w:pPr>
        <w:keepNext/>
        <w:keepLines/>
        <w:numPr>
          <w:ilvl w:val="0"/>
          <w:numId w:val="102"/>
        </w:numPr>
        <w:spacing w:line="360" w:lineRule="auto"/>
        <w:ind w:firstLine="420"/>
        <w:rPr>
          <w:rFonts w:ascii="仿宋" w:hAnsi="仿宋" w:eastAsia="仿宋" w:cs="仿宋"/>
          <w:b/>
          <w:bCs/>
          <w:vanish/>
          <w:color w:val="auto"/>
          <w:sz w:val="24"/>
        </w:rPr>
      </w:pPr>
      <w:bookmarkStart w:id="763" w:name="_Toc40908506"/>
      <w:bookmarkEnd w:id="763"/>
      <w:bookmarkStart w:id="764" w:name="_Toc40908486"/>
      <w:bookmarkEnd w:id="764"/>
    </w:p>
    <w:p>
      <w:pPr>
        <w:keepNext/>
        <w:keepLines/>
        <w:spacing w:line="360" w:lineRule="auto"/>
        <w:rPr>
          <w:rFonts w:ascii="仿宋" w:hAnsi="仿宋" w:eastAsia="仿宋" w:cs="仿宋"/>
          <w:b/>
          <w:bCs/>
          <w:color w:val="auto"/>
          <w:kern w:val="44"/>
          <w:sz w:val="24"/>
        </w:rPr>
      </w:pPr>
      <w:bookmarkStart w:id="765" w:name="_Toc40908507"/>
      <w:r>
        <w:rPr>
          <w:rFonts w:hint="eastAsia" w:ascii="仿宋" w:hAnsi="仿宋" w:eastAsia="仿宋" w:cs="仿宋"/>
          <w:b/>
          <w:bCs/>
          <w:color w:val="auto"/>
          <w:kern w:val="44"/>
          <w:sz w:val="24"/>
        </w:rPr>
        <w:t>6.项目质量控制</w:t>
      </w:r>
      <w:bookmarkEnd w:id="765"/>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（1）根据各子项目的特点，制定包括验收标准，验收方法和质量控制措施在内的详细监理控制方案；</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（2）协助采购方选择承建方，审查承建方单位及人员资质；</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（3）控制计划变更，编制重大质量问题的处理预案，包括系统建设过程中可能出现的重大质量问题的处理预案；</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（4）组织系统建设项目质量事故的原因调查、问题分析、问题评估、事故处理；</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（5）组织系统建设质量检查和验收；</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（6）督促承建单位整改存在问题；</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（7）参与项目竣工验收和交接。</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（8）系统集成质量的控制：系统集成方案的审核和确认；对采购的硬件设备的质量进行检验和验收；对设备安装、系统软件的安装调试进行监督、检查和验收；参与对系统集成的总体验收。</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（9）系统质量保证检测：本系统根据需要进行测试的，应委托专业机构完成，检验是否满足系统设计指标及合同规定的要求，并出具具有法律效力的测试报告。</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（10）系统安全质量控制：负责系统安全方案的审核和确认；对安全系统的采购、安装、调试、配置过程的监督；</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（11）培训的质量控制：审核确认承建商的培训计划；监督承建商实施其培训计划，并征求用户的反馈意见；审核确认承建商的培训总结报告。</w:t>
      </w:r>
    </w:p>
    <w:p>
      <w:pPr>
        <w:keepNext/>
        <w:keepLines/>
        <w:spacing w:line="360" w:lineRule="auto"/>
        <w:rPr>
          <w:rFonts w:ascii="仿宋" w:hAnsi="仿宋" w:eastAsia="仿宋" w:cs="仿宋"/>
          <w:b/>
          <w:bCs/>
          <w:color w:val="auto"/>
          <w:kern w:val="44"/>
          <w:sz w:val="24"/>
        </w:rPr>
      </w:pPr>
      <w:bookmarkStart w:id="766" w:name="_Toc40908508"/>
      <w:r>
        <w:rPr>
          <w:rFonts w:hint="eastAsia" w:ascii="仿宋" w:hAnsi="仿宋" w:eastAsia="仿宋" w:cs="仿宋"/>
          <w:b/>
          <w:bCs/>
          <w:color w:val="auto"/>
          <w:kern w:val="44"/>
          <w:sz w:val="24"/>
        </w:rPr>
        <w:t>7.项目进度控制</w:t>
      </w:r>
      <w:bookmarkEnd w:id="766"/>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（1）协助采购方确定合理的工期进度；</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（2）审查各子项目的系统建设设计方案、招标文件的进度计划，监督计划的执行；</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（3）采用先进的项目管理工具，如：WBS，甘特图等，确定各子项目建设安装的工序顺序，控制项目施工进度；</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（4）发现系统建设进程未能按计划进行时，要求承建单位调整或修改计划，采取必要措施加快采购进度，以使实际施工进度符合合同的要求；</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（5）当系统建设进度拖后可能导致合同工期严重延误时，有责任作详细报告分析原因和提出对策，供业主采取措施或做出决定。</w:t>
      </w:r>
    </w:p>
    <w:p>
      <w:pPr>
        <w:keepNext/>
        <w:keepLines/>
        <w:spacing w:line="360" w:lineRule="auto"/>
        <w:rPr>
          <w:rFonts w:ascii="仿宋" w:hAnsi="仿宋" w:eastAsia="仿宋" w:cs="仿宋"/>
          <w:b/>
          <w:bCs/>
          <w:color w:val="auto"/>
          <w:kern w:val="44"/>
          <w:sz w:val="24"/>
        </w:rPr>
      </w:pPr>
      <w:bookmarkStart w:id="767" w:name="_Toc40908509"/>
      <w:r>
        <w:rPr>
          <w:rFonts w:hint="eastAsia" w:ascii="仿宋" w:hAnsi="仿宋" w:eastAsia="仿宋" w:cs="仿宋"/>
          <w:b/>
          <w:bCs/>
          <w:color w:val="auto"/>
          <w:kern w:val="44"/>
          <w:sz w:val="24"/>
        </w:rPr>
        <w:t>8.项目投资控制</w:t>
      </w:r>
      <w:bookmarkEnd w:id="767"/>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（1）协助业主单位将付款进度与项目质量和形象的进度结合起来；动态管理跟踪项目建设成本，进行成本、费用控制和分析；严格控制和审查项目变更，核算成本和变化量；</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（2）协助违约及索赔核查；</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（3）负责项目决算初审工作，并及时将审核结果上报采购人。审核项目量清单及造价和项目竣工结算等。</w:t>
      </w:r>
    </w:p>
    <w:p>
      <w:pPr>
        <w:keepNext/>
        <w:keepLines/>
        <w:spacing w:line="360" w:lineRule="auto"/>
        <w:rPr>
          <w:rFonts w:ascii="仿宋" w:hAnsi="仿宋" w:eastAsia="仿宋" w:cs="仿宋"/>
          <w:b/>
          <w:bCs/>
          <w:color w:val="auto"/>
          <w:kern w:val="44"/>
          <w:sz w:val="24"/>
        </w:rPr>
      </w:pPr>
      <w:bookmarkStart w:id="768" w:name="_Toc40908510"/>
      <w:r>
        <w:rPr>
          <w:rFonts w:hint="eastAsia" w:ascii="仿宋" w:hAnsi="仿宋" w:eastAsia="仿宋" w:cs="仿宋"/>
          <w:b/>
          <w:bCs/>
          <w:color w:val="auto"/>
          <w:kern w:val="44"/>
          <w:sz w:val="24"/>
        </w:rPr>
        <w:t>9.项目变更控制</w:t>
      </w:r>
      <w:bookmarkEnd w:id="768"/>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根据项目变更流程，合理组织项目变更；</w:t>
      </w:r>
    </w:p>
    <w:p>
      <w:pPr>
        <w:keepNext/>
        <w:keepLines/>
        <w:spacing w:line="360" w:lineRule="auto"/>
        <w:rPr>
          <w:rFonts w:ascii="仿宋" w:hAnsi="仿宋" w:eastAsia="仿宋" w:cs="仿宋"/>
          <w:b/>
          <w:bCs/>
          <w:color w:val="auto"/>
          <w:kern w:val="44"/>
          <w:sz w:val="24"/>
        </w:rPr>
      </w:pPr>
      <w:bookmarkStart w:id="769" w:name="_Toc40908511"/>
      <w:r>
        <w:rPr>
          <w:rFonts w:hint="eastAsia" w:ascii="仿宋" w:hAnsi="仿宋" w:eastAsia="仿宋" w:cs="仿宋"/>
          <w:b/>
          <w:bCs/>
          <w:color w:val="auto"/>
          <w:kern w:val="44"/>
          <w:sz w:val="24"/>
        </w:rPr>
        <w:t>10.项目合同管理</w:t>
      </w:r>
      <w:bookmarkEnd w:id="769"/>
      <w:r>
        <w:rPr>
          <w:rFonts w:hint="eastAsia" w:ascii="仿宋" w:hAnsi="仿宋" w:eastAsia="仿宋" w:cs="仿宋"/>
          <w:b/>
          <w:bCs/>
          <w:color w:val="auto"/>
          <w:kern w:val="44"/>
          <w:sz w:val="24"/>
        </w:rPr>
        <w:tab/>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（1）协助业主与承建单位进行合同谈判、签订合同；</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（2）监督检查承建单位履行合同；</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（3）协助业主处理建设项目实施的每个过程出现的违约、索赔、延期、分包、纠纷调解及仲裁等问题；</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（4）跟踪检查合同的执行情况，确保承建商按时履约；</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（5）对合同工期的延误和延期进行审核确认；</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（6）对项目暂停，复工等事宜进行审核确认；</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（7）对合同变更、索赔、违约等事宜进行审核确认；</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（8）根据合同约定，审核承建商提交的支付申请；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（9）建立变更控制系统；对项目变更控制，明确界定项目变更的目标，防止变更范围的扩大化，加强变更风险以及变更效果的评估；</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任何变更都要得到三方（采购人、监理单位和承建单位）的书面确认。</w:t>
      </w:r>
    </w:p>
    <w:p>
      <w:pPr>
        <w:keepNext/>
        <w:keepLines/>
        <w:spacing w:line="360" w:lineRule="auto"/>
        <w:rPr>
          <w:rFonts w:ascii="仿宋" w:hAnsi="仿宋" w:eastAsia="仿宋" w:cs="仿宋"/>
          <w:b/>
          <w:bCs/>
          <w:color w:val="auto"/>
          <w:kern w:val="44"/>
          <w:sz w:val="24"/>
        </w:rPr>
      </w:pPr>
      <w:bookmarkStart w:id="770" w:name="_Toc40908512"/>
      <w:r>
        <w:rPr>
          <w:rFonts w:hint="eastAsia" w:ascii="仿宋" w:hAnsi="仿宋" w:eastAsia="仿宋" w:cs="仿宋"/>
          <w:b/>
          <w:bCs/>
          <w:color w:val="auto"/>
          <w:kern w:val="44"/>
          <w:sz w:val="24"/>
        </w:rPr>
        <w:t>11.信息管理</w:t>
      </w:r>
      <w:bookmarkEnd w:id="770"/>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（1）及时向业主提交反映项目动态和监理工作情况的项目文档；</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（2）建立全面、准确反映项目各阶段状况的图表、文档，收集、管理项目各类文档和资料；</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（3）督促、检查施工方及时完成各阶段设备资料、项目技术资料的整理和归档工作，监理要确认各类资料必须符合国家规范格式；</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（4）转发业主发出的一切指示、通知和业务联系单；</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（5）当系统建设出现质量问题或严重偏离计划时，应及时向业主报告，并提出对策建议，同时督促承建单位尽快采取措施；</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（6）根据业主要求提出相应的项目文档管理规范；</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（7）做好合同批复等各类往来文件的批复与存档；</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（8）做好项目协调会、技术专题会的会议纪要；</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（9）管理好实施期间的各类技术文档；</w:t>
      </w:r>
    </w:p>
    <w:p>
      <w:pPr>
        <w:keepNext/>
        <w:keepLines/>
        <w:spacing w:line="360" w:lineRule="auto"/>
        <w:rPr>
          <w:rFonts w:ascii="仿宋" w:hAnsi="仿宋" w:eastAsia="仿宋" w:cs="仿宋"/>
          <w:b/>
          <w:bCs/>
          <w:color w:val="auto"/>
          <w:kern w:val="44"/>
          <w:sz w:val="24"/>
        </w:rPr>
      </w:pPr>
      <w:bookmarkStart w:id="771" w:name="_Toc40908513"/>
      <w:r>
        <w:rPr>
          <w:rFonts w:hint="eastAsia" w:ascii="仿宋" w:hAnsi="仿宋" w:eastAsia="仿宋" w:cs="仿宋"/>
          <w:b/>
          <w:bCs/>
          <w:color w:val="auto"/>
          <w:kern w:val="44"/>
          <w:sz w:val="24"/>
        </w:rPr>
        <w:t>12.项目安全的管理</w:t>
      </w:r>
      <w:bookmarkEnd w:id="771"/>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（1）审核监测项目建设的有关安全保密项目技术方案；</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（2）负责项目建设施工过程中安全控制，防止出现安全事故；</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（3）检查督促承建单位建立、完善安全生产制度；</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（4）组织项目安全事故的调查与处理；</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（5）确立项目安全监督的工作目标。</w:t>
      </w:r>
    </w:p>
    <w:p>
      <w:pPr>
        <w:keepNext/>
        <w:keepLines/>
        <w:spacing w:line="360" w:lineRule="auto"/>
        <w:rPr>
          <w:rFonts w:ascii="仿宋" w:hAnsi="仿宋" w:eastAsia="仿宋" w:cs="仿宋"/>
          <w:b/>
          <w:bCs/>
          <w:color w:val="auto"/>
          <w:kern w:val="44"/>
          <w:sz w:val="24"/>
        </w:rPr>
      </w:pPr>
      <w:bookmarkStart w:id="772" w:name="_Toc40908514"/>
      <w:r>
        <w:rPr>
          <w:rFonts w:hint="eastAsia" w:ascii="仿宋" w:hAnsi="仿宋" w:eastAsia="仿宋" w:cs="仿宋"/>
          <w:b/>
          <w:bCs/>
          <w:color w:val="auto"/>
          <w:kern w:val="44"/>
          <w:sz w:val="24"/>
        </w:rPr>
        <w:t>13.项目的协调和组织</w:t>
      </w:r>
      <w:bookmarkEnd w:id="772"/>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（1）确定中标单位的工作范围和职责；建立畅通的沟通平台和沟通渠道，采取有效措施使项目信息在有关各方之间保持顺畅流通，积极协调项目各方之间的关系，推动项目实施过程中问题的解决。</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（2）接受委托，负责协调项目所涉及的各单位之间的工作关系，并协调解决项目建设过程中的各类纠纷；监督各方履行职责，协调各方的工作关系；</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（3）通过必要的会议制度实施协调工作。</w:t>
      </w:r>
    </w:p>
    <w:p>
      <w:pPr>
        <w:keepNext/>
        <w:keepLines/>
        <w:spacing w:line="360" w:lineRule="auto"/>
        <w:rPr>
          <w:rFonts w:ascii="仿宋" w:hAnsi="仿宋" w:eastAsia="仿宋" w:cs="仿宋"/>
          <w:b/>
          <w:bCs/>
          <w:color w:val="auto"/>
          <w:kern w:val="44"/>
          <w:sz w:val="24"/>
        </w:rPr>
      </w:pPr>
      <w:bookmarkStart w:id="773" w:name="_Toc40908515"/>
      <w:r>
        <w:rPr>
          <w:rFonts w:hint="eastAsia" w:ascii="仿宋" w:hAnsi="仿宋" w:eastAsia="仿宋" w:cs="仿宋"/>
          <w:b/>
          <w:bCs/>
          <w:color w:val="auto"/>
          <w:kern w:val="44"/>
          <w:sz w:val="24"/>
        </w:rPr>
        <w:t>14.监理工作要求</w:t>
      </w:r>
      <w:bookmarkEnd w:id="773"/>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遵照国家有关信息化监理项目规范，以“守法、诚信、公正、科学”的准则执业，维护建设方与承建方的合法权益。具体应做到：</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监理工作质量要求：监理单位应该在质量控制、进度控制、知识产权控制、安全控制、信息管理、合同管理等几个方面对所监理项目采取必要和完善的监督、控制和管理，保证监理项目能够按时、按质、按量竣工。</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同时，监理单位应建立合理的自我质量控制体系，有质量保证体系，确保监理单位自身的有效组织和管理。</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（1）监理机构要求：</w:t>
      </w:r>
    </w:p>
    <w:p>
      <w:pPr>
        <w:widowControl/>
        <w:spacing w:line="360" w:lineRule="auto"/>
        <w:ind w:firstLine="600" w:firstLineChars="250"/>
        <w:jc w:val="left"/>
        <w:rPr>
          <w:rFonts w:ascii="仿宋" w:hAnsi="仿宋" w:eastAsia="仿宋" w:cs="仿宋"/>
          <w:color w:val="auto"/>
          <w:sz w:val="24"/>
        </w:rPr>
      </w:pPr>
      <w:r>
        <w:rPr>
          <w:rFonts w:hint="eastAsia" w:ascii="仿宋" w:hAnsi="仿宋" w:eastAsia="仿宋" w:cs="仿宋"/>
          <w:color w:val="auto"/>
          <w:sz w:val="24"/>
        </w:rPr>
        <w:t>1）监理单位应具有相应专业的监理工程师；</w:t>
      </w:r>
    </w:p>
    <w:p>
      <w:pPr>
        <w:widowControl/>
        <w:spacing w:line="360" w:lineRule="auto"/>
        <w:ind w:firstLine="600" w:firstLineChars="250"/>
        <w:jc w:val="left"/>
        <w:rPr>
          <w:rFonts w:ascii="仿宋" w:hAnsi="仿宋" w:eastAsia="仿宋" w:cs="仿宋"/>
          <w:color w:val="auto"/>
          <w:sz w:val="24"/>
        </w:rPr>
      </w:pPr>
      <w:r>
        <w:rPr>
          <w:rFonts w:hint="eastAsia" w:ascii="仿宋" w:hAnsi="仿宋" w:eastAsia="仿宋" w:cs="仿宋"/>
          <w:color w:val="auto"/>
          <w:sz w:val="24"/>
        </w:rPr>
        <w:t>2）本次监理项目实行总监理工程师负责制；</w:t>
      </w:r>
    </w:p>
    <w:p>
      <w:pPr>
        <w:widowControl/>
        <w:spacing w:line="360" w:lineRule="auto"/>
        <w:ind w:firstLine="600" w:firstLineChars="250"/>
        <w:jc w:val="left"/>
        <w:rPr>
          <w:rFonts w:ascii="仿宋" w:hAnsi="仿宋" w:eastAsia="仿宋" w:cs="仿宋"/>
          <w:color w:val="auto"/>
          <w:sz w:val="24"/>
        </w:rPr>
      </w:pPr>
      <w:r>
        <w:rPr>
          <w:rFonts w:hint="eastAsia" w:ascii="仿宋" w:hAnsi="仿宋" w:eastAsia="仿宋" w:cs="仿宋"/>
          <w:color w:val="auto"/>
          <w:sz w:val="24"/>
        </w:rPr>
        <w:t>3）本监理项目以驻场监理为主要方式。</w:t>
      </w:r>
    </w:p>
    <w:p>
      <w:pPr>
        <w:keepNext/>
        <w:keepLines/>
        <w:spacing w:line="360" w:lineRule="auto"/>
        <w:rPr>
          <w:rFonts w:ascii="仿宋" w:hAnsi="仿宋" w:eastAsia="仿宋" w:cs="仿宋"/>
          <w:b/>
          <w:bCs/>
          <w:color w:val="auto"/>
          <w:kern w:val="44"/>
          <w:sz w:val="24"/>
        </w:rPr>
      </w:pPr>
      <w:bookmarkStart w:id="774" w:name="_Toc40908516"/>
      <w:r>
        <w:rPr>
          <w:rFonts w:hint="eastAsia" w:ascii="仿宋" w:hAnsi="仿宋" w:eastAsia="仿宋" w:cs="仿宋"/>
          <w:b/>
          <w:bCs/>
          <w:color w:val="auto"/>
          <w:kern w:val="44"/>
          <w:sz w:val="24"/>
        </w:rPr>
        <w:t>15.项目管理要求</w:t>
      </w:r>
      <w:bookmarkEnd w:id="774"/>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中标单位需提供详细的项目管理方案，应配备1个独立的项目管理小组，提供项目团队人员安排、项目进度安排、项目关键点控制计划与方案、项目安全控制计划与方案、监理软硬件厂商，确保项目顺利实施。中标单位负责在日常工作中整理各类监理相关资料。</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中标单位的管理方案至少包括项目组织机构、人员安排、进度安排、计划控制、项目相关人员管理、质量管理及风险管理等内容，方案必须符合本技术要求，并具有可操作性。</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（1）项目团队要求</w:t>
      </w:r>
    </w:p>
    <w:p>
      <w:pPr>
        <w:tabs>
          <w:tab w:val="left" w:pos="0"/>
        </w:tabs>
        <w:spacing w:line="360" w:lineRule="auto"/>
        <w:ind w:firstLine="482"/>
        <w:rPr>
          <w:rFonts w:ascii="仿宋" w:hAnsi="仿宋" w:eastAsia="仿宋" w:cs="仿宋"/>
          <w:color w:val="auto"/>
          <w:sz w:val="24"/>
        </w:rPr>
      </w:pPr>
      <w:r>
        <w:rPr>
          <w:rFonts w:hint="eastAsia" w:ascii="仿宋" w:hAnsi="仿宋" w:eastAsia="仿宋" w:cs="仿宋"/>
          <w:color w:val="auto"/>
          <w:sz w:val="24"/>
        </w:rPr>
        <w:t>投标人应成立满足本项目工作需要的项目组。项目组由项目总监理、监理工程师（不少于6人）组成的不少于6人的项目服务团队。</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（2）人员稳定性保证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中标单位在项目实施中应保障项目组人员稳定，若有替换，必须与招标方协商，未经甲方同意，人员变动扣除项目1%/人，人员超过总人数10%，甲方有权终止项目。项目组人员可根据工程建设不同阶段的工作需要进行调配。项目组人员必须是投标人本单位正式员工。</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（3）人员工作经验保证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中标单位要建立实施该项目的组织架构，中标单位确定的项目监理人员需具有相应的资格证书，项目监理人员不得在项目建设期间同时担任其他项目团队工作。</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中标单位应能够提供经验丰富的项目实施队伍参与此项目的实施。</w:t>
      </w:r>
    </w:p>
    <w:p>
      <w:pPr>
        <w:keepNext/>
        <w:keepLines/>
        <w:spacing w:line="360" w:lineRule="auto"/>
        <w:rPr>
          <w:rFonts w:ascii="仿宋" w:hAnsi="仿宋" w:eastAsia="仿宋" w:cs="仿宋"/>
          <w:b/>
          <w:bCs/>
          <w:color w:val="auto"/>
          <w:kern w:val="44"/>
          <w:sz w:val="24"/>
        </w:rPr>
      </w:pPr>
      <w:bookmarkStart w:id="775" w:name="_Toc40908517"/>
      <w:r>
        <w:rPr>
          <w:rFonts w:hint="eastAsia" w:ascii="仿宋" w:hAnsi="仿宋" w:eastAsia="仿宋" w:cs="仿宋"/>
          <w:b/>
          <w:bCs/>
          <w:color w:val="auto"/>
          <w:kern w:val="44"/>
          <w:sz w:val="24"/>
        </w:rPr>
        <w:t>16.保密要求</w:t>
      </w:r>
      <w:bookmarkEnd w:id="775"/>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标单位(含项目组所有成员)必须对项目技术文件以及由招标人提供的所有内部资料、技术文档、数据和信息予以保密。中标单位必须与招标人签订保密协议并严格遵守，未经招标人书面许可，中标单位不得以任何形式向第三方透露本项目标书以及本项目的任何内容。</w:t>
      </w:r>
    </w:p>
    <w:p>
      <w:pPr>
        <w:keepNext/>
        <w:keepLines/>
        <w:spacing w:line="360" w:lineRule="auto"/>
        <w:rPr>
          <w:rFonts w:ascii="仿宋" w:hAnsi="仿宋" w:eastAsia="仿宋" w:cs="仿宋"/>
          <w:b/>
          <w:bCs/>
          <w:color w:val="auto"/>
          <w:kern w:val="44"/>
          <w:sz w:val="24"/>
        </w:rPr>
      </w:pPr>
      <w:bookmarkStart w:id="776" w:name="_Toc40908518"/>
      <w:r>
        <w:rPr>
          <w:rFonts w:hint="eastAsia" w:ascii="仿宋" w:hAnsi="仿宋" w:eastAsia="仿宋" w:cs="仿宋"/>
          <w:b/>
          <w:bCs/>
          <w:color w:val="auto"/>
          <w:kern w:val="44"/>
          <w:sz w:val="24"/>
        </w:rPr>
        <w:t>17.其它要求</w:t>
      </w:r>
      <w:bookmarkEnd w:id="776"/>
    </w:p>
    <w:p>
      <w:pPr>
        <w:tabs>
          <w:tab w:val="left" w:pos="1301"/>
        </w:tabs>
        <w:autoSpaceDE w:val="0"/>
        <w:autoSpaceDN w:val="0"/>
        <w:spacing w:line="360" w:lineRule="auto"/>
        <w:ind w:right="318" w:firstLine="660" w:firstLineChars="300"/>
        <w:rPr>
          <w:rFonts w:ascii="仿宋" w:hAnsi="仿宋" w:eastAsia="仿宋" w:cs="仿宋"/>
          <w:color w:val="auto"/>
          <w:spacing w:val="-10"/>
          <w:sz w:val="24"/>
        </w:rPr>
      </w:pPr>
      <w:r>
        <w:rPr>
          <w:rFonts w:hint="eastAsia" w:ascii="仿宋" w:hAnsi="仿宋" w:eastAsia="仿宋" w:cs="仿宋"/>
          <w:color w:val="auto"/>
          <w:spacing w:val="-10"/>
          <w:sz w:val="24"/>
        </w:rPr>
        <w:t>（1）投标方承诺：如投标单位在海南省无分公司或办事处，须承诺中标后在海南省注册分公司或办事处，办公地址须在海南省医疗保障局周边半径2公里范围内。</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（2）当招标方有新需求，而本文又未包括或与本文不符时，则应符合招标方新需求；对于招标方尚未有标准的，而本文又未提及的部分，中标单位提出其标准，留待双方认可后执行。</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（3）中标单位应确保其技术建议的可行性以及所提供服务和产品的完整性，若出现由于中标单位所提供的服务和产品不全面而导致系统功能无法实现或不能完全实现，由中标单位及时无偿补足，并负全部责任。</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（4）投标方承诺承担驻场工程师就餐和相关差旅费用，并提供驻场工程师办公电脑、打印机等设备。</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（5）本项目建设内容、需求若有变化，与本文不符的，则按照招标方与投标方友好协商修订为准。</w:t>
      </w:r>
    </w:p>
    <w:p>
      <w:pPr>
        <w:spacing w:line="360" w:lineRule="auto"/>
        <w:rPr>
          <w:rFonts w:ascii="仿宋" w:hAnsi="仿宋" w:eastAsia="仿宋" w:cs="仿宋"/>
          <w:color w:val="auto"/>
          <w:sz w:val="24"/>
        </w:rPr>
      </w:pPr>
    </w:p>
    <w:p>
      <w:pPr>
        <w:spacing w:line="360" w:lineRule="auto"/>
        <w:rPr>
          <w:rFonts w:ascii="仿宋" w:hAnsi="仿宋" w:eastAsia="仿宋" w:cs="仿宋"/>
          <w:color w:val="auto"/>
          <w:sz w:val="24"/>
        </w:rPr>
        <w:sectPr>
          <w:pgSz w:w="11906" w:h="16838"/>
          <w:pgMar w:top="1440" w:right="1800" w:bottom="1440" w:left="1800" w:header="851" w:footer="992" w:gutter="0"/>
          <w:cols w:space="425" w:num="1"/>
          <w:docGrid w:type="lines" w:linePitch="312" w:charSpace="0"/>
        </w:sectPr>
      </w:pPr>
    </w:p>
    <w:p>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15包网络租赁</w:t>
      </w:r>
    </w:p>
    <w:p>
      <w:pPr>
        <w:keepNext/>
        <w:keepLines/>
        <w:spacing w:line="360" w:lineRule="auto"/>
        <w:rPr>
          <w:rFonts w:ascii="仿宋" w:hAnsi="仿宋" w:eastAsia="仿宋" w:cs="仿宋"/>
          <w:b/>
          <w:bCs/>
          <w:color w:val="auto"/>
          <w:kern w:val="44"/>
          <w:sz w:val="24"/>
        </w:rPr>
      </w:pPr>
      <w:bookmarkStart w:id="777" w:name="_Toc40908555"/>
      <w:r>
        <w:rPr>
          <w:rFonts w:hint="eastAsia" w:ascii="仿宋" w:hAnsi="仿宋" w:eastAsia="仿宋" w:cs="仿宋"/>
          <w:b/>
          <w:bCs/>
          <w:color w:val="auto"/>
          <w:kern w:val="44"/>
          <w:sz w:val="24"/>
        </w:rPr>
        <w:t>1.项目概述</w:t>
      </w:r>
      <w:bookmarkEnd w:id="777"/>
      <w:bookmarkStart w:id="778" w:name="_Toc40908556"/>
    </w:p>
    <w:p>
      <w:pPr>
        <w:keepNext/>
        <w:keepLines/>
        <w:spacing w:line="360" w:lineRule="auto"/>
        <w:ind w:firstLine="482" w:firstLineChars="200"/>
        <w:rPr>
          <w:rFonts w:ascii="仿宋" w:hAnsi="仿宋" w:eastAsia="仿宋" w:cs="仿宋"/>
          <w:b/>
          <w:bCs/>
          <w:color w:val="auto"/>
          <w:kern w:val="44"/>
          <w:sz w:val="24"/>
        </w:rPr>
      </w:pPr>
      <w:r>
        <w:rPr>
          <w:rFonts w:hint="eastAsia" w:ascii="仿宋" w:hAnsi="仿宋" w:eastAsia="仿宋" w:cs="仿宋"/>
          <w:b/>
          <w:bCs/>
          <w:color w:val="auto"/>
          <w:kern w:val="44"/>
          <w:sz w:val="24"/>
        </w:rPr>
        <w:t>1.1项目背景</w:t>
      </w:r>
      <w:bookmarkEnd w:id="778"/>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共中央《深化党和国家机构改革方案》中要求：（三十九）组建国家医疗保障局。医疗保险制度对于保障人民群众就医需求、减轻医药费用负担、提高健康水平有着重要作用。为完善统一的城乡居民基本医疗保险制度和大病保险制度，不断提高医疗保障水平，确保医保资金合理使用、安全可控，推进医疗、医保、医药“三医联动”改革，更好保障病有所医，将人力资源和社会保障部的城镇职工和城镇居民基本医疗保险、生育保险职责，国家卫生和计划生育委员会的新型农村合作医疗职责，国家发展和改革委员会的药品和医疗服务价格管理职责，民政部的医疗救助职责整合，组建国家医疗保障局，作为国务院直属机构。</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为加快推进医保信息化建设，国家医疗保障局印发《关于医疗保障信息化工作的指导意见》的通知（医保发〔2019〕1号），要求到“十三五”期末，初步建成标准统一、数据汇聚、规范协同的“内部管理、业务管理、生产经办、数据分析”四类系统组成的国家医疗保障信息化支撑体系，有效支撑全国医疗保障部门规范、高效、科学履职，支撑构建更加公平、可持续的医疗保障体系，在纵横一体、软硬协同的基础上，实现医疗保障信息化规范高效“大经办”、便捷可及“大服务”、智能精准“大治理”、融合共享“大协作”、在线可用“大数据”、安全可靠“大支撑”六大目标。</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海南省医疗保障局医疗保障信息平台建设遵循全国医疗保障信息化顶层设计和总体规划，依据全国统一的技术标准、业务标准、业务规范，打造医疗保障现代化支撑平台，助力自上而下医疗保障信息化“一盘棋”格局的形成，发挥信息化对医疗保障事业的支撑作用。</w:t>
      </w:r>
    </w:p>
    <w:p>
      <w:pPr>
        <w:keepNext/>
        <w:keepLines/>
        <w:spacing w:line="360" w:lineRule="auto"/>
        <w:rPr>
          <w:rFonts w:ascii="仿宋" w:hAnsi="仿宋" w:eastAsia="仿宋" w:cs="仿宋"/>
          <w:b/>
          <w:bCs/>
          <w:color w:val="auto"/>
          <w:kern w:val="44"/>
          <w:sz w:val="24"/>
        </w:rPr>
      </w:pPr>
      <w:bookmarkStart w:id="779" w:name="_Toc40908557"/>
      <w:r>
        <w:rPr>
          <w:rFonts w:hint="eastAsia" w:ascii="仿宋" w:hAnsi="仿宋" w:eastAsia="仿宋" w:cs="仿宋"/>
          <w:b/>
          <w:bCs/>
          <w:color w:val="auto"/>
          <w:kern w:val="44"/>
          <w:sz w:val="24"/>
        </w:rPr>
        <w:t>2.建设目标</w:t>
      </w:r>
      <w:bookmarkEnd w:id="779"/>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依托国家电子政务外网、海南省医疗医疗保障核心业务网和互联网，构建海南省医疗保障信息平台数据共享、交互协同的一体化医疗保障网络体系。按照《医疗保障信息平台建设指南》、《医疗保障信息平台云计算平台规范》、《医疗保障核心业务区网络安全接入规范》和《全国医疗保障系统核心业务区骨干网络建设指南》的具体要求，进行统一规划。</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（1）省级双数据中心局域网络</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数据中心网络满足云平台部署的要求，采用叶脊（spine-leaf）结构，对物理和虚拟网络资源形成资源池进行统一管理调度，同时按照分区分平面设计，满足医保业务部署要求。</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（2）省内广域网络</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纵向实现国家、省、市、县、乡（镇）互联互通，实现与省级人社、卫健、民政、财政、税务、公安等同级资源共享部门以及医院、药店、商业银行、保险公司等外部关联单位的互联互通，确保业务使用和访问稳定便捷、安全可靠。</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（3）电子政务外网</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利用海南省电子政务外网省-地市-区县-乡镇四级网络，搭建覆盖双数据中心，省市区县医保局、同级资源共享部门、经办机构的网络，支撑医保办公和经办业务。</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（4）备用线路</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通过备用线路，构建覆盖双数据中心，省市县医保局、经办机构、同级资源共享部门、外部关联单位的医疗保障核心区业务网络，支撑经办、医保结算和智能监管等业务。网络架构可支持租用多家运营商的专用网络。</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（5）现有网络的割接与过渡</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将现有基卫专线接入的医院逐步割接到新的医疗保障核心区业务网络。网络割接不能影响现有业务，同时过渡期内支持通过原有网络和新网络办理业务。</w:t>
      </w:r>
    </w:p>
    <w:p>
      <w:pPr>
        <w:keepNext/>
        <w:keepLines/>
        <w:spacing w:line="360" w:lineRule="auto"/>
        <w:rPr>
          <w:rFonts w:ascii="仿宋" w:hAnsi="仿宋" w:eastAsia="仿宋" w:cs="仿宋"/>
          <w:b/>
          <w:bCs/>
          <w:color w:val="auto"/>
          <w:kern w:val="44"/>
          <w:sz w:val="24"/>
        </w:rPr>
      </w:pPr>
      <w:bookmarkStart w:id="780" w:name="_Toc40908558"/>
      <w:r>
        <w:rPr>
          <w:rFonts w:hint="eastAsia" w:ascii="仿宋" w:hAnsi="仿宋" w:eastAsia="仿宋" w:cs="仿宋"/>
          <w:b/>
          <w:bCs/>
          <w:color w:val="auto"/>
          <w:kern w:val="44"/>
          <w:sz w:val="24"/>
        </w:rPr>
        <w:t>3.服务内容</w:t>
      </w:r>
      <w:bookmarkEnd w:id="780"/>
    </w:p>
    <w:p>
      <w:pPr>
        <w:keepNext/>
        <w:keepLines/>
        <w:adjustRightInd w:val="0"/>
        <w:snapToGrid w:val="0"/>
        <w:spacing w:line="360" w:lineRule="auto"/>
        <w:ind w:firstLine="482" w:firstLineChars="200"/>
        <w:jc w:val="left"/>
        <w:textAlignment w:val="baseline"/>
        <w:rPr>
          <w:rFonts w:ascii="仿宋" w:hAnsi="仿宋" w:eastAsia="仿宋" w:cs="仿宋"/>
          <w:b/>
          <w:bCs/>
          <w:color w:val="auto"/>
          <w:sz w:val="24"/>
        </w:rPr>
      </w:pPr>
      <w:r>
        <w:rPr>
          <w:rFonts w:hint="eastAsia" w:ascii="仿宋" w:hAnsi="仿宋" w:eastAsia="仿宋" w:cs="仿宋"/>
          <w:b/>
          <w:bCs/>
          <w:color w:val="auto"/>
          <w:sz w:val="24"/>
        </w:rPr>
        <w:t>3.1网络接入方式选择</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（1）现有网络接入方式</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医疗保障系统现有网络接入方式如下</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（2）纵向连接</w:t>
      </w:r>
    </w:p>
    <w:p>
      <w:pPr>
        <w:widowControl/>
        <w:spacing w:line="360" w:lineRule="auto"/>
        <w:ind w:firstLine="720" w:firstLineChars="300"/>
        <w:jc w:val="left"/>
        <w:rPr>
          <w:rFonts w:ascii="仿宋" w:hAnsi="仿宋" w:eastAsia="仿宋" w:cs="仿宋"/>
          <w:color w:val="auto"/>
          <w:sz w:val="24"/>
        </w:rPr>
      </w:pPr>
      <w:r>
        <w:rPr>
          <w:rFonts w:hint="eastAsia" w:ascii="仿宋" w:hAnsi="仿宋" w:eastAsia="仿宋" w:cs="仿宋"/>
          <w:color w:val="auto"/>
          <w:sz w:val="24"/>
        </w:rPr>
        <w:t>1）各级医保部门，采用电子政务外网。</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（3）横向连接</w:t>
      </w:r>
    </w:p>
    <w:p>
      <w:pPr>
        <w:widowControl/>
        <w:spacing w:line="360" w:lineRule="auto"/>
        <w:ind w:firstLine="720" w:firstLineChars="300"/>
        <w:jc w:val="left"/>
        <w:rPr>
          <w:rFonts w:ascii="仿宋" w:hAnsi="仿宋" w:eastAsia="仿宋" w:cs="仿宋"/>
          <w:color w:val="auto"/>
          <w:sz w:val="24"/>
        </w:rPr>
      </w:pPr>
      <w:r>
        <w:rPr>
          <w:rFonts w:hint="eastAsia" w:ascii="仿宋" w:hAnsi="仿宋" w:eastAsia="仿宋" w:cs="仿宋"/>
          <w:color w:val="auto"/>
          <w:sz w:val="24"/>
        </w:rPr>
        <w:t>1）政务大厅、社区服务中心等经办机构，采用电子政务外网连接；</w:t>
      </w:r>
    </w:p>
    <w:p>
      <w:pPr>
        <w:widowControl/>
        <w:spacing w:line="360" w:lineRule="auto"/>
        <w:ind w:firstLine="720" w:firstLineChars="300"/>
        <w:jc w:val="left"/>
        <w:rPr>
          <w:rFonts w:ascii="仿宋" w:hAnsi="仿宋" w:eastAsia="仿宋" w:cs="仿宋"/>
          <w:color w:val="auto"/>
          <w:sz w:val="24"/>
        </w:rPr>
      </w:pPr>
      <w:r>
        <w:rPr>
          <w:rFonts w:hint="eastAsia" w:ascii="仿宋" w:hAnsi="仿宋" w:eastAsia="仿宋" w:cs="仿宋"/>
          <w:color w:val="auto"/>
          <w:sz w:val="24"/>
        </w:rPr>
        <w:t>2）人社、卫健委、民政、公安、税务、工信等资源共享部门采用电子政务外网裸光纤接入医保核心业务网；</w:t>
      </w:r>
    </w:p>
    <w:p>
      <w:pPr>
        <w:widowControl/>
        <w:spacing w:line="360" w:lineRule="auto"/>
        <w:ind w:firstLine="720" w:firstLineChars="300"/>
        <w:jc w:val="left"/>
        <w:rPr>
          <w:rFonts w:ascii="仿宋" w:hAnsi="仿宋" w:eastAsia="仿宋" w:cs="仿宋"/>
          <w:color w:val="auto"/>
          <w:sz w:val="24"/>
        </w:rPr>
      </w:pPr>
      <w:r>
        <w:rPr>
          <w:rFonts w:hint="eastAsia" w:ascii="仿宋" w:hAnsi="仿宋" w:eastAsia="仿宋" w:cs="仿宋"/>
          <w:color w:val="auto"/>
          <w:sz w:val="24"/>
        </w:rPr>
        <w:t>3）定点医疗机构、保险公司、商业银行等电子政务外网未覆盖到的机构，由运营商网络汇聚后就近接入电子政务外网，同时提供备用线路连接至数据中心；</w:t>
      </w:r>
    </w:p>
    <w:p>
      <w:pPr>
        <w:widowControl/>
        <w:spacing w:line="360" w:lineRule="auto"/>
        <w:ind w:firstLine="720" w:firstLineChars="300"/>
        <w:jc w:val="left"/>
        <w:rPr>
          <w:rFonts w:ascii="仿宋" w:hAnsi="仿宋" w:eastAsia="仿宋" w:cs="仿宋"/>
          <w:color w:val="auto"/>
          <w:sz w:val="24"/>
        </w:rPr>
      </w:pPr>
      <w:r>
        <w:rPr>
          <w:rFonts w:hint="eastAsia" w:ascii="仿宋" w:hAnsi="仿宋" w:eastAsia="仿宋" w:cs="仿宋"/>
          <w:color w:val="auto"/>
          <w:sz w:val="24"/>
        </w:rPr>
        <w:t>4）一级医院，部分医院、村卫生所等采用基卫专线连接；药店尚未接入。</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具体如下表所示。</w:t>
      </w:r>
    </w:p>
    <w:p>
      <w:pPr>
        <w:adjustRightInd w:val="0"/>
        <w:snapToGrid w:val="0"/>
        <w:spacing w:line="360" w:lineRule="auto"/>
        <w:ind w:firstLine="480"/>
        <w:jc w:val="center"/>
        <w:textAlignment w:val="baseline"/>
        <w:rPr>
          <w:rFonts w:ascii="仿宋" w:hAnsi="仿宋" w:eastAsia="仿宋" w:cs="仿宋"/>
          <w:color w:val="auto"/>
          <w:sz w:val="24"/>
        </w:rPr>
      </w:pPr>
      <w:r>
        <w:rPr>
          <w:rFonts w:hint="eastAsia" w:ascii="仿宋" w:hAnsi="仿宋" w:eastAsia="仿宋" w:cs="仿宋"/>
          <w:color w:val="auto"/>
          <w:sz w:val="24"/>
        </w:rPr>
        <w:t xml:space="preserve">现网接入方式表 </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056"/>
        <w:gridCol w:w="2006"/>
        <w:gridCol w:w="1338"/>
        <w:gridCol w:w="1149"/>
        <w:gridCol w:w="1020"/>
        <w:gridCol w:w="1890"/>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1056" w:type="dxa"/>
            <w:tcBorders>
              <w:top w:val="single" w:color="auto" w:sz="12" w:space="0"/>
              <w:left w:val="single" w:color="auto" w:sz="12"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连接方式</w:t>
            </w:r>
          </w:p>
        </w:tc>
        <w:tc>
          <w:tcPr>
            <w:tcW w:w="2006"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连接节点</w:t>
            </w:r>
          </w:p>
        </w:tc>
        <w:tc>
          <w:tcPr>
            <w:tcW w:w="1338"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电子政务外网</w:t>
            </w:r>
          </w:p>
        </w:tc>
        <w:tc>
          <w:tcPr>
            <w:tcW w:w="1149"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运营商线路</w:t>
            </w:r>
          </w:p>
        </w:tc>
        <w:tc>
          <w:tcPr>
            <w:tcW w:w="1020"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基卫线路</w:t>
            </w:r>
          </w:p>
        </w:tc>
        <w:tc>
          <w:tcPr>
            <w:tcW w:w="1890" w:type="dxa"/>
            <w:tcBorders>
              <w:top w:val="single" w:color="auto" w:sz="12"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restart"/>
            <w:tcBorders>
              <w:top w:val="single" w:color="000000" w:sz="4" w:space="0"/>
              <w:left w:val="single" w:color="auto" w:sz="12"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纵向网络</w:t>
            </w: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国家局到省本级</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02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890" w:type="dxa"/>
            <w:tcBorders>
              <w:top w:val="single" w:color="000000" w:sz="4" w:space="0"/>
              <w:left w:val="single" w:color="000000" w:sz="4" w:space="0"/>
              <w:bottom w:val="single" w:color="000000" w:sz="4" w:space="0"/>
              <w:right w:val="single" w:color="auto" w:sz="12" w:space="0"/>
            </w:tcBorders>
            <w:noWrap/>
            <w:vAlign w:val="center"/>
          </w:tcPr>
          <w:p>
            <w:pPr>
              <w:widowControl/>
              <w:spacing w:line="360" w:lineRule="auto"/>
              <w:jc w:val="left"/>
              <w:rPr>
                <w:rFonts w:ascii="仿宋" w:hAnsi="仿宋" w:eastAsia="仿宋" w:cs="仿宋"/>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continue"/>
            <w:tcBorders>
              <w:top w:val="single" w:color="000000" w:sz="4" w:space="0"/>
              <w:left w:val="single" w:color="auto" w:sz="12"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省本级到市县</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02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890" w:type="dxa"/>
            <w:tcBorders>
              <w:top w:val="single" w:color="000000" w:sz="4" w:space="0"/>
              <w:left w:val="single" w:color="000000" w:sz="4" w:space="0"/>
              <w:bottom w:val="single" w:color="000000" w:sz="4" w:space="0"/>
              <w:right w:val="single" w:color="auto" w:sz="12" w:space="0"/>
            </w:tcBorders>
            <w:noWrap/>
            <w:vAlign w:val="center"/>
          </w:tcPr>
          <w:p>
            <w:pPr>
              <w:widowControl/>
              <w:spacing w:line="360" w:lineRule="auto"/>
              <w:jc w:val="left"/>
              <w:rPr>
                <w:rFonts w:ascii="仿宋" w:hAnsi="仿宋" w:eastAsia="仿宋" w:cs="仿宋"/>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restart"/>
            <w:tcBorders>
              <w:top w:val="single" w:color="000000" w:sz="4" w:space="0"/>
              <w:left w:val="single" w:color="auto" w:sz="12"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横向网络</w:t>
            </w: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经办机构</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02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890" w:type="dxa"/>
            <w:tcBorders>
              <w:top w:val="single" w:color="000000" w:sz="4" w:space="0"/>
              <w:left w:val="single" w:color="000000" w:sz="4" w:space="0"/>
              <w:bottom w:val="single" w:color="000000" w:sz="4" w:space="0"/>
              <w:right w:val="single" w:color="auto" w:sz="12" w:space="0"/>
            </w:tcBorders>
            <w:noWrap/>
            <w:vAlign w:val="center"/>
          </w:tcPr>
          <w:p>
            <w:pPr>
              <w:widowControl/>
              <w:spacing w:line="360" w:lineRule="auto"/>
              <w:jc w:val="left"/>
              <w:rPr>
                <w:rFonts w:ascii="仿宋" w:hAnsi="仿宋" w:eastAsia="仿宋" w:cs="仿宋"/>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人社</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02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890"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裸光纤</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卫健</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02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890" w:type="dxa"/>
            <w:tcBorders>
              <w:top w:val="single" w:color="000000" w:sz="4" w:space="0"/>
              <w:left w:val="single" w:color="000000" w:sz="4" w:space="0"/>
              <w:bottom w:val="single" w:color="000000" w:sz="4" w:space="0"/>
              <w:right w:val="single" w:color="auto" w:sz="12" w:space="0"/>
            </w:tcBorders>
            <w:noWrap/>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裸光纤</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民政</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02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890" w:type="dxa"/>
            <w:tcBorders>
              <w:top w:val="single" w:color="000000" w:sz="4" w:space="0"/>
              <w:left w:val="single" w:color="000000" w:sz="4" w:space="0"/>
              <w:bottom w:val="single" w:color="000000" w:sz="4" w:space="0"/>
              <w:right w:val="single" w:color="auto" w:sz="12" w:space="0"/>
            </w:tcBorders>
            <w:noWrap/>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裸光纤</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扶贫办</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02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890" w:type="dxa"/>
            <w:tcBorders>
              <w:top w:val="single" w:color="000000" w:sz="4" w:space="0"/>
              <w:left w:val="single" w:color="000000" w:sz="4" w:space="0"/>
              <w:bottom w:val="single" w:color="000000" w:sz="4" w:space="0"/>
              <w:right w:val="single" w:color="auto" w:sz="12" w:space="0"/>
            </w:tcBorders>
            <w:noWrap/>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裸光纤</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税务</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02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890" w:type="dxa"/>
            <w:tcBorders>
              <w:top w:val="single" w:color="000000" w:sz="4" w:space="0"/>
              <w:left w:val="single" w:color="000000" w:sz="4" w:space="0"/>
              <w:bottom w:val="single" w:color="000000" w:sz="4" w:space="0"/>
              <w:right w:val="single" w:color="auto" w:sz="12" w:space="0"/>
            </w:tcBorders>
            <w:noWrap/>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裸光纤</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工信（大数据管理局）</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02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890" w:type="dxa"/>
            <w:tcBorders>
              <w:top w:val="single" w:color="000000" w:sz="4" w:space="0"/>
              <w:left w:val="single" w:color="000000" w:sz="4" w:space="0"/>
              <w:bottom w:val="single" w:color="000000" w:sz="4" w:space="0"/>
              <w:right w:val="single" w:color="auto" w:sz="12" w:space="0"/>
            </w:tcBorders>
            <w:noWrap/>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裸光纤</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保险公司</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02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890" w:type="dxa"/>
            <w:tcBorders>
              <w:top w:val="single" w:color="000000" w:sz="4" w:space="0"/>
              <w:left w:val="single" w:color="000000" w:sz="4" w:space="0"/>
              <w:bottom w:val="single" w:color="000000" w:sz="4" w:space="0"/>
              <w:right w:val="single" w:color="auto" w:sz="12" w:space="0"/>
            </w:tcBorders>
            <w:noWrap/>
            <w:vAlign w:val="center"/>
          </w:tcPr>
          <w:p>
            <w:pPr>
              <w:widowControl/>
              <w:spacing w:line="360" w:lineRule="auto"/>
              <w:jc w:val="left"/>
              <w:rPr>
                <w:rFonts w:ascii="仿宋" w:hAnsi="仿宋" w:eastAsia="仿宋" w:cs="仿宋"/>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商业银行</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02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890" w:type="dxa"/>
            <w:tcBorders>
              <w:top w:val="single" w:color="000000" w:sz="4" w:space="0"/>
              <w:left w:val="single" w:color="000000" w:sz="4" w:space="0"/>
              <w:bottom w:val="single" w:color="000000" w:sz="4" w:space="0"/>
              <w:right w:val="single" w:color="auto" w:sz="12" w:space="0"/>
            </w:tcBorders>
            <w:noWrap/>
            <w:vAlign w:val="center"/>
          </w:tcPr>
          <w:p>
            <w:pPr>
              <w:widowControl/>
              <w:spacing w:line="360" w:lineRule="auto"/>
              <w:jc w:val="left"/>
              <w:rPr>
                <w:rFonts w:ascii="仿宋" w:hAnsi="仿宋" w:eastAsia="仿宋" w:cs="仿宋"/>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三级医院</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02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890" w:type="dxa"/>
            <w:tcBorders>
              <w:top w:val="single" w:color="000000" w:sz="4" w:space="0"/>
              <w:left w:val="single" w:color="000000" w:sz="4" w:space="0"/>
              <w:bottom w:val="single" w:color="000000" w:sz="4" w:space="0"/>
              <w:right w:val="single" w:color="auto" w:sz="12" w:space="0"/>
            </w:tcBorders>
            <w:noWrap/>
            <w:vAlign w:val="center"/>
          </w:tcPr>
          <w:p>
            <w:pPr>
              <w:widowControl/>
              <w:spacing w:line="360" w:lineRule="auto"/>
              <w:jc w:val="left"/>
              <w:rPr>
                <w:rFonts w:ascii="仿宋" w:hAnsi="仿宋" w:eastAsia="仿宋" w:cs="仿宋"/>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二级医院</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02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890" w:type="dxa"/>
            <w:tcBorders>
              <w:top w:val="single" w:color="000000" w:sz="4" w:space="0"/>
              <w:left w:val="single" w:color="000000" w:sz="4" w:space="0"/>
              <w:bottom w:val="single" w:color="000000" w:sz="4" w:space="0"/>
              <w:right w:val="single" w:color="auto" w:sz="12" w:space="0"/>
            </w:tcBorders>
            <w:noWrap/>
            <w:vAlign w:val="center"/>
          </w:tcPr>
          <w:p>
            <w:pPr>
              <w:widowControl/>
              <w:spacing w:line="360" w:lineRule="auto"/>
              <w:jc w:val="left"/>
              <w:rPr>
                <w:rFonts w:ascii="仿宋" w:hAnsi="仿宋" w:eastAsia="仿宋" w:cs="仿宋"/>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一级医院</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020" w:type="dxa"/>
            <w:tcBorders>
              <w:top w:val="single" w:color="000000" w:sz="4" w:space="0"/>
              <w:left w:val="single" w:color="000000" w:sz="4" w:space="0"/>
              <w:bottom w:val="single" w:color="000000" w:sz="4" w:space="0"/>
              <w:right w:val="single" w:color="000000" w:sz="4" w:space="0"/>
            </w:tcBorders>
            <w:noWrap/>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890"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00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社区卫生服务站、村卫生室</w:t>
            </w:r>
          </w:p>
        </w:tc>
        <w:tc>
          <w:tcPr>
            <w:tcW w:w="133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020" w:type="dxa"/>
            <w:tcBorders>
              <w:top w:val="single" w:color="000000" w:sz="4" w:space="0"/>
              <w:left w:val="single" w:color="000000" w:sz="4" w:space="0"/>
              <w:bottom w:val="single" w:color="000000" w:sz="4" w:space="0"/>
              <w:right w:val="single" w:color="000000" w:sz="4" w:space="0"/>
            </w:tcBorders>
            <w:noWrap/>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890"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p>
        </w:tc>
      </w:tr>
    </w:tbl>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（4）《医疗保障核心业务区网络安全接入规范》、《全国医疗保障系统核心业务区骨干网络建设指南》要求的网络接入方式</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医疗保障系统核心区纵向骨干网可以采用双专线链路、双政务外网链路、政务外网+专线三种组网接入方式。横向接入用户可以选择专线、有线VPN、无线VPDN三种方式。其中人社、卫健、民政、公安、税务、其他信息资源共享部门采用专线和电子政务外网连接，医院、药店、商业银行、保险公司采用专线和VPDN连接；医疗保障系统用户远程办公采用VPDN连接，具体如下表所示。</w:t>
      </w:r>
    </w:p>
    <w:p>
      <w:pPr>
        <w:adjustRightInd w:val="0"/>
        <w:snapToGrid w:val="0"/>
        <w:spacing w:line="360" w:lineRule="auto"/>
        <w:ind w:firstLine="480"/>
        <w:jc w:val="center"/>
        <w:textAlignment w:val="baseline"/>
        <w:rPr>
          <w:rFonts w:ascii="仿宋" w:hAnsi="仿宋" w:eastAsia="仿宋" w:cs="仿宋"/>
          <w:color w:val="auto"/>
          <w:sz w:val="24"/>
        </w:rPr>
      </w:pPr>
      <w:r>
        <w:rPr>
          <w:rFonts w:hint="eastAsia" w:ascii="仿宋" w:hAnsi="仿宋" w:eastAsia="仿宋" w:cs="仿宋"/>
          <w:color w:val="auto"/>
          <w:sz w:val="24"/>
        </w:rPr>
        <w:t xml:space="preserve">国家局规范要求的网络接入方式表  </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026"/>
        <w:gridCol w:w="3100"/>
        <w:gridCol w:w="1419"/>
        <w:gridCol w:w="646"/>
        <w:gridCol w:w="1035"/>
        <w:gridCol w:w="1233"/>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26" w:type="dxa"/>
            <w:gridSpan w:val="2"/>
            <w:tcBorders>
              <w:top w:val="single" w:color="auto" w:sz="12" w:space="0"/>
              <w:left w:val="single" w:color="auto" w:sz="12"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用户类型及接入场景</w:t>
            </w:r>
          </w:p>
        </w:tc>
        <w:tc>
          <w:tcPr>
            <w:tcW w:w="1419"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rPr>
                <w:rFonts w:ascii="仿宋" w:hAnsi="仿宋" w:eastAsia="仿宋" w:cs="仿宋"/>
                <w:b/>
                <w:bCs/>
                <w:color w:val="auto"/>
                <w:sz w:val="24"/>
              </w:rPr>
            </w:pPr>
            <w:r>
              <w:rPr>
                <w:rFonts w:hint="eastAsia" w:ascii="仿宋" w:hAnsi="仿宋" w:eastAsia="仿宋" w:cs="仿宋"/>
                <w:b/>
                <w:bCs/>
                <w:color w:val="auto"/>
                <w:sz w:val="24"/>
              </w:rPr>
              <w:t>电子政务外网</w:t>
            </w:r>
          </w:p>
        </w:tc>
        <w:tc>
          <w:tcPr>
            <w:tcW w:w="646"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rPr>
                <w:rFonts w:ascii="仿宋" w:hAnsi="仿宋" w:eastAsia="仿宋" w:cs="仿宋"/>
                <w:b/>
                <w:bCs/>
                <w:color w:val="auto"/>
                <w:sz w:val="24"/>
              </w:rPr>
            </w:pPr>
            <w:r>
              <w:rPr>
                <w:rFonts w:hint="eastAsia" w:ascii="仿宋" w:hAnsi="仿宋" w:eastAsia="仿宋" w:cs="仿宋"/>
                <w:b/>
                <w:bCs/>
                <w:color w:val="auto"/>
                <w:sz w:val="24"/>
              </w:rPr>
              <w:t>专线</w:t>
            </w:r>
          </w:p>
        </w:tc>
        <w:tc>
          <w:tcPr>
            <w:tcW w:w="1035"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rPr>
                <w:rFonts w:ascii="仿宋" w:hAnsi="仿宋" w:eastAsia="仿宋" w:cs="仿宋"/>
                <w:b/>
                <w:bCs/>
                <w:color w:val="auto"/>
                <w:sz w:val="24"/>
              </w:rPr>
            </w:pPr>
            <w:r>
              <w:rPr>
                <w:rFonts w:hint="eastAsia" w:ascii="仿宋" w:hAnsi="仿宋" w:eastAsia="仿宋" w:cs="仿宋"/>
                <w:b/>
                <w:bCs/>
                <w:color w:val="auto"/>
                <w:sz w:val="24"/>
              </w:rPr>
              <w:t>有线VPN</w:t>
            </w:r>
          </w:p>
        </w:tc>
        <w:tc>
          <w:tcPr>
            <w:tcW w:w="1233" w:type="dxa"/>
            <w:tcBorders>
              <w:top w:val="single" w:color="auto" w:sz="12"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无线VPDN</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26" w:type="dxa"/>
            <w:vMerge w:val="restart"/>
            <w:tcBorders>
              <w:top w:val="single" w:color="000000" w:sz="4" w:space="0"/>
              <w:left w:val="single" w:color="auto" w:sz="12" w:space="0"/>
              <w:bottom w:val="single" w:color="000000" w:sz="4" w:space="0"/>
              <w:right w:val="single" w:color="000000" w:sz="4" w:space="0"/>
            </w:tcBorders>
            <w:noWrap/>
            <w:vAlign w:val="center"/>
          </w:tcPr>
          <w:p>
            <w:pPr>
              <w:widowControl/>
              <w:snapToGrid w:val="0"/>
              <w:spacing w:line="360" w:lineRule="auto"/>
              <w:rPr>
                <w:rFonts w:ascii="仿宋" w:hAnsi="仿宋" w:eastAsia="仿宋" w:cs="仿宋"/>
                <w:color w:val="auto"/>
                <w:sz w:val="24"/>
              </w:rPr>
            </w:pPr>
            <w:r>
              <w:rPr>
                <w:rFonts w:hint="eastAsia" w:ascii="仿宋" w:hAnsi="仿宋" w:eastAsia="仿宋" w:cs="仿宋"/>
                <w:color w:val="auto"/>
                <w:sz w:val="24"/>
              </w:rPr>
              <w:t>纵向连接</w:t>
            </w:r>
          </w:p>
        </w:tc>
        <w:tc>
          <w:tcPr>
            <w:tcW w:w="31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国家局到省级</w:t>
            </w:r>
          </w:p>
        </w:tc>
        <w:tc>
          <w:tcPr>
            <w:tcW w:w="141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w:t>
            </w:r>
          </w:p>
        </w:tc>
        <w:tc>
          <w:tcPr>
            <w:tcW w:w="64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p>
        </w:tc>
        <w:tc>
          <w:tcPr>
            <w:tcW w:w="1233"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b/>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26" w:type="dxa"/>
            <w:vMerge w:val="continue"/>
            <w:tcBorders>
              <w:top w:val="single" w:color="000000" w:sz="4" w:space="0"/>
              <w:left w:val="single" w:color="auto" w:sz="12"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31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省级到市级、市级到县级</w:t>
            </w:r>
          </w:p>
        </w:tc>
        <w:tc>
          <w:tcPr>
            <w:tcW w:w="141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w:t>
            </w:r>
          </w:p>
        </w:tc>
        <w:tc>
          <w:tcPr>
            <w:tcW w:w="64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p>
        </w:tc>
        <w:tc>
          <w:tcPr>
            <w:tcW w:w="1233"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b/>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26" w:type="dxa"/>
            <w:vMerge w:val="restart"/>
            <w:tcBorders>
              <w:top w:val="single" w:color="000000" w:sz="4" w:space="0"/>
              <w:left w:val="single" w:color="auto" w:sz="12" w:space="0"/>
              <w:bottom w:val="single" w:color="000000" w:sz="4" w:space="0"/>
              <w:right w:val="single" w:color="000000" w:sz="4" w:space="0"/>
            </w:tcBorders>
            <w:noWrap/>
            <w:vAlign w:val="center"/>
          </w:tcPr>
          <w:p>
            <w:pPr>
              <w:snapToGrid w:val="0"/>
              <w:spacing w:line="360" w:lineRule="auto"/>
              <w:ind w:firstLine="420"/>
              <w:jc w:val="left"/>
              <w:rPr>
                <w:rFonts w:ascii="仿宋" w:hAnsi="仿宋" w:eastAsia="仿宋" w:cs="仿宋"/>
                <w:color w:val="auto"/>
                <w:sz w:val="24"/>
              </w:rPr>
            </w:pPr>
            <w:r>
              <w:rPr>
                <w:rFonts w:hint="eastAsia" w:ascii="仿宋" w:hAnsi="仿宋" w:eastAsia="仿宋" w:cs="仿宋"/>
                <w:color w:val="auto"/>
                <w:sz w:val="24"/>
              </w:rPr>
              <w:t>横向连接</w:t>
            </w:r>
          </w:p>
        </w:tc>
        <w:tc>
          <w:tcPr>
            <w:tcW w:w="31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经办机构</w:t>
            </w:r>
          </w:p>
        </w:tc>
        <w:tc>
          <w:tcPr>
            <w:tcW w:w="141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w:t>
            </w:r>
          </w:p>
        </w:tc>
        <w:tc>
          <w:tcPr>
            <w:tcW w:w="64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p>
        </w:tc>
        <w:tc>
          <w:tcPr>
            <w:tcW w:w="1233"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b/>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26" w:type="dxa"/>
            <w:vMerge w:val="continue"/>
            <w:tcBorders>
              <w:top w:val="single" w:color="000000" w:sz="4" w:space="0"/>
              <w:left w:val="single" w:color="auto" w:sz="12"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31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人社、卫健、民政、扶贫办、税务、其他信息资源共享部门</w:t>
            </w:r>
          </w:p>
        </w:tc>
        <w:tc>
          <w:tcPr>
            <w:tcW w:w="141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w:t>
            </w:r>
          </w:p>
        </w:tc>
        <w:tc>
          <w:tcPr>
            <w:tcW w:w="64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p>
        </w:tc>
        <w:tc>
          <w:tcPr>
            <w:tcW w:w="1233"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b/>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26" w:type="dxa"/>
            <w:vMerge w:val="continue"/>
            <w:tcBorders>
              <w:top w:val="single" w:color="000000" w:sz="4" w:space="0"/>
              <w:left w:val="single" w:color="auto" w:sz="12"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31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医院、村卫生室、社区卫生服务站、商业银行、保险公司</w:t>
            </w:r>
          </w:p>
        </w:tc>
        <w:tc>
          <w:tcPr>
            <w:tcW w:w="1419"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p>
        </w:tc>
        <w:tc>
          <w:tcPr>
            <w:tcW w:w="64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w:t>
            </w:r>
          </w:p>
        </w:tc>
        <w:tc>
          <w:tcPr>
            <w:tcW w:w="1233"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26" w:type="dxa"/>
            <w:gridSpan w:val="2"/>
            <w:tcBorders>
              <w:top w:val="single" w:color="000000" w:sz="4" w:space="0"/>
              <w:left w:val="single" w:color="auto" w:sz="12" w:space="0"/>
              <w:bottom w:val="single" w:color="auto" w:sz="12" w:space="0"/>
              <w:right w:val="single" w:color="000000" w:sz="4" w:space="0"/>
            </w:tcBorders>
            <w:noWrap/>
            <w:vAlign w:val="center"/>
          </w:tcPr>
          <w:p>
            <w:pPr>
              <w:widowControl/>
              <w:snapToGrid w:val="0"/>
              <w:spacing w:line="360" w:lineRule="auto"/>
              <w:rPr>
                <w:rFonts w:ascii="仿宋" w:hAnsi="仿宋" w:eastAsia="仿宋" w:cs="仿宋"/>
                <w:color w:val="auto"/>
                <w:sz w:val="24"/>
              </w:rPr>
            </w:pPr>
            <w:r>
              <w:rPr>
                <w:rFonts w:hint="eastAsia" w:ascii="仿宋" w:hAnsi="仿宋" w:eastAsia="仿宋" w:cs="仿宋"/>
                <w:color w:val="auto"/>
                <w:sz w:val="24"/>
              </w:rPr>
              <w:t>医疗保障系统用户远程办公</w:t>
            </w:r>
          </w:p>
        </w:tc>
        <w:tc>
          <w:tcPr>
            <w:tcW w:w="1419"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p>
        </w:tc>
        <w:tc>
          <w:tcPr>
            <w:tcW w:w="646" w:type="dxa"/>
            <w:tcBorders>
              <w:top w:val="single" w:color="000000" w:sz="4" w:space="0"/>
              <w:left w:val="single" w:color="000000" w:sz="4"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035"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w:t>
            </w:r>
          </w:p>
        </w:tc>
        <w:tc>
          <w:tcPr>
            <w:tcW w:w="1233" w:type="dxa"/>
            <w:tcBorders>
              <w:top w:val="single" w:color="000000" w:sz="4" w:space="0"/>
              <w:left w:val="single" w:color="000000" w:sz="4" w:space="0"/>
              <w:bottom w:val="single" w:color="auto" w:sz="12" w:space="0"/>
              <w:right w:val="single" w:color="auto" w:sz="12"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w:t>
            </w:r>
          </w:p>
        </w:tc>
      </w:tr>
    </w:tbl>
    <w:p>
      <w:pPr>
        <w:snapToGrid w:val="0"/>
        <w:spacing w:line="360" w:lineRule="auto"/>
        <w:ind w:firstLine="480"/>
        <w:rPr>
          <w:rFonts w:ascii="仿宋" w:hAnsi="仿宋" w:eastAsia="仿宋" w:cs="仿宋"/>
          <w:color w:val="auto"/>
          <w:sz w:val="24"/>
        </w:rPr>
      </w:pP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（5）网络接入方式选择</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依据医保业务需求和核心业务网特点，结合当前广域网、城域网组网技术，医保系统纵向和横向网络接入方式选择如下：</w:t>
      </w:r>
    </w:p>
    <w:p>
      <w:pPr>
        <w:widowControl/>
        <w:spacing w:line="360" w:lineRule="auto"/>
        <w:ind w:firstLine="720" w:firstLineChars="300"/>
        <w:jc w:val="left"/>
        <w:rPr>
          <w:rFonts w:ascii="仿宋" w:hAnsi="仿宋" w:eastAsia="仿宋" w:cs="仿宋"/>
          <w:color w:val="auto"/>
          <w:sz w:val="24"/>
        </w:rPr>
      </w:pPr>
      <w:r>
        <w:rPr>
          <w:rFonts w:hint="eastAsia" w:ascii="仿宋" w:hAnsi="仿宋" w:eastAsia="仿宋" w:cs="仿宋"/>
          <w:color w:val="auto"/>
          <w:sz w:val="24"/>
        </w:rPr>
        <w:t>1）纵向骨干网接入方式选择</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医保平台广域网纵向骨干网络涵盖国家医疗保障局、省、市县医保部门，海南省医疗保障系统核心业务区纵向骨干采用双设备、双链路组网，所有链路均具备保护功能，由政务外网和专线互为备份。。</w:t>
      </w:r>
    </w:p>
    <w:p>
      <w:pPr>
        <w:widowControl/>
        <w:spacing w:line="360" w:lineRule="auto"/>
        <w:ind w:firstLine="720" w:firstLineChars="300"/>
        <w:jc w:val="left"/>
        <w:rPr>
          <w:rFonts w:ascii="仿宋" w:hAnsi="仿宋" w:eastAsia="仿宋" w:cs="仿宋"/>
          <w:color w:val="auto"/>
          <w:sz w:val="24"/>
        </w:rPr>
      </w:pPr>
      <w:r>
        <w:rPr>
          <w:rFonts w:hint="eastAsia" w:ascii="仿宋" w:hAnsi="仿宋" w:eastAsia="仿宋" w:cs="仿宋"/>
          <w:color w:val="auto"/>
          <w:sz w:val="24"/>
        </w:rPr>
        <w:t>2）横向网络接入方式选择</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医保平台广域网横向网络连接主要用于经办机构、同级资源共享部门，以及医院、商业银行、保险公司等外部关联单位与海南省医疗保障信息平台的连接。其中，经办机构采用电子政务外网或专线方式接入医疗保障核心业务网；商业银行、保险公司、中大型医院采用专线作为连接链路；小诊所、偏远的乡村卫生室采用专线、VPDN作为连接链路，以上连接链路在各种情况下均不可连接互联网。同级资源共享部门采用电子政务外网或专线方式接入医疗保障核心业务网。</w:t>
      </w:r>
    </w:p>
    <w:p>
      <w:pPr>
        <w:widowControl/>
        <w:spacing w:line="360" w:lineRule="auto"/>
        <w:ind w:firstLine="720" w:firstLineChars="300"/>
        <w:jc w:val="left"/>
        <w:rPr>
          <w:rFonts w:ascii="仿宋" w:hAnsi="仿宋" w:eastAsia="仿宋" w:cs="仿宋"/>
          <w:color w:val="auto"/>
          <w:sz w:val="24"/>
        </w:rPr>
      </w:pPr>
      <w:r>
        <w:rPr>
          <w:rFonts w:hint="eastAsia" w:ascii="仿宋" w:hAnsi="仿宋" w:eastAsia="仿宋" w:cs="仿宋"/>
          <w:color w:val="auto"/>
          <w:sz w:val="24"/>
        </w:rPr>
        <w:t>3）远程办公接入方式选择</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远程办公用于医保工作人员出差或外出时，在医保核心业务网覆盖范围以外访问医保内部业务应用，采用VPDN方式建立网络连接。VPDN不允许访问互联网。终端接入方式可以采用3G/4G/5G无线接入，并须采用基于数字证书的二次认证方式。</w:t>
      </w:r>
    </w:p>
    <w:p>
      <w:pPr>
        <w:adjustRightInd w:val="0"/>
        <w:snapToGrid w:val="0"/>
        <w:spacing w:line="360" w:lineRule="auto"/>
        <w:ind w:firstLine="480"/>
        <w:jc w:val="center"/>
        <w:textAlignment w:val="baseline"/>
        <w:rPr>
          <w:rFonts w:ascii="仿宋" w:hAnsi="仿宋" w:eastAsia="仿宋" w:cs="仿宋"/>
          <w:color w:val="auto"/>
          <w:sz w:val="24"/>
        </w:rPr>
      </w:pPr>
      <w:r>
        <w:rPr>
          <w:rFonts w:hint="eastAsia" w:ascii="仿宋" w:hAnsi="仿宋" w:eastAsia="仿宋" w:cs="仿宋"/>
          <w:color w:val="auto"/>
          <w:sz w:val="24"/>
        </w:rPr>
        <w:t xml:space="preserve">广域网络接入方式表  </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001"/>
        <w:gridCol w:w="1296"/>
        <w:gridCol w:w="2451"/>
        <w:gridCol w:w="1677"/>
        <w:gridCol w:w="1147"/>
        <w:gridCol w:w="88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1" w:type="dxa"/>
            <w:tcBorders>
              <w:top w:val="single" w:color="auto" w:sz="12" w:space="0"/>
              <w:left w:val="single" w:color="auto" w:sz="12"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连接方式</w:t>
            </w:r>
          </w:p>
        </w:tc>
        <w:tc>
          <w:tcPr>
            <w:tcW w:w="3747" w:type="dxa"/>
            <w:gridSpan w:val="2"/>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连接节点</w:t>
            </w:r>
          </w:p>
        </w:tc>
        <w:tc>
          <w:tcPr>
            <w:tcW w:w="1677"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电子政务外网</w:t>
            </w:r>
          </w:p>
        </w:tc>
        <w:tc>
          <w:tcPr>
            <w:tcW w:w="1147"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备用线路</w:t>
            </w:r>
          </w:p>
        </w:tc>
        <w:tc>
          <w:tcPr>
            <w:tcW w:w="887" w:type="dxa"/>
            <w:tcBorders>
              <w:top w:val="single" w:color="auto" w:sz="12"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VPDN</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1" w:type="dxa"/>
            <w:vMerge w:val="restart"/>
            <w:tcBorders>
              <w:top w:val="single" w:color="000000" w:sz="4" w:space="0"/>
              <w:left w:val="single" w:color="auto" w:sz="12"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纵向网络</w:t>
            </w:r>
          </w:p>
        </w:tc>
        <w:tc>
          <w:tcPr>
            <w:tcW w:w="3747" w:type="dxa"/>
            <w:gridSpan w:val="2"/>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省医保局</w:t>
            </w:r>
          </w:p>
        </w:tc>
        <w:tc>
          <w:tcPr>
            <w:tcW w:w="16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887" w:type="dxa"/>
            <w:tcBorders>
              <w:top w:val="single" w:color="000000" w:sz="4" w:space="0"/>
              <w:left w:val="single" w:color="000000" w:sz="4" w:space="0"/>
              <w:bottom w:val="single" w:color="000000" w:sz="4" w:space="0"/>
              <w:right w:val="single" w:color="auto" w:sz="12" w:space="0"/>
            </w:tcBorders>
            <w:noWrap/>
            <w:vAlign w:val="center"/>
          </w:tcPr>
          <w:p>
            <w:pPr>
              <w:widowControl/>
              <w:spacing w:line="360" w:lineRule="auto"/>
              <w:jc w:val="left"/>
              <w:rPr>
                <w:rFonts w:ascii="仿宋" w:hAnsi="仿宋" w:eastAsia="仿宋" w:cs="仿宋"/>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1" w:type="dxa"/>
            <w:vMerge w:val="continue"/>
            <w:tcBorders>
              <w:top w:val="single" w:color="000000" w:sz="4" w:space="0"/>
              <w:left w:val="single" w:color="auto" w:sz="12"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3747" w:type="dxa"/>
            <w:gridSpan w:val="2"/>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市县医保局</w:t>
            </w:r>
          </w:p>
        </w:tc>
        <w:tc>
          <w:tcPr>
            <w:tcW w:w="16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887" w:type="dxa"/>
            <w:tcBorders>
              <w:top w:val="single" w:color="000000" w:sz="4" w:space="0"/>
              <w:left w:val="single" w:color="000000" w:sz="4" w:space="0"/>
              <w:bottom w:val="single" w:color="000000" w:sz="4" w:space="0"/>
              <w:right w:val="single" w:color="auto" w:sz="12" w:space="0"/>
            </w:tcBorders>
            <w:noWrap/>
            <w:vAlign w:val="center"/>
          </w:tcPr>
          <w:p>
            <w:pPr>
              <w:widowControl/>
              <w:spacing w:line="360" w:lineRule="auto"/>
              <w:jc w:val="left"/>
              <w:rPr>
                <w:rFonts w:ascii="仿宋" w:hAnsi="仿宋" w:eastAsia="仿宋" w:cs="仿宋"/>
                <w:color w:val="auto"/>
                <w:sz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1" w:type="dxa"/>
            <w:vMerge w:val="continue"/>
            <w:tcBorders>
              <w:top w:val="single" w:color="000000" w:sz="4" w:space="0"/>
              <w:left w:val="single" w:color="auto" w:sz="12"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3747" w:type="dxa"/>
            <w:gridSpan w:val="2"/>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医保人员远程办公</w:t>
            </w:r>
          </w:p>
        </w:tc>
        <w:tc>
          <w:tcPr>
            <w:tcW w:w="16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114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887"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1" w:type="dxa"/>
            <w:vMerge w:val="restart"/>
            <w:tcBorders>
              <w:top w:val="single" w:color="000000" w:sz="4" w:space="0"/>
              <w:left w:val="single" w:color="auto" w:sz="12" w:space="0"/>
              <w:bottom w:val="single" w:color="auto" w:sz="12" w:space="0"/>
              <w:right w:val="single" w:color="000000" w:sz="4" w:space="0"/>
            </w:tcBorders>
            <w:noWrap/>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横向网络</w:t>
            </w:r>
          </w:p>
        </w:tc>
        <w:tc>
          <w:tcPr>
            <w:tcW w:w="3747" w:type="dxa"/>
            <w:gridSpan w:val="2"/>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经办机构</w:t>
            </w:r>
          </w:p>
        </w:tc>
        <w:tc>
          <w:tcPr>
            <w:tcW w:w="16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887"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1"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29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同级资源共享部门</w:t>
            </w:r>
          </w:p>
        </w:tc>
        <w:tc>
          <w:tcPr>
            <w:tcW w:w="24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人社、卫建、民政、扶贫办、税务、工信（大数据管理局）</w:t>
            </w:r>
          </w:p>
        </w:tc>
        <w:tc>
          <w:tcPr>
            <w:tcW w:w="16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887"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1"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296"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4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其他同级资源共享部门</w:t>
            </w:r>
          </w:p>
        </w:tc>
        <w:tc>
          <w:tcPr>
            <w:tcW w:w="16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14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887"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1"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296" w:type="dxa"/>
            <w:vMerge w:val="restart"/>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外部关联单位</w:t>
            </w:r>
          </w:p>
        </w:tc>
        <w:tc>
          <w:tcPr>
            <w:tcW w:w="24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三级医院</w:t>
            </w:r>
          </w:p>
        </w:tc>
        <w:tc>
          <w:tcPr>
            <w:tcW w:w="16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114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887"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1"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296" w:type="dxa"/>
            <w:vMerge w:val="continue"/>
            <w:tcBorders>
              <w:top w:val="single" w:color="000000" w:sz="4" w:space="0"/>
              <w:left w:val="single" w:color="000000" w:sz="4"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4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二级医院</w:t>
            </w:r>
          </w:p>
        </w:tc>
        <w:tc>
          <w:tcPr>
            <w:tcW w:w="16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114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887"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1"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296" w:type="dxa"/>
            <w:vMerge w:val="continue"/>
            <w:tcBorders>
              <w:top w:val="single" w:color="000000" w:sz="4" w:space="0"/>
              <w:left w:val="single" w:color="000000" w:sz="4"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4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一级医院</w:t>
            </w:r>
          </w:p>
        </w:tc>
        <w:tc>
          <w:tcPr>
            <w:tcW w:w="16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114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887"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1"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296" w:type="dxa"/>
            <w:vMerge w:val="continue"/>
            <w:tcBorders>
              <w:top w:val="single" w:color="000000" w:sz="4" w:space="0"/>
              <w:left w:val="single" w:color="000000" w:sz="4"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45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商业银行、保险公司</w:t>
            </w:r>
          </w:p>
        </w:tc>
        <w:tc>
          <w:tcPr>
            <w:tcW w:w="16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114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887"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1"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1296" w:type="dxa"/>
            <w:vMerge w:val="continue"/>
            <w:tcBorders>
              <w:top w:val="single" w:color="000000" w:sz="4" w:space="0"/>
              <w:left w:val="single" w:color="000000" w:sz="4"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451"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一级以下医院</w:t>
            </w:r>
          </w:p>
        </w:tc>
        <w:tc>
          <w:tcPr>
            <w:tcW w:w="1677"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　</w:t>
            </w:r>
          </w:p>
        </w:tc>
        <w:tc>
          <w:tcPr>
            <w:tcW w:w="1147"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887" w:type="dxa"/>
            <w:tcBorders>
              <w:top w:val="single" w:color="000000" w:sz="4" w:space="0"/>
              <w:left w:val="single" w:color="000000" w:sz="4" w:space="0"/>
              <w:bottom w:val="single" w:color="auto" w:sz="12"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r>
    </w:tbl>
    <w:p>
      <w:pPr>
        <w:spacing w:line="360" w:lineRule="auto"/>
        <w:ind w:firstLine="480"/>
        <w:rPr>
          <w:rFonts w:ascii="仿宋" w:hAnsi="仿宋" w:eastAsia="仿宋" w:cs="仿宋"/>
          <w:color w:val="auto"/>
          <w:sz w:val="24"/>
        </w:rPr>
      </w:pPr>
    </w:p>
    <w:p>
      <w:pPr>
        <w:keepNext/>
        <w:keepLines/>
        <w:adjustRightInd w:val="0"/>
        <w:snapToGrid w:val="0"/>
        <w:spacing w:line="360" w:lineRule="auto"/>
        <w:ind w:firstLine="482" w:firstLineChars="200"/>
        <w:jc w:val="left"/>
        <w:textAlignment w:val="baseline"/>
        <w:rPr>
          <w:rFonts w:ascii="仿宋" w:hAnsi="仿宋" w:eastAsia="仿宋" w:cs="仿宋"/>
          <w:b/>
          <w:bCs/>
          <w:color w:val="auto"/>
          <w:sz w:val="24"/>
        </w:rPr>
      </w:pPr>
      <w:r>
        <w:rPr>
          <w:rFonts w:hint="eastAsia" w:ascii="仿宋" w:hAnsi="仿宋" w:eastAsia="仿宋" w:cs="仿宋"/>
          <w:b/>
          <w:bCs/>
          <w:color w:val="auto"/>
          <w:sz w:val="24"/>
        </w:rPr>
        <w:t>3.2广域网总体架构</w:t>
      </w:r>
    </w:p>
    <w:p>
      <w:pPr>
        <w:snapToGrid w:val="0"/>
        <w:spacing w:line="360" w:lineRule="auto"/>
        <w:ind w:firstLine="480"/>
        <w:rPr>
          <w:rFonts w:ascii="仿宋" w:hAnsi="仿宋" w:eastAsia="仿宋" w:cs="仿宋"/>
          <w:color w:val="auto"/>
          <w:sz w:val="24"/>
        </w:rPr>
      </w:pPr>
      <w:r>
        <w:rPr>
          <w:rFonts w:hint="eastAsia" w:ascii="仿宋" w:hAnsi="仿宋" w:eastAsia="仿宋" w:cs="仿宋"/>
          <w:color w:val="auto"/>
          <w:sz w:val="24"/>
        </w:rPr>
        <w:t>海南省医保平台广域网建设的总体目标网络拓扑结构如下图所示：</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5760085" cy="3489325"/>
            <wp:effectExtent l="0" t="0" r="0" b="0"/>
            <wp:wrapNone/>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7"/>
                    <a:stretch>
                      <a:fillRect/>
                    </a:stretch>
                  </pic:blipFill>
                  <pic:spPr>
                    <a:xfrm>
                      <a:off x="0" y="0"/>
                      <a:ext cx="5760085" cy="3489325"/>
                    </a:xfrm>
                    <a:prstGeom prst="rect">
                      <a:avLst/>
                    </a:prstGeom>
                    <a:noFill/>
                    <a:ln>
                      <a:noFill/>
                    </a:ln>
                  </pic:spPr>
                </pic:pic>
              </a:graphicData>
            </a:graphic>
          </wp:anchor>
        </w:drawing>
      </w:r>
      <w:r>
        <w:rPr>
          <w:rFonts w:ascii="仿宋" w:hAnsi="仿宋" w:eastAsia="仿宋" w:cs="仿宋"/>
          <w:color w:val="auto"/>
          <w:sz w:val="24"/>
        </w:rPr>
        <w:pict>
          <v:rect id="_x0000_s1026" o:spid="_x0000_s1026" o:spt="1" style="height:274.6pt;width:453.75pt;" filled="f" stroked="f" coordsize="21600,21600" o:gfxdata="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5sd0DYAAAABQEAAA8AAAAAAAAAAQAgAAAAIgAAAGRycy9kb3du&#10;cmV2LnhtbFBLAQIUABQAAAAIAIdO4kALxzwC/wEAAN0DAAAOAAAAAAAAAAEAIAAAACcBAABkcnMv&#10;ZTJvRG9jLnhtbFBLBQYAAAAABgAGAFkBAACYBQAAAAA=&#10;">
            <v:path/>
            <v:fill on="f" focussize="0,0"/>
            <v:stroke on="f"/>
            <v:imagedata o:title=""/>
            <o:lock v:ext="edit" aspectratio="t"/>
            <w10:wrap type="none"/>
            <w10:anchorlock/>
          </v:rect>
        </w:pict>
      </w:r>
    </w:p>
    <w:p>
      <w:pPr>
        <w:snapToGrid w:val="0"/>
        <w:spacing w:line="360" w:lineRule="auto"/>
        <w:ind w:firstLine="480"/>
        <w:jc w:val="center"/>
        <w:rPr>
          <w:rFonts w:ascii="仿宋" w:hAnsi="仿宋" w:eastAsia="仿宋" w:cs="仿宋"/>
          <w:color w:val="auto"/>
          <w:sz w:val="24"/>
        </w:rPr>
      </w:pPr>
      <w:r>
        <w:rPr>
          <w:rFonts w:hint="eastAsia" w:ascii="仿宋" w:hAnsi="仿宋" w:eastAsia="仿宋" w:cs="仿宋"/>
          <w:color w:val="auto"/>
          <w:sz w:val="24"/>
        </w:rPr>
        <w:t>图：海南省医疗保障信息平台广域网总体网络架构图</w:t>
      </w:r>
    </w:p>
    <w:p>
      <w:pPr>
        <w:keepNext/>
        <w:keepLines/>
        <w:adjustRightInd w:val="0"/>
        <w:snapToGrid w:val="0"/>
        <w:spacing w:line="360" w:lineRule="auto"/>
        <w:ind w:firstLine="482" w:firstLineChars="200"/>
        <w:jc w:val="left"/>
        <w:textAlignment w:val="baseline"/>
        <w:rPr>
          <w:rFonts w:ascii="仿宋" w:hAnsi="仿宋" w:eastAsia="仿宋" w:cs="仿宋"/>
          <w:b/>
          <w:bCs/>
          <w:color w:val="auto"/>
          <w:sz w:val="24"/>
        </w:rPr>
      </w:pPr>
      <w:r>
        <w:rPr>
          <w:rFonts w:hint="eastAsia" w:ascii="仿宋" w:hAnsi="仿宋" w:eastAsia="仿宋" w:cs="仿宋"/>
          <w:b/>
          <w:bCs/>
          <w:color w:val="auto"/>
          <w:sz w:val="24"/>
        </w:rPr>
        <w:t>3.3纵向网络设计</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纵向骨干网网络实现在医疗保障系统内部建立的中央、省、市、县四级医疗保障部门之间的纵向网络连接，分为上联区和下联区。上联区实现与国家医保局平台对接，下联区连接省医保局、19个市县医保部门。</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（1）上联区</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纵向上联区实现与国家医疗保障局核心业务网的互联互通。医疗保障核心业务区网络承载业务十分重要，实时性、稳定性、安全性、可靠性要求较高，使用双联路进行连接。租用一条线路与电子政务外网构成双链路链接，分别连数据中心A和数据中心B，带宽均为50Mbps。当一条链路发生故障时，另一条链路自动转换承载故障链路业务，提供安全可靠的数据承载保障。</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上联区配置2台省上联骨干路由器，分别部署在数据中心A和数据中心B。</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（2）下联区</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纵向下联区实现省、市县医疗保障部门的接入。医疗保障核心业务区网络承载业务十分重要，实时性、稳定性、安全性、可靠性要求较高，省、市县医保业务部门使用双链路进行连接。省医疗保障局到省医疗保障信息平台，利用电子政务外网和备用线路进行承载。省医疗保障信息平台到市县医保部门，利用电子政务外网和备用线路进行承载，每条链路带宽预留20Mbps。电子政务外网与备用线路形成链路级可靠性，当一条链路发生故障时，另一条链路自动转换承载故障链路业务，提供安全可靠的数据承载保障。</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下联区配置2台省下联骨干路由器，分别部署在数据中心A和数据中心B，上行同省上联路由器互联。</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VPDN用于医保工作人员出差或外出时，在医保核心业务网覆盖范围以外访问医保内部业务应用，采用VPDN方式建立网络连接。由于国家局已建CA中心，并覆盖全国医保工作人员接入场景，因此医保业务人员通过4G/5G VPDN的方式接入办公时，需使用国家局所发CA证书并通过AAA服务器进行身份认证。</w:t>
      </w:r>
    </w:p>
    <w:p>
      <w:pPr>
        <w:adjustRightInd w:val="0"/>
        <w:snapToGrid w:val="0"/>
        <w:spacing w:line="360" w:lineRule="auto"/>
        <w:ind w:firstLine="480"/>
        <w:jc w:val="center"/>
        <w:textAlignment w:val="baseline"/>
        <w:rPr>
          <w:rFonts w:ascii="仿宋" w:hAnsi="仿宋" w:eastAsia="仿宋" w:cs="仿宋"/>
          <w:color w:val="auto"/>
          <w:sz w:val="24"/>
        </w:rPr>
      </w:pPr>
      <w:r>
        <w:rPr>
          <w:rFonts w:hint="eastAsia" w:ascii="仿宋" w:hAnsi="仿宋" w:eastAsia="仿宋" w:cs="仿宋"/>
          <w:color w:val="auto"/>
          <w:sz w:val="24"/>
        </w:rPr>
        <w:t xml:space="preserve">海南省广域网纵向网络接入方式 </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206"/>
        <w:gridCol w:w="2301"/>
        <w:gridCol w:w="1086"/>
        <w:gridCol w:w="771"/>
        <w:gridCol w:w="925"/>
        <w:gridCol w:w="1086"/>
        <w:gridCol w:w="108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07" w:type="dxa"/>
            <w:gridSpan w:val="2"/>
            <w:tcBorders>
              <w:top w:val="single" w:color="auto" w:sz="12" w:space="0"/>
              <w:left w:val="single" w:color="auto" w:sz="12"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接入场景</w:t>
            </w:r>
          </w:p>
        </w:tc>
        <w:tc>
          <w:tcPr>
            <w:tcW w:w="1086"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电子政务外网</w:t>
            </w:r>
          </w:p>
        </w:tc>
        <w:tc>
          <w:tcPr>
            <w:tcW w:w="771"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备用线路</w:t>
            </w:r>
          </w:p>
        </w:tc>
        <w:tc>
          <w:tcPr>
            <w:tcW w:w="925"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VPDN</w:t>
            </w:r>
          </w:p>
        </w:tc>
        <w:tc>
          <w:tcPr>
            <w:tcW w:w="1086"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链路数（条）</w:t>
            </w:r>
          </w:p>
        </w:tc>
        <w:tc>
          <w:tcPr>
            <w:tcW w:w="1084" w:type="dxa"/>
            <w:tcBorders>
              <w:top w:val="single" w:color="auto" w:sz="12"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带宽（Mbps）</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06" w:type="dxa"/>
            <w:vMerge w:val="restart"/>
            <w:tcBorders>
              <w:top w:val="single" w:color="000000" w:sz="4" w:space="0"/>
              <w:left w:val="single" w:color="auto" w:sz="12"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纵向网络</w:t>
            </w:r>
          </w:p>
        </w:tc>
        <w:tc>
          <w:tcPr>
            <w:tcW w:w="230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国家医保局-省医保局</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92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084"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50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40" w:hRule="atLeast"/>
        </w:trPr>
        <w:tc>
          <w:tcPr>
            <w:tcW w:w="120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30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省医保局-市县医保局</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92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38</w:t>
            </w:r>
          </w:p>
        </w:tc>
        <w:tc>
          <w:tcPr>
            <w:tcW w:w="1084"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20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40" w:hRule="atLeast"/>
        </w:trPr>
        <w:tc>
          <w:tcPr>
            <w:tcW w:w="1206"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301"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医保人员远程办公</w:t>
            </w:r>
          </w:p>
        </w:tc>
        <w:tc>
          <w:tcPr>
            <w:tcW w:w="1086"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771"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p>
        </w:tc>
        <w:tc>
          <w:tcPr>
            <w:tcW w:w="925"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086"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160</w:t>
            </w:r>
          </w:p>
        </w:tc>
        <w:tc>
          <w:tcPr>
            <w:tcW w:w="1084" w:type="dxa"/>
            <w:tcBorders>
              <w:top w:val="single" w:color="000000" w:sz="4" w:space="0"/>
              <w:left w:val="single" w:color="000000" w:sz="4" w:space="0"/>
              <w:bottom w:val="single" w:color="auto" w:sz="12"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p>
        </w:tc>
      </w:tr>
    </w:tbl>
    <w:p>
      <w:pPr>
        <w:keepNext/>
        <w:keepLines/>
        <w:adjustRightInd w:val="0"/>
        <w:snapToGrid w:val="0"/>
        <w:spacing w:line="360" w:lineRule="auto"/>
        <w:ind w:firstLine="482" w:firstLineChars="200"/>
        <w:jc w:val="left"/>
        <w:textAlignment w:val="baseline"/>
        <w:rPr>
          <w:rFonts w:ascii="仿宋" w:hAnsi="仿宋" w:eastAsia="仿宋" w:cs="仿宋"/>
          <w:b/>
          <w:bCs/>
          <w:color w:val="auto"/>
          <w:sz w:val="24"/>
        </w:rPr>
      </w:pPr>
      <w:r>
        <w:rPr>
          <w:rFonts w:hint="eastAsia" w:ascii="仿宋" w:hAnsi="仿宋" w:eastAsia="仿宋" w:cs="仿宋"/>
          <w:b/>
          <w:bCs/>
          <w:color w:val="auto"/>
          <w:sz w:val="24"/>
        </w:rPr>
        <w:t>3.4横向网络设计</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横向网络实现与经办机构，人社、卫建、民政、扶贫办、税务、工信等同级资源共享部门，以及与医院、村卫生室、社区卫生服务站、商业银行、保险公司等外部关联单位通过接入横向接入区，实现与医疗保障信息平台的互联互通，。</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经办机构通过电子政务外网、备用线路接入横向接入区。</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人社、卫健委、民政、扶贫办、税务、工信等资源共享部门采用电子政务外网裸光纤和备用线路接入横向接入区；其他信息资源共享部门通过电子政务外网和备用线路接入横向接入区。</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三级/二级/一级医院、商业银行、保险公司和医院采用备用线路接入横向接入区。</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一级以下医院采用VPDN方式建立网络连接。由于国家局已建CA中心，并覆盖全国两定机构接入场景，因此一级以下医院通过4G/5G VPDN的方式接入时，需使用国家局所发CA证书并通过AAA服务器进行身份认证。</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横向接入方式具体如下。</w:t>
      </w:r>
    </w:p>
    <w:p>
      <w:pPr>
        <w:adjustRightInd w:val="0"/>
        <w:snapToGrid w:val="0"/>
        <w:spacing w:line="360" w:lineRule="auto"/>
        <w:ind w:firstLine="480"/>
        <w:jc w:val="center"/>
        <w:textAlignment w:val="baseline"/>
        <w:rPr>
          <w:rFonts w:ascii="仿宋" w:hAnsi="仿宋" w:eastAsia="仿宋" w:cs="仿宋"/>
          <w:color w:val="auto"/>
          <w:sz w:val="24"/>
        </w:rPr>
      </w:pPr>
    </w:p>
    <w:p>
      <w:pPr>
        <w:adjustRightInd w:val="0"/>
        <w:snapToGrid w:val="0"/>
        <w:spacing w:line="360" w:lineRule="auto"/>
        <w:ind w:firstLine="480"/>
        <w:jc w:val="center"/>
        <w:textAlignment w:val="baseline"/>
        <w:rPr>
          <w:rFonts w:ascii="仿宋" w:hAnsi="仿宋" w:eastAsia="仿宋" w:cs="仿宋"/>
          <w:color w:val="auto"/>
          <w:sz w:val="24"/>
        </w:rPr>
      </w:pPr>
      <w:r>
        <w:rPr>
          <w:rFonts w:hint="eastAsia" w:ascii="仿宋" w:hAnsi="仿宋" w:eastAsia="仿宋" w:cs="仿宋"/>
          <w:color w:val="auto"/>
          <w:sz w:val="24"/>
        </w:rPr>
        <w:t>海南省广域网横向网络接入方式 表</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STYLEREF 2 \s </w:instrText>
      </w:r>
      <w:r>
        <w:rPr>
          <w:rFonts w:hint="eastAsia" w:ascii="仿宋" w:hAnsi="仿宋" w:eastAsia="仿宋" w:cs="仿宋"/>
          <w:color w:val="auto"/>
          <w:sz w:val="24"/>
        </w:rPr>
        <w:fldChar w:fldCharType="separate"/>
      </w:r>
      <w:r>
        <w:rPr>
          <w:rFonts w:hint="eastAsia" w:ascii="仿宋" w:hAnsi="仿宋" w:eastAsia="仿宋" w:cs="仿宋"/>
          <w:color w:val="auto"/>
          <w:sz w:val="24"/>
        </w:rPr>
        <w:t>5.7</w:t>
      </w:r>
      <w:r>
        <w:rPr>
          <w:rFonts w:hint="eastAsia" w:ascii="仿宋" w:hAnsi="仿宋" w:eastAsia="仿宋" w:cs="仿宋"/>
          <w:color w:val="auto"/>
          <w:sz w:val="24"/>
        </w:rPr>
        <w:fldChar w:fldCharType="end"/>
      </w:r>
      <w:r>
        <w:rPr>
          <w:rFonts w:hint="eastAsia" w:ascii="仿宋" w:hAnsi="仿宋" w:eastAsia="仿宋" w:cs="仿宋"/>
          <w:color w:val="auto"/>
          <w:sz w:val="24"/>
        </w:rPr>
        <w:noBreakHyphen/>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SEQ 表 \* ARABIC \s 2 </w:instrText>
      </w:r>
      <w:r>
        <w:rPr>
          <w:rFonts w:hint="eastAsia" w:ascii="仿宋" w:hAnsi="仿宋" w:eastAsia="仿宋" w:cs="仿宋"/>
          <w:color w:val="auto"/>
          <w:sz w:val="24"/>
        </w:rPr>
        <w:fldChar w:fldCharType="separate"/>
      </w:r>
      <w:r>
        <w:rPr>
          <w:rFonts w:hint="eastAsia" w:ascii="仿宋" w:hAnsi="仿宋" w:eastAsia="仿宋" w:cs="仿宋"/>
          <w:color w:val="auto"/>
          <w:sz w:val="24"/>
        </w:rPr>
        <w:t>6</w:t>
      </w:r>
      <w:r>
        <w:rPr>
          <w:rFonts w:hint="eastAsia" w:ascii="仿宋" w:hAnsi="仿宋" w:eastAsia="仿宋" w:cs="仿宋"/>
          <w:color w:val="auto"/>
          <w:sz w:val="24"/>
        </w:rPr>
        <w:fldChar w:fldCharType="end"/>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772"/>
        <w:gridCol w:w="2735"/>
        <w:gridCol w:w="1086"/>
        <w:gridCol w:w="771"/>
        <w:gridCol w:w="925"/>
        <w:gridCol w:w="1086"/>
        <w:gridCol w:w="108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3507" w:type="dxa"/>
            <w:gridSpan w:val="2"/>
            <w:tcBorders>
              <w:top w:val="single" w:color="auto" w:sz="12" w:space="0"/>
              <w:left w:val="single" w:color="auto" w:sz="12"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接入场景</w:t>
            </w:r>
          </w:p>
        </w:tc>
        <w:tc>
          <w:tcPr>
            <w:tcW w:w="1086"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电子政务外网</w:t>
            </w:r>
          </w:p>
        </w:tc>
        <w:tc>
          <w:tcPr>
            <w:tcW w:w="771"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备用线路</w:t>
            </w:r>
          </w:p>
        </w:tc>
        <w:tc>
          <w:tcPr>
            <w:tcW w:w="925"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VPDN</w:t>
            </w:r>
          </w:p>
        </w:tc>
        <w:tc>
          <w:tcPr>
            <w:tcW w:w="1086" w:type="dxa"/>
            <w:tcBorders>
              <w:top w:val="single" w:color="auto" w:sz="12"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链路数（条）</w:t>
            </w:r>
          </w:p>
        </w:tc>
        <w:tc>
          <w:tcPr>
            <w:tcW w:w="1084" w:type="dxa"/>
            <w:tcBorders>
              <w:top w:val="single" w:color="auto" w:sz="12"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带宽（Mbps）</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72" w:type="dxa"/>
            <w:vMerge w:val="restart"/>
            <w:tcBorders>
              <w:top w:val="single" w:color="000000" w:sz="4" w:space="0"/>
              <w:left w:val="single" w:color="auto" w:sz="12" w:space="0"/>
              <w:bottom w:val="single" w:color="auto" w:sz="12" w:space="0"/>
              <w:right w:val="single" w:color="000000" w:sz="4" w:space="0"/>
            </w:tcBorders>
            <w:noWrap/>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横向网络</w:t>
            </w:r>
          </w:p>
        </w:tc>
        <w:tc>
          <w:tcPr>
            <w:tcW w:w="27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经办机构</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92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38</w:t>
            </w:r>
          </w:p>
        </w:tc>
        <w:tc>
          <w:tcPr>
            <w:tcW w:w="1084"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20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72"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7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人社、卫建、民政、扶贫办、税务、工信（大数据管理局）</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92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12</w:t>
            </w:r>
          </w:p>
        </w:tc>
        <w:tc>
          <w:tcPr>
            <w:tcW w:w="1084"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72"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7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其他同级资源共享部门</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92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20</w:t>
            </w:r>
          </w:p>
        </w:tc>
        <w:tc>
          <w:tcPr>
            <w:tcW w:w="1084"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72"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7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三级医院</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92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25</w:t>
            </w:r>
          </w:p>
        </w:tc>
        <w:tc>
          <w:tcPr>
            <w:tcW w:w="1084"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72"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7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二级医院</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92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86</w:t>
            </w:r>
          </w:p>
        </w:tc>
        <w:tc>
          <w:tcPr>
            <w:tcW w:w="1084"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50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72"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7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一级医院</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92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　</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443</w:t>
            </w:r>
          </w:p>
        </w:tc>
        <w:tc>
          <w:tcPr>
            <w:tcW w:w="1084"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72"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73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商业银行、保险公司</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77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92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6</w:t>
            </w:r>
          </w:p>
        </w:tc>
        <w:tc>
          <w:tcPr>
            <w:tcW w:w="1084" w:type="dxa"/>
            <w:tcBorders>
              <w:top w:val="single" w:color="000000" w:sz="4" w:space="0"/>
              <w:left w:val="single" w:color="000000" w:sz="4" w:space="0"/>
              <w:bottom w:val="single" w:color="000000" w:sz="4"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72" w:type="dxa"/>
            <w:vMerge w:val="continue"/>
            <w:tcBorders>
              <w:top w:val="single" w:color="000000" w:sz="4" w:space="0"/>
              <w:left w:val="single" w:color="auto" w:sz="12" w:space="0"/>
              <w:bottom w:val="single" w:color="auto" w:sz="12" w:space="0"/>
              <w:right w:val="single" w:color="000000" w:sz="4" w:space="0"/>
            </w:tcBorders>
            <w:noWrap/>
            <w:vAlign w:val="center"/>
          </w:tcPr>
          <w:p>
            <w:pPr>
              <w:widowControl/>
              <w:spacing w:line="360" w:lineRule="auto"/>
              <w:jc w:val="left"/>
              <w:rPr>
                <w:rFonts w:ascii="仿宋" w:hAnsi="仿宋" w:eastAsia="仿宋" w:cs="仿宋"/>
                <w:color w:val="auto"/>
                <w:sz w:val="24"/>
              </w:rPr>
            </w:pPr>
          </w:p>
        </w:tc>
        <w:tc>
          <w:tcPr>
            <w:tcW w:w="2735"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一级以下医院</w:t>
            </w:r>
          </w:p>
        </w:tc>
        <w:tc>
          <w:tcPr>
            <w:tcW w:w="1086"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　</w:t>
            </w:r>
          </w:p>
        </w:tc>
        <w:tc>
          <w:tcPr>
            <w:tcW w:w="771"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　</w:t>
            </w:r>
          </w:p>
        </w:tc>
        <w:tc>
          <w:tcPr>
            <w:tcW w:w="925"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086" w:type="dxa"/>
            <w:tcBorders>
              <w:top w:val="single" w:color="000000" w:sz="4" w:space="0"/>
              <w:left w:val="single" w:color="000000" w:sz="4" w:space="0"/>
              <w:bottom w:val="single" w:color="auto" w:sz="12" w:space="0"/>
              <w:right w:val="single" w:color="000000" w:sz="4" w:space="0"/>
            </w:tcBorders>
            <w:noWrap/>
            <w:vAlign w:val="center"/>
          </w:tcPr>
          <w:p>
            <w:pPr>
              <w:widowControl/>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2600</w:t>
            </w:r>
          </w:p>
        </w:tc>
        <w:tc>
          <w:tcPr>
            <w:tcW w:w="1084" w:type="dxa"/>
            <w:tcBorders>
              <w:top w:val="single" w:color="000000" w:sz="4" w:space="0"/>
              <w:left w:val="single" w:color="000000" w:sz="4" w:space="0"/>
              <w:bottom w:val="single" w:color="auto" w:sz="12" w:space="0"/>
              <w:right w:val="single" w:color="auto" w:sz="12" w:space="0"/>
            </w:tcBorders>
            <w:noWrap/>
            <w:vAlign w:val="center"/>
          </w:tcPr>
          <w:p>
            <w:pPr>
              <w:widowControl/>
              <w:snapToGrid w:val="0"/>
              <w:spacing w:line="360" w:lineRule="auto"/>
              <w:jc w:val="center"/>
              <w:rPr>
                <w:rFonts w:ascii="仿宋" w:hAnsi="仿宋" w:eastAsia="仿宋" w:cs="仿宋"/>
                <w:color w:val="auto"/>
                <w:sz w:val="24"/>
              </w:rPr>
            </w:pPr>
          </w:p>
        </w:tc>
      </w:tr>
    </w:tbl>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通过采购网络接入汇聚服务，根据《医疗保障核心业务区网络安全接入规范》、《全国医疗保障系统核心业务区骨干网络建设指南》要求，实现纵向网络、横向网络相关单位接入海南省医疗保障局医疗保障信息平台的需求。</w:t>
      </w:r>
    </w:p>
    <w:p>
      <w:pPr>
        <w:keepNext/>
        <w:keepLines/>
        <w:spacing w:line="360" w:lineRule="auto"/>
        <w:rPr>
          <w:rFonts w:ascii="仿宋" w:hAnsi="仿宋" w:eastAsia="仿宋" w:cs="仿宋"/>
          <w:b/>
          <w:bCs/>
          <w:color w:val="auto"/>
          <w:kern w:val="44"/>
          <w:sz w:val="24"/>
        </w:rPr>
      </w:pPr>
      <w:bookmarkStart w:id="781" w:name="_Toc40908559"/>
      <w:r>
        <w:rPr>
          <w:rFonts w:hint="eastAsia" w:ascii="仿宋" w:hAnsi="仿宋" w:eastAsia="仿宋" w:cs="仿宋"/>
          <w:b/>
          <w:bCs/>
          <w:color w:val="auto"/>
          <w:kern w:val="44"/>
          <w:sz w:val="24"/>
        </w:rPr>
        <w:t>4.</w:t>
      </w:r>
      <w:r>
        <w:rPr>
          <w:rFonts w:hint="eastAsia" w:ascii="仿宋" w:hAnsi="仿宋" w:eastAsia="仿宋" w:cs="仿宋"/>
          <w:b/>
          <w:bCs/>
          <w:color w:val="auto"/>
          <w:sz w:val="24"/>
        </w:rPr>
        <w:t>、</w:t>
      </w:r>
      <w:r>
        <w:rPr>
          <w:rFonts w:hint="eastAsia" w:ascii="仿宋" w:hAnsi="仿宋" w:eastAsia="仿宋" w:cs="仿宋"/>
          <w:color w:val="auto"/>
          <w:kern w:val="0"/>
          <w:sz w:val="20"/>
          <w:szCs w:val="20"/>
        </w:rPr>
        <w:t>▲</w:t>
      </w:r>
      <w:r>
        <w:rPr>
          <w:rFonts w:hint="eastAsia" w:ascii="仿宋" w:hAnsi="仿宋" w:eastAsia="仿宋" w:cs="仿宋"/>
          <w:b/>
          <w:bCs/>
          <w:color w:val="auto"/>
          <w:kern w:val="44"/>
          <w:sz w:val="24"/>
        </w:rPr>
        <w:t>采购项目要求</w:t>
      </w:r>
      <w:bookmarkEnd w:id="781"/>
    </w:p>
    <w:p>
      <w:pPr>
        <w:adjustRightInd w:val="0"/>
        <w:snapToGrid w:val="0"/>
        <w:spacing w:line="360" w:lineRule="auto"/>
        <w:ind w:firstLine="420"/>
        <w:rPr>
          <w:rFonts w:ascii="仿宋" w:hAnsi="仿宋" w:eastAsia="仿宋" w:cs="仿宋"/>
          <w:color w:val="auto"/>
          <w:sz w:val="24"/>
        </w:rPr>
      </w:pPr>
      <w:r>
        <w:rPr>
          <w:rFonts w:hint="eastAsia" w:ascii="仿宋" w:hAnsi="仿宋" w:eastAsia="仿宋" w:cs="仿宋"/>
          <w:color w:val="auto"/>
          <w:sz w:val="24"/>
        </w:rPr>
        <w:t>针对本项目须采购的产品，基本要求如下：</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（1）中标单位提供的所有服务所涉及产品需具有在中国境内的合法使用权，且产品授权为本次项目最终用户。</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（2）中标单位需保证投标的接入和汇聚服务涉及的防火墙、交换机等设备必须为专网专用。</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（3）中标单位所提供接入服务，需避免单点设备故障导致的网络中断。</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（4）中标单位所提供接入服务，需配套提供网络运营监管平台，实现对接入设备、网络运行状态的监控和故障告警提示。</w:t>
      </w:r>
    </w:p>
    <w:p>
      <w:pPr>
        <w:adjustRightInd w:val="0"/>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（5）有关功能、性能要求须提供技术支持资料，有关其他要求须提供其他证明扫描件。</w:t>
      </w:r>
    </w:p>
    <w:p>
      <w:pPr>
        <w:keepNext/>
        <w:keepLines/>
        <w:spacing w:line="360" w:lineRule="auto"/>
        <w:rPr>
          <w:rFonts w:ascii="仿宋" w:hAnsi="仿宋" w:eastAsia="仿宋" w:cs="仿宋"/>
          <w:b/>
          <w:bCs/>
          <w:color w:val="auto"/>
          <w:sz w:val="24"/>
        </w:rPr>
      </w:pPr>
      <w:bookmarkStart w:id="782" w:name="_Toc40908560"/>
      <w:r>
        <w:rPr>
          <w:rFonts w:hint="eastAsia" w:ascii="仿宋" w:hAnsi="仿宋" w:eastAsia="仿宋" w:cs="仿宋"/>
          <w:b/>
          <w:bCs/>
          <w:color w:val="auto"/>
          <w:sz w:val="24"/>
        </w:rPr>
        <w:t>4.1采购服务一览表及服务要求</w:t>
      </w:r>
    </w:p>
    <w:p>
      <w:pPr>
        <w:keepNext/>
        <w:keepLines/>
        <w:spacing w:line="360" w:lineRule="auto"/>
        <w:rPr>
          <w:rFonts w:ascii="仿宋" w:hAnsi="仿宋" w:eastAsia="仿宋" w:cs="仿宋"/>
          <w:b/>
          <w:bCs/>
          <w:color w:val="auto"/>
          <w:sz w:val="24"/>
        </w:rPr>
      </w:pPr>
      <w:r>
        <w:rPr>
          <w:rFonts w:hint="eastAsia" w:ascii="仿宋" w:hAnsi="仿宋" w:eastAsia="仿宋" w:cs="仿宋"/>
          <w:b/>
          <w:bCs/>
          <w:color w:val="auto"/>
          <w:sz w:val="24"/>
        </w:rPr>
        <w:t>（1）接入网络安全汇聚服务</w:t>
      </w:r>
    </w:p>
    <w:p>
      <w:pPr>
        <w:widowControl/>
        <w:jc w:val="center"/>
        <w:textAlignment w:val="center"/>
        <w:rPr>
          <w:rFonts w:ascii="仿宋" w:hAnsi="仿宋" w:eastAsia="仿宋" w:cs="宋体"/>
          <w:color w:val="auto"/>
          <w:kern w:val="0"/>
          <w:sz w:val="20"/>
          <w:szCs w:val="20"/>
        </w:rPr>
      </w:pPr>
    </w:p>
    <w:tbl>
      <w:tblPr>
        <w:tblStyle w:val="14"/>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14"/>
        <w:gridCol w:w="5842"/>
        <w:gridCol w:w="1251"/>
        <w:gridCol w:w="71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419" w:type="pct"/>
            <w:shd w:val="clear" w:color="auto" w:fill="auto"/>
            <w:vAlign w:val="center"/>
          </w:tcPr>
          <w:p>
            <w:pPr>
              <w:widowControl/>
              <w:jc w:val="center"/>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名称</w:t>
            </w:r>
          </w:p>
        </w:tc>
        <w:tc>
          <w:tcPr>
            <w:tcW w:w="3427" w:type="pct"/>
            <w:shd w:val="clear" w:color="auto" w:fill="auto"/>
            <w:vAlign w:val="center"/>
          </w:tcPr>
          <w:p>
            <w:pPr>
              <w:widowControl/>
              <w:jc w:val="center"/>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服务要求</w:t>
            </w:r>
          </w:p>
        </w:tc>
        <w:tc>
          <w:tcPr>
            <w:tcW w:w="734" w:type="pct"/>
            <w:shd w:val="clear" w:color="auto" w:fill="auto"/>
            <w:vAlign w:val="center"/>
          </w:tcPr>
          <w:p>
            <w:pPr>
              <w:widowControl/>
              <w:jc w:val="center"/>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服务时间（月）</w:t>
            </w:r>
          </w:p>
        </w:tc>
        <w:tc>
          <w:tcPr>
            <w:tcW w:w="419" w:type="pct"/>
            <w:shd w:val="clear" w:color="auto" w:fill="auto"/>
            <w:vAlign w:val="center"/>
          </w:tcPr>
          <w:p>
            <w:pPr>
              <w:widowControl/>
              <w:jc w:val="center"/>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数量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restart"/>
            <w:shd w:val="clear" w:color="auto" w:fill="auto"/>
            <w:vAlign w:val="center"/>
          </w:tcPr>
          <w:p>
            <w:pPr>
              <w:widowControl/>
              <w:jc w:val="center"/>
              <w:rPr>
                <w:rFonts w:ascii="仿宋" w:hAnsi="仿宋" w:eastAsia="仿宋" w:cs="宋体"/>
                <w:color w:val="auto"/>
                <w:kern w:val="0"/>
                <w:sz w:val="20"/>
                <w:szCs w:val="20"/>
              </w:rPr>
            </w:pPr>
            <w:r>
              <w:rPr>
                <w:rFonts w:hint="eastAsia" w:ascii="仿宋" w:hAnsi="仿宋" w:eastAsia="仿宋" w:cs="宋体"/>
                <w:color w:val="auto"/>
                <w:kern w:val="0"/>
                <w:sz w:val="20"/>
                <w:szCs w:val="20"/>
              </w:rPr>
              <w:t>安全网络汇聚服务</w:t>
            </w:r>
          </w:p>
        </w:tc>
        <w:tc>
          <w:tcPr>
            <w:tcW w:w="3427" w:type="pct"/>
            <w:shd w:val="clear" w:color="auto" w:fill="auto"/>
            <w:vAlign w:val="center"/>
          </w:tcPr>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提供专网专用设备的安全可靠汇聚网络服务，服务中需至少包含以下设备：</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一、骨干路由器1台，参数功能要求如下：</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1、冗余主控,要求主控切换时不影响业务转发</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2、控制转发物理分离，独立冗余主控、独立冗余转发板,提供产品主控及转发板截图并加盖原厂商有效印章;</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3、</w:t>
            </w:r>
            <w:r>
              <w:rPr>
                <w:rFonts w:hint="eastAsia" w:ascii="仿宋" w:hAnsi="仿宋" w:eastAsia="仿宋" w:cs="仿宋"/>
                <w:color w:val="auto"/>
                <w:szCs w:val="21"/>
              </w:rPr>
              <w:t>★</w:t>
            </w:r>
            <w:r>
              <w:rPr>
                <w:rFonts w:hint="eastAsia" w:ascii="仿宋" w:hAnsi="仿宋" w:eastAsia="仿宋" w:cs="宋体"/>
                <w:color w:val="auto"/>
                <w:kern w:val="0"/>
                <w:sz w:val="20"/>
                <w:szCs w:val="20"/>
              </w:rPr>
              <w:t>包转发率≥360Mpps，要求提供第三方测试报告复印件并加盖原厂商有效印章；</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4、</w:t>
            </w:r>
            <w:r>
              <w:rPr>
                <w:rFonts w:hint="eastAsia" w:ascii="仿宋" w:hAnsi="仿宋" w:eastAsia="仿宋" w:cs="仿宋"/>
                <w:color w:val="auto"/>
                <w:szCs w:val="21"/>
              </w:rPr>
              <w:t>★</w:t>
            </w:r>
            <w:r>
              <w:rPr>
                <w:rFonts w:hint="eastAsia" w:ascii="仿宋" w:hAnsi="仿宋" w:eastAsia="仿宋" w:cs="宋体"/>
                <w:color w:val="auto"/>
                <w:kern w:val="0"/>
                <w:sz w:val="20"/>
                <w:szCs w:val="20"/>
              </w:rPr>
              <w:t>配置万兆光口≥16，多模万兆光模块≥4，单模万兆40KM光模块≥2个；</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5、最大支持4个电源，配置2个300W冗余电源；</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6、后出风设计，避免影响左右机柜散热效果，符合主流机房设计；</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7、主机接口与扩展插槽接口均为同一朝向；</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8、支持Web cache技术，是将用户通过HTTP协议访问过的指定地址服务器的Web页面内容，缓存在本地，在缓存文件的老化时间内用户访问相同内容时，直接从本地响应的一种缓存功能，从而减少设备到服务器的访问流量、降低传输成本、缓解目的端服务器压力，同时提高了用户访问网站的速度及响应时间，增强了用户体验。要求提供权威第三方机构的测试报告</w:t>
            </w:r>
            <w:r>
              <w:rPr>
                <w:rFonts w:hint="eastAsia" w:ascii="仿宋" w:hAnsi="仿宋" w:eastAsia="仿宋"/>
                <w:color w:val="auto"/>
                <w:kern w:val="0"/>
                <w:sz w:val="20"/>
                <w:szCs w:val="20"/>
              </w:rPr>
              <w:t>复印件</w:t>
            </w:r>
            <w:r>
              <w:rPr>
                <w:rFonts w:hint="eastAsia" w:ascii="仿宋" w:hAnsi="仿宋" w:eastAsia="仿宋" w:cs="宋体"/>
                <w:color w:val="auto"/>
                <w:kern w:val="0"/>
                <w:sz w:val="20"/>
                <w:szCs w:val="20"/>
              </w:rPr>
              <w:t>并加盖原厂商有效印章；</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9、</w:t>
            </w:r>
            <w:r>
              <w:rPr>
                <w:rFonts w:hint="eastAsia" w:ascii="仿宋" w:hAnsi="仿宋" w:eastAsia="仿宋" w:cs="仿宋"/>
                <w:color w:val="auto"/>
                <w:szCs w:val="21"/>
              </w:rPr>
              <w:t>★</w:t>
            </w:r>
            <w:r>
              <w:rPr>
                <w:rFonts w:hint="eastAsia" w:ascii="仿宋" w:hAnsi="仿宋" w:eastAsia="仿宋" w:cs="宋体"/>
                <w:color w:val="auto"/>
                <w:kern w:val="0"/>
                <w:sz w:val="20"/>
                <w:szCs w:val="20"/>
              </w:rPr>
              <w:t>支持VXLAN数据中心特性，并提供支持此特性权威第三方机构的测试报告</w:t>
            </w:r>
            <w:r>
              <w:rPr>
                <w:rFonts w:hint="eastAsia" w:ascii="仿宋" w:hAnsi="仿宋" w:eastAsia="仿宋"/>
                <w:color w:val="auto"/>
                <w:kern w:val="0"/>
                <w:sz w:val="20"/>
                <w:szCs w:val="20"/>
              </w:rPr>
              <w:t>复印件</w:t>
            </w:r>
            <w:r>
              <w:rPr>
                <w:rFonts w:hint="eastAsia" w:ascii="仿宋" w:hAnsi="仿宋" w:eastAsia="仿宋" w:cs="宋体"/>
                <w:color w:val="auto"/>
                <w:kern w:val="0"/>
                <w:sz w:val="20"/>
                <w:szCs w:val="20"/>
              </w:rPr>
              <w:t>并加盖原厂商有效印章；</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10、支持对HTTP/FTP等TCP业务流量进行优化传输技术，提高广域网带宽利用率，要求提供权威第三方机构的测试报告</w:t>
            </w:r>
            <w:r>
              <w:rPr>
                <w:rFonts w:hint="eastAsia" w:ascii="仿宋" w:hAnsi="仿宋" w:eastAsia="仿宋"/>
                <w:color w:val="auto"/>
                <w:kern w:val="0"/>
                <w:sz w:val="20"/>
                <w:szCs w:val="20"/>
              </w:rPr>
              <w:t>复印件</w:t>
            </w:r>
            <w:r>
              <w:rPr>
                <w:rFonts w:hint="eastAsia" w:ascii="仿宋" w:hAnsi="仿宋" w:eastAsia="仿宋" w:cs="宋体"/>
                <w:color w:val="auto"/>
                <w:kern w:val="0"/>
                <w:sz w:val="20"/>
                <w:szCs w:val="20"/>
              </w:rPr>
              <w:t>并加盖原厂商有效印章；</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11、支持密钥和IPSEC安全策略集中管理，基于IPSEC安全模型，属于同一组的所有成员共享相同的策略及密钥，要求提供权威第三方机构的测试报告</w:t>
            </w:r>
            <w:r>
              <w:rPr>
                <w:rFonts w:hint="eastAsia" w:ascii="仿宋" w:hAnsi="仿宋" w:eastAsia="仿宋"/>
                <w:color w:val="auto"/>
                <w:kern w:val="0"/>
                <w:sz w:val="20"/>
                <w:szCs w:val="20"/>
              </w:rPr>
              <w:t>复印件</w:t>
            </w:r>
            <w:r>
              <w:rPr>
                <w:rFonts w:hint="eastAsia" w:ascii="仿宋" w:hAnsi="仿宋" w:eastAsia="仿宋" w:cs="宋体"/>
                <w:color w:val="auto"/>
                <w:kern w:val="0"/>
                <w:sz w:val="20"/>
                <w:szCs w:val="20"/>
              </w:rPr>
              <w:t>并加盖原厂商有效印章；</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12、Segment Routing，控制流量按照预先设置的网络节点逐跳转发，要求提供权威第三方机构的测试报告</w:t>
            </w:r>
            <w:r>
              <w:rPr>
                <w:rFonts w:hint="eastAsia" w:ascii="仿宋" w:hAnsi="仿宋" w:eastAsia="仿宋"/>
                <w:color w:val="auto"/>
                <w:kern w:val="0"/>
                <w:sz w:val="20"/>
                <w:szCs w:val="20"/>
              </w:rPr>
              <w:t>复印件</w:t>
            </w:r>
            <w:r>
              <w:rPr>
                <w:rFonts w:hint="eastAsia" w:ascii="仿宋" w:hAnsi="仿宋" w:eastAsia="仿宋" w:cs="宋体"/>
                <w:color w:val="auto"/>
                <w:kern w:val="0"/>
                <w:sz w:val="20"/>
                <w:szCs w:val="20"/>
              </w:rPr>
              <w:t>并加盖原厂商有效印章；</w:t>
            </w:r>
          </w:p>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13、</w:t>
            </w:r>
            <w:r>
              <w:rPr>
                <w:rFonts w:hint="eastAsia" w:ascii="仿宋" w:hAnsi="仿宋" w:eastAsia="仿宋" w:cs="仿宋"/>
                <w:color w:val="auto"/>
                <w:szCs w:val="21"/>
              </w:rPr>
              <w:t>★</w:t>
            </w:r>
            <w:r>
              <w:rPr>
                <w:rFonts w:hint="eastAsia" w:ascii="仿宋" w:hAnsi="仿宋" w:eastAsia="仿宋" w:cs="宋体"/>
                <w:color w:val="auto"/>
                <w:kern w:val="0"/>
                <w:sz w:val="20"/>
                <w:szCs w:val="20"/>
              </w:rPr>
              <w:t>若2021年前数据中心B投产，由中标人提供第二台骨干路由器；</w:t>
            </w:r>
          </w:p>
        </w:tc>
        <w:tc>
          <w:tcPr>
            <w:tcW w:w="734" w:type="pct"/>
            <w:vMerge w:val="restart"/>
            <w:shd w:val="clear" w:color="auto" w:fill="auto"/>
            <w:vAlign w:val="center"/>
          </w:tcPr>
          <w:p>
            <w:pPr>
              <w:widowControl/>
              <w:jc w:val="center"/>
              <w:rPr>
                <w:rFonts w:ascii="仿宋" w:hAnsi="仿宋" w:eastAsia="仿宋"/>
                <w:color w:val="auto"/>
                <w:kern w:val="0"/>
                <w:sz w:val="20"/>
                <w:szCs w:val="20"/>
              </w:rPr>
            </w:pPr>
            <w:r>
              <w:rPr>
                <w:rFonts w:ascii="仿宋" w:hAnsi="仿宋" w:eastAsia="仿宋"/>
                <w:color w:val="auto"/>
                <w:kern w:val="0"/>
                <w:sz w:val="20"/>
                <w:szCs w:val="20"/>
              </w:rPr>
              <w:t>12</w:t>
            </w:r>
          </w:p>
        </w:tc>
        <w:tc>
          <w:tcPr>
            <w:tcW w:w="419" w:type="pct"/>
            <w:vMerge w:val="restart"/>
            <w:shd w:val="clear" w:color="auto" w:fill="auto"/>
            <w:vAlign w:val="center"/>
          </w:tcPr>
          <w:p>
            <w:pPr>
              <w:widowControl/>
              <w:jc w:val="center"/>
              <w:rPr>
                <w:rFonts w:ascii="仿宋" w:hAnsi="仿宋" w:eastAsia="仿宋"/>
                <w:color w:val="auto"/>
                <w:kern w:val="0"/>
                <w:sz w:val="20"/>
                <w:szCs w:val="20"/>
              </w:rPr>
            </w:pPr>
            <w:r>
              <w:rPr>
                <w:rFonts w:ascii="仿宋" w:hAnsi="仿宋" w:eastAsia="仿宋"/>
                <w:color w:val="auto"/>
                <w:kern w:val="0"/>
                <w:sz w:val="20"/>
                <w:szCs w:val="20"/>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二、防火墙</w:t>
            </w:r>
            <w:r>
              <w:rPr>
                <w:rFonts w:ascii="仿宋" w:hAnsi="仿宋" w:eastAsia="仿宋"/>
                <w:color w:val="auto"/>
                <w:kern w:val="0"/>
                <w:sz w:val="20"/>
                <w:szCs w:val="20"/>
              </w:rPr>
              <w:t>36</w:t>
            </w:r>
            <w:r>
              <w:rPr>
                <w:rFonts w:hint="eastAsia" w:ascii="仿宋" w:hAnsi="仿宋" w:eastAsia="仿宋" w:cs="宋体"/>
                <w:color w:val="auto"/>
                <w:kern w:val="0"/>
                <w:sz w:val="20"/>
                <w:szCs w:val="20"/>
              </w:rPr>
              <w:t>台，以堆叠冗余方式避免单点设备故障导致的网络中断，参数功能要求如下：</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1. </w:t>
            </w:r>
            <w:r>
              <w:rPr>
                <w:rFonts w:hint="eastAsia" w:ascii="仿宋" w:hAnsi="仿宋" w:eastAsia="仿宋"/>
                <w:color w:val="auto"/>
                <w:kern w:val="0"/>
                <w:sz w:val="20"/>
                <w:szCs w:val="20"/>
              </w:rPr>
              <w:t>吞吐性能≥</w:t>
            </w:r>
            <w:r>
              <w:rPr>
                <w:rFonts w:ascii="仿宋" w:hAnsi="仿宋" w:eastAsia="仿宋"/>
                <w:color w:val="auto"/>
                <w:kern w:val="0"/>
                <w:sz w:val="20"/>
                <w:szCs w:val="20"/>
              </w:rPr>
              <w:t>35Gbps</w:t>
            </w:r>
            <w:r>
              <w:rPr>
                <w:rFonts w:hint="eastAsia" w:ascii="仿宋" w:hAnsi="仿宋" w:eastAsia="仿宋"/>
                <w:color w:val="auto"/>
                <w:kern w:val="0"/>
                <w:sz w:val="20"/>
                <w:szCs w:val="20"/>
              </w:rPr>
              <w:t>，并发连接数≥</w:t>
            </w:r>
            <w:r>
              <w:rPr>
                <w:rFonts w:ascii="仿宋" w:hAnsi="仿宋" w:eastAsia="仿宋"/>
                <w:color w:val="auto"/>
                <w:kern w:val="0"/>
                <w:sz w:val="20"/>
                <w:szCs w:val="20"/>
              </w:rPr>
              <w:t>2000</w:t>
            </w:r>
            <w:r>
              <w:rPr>
                <w:rFonts w:hint="eastAsia" w:ascii="仿宋" w:hAnsi="仿宋" w:eastAsia="仿宋"/>
                <w:color w:val="auto"/>
                <w:kern w:val="0"/>
                <w:sz w:val="20"/>
                <w:szCs w:val="20"/>
              </w:rPr>
              <w:t>万，配置冗余电源，冗余主控板，扩展槽位≥</w:t>
            </w:r>
            <w:r>
              <w:rPr>
                <w:rFonts w:ascii="仿宋" w:hAnsi="仿宋" w:eastAsia="仿宋"/>
                <w:color w:val="auto"/>
                <w:kern w:val="0"/>
                <w:sz w:val="20"/>
                <w:szCs w:val="20"/>
              </w:rPr>
              <w:t>8</w:t>
            </w:r>
            <w:r>
              <w:rPr>
                <w:rFonts w:hint="eastAsia" w:ascii="仿宋" w:hAnsi="仿宋" w:eastAsia="仿宋"/>
                <w:color w:val="auto"/>
                <w:kern w:val="0"/>
                <w:sz w:val="20"/>
                <w:szCs w:val="20"/>
              </w:rPr>
              <w:t>；</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2. </w:t>
            </w:r>
            <w:r>
              <w:rPr>
                <w:rFonts w:hint="eastAsia" w:ascii="仿宋" w:hAnsi="仿宋" w:eastAsia="仿宋"/>
                <w:color w:val="auto"/>
                <w:kern w:val="0"/>
                <w:sz w:val="20"/>
                <w:szCs w:val="20"/>
              </w:rPr>
              <w:t>端口要求≥</w:t>
            </w:r>
            <w:r>
              <w:rPr>
                <w:rFonts w:ascii="仿宋" w:hAnsi="仿宋" w:eastAsia="仿宋"/>
                <w:color w:val="auto"/>
                <w:kern w:val="0"/>
                <w:sz w:val="20"/>
                <w:szCs w:val="20"/>
              </w:rPr>
              <w:t>4</w:t>
            </w:r>
            <w:r>
              <w:rPr>
                <w:rFonts w:hint="eastAsia" w:ascii="仿宋" w:hAnsi="仿宋" w:eastAsia="仿宋"/>
                <w:color w:val="auto"/>
                <w:kern w:val="0"/>
                <w:sz w:val="20"/>
                <w:szCs w:val="20"/>
              </w:rPr>
              <w:t>个千兆光口或≥</w:t>
            </w:r>
            <w:r>
              <w:rPr>
                <w:rFonts w:ascii="仿宋" w:hAnsi="仿宋" w:eastAsia="仿宋"/>
                <w:color w:val="auto"/>
                <w:kern w:val="0"/>
                <w:sz w:val="20"/>
                <w:szCs w:val="20"/>
              </w:rPr>
              <w:t>4</w:t>
            </w:r>
            <w:r>
              <w:rPr>
                <w:rFonts w:hint="eastAsia" w:ascii="仿宋" w:hAnsi="仿宋" w:eastAsia="仿宋"/>
                <w:color w:val="auto"/>
                <w:kern w:val="0"/>
                <w:sz w:val="20"/>
                <w:szCs w:val="20"/>
              </w:rPr>
              <w:t>个千兆电口，≥</w:t>
            </w:r>
            <w:r>
              <w:rPr>
                <w:rFonts w:ascii="仿宋" w:hAnsi="仿宋" w:eastAsia="仿宋"/>
                <w:color w:val="auto"/>
                <w:kern w:val="0"/>
                <w:sz w:val="20"/>
                <w:szCs w:val="20"/>
              </w:rPr>
              <w:t>8</w:t>
            </w:r>
            <w:r>
              <w:rPr>
                <w:rFonts w:hint="eastAsia" w:ascii="仿宋" w:hAnsi="仿宋" w:eastAsia="仿宋"/>
                <w:color w:val="auto"/>
                <w:kern w:val="0"/>
                <w:sz w:val="20"/>
                <w:szCs w:val="20"/>
              </w:rPr>
              <w:t>个万兆光口，配置</w:t>
            </w:r>
            <w:r>
              <w:rPr>
                <w:rFonts w:ascii="仿宋" w:hAnsi="仿宋" w:eastAsia="仿宋"/>
                <w:color w:val="auto"/>
                <w:kern w:val="0"/>
                <w:sz w:val="20"/>
                <w:szCs w:val="20"/>
              </w:rPr>
              <w:t>2</w:t>
            </w:r>
            <w:r>
              <w:rPr>
                <w:rFonts w:hint="eastAsia" w:ascii="仿宋" w:hAnsi="仿宋" w:eastAsia="仿宋"/>
                <w:color w:val="auto"/>
                <w:kern w:val="0"/>
                <w:sz w:val="20"/>
                <w:szCs w:val="20"/>
              </w:rPr>
              <w:t>块千兆单模</w:t>
            </w:r>
            <w:r>
              <w:rPr>
                <w:rFonts w:ascii="仿宋" w:hAnsi="仿宋" w:eastAsia="仿宋"/>
                <w:color w:val="auto"/>
                <w:kern w:val="0"/>
                <w:sz w:val="20"/>
                <w:szCs w:val="20"/>
              </w:rPr>
              <w:t>10</w:t>
            </w:r>
            <w:r>
              <w:rPr>
                <w:rFonts w:hint="eastAsia" w:ascii="仿宋" w:hAnsi="仿宋" w:eastAsia="仿宋"/>
                <w:color w:val="auto"/>
                <w:kern w:val="0"/>
                <w:sz w:val="20"/>
                <w:szCs w:val="20"/>
              </w:rPr>
              <w:t>公里光模块，</w:t>
            </w:r>
            <w:r>
              <w:rPr>
                <w:rFonts w:ascii="仿宋" w:hAnsi="仿宋" w:eastAsia="仿宋"/>
                <w:color w:val="auto"/>
                <w:kern w:val="0"/>
                <w:sz w:val="20"/>
                <w:szCs w:val="20"/>
              </w:rPr>
              <w:t>5</w:t>
            </w:r>
            <w:r>
              <w:rPr>
                <w:rFonts w:hint="eastAsia" w:ascii="仿宋" w:hAnsi="仿宋" w:eastAsia="仿宋"/>
                <w:color w:val="auto"/>
                <w:kern w:val="0"/>
                <w:sz w:val="20"/>
                <w:szCs w:val="20"/>
              </w:rPr>
              <w:t>块万兆多模光模块；</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3. </w:t>
            </w:r>
            <w:r>
              <w:rPr>
                <w:rFonts w:hint="eastAsia" w:ascii="仿宋" w:hAnsi="仿宋" w:eastAsia="仿宋"/>
                <w:color w:val="auto"/>
                <w:kern w:val="0"/>
                <w:sz w:val="20"/>
                <w:szCs w:val="20"/>
              </w:rPr>
              <w:t>服务期内提供</w:t>
            </w:r>
            <w:r>
              <w:rPr>
                <w:rFonts w:ascii="仿宋" w:hAnsi="仿宋" w:eastAsia="仿宋"/>
                <w:color w:val="auto"/>
                <w:kern w:val="0"/>
                <w:sz w:val="20"/>
                <w:szCs w:val="20"/>
              </w:rPr>
              <w:t>IPS</w:t>
            </w:r>
            <w:r>
              <w:rPr>
                <w:rFonts w:hint="eastAsia" w:ascii="仿宋" w:hAnsi="仿宋" w:eastAsia="仿宋"/>
                <w:color w:val="auto"/>
                <w:kern w:val="0"/>
                <w:sz w:val="20"/>
                <w:szCs w:val="20"/>
              </w:rPr>
              <w:t>、</w:t>
            </w:r>
            <w:r>
              <w:rPr>
                <w:rFonts w:ascii="仿宋" w:hAnsi="仿宋" w:eastAsia="仿宋"/>
                <w:color w:val="auto"/>
                <w:kern w:val="0"/>
                <w:sz w:val="20"/>
                <w:szCs w:val="20"/>
              </w:rPr>
              <w:t>AV</w:t>
            </w:r>
            <w:r>
              <w:rPr>
                <w:rFonts w:hint="eastAsia" w:ascii="仿宋" w:hAnsi="仿宋" w:eastAsia="仿宋"/>
                <w:color w:val="auto"/>
                <w:kern w:val="0"/>
                <w:sz w:val="20"/>
                <w:szCs w:val="20"/>
              </w:rPr>
              <w:t>防病毒特征库升级授权；</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4. </w:t>
            </w:r>
            <w:r>
              <w:rPr>
                <w:rFonts w:hint="eastAsia" w:ascii="仿宋" w:hAnsi="仿宋" w:eastAsia="仿宋"/>
                <w:color w:val="auto"/>
                <w:kern w:val="0"/>
                <w:sz w:val="20"/>
                <w:szCs w:val="20"/>
              </w:rPr>
              <w:t>支持</w:t>
            </w:r>
            <w:r>
              <w:rPr>
                <w:rFonts w:ascii="仿宋" w:hAnsi="仿宋" w:eastAsia="仿宋"/>
                <w:color w:val="auto"/>
                <w:kern w:val="0"/>
                <w:sz w:val="20"/>
                <w:szCs w:val="20"/>
              </w:rPr>
              <w:t>IPsec VPN</w:t>
            </w:r>
            <w:r>
              <w:rPr>
                <w:rFonts w:hint="eastAsia" w:ascii="仿宋" w:hAnsi="仿宋" w:eastAsia="仿宋"/>
                <w:color w:val="auto"/>
                <w:kern w:val="0"/>
                <w:sz w:val="20"/>
                <w:szCs w:val="20"/>
              </w:rPr>
              <w:t>智能选路，根据应用和隧道质量调度流量。（提供功能截图并加盖原厂商有效印章）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5. </w:t>
            </w:r>
            <w:r>
              <w:rPr>
                <w:rFonts w:hint="eastAsia" w:ascii="仿宋" w:hAnsi="仿宋" w:eastAsia="仿宋"/>
                <w:color w:val="auto"/>
                <w:kern w:val="0"/>
                <w:sz w:val="20"/>
                <w:szCs w:val="20"/>
              </w:rPr>
              <w:t>可基于每个</w:t>
            </w:r>
            <w:r>
              <w:rPr>
                <w:rFonts w:ascii="仿宋" w:hAnsi="仿宋" w:eastAsia="仿宋"/>
                <w:color w:val="auto"/>
                <w:kern w:val="0"/>
                <w:sz w:val="20"/>
                <w:szCs w:val="20"/>
              </w:rPr>
              <w:t>SSL VPN</w:t>
            </w:r>
            <w:r>
              <w:rPr>
                <w:rFonts w:hint="eastAsia" w:ascii="仿宋" w:hAnsi="仿宋" w:eastAsia="仿宋"/>
                <w:color w:val="auto"/>
                <w:kern w:val="0"/>
                <w:sz w:val="20"/>
                <w:szCs w:val="20"/>
              </w:rPr>
              <w:t>用户的会话连接数、连接时间和流量阀值进行细颗粒度的管控。（提供功能截图并加盖原厂商有效印章）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6. </w:t>
            </w:r>
            <w:r>
              <w:rPr>
                <w:rFonts w:hint="eastAsia" w:ascii="仿宋" w:hAnsi="仿宋" w:eastAsia="仿宋"/>
                <w:color w:val="auto"/>
                <w:kern w:val="0"/>
                <w:sz w:val="20"/>
                <w:szCs w:val="20"/>
              </w:rPr>
              <w:t>实现对黑客攻击、蠕虫</w:t>
            </w:r>
            <w:r>
              <w:rPr>
                <w:rFonts w:ascii="仿宋" w:hAnsi="仿宋" w:eastAsia="仿宋"/>
                <w:color w:val="auto"/>
                <w:kern w:val="0"/>
                <w:sz w:val="20"/>
                <w:szCs w:val="20"/>
              </w:rPr>
              <w:t>/</w:t>
            </w:r>
            <w:r>
              <w:rPr>
                <w:rFonts w:hint="eastAsia" w:ascii="仿宋" w:hAnsi="仿宋" w:eastAsia="仿宋"/>
                <w:color w:val="auto"/>
                <w:kern w:val="0"/>
                <w:sz w:val="20"/>
                <w:szCs w:val="20"/>
              </w:rPr>
              <w:t>病毒、木马、恶意代码、间谍软件</w:t>
            </w:r>
            <w:r>
              <w:rPr>
                <w:rFonts w:ascii="仿宋" w:hAnsi="仿宋" w:eastAsia="仿宋"/>
                <w:color w:val="auto"/>
                <w:kern w:val="0"/>
                <w:sz w:val="20"/>
                <w:szCs w:val="20"/>
              </w:rPr>
              <w:t>/</w:t>
            </w:r>
            <w:r>
              <w:rPr>
                <w:rFonts w:hint="eastAsia" w:ascii="仿宋" w:hAnsi="仿宋" w:eastAsia="仿宋"/>
                <w:color w:val="auto"/>
                <w:kern w:val="0"/>
                <w:sz w:val="20"/>
                <w:szCs w:val="20"/>
              </w:rPr>
              <w:t>广告软件等攻击的防御，实现缓冲区溢出、</w:t>
            </w:r>
            <w:r>
              <w:rPr>
                <w:rFonts w:ascii="仿宋" w:hAnsi="仿宋" w:eastAsia="仿宋"/>
                <w:color w:val="auto"/>
                <w:kern w:val="0"/>
                <w:sz w:val="20"/>
                <w:szCs w:val="20"/>
              </w:rPr>
              <w:t>SQL</w:t>
            </w:r>
            <w:r>
              <w:rPr>
                <w:rFonts w:hint="eastAsia" w:ascii="仿宋" w:hAnsi="仿宋" w:eastAsia="仿宋"/>
                <w:color w:val="auto"/>
                <w:kern w:val="0"/>
                <w:sz w:val="20"/>
                <w:szCs w:val="20"/>
              </w:rPr>
              <w:t>注入、</w:t>
            </w:r>
            <w:r>
              <w:rPr>
                <w:rFonts w:ascii="仿宋" w:hAnsi="仿宋" w:eastAsia="仿宋"/>
                <w:color w:val="auto"/>
                <w:kern w:val="0"/>
                <w:sz w:val="20"/>
                <w:szCs w:val="20"/>
              </w:rPr>
              <w:t>IDS/IPS</w:t>
            </w:r>
            <w:r>
              <w:rPr>
                <w:rFonts w:hint="eastAsia" w:ascii="仿宋" w:hAnsi="仿宋" w:eastAsia="仿宋"/>
                <w:color w:val="auto"/>
                <w:kern w:val="0"/>
                <w:sz w:val="20"/>
                <w:szCs w:val="20"/>
              </w:rPr>
              <w:t>逃逸等攻击的防御，实现攻击特征库的分类。</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7. </w:t>
            </w:r>
            <w:r>
              <w:rPr>
                <w:rFonts w:hint="eastAsia" w:ascii="仿宋" w:hAnsi="仿宋" w:eastAsia="仿宋"/>
                <w:color w:val="auto"/>
                <w:kern w:val="0"/>
                <w:sz w:val="20"/>
                <w:szCs w:val="20"/>
              </w:rPr>
              <w:t>可基于病毒特征进行检测，实现病毒库手动和自动升级，报文流处理模式，实现病毒日志和报表；</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8. </w:t>
            </w:r>
            <w:r>
              <w:rPr>
                <w:rFonts w:hint="eastAsia" w:ascii="仿宋" w:hAnsi="仿宋" w:eastAsia="仿宋"/>
                <w:color w:val="auto"/>
                <w:kern w:val="0"/>
                <w:sz w:val="20"/>
                <w:szCs w:val="20"/>
              </w:rPr>
              <w:t>支持数据防泄露，对传输的文件和内容进行识别过滤，对内容与身份证、信用卡、银行卡、社会安全卡号等类型进行匹配。</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9. </w:t>
            </w:r>
            <w:r>
              <w:rPr>
                <w:rFonts w:hint="eastAsia" w:ascii="仿宋" w:hAnsi="仿宋" w:eastAsia="仿宋"/>
                <w:color w:val="auto"/>
                <w:kern w:val="0"/>
                <w:sz w:val="20"/>
                <w:szCs w:val="20"/>
              </w:rPr>
              <w:t>可支持基于应用层协议设置流控策略，包括设置最大带宽、保证带宽、协议流量优先级等。要求支持带宽通道独占以及共享管理模式</w:t>
            </w:r>
            <w:r>
              <w:rPr>
                <w:rFonts w:ascii="仿宋" w:hAnsi="仿宋" w:eastAsia="仿宋"/>
                <w:color w:val="auto"/>
                <w:kern w:val="0"/>
                <w:sz w:val="20"/>
                <w:szCs w:val="20"/>
              </w:rPr>
              <w:t>,</w:t>
            </w:r>
            <w:r>
              <w:rPr>
                <w:rFonts w:hint="eastAsia" w:ascii="仿宋" w:hAnsi="仿宋" w:eastAsia="仿宋"/>
                <w:color w:val="auto"/>
                <w:kern w:val="0"/>
                <w:sz w:val="20"/>
                <w:szCs w:val="20"/>
              </w:rPr>
              <w:t>支持父子带宽策略。</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10. </w:t>
            </w:r>
            <w:r>
              <w:rPr>
                <w:rFonts w:hint="eastAsia" w:ascii="仿宋" w:hAnsi="仿宋" w:eastAsia="仿宋"/>
                <w:color w:val="auto"/>
                <w:kern w:val="0"/>
                <w:sz w:val="20"/>
                <w:szCs w:val="20"/>
              </w:rPr>
              <w:t>支持</w:t>
            </w:r>
            <w:r>
              <w:rPr>
                <w:rFonts w:ascii="仿宋" w:hAnsi="仿宋" w:eastAsia="仿宋"/>
                <w:color w:val="auto"/>
                <w:kern w:val="0"/>
                <w:sz w:val="20"/>
                <w:szCs w:val="20"/>
              </w:rPr>
              <w:t>HTTPS</w:t>
            </w:r>
            <w:r>
              <w:rPr>
                <w:rFonts w:hint="eastAsia" w:ascii="仿宋" w:hAnsi="仿宋" w:eastAsia="仿宋"/>
                <w:color w:val="auto"/>
                <w:kern w:val="0"/>
                <w:sz w:val="20"/>
                <w:szCs w:val="20"/>
              </w:rPr>
              <w:t>加密流量的安全检测。（提供功能截图并加盖原厂商有效印章）；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11. </w:t>
            </w:r>
            <w:r>
              <w:rPr>
                <w:rFonts w:hint="eastAsia" w:ascii="仿宋" w:hAnsi="仿宋" w:eastAsia="仿宋"/>
                <w:color w:val="auto"/>
                <w:kern w:val="0"/>
                <w:sz w:val="20"/>
                <w:szCs w:val="20"/>
              </w:rPr>
              <w:t>实现基于</w:t>
            </w:r>
            <w:r>
              <w:rPr>
                <w:rFonts w:ascii="仿宋" w:hAnsi="仿宋" w:eastAsia="仿宋"/>
                <w:color w:val="auto"/>
                <w:kern w:val="0"/>
                <w:sz w:val="20"/>
                <w:szCs w:val="20"/>
              </w:rPr>
              <w:t>CPU</w:t>
            </w:r>
            <w:r>
              <w:rPr>
                <w:rFonts w:hint="eastAsia" w:ascii="仿宋" w:hAnsi="仿宋" w:eastAsia="仿宋"/>
                <w:color w:val="auto"/>
                <w:kern w:val="0"/>
                <w:sz w:val="20"/>
                <w:szCs w:val="20"/>
              </w:rPr>
              <w:t>、内存等硬件划分资源的完全虚拟化，可分配吞吐量、新建、并发，可独立重启、配置独立导出；</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12. </w:t>
            </w:r>
            <w:r>
              <w:rPr>
                <w:rFonts w:hint="eastAsia" w:ascii="仿宋" w:hAnsi="仿宋" w:eastAsia="仿宋" w:cs="仿宋"/>
                <w:color w:val="auto"/>
                <w:szCs w:val="21"/>
              </w:rPr>
              <w:t>★</w:t>
            </w:r>
            <w:r>
              <w:rPr>
                <w:rFonts w:hint="eastAsia" w:ascii="仿宋" w:hAnsi="仿宋" w:eastAsia="仿宋"/>
                <w:color w:val="auto"/>
                <w:kern w:val="0"/>
                <w:sz w:val="20"/>
                <w:szCs w:val="20"/>
              </w:rPr>
              <w:t>产品具备我国权威认证机构颁发的</w:t>
            </w:r>
            <w:r>
              <w:rPr>
                <w:rFonts w:ascii="仿宋" w:hAnsi="仿宋" w:eastAsia="仿宋"/>
                <w:color w:val="auto"/>
                <w:kern w:val="0"/>
                <w:sz w:val="20"/>
                <w:szCs w:val="20"/>
              </w:rPr>
              <w:t>EAL4</w:t>
            </w:r>
            <w:r>
              <w:rPr>
                <w:rFonts w:hint="eastAsia" w:ascii="仿宋" w:hAnsi="仿宋" w:eastAsia="仿宋"/>
                <w:color w:val="auto"/>
                <w:kern w:val="0"/>
                <w:sz w:val="20"/>
                <w:szCs w:val="20"/>
              </w:rPr>
              <w:t>增强级认证证书，要求提供证书复印件并提供</w:t>
            </w:r>
            <w:r>
              <w:rPr>
                <w:rFonts w:ascii="仿宋" w:hAnsi="仿宋" w:eastAsia="仿宋"/>
                <w:color w:val="auto"/>
                <w:kern w:val="0"/>
                <w:sz w:val="20"/>
                <w:szCs w:val="20"/>
              </w:rPr>
              <w:t>EAL4+</w:t>
            </w:r>
            <w:r>
              <w:rPr>
                <w:rFonts w:hint="eastAsia" w:ascii="仿宋" w:hAnsi="仿宋" w:eastAsia="仿宋"/>
                <w:color w:val="auto"/>
                <w:kern w:val="0"/>
                <w:sz w:val="20"/>
                <w:szCs w:val="20"/>
              </w:rPr>
              <w:t>试验报告复印件，并加盖原厂商有效印章；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13. </w:t>
            </w:r>
            <w:r>
              <w:rPr>
                <w:rFonts w:hint="eastAsia" w:ascii="仿宋" w:hAnsi="仿宋" w:eastAsia="仿宋" w:cs="仿宋"/>
                <w:color w:val="auto"/>
                <w:szCs w:val="21"/>
              </w:rPr>
              <w:t>★</w:t>
            </w:r>
            <w:r>
              <w:rPr>
                <w:rFonts w:hint="eastAsia" w:ascii="仿宋" w:hAnsi="仿宋" w:eastAsia="仿宋"/>
                <w:color w:val="auto"/>
                <w:kern w:val="0"/>
                <w:sz w:val="20"/>
                <w:szCs w:val="20"/>
              </w:rPr>
              <w:t>生产厂商须进入国家信息安全漏洞共享平台（</w:t>
            </w:r>
            <w:r>
              <w:rPr>
                <w:rFonts w:ascii="仿宋" w:hAnsi="仿宋" w:eastAsia="仿宋"/>
                <w:color w:val="auto"/>
                <w:kern w:val="0"/>
                <w:sz w:val="20"/>
                <w:szCs w:val="20"/>
              </w:rPr>
              <w:t>CNVD</w:t>
            </w:r>
            <w:r>
              <w:rPr>
                <w:rFonts w:hint="eastAsia" w:ascii="仿宋" w:hAnsi="仿宋" w:eastAsia="仿宋"/>
                <w:color w:val="auto"/>
                <w:kern w:val="0"/>
                <w:sz w:val="20"/>
                <w:szCs w:val="20"/>
              </w:rPr>
              <w:t>）一级技术支撑单位，要求提供证书复印件并加盖原厂商有效印章；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14</w:t>
            </w:r>
            <w:r>
              <w:rPr>
                <w:rFonts w:hint="eastAsia" w:ascii="仿宋" w:hAnsi="仿宋" w:eastAsia="仿宋"/>
                <w:color w:val="auto"/>
                <w:kern w:val="0"/>
                <w:sz w:val="20"/>
                <w:szCs w:val="20"/>
              </w:rPr>
              <w:t>．</w:t>
            </w:r>
            <w:r>
              <w:rPr>
                <w:rFonts w:hint="eastAsia" w:ascii="仿宋" w:hAnsi="仿宋" w:eastAsia="仿宋" w:cs="仿宋"/>
                <w:color w:val="auto"/>
                <w:szCs w:val="21"/>
              </w:rPr>
              <w:t>★</w:t>
            </w:r>
            <w:r>
              <w:rPr>
                <w:rFonts w:hint="eastAsia" w:ascii="仿宋" w:hAnsi="仿宋" w:eastAsia="仿宋"/>
                <w:color w:val="auto"/>
                <w:kern w:val="0"/>
                <w:sz w:val="20"/>
                <w:szCs w:val="20"/>
              </w:rPr>
              <w:t>生产厂商需具备科学、系统的知识产权管理体系。能够全面保护、并系统管理知识产权，支撑企业的技术创新能力，通过知识产权管理体系认证，要求提供证书复印件和国家认监委官网截图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15. </w:t>
            </w:r>
            <w:r>
              <w:rPr>
                <w:rFonts w:hint="eastAsia" w:ascii="仿宋" w:hAnsi="仿宋" w:eastAsia="仿宋" w:cs="仿宋"/>
                <w:color w:val="auto"/>
                <w:szCs w:val="21"/>
              </w:rPr>
              <w:t>★</w:t>
            </w:r>
            <w:r>
              <w:rPr>
                <w:rFonts w:hint="eastAsia" w:ascii="仿宋" w:hAnsi="仿宋" w:eastAsia="仿宋"/>
                <w:color w:val="auto"/>
                <w:kern w:val="0"/>
                <w:sz w:val="20"/>
                <w:szCs w:val="20"/>
              </w:rPr>
              <w:t>生产厂商须提供公安部颁发的信息安全等级保护安全建设服务机构能力评估合格证书，要求提供证书复印件并加盖原厂商有效印章；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0"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16.</w:t>
            </w:r>
            <w:r>
              <w:rPr>
                <w:rFonts w:hint="eastAsia" w:ascii="仿宋" w:hAnsi="仿宋" w:eastAsia="仿宋" w:cs="仿宋"/>
                <w:color w:val="auto"/>
                <w:szCs w:val="21"/>
              </w:rPr>
              <w:t xml:space="preserve"> ★</w:t>
            </w:r>
            <w:r>
              <w:rPr>
                <w:rFonts w:hint="eastAsia" w:ascii="仿宋" w:hAnsi="仿宋" w:eastAsia="仿宋"/>
                <w:color w:val="auto"/>
                <w:kern w:val="0"/>
                <w:sz w:val="20"/>
                <w:szCs w:val="20"/>
              </w:rPr>
              <w:t>生产厂商应具有健全的环保体系，建立有害物质的检测手段，严格管理产品采购和生产环节，禁止或控制有毒有害物质的使用。通过</w:t>
            </w:r>
            <w:r>
              <w:rPr>
                <w:rFonts w:ascii="仿宋" w:hAnsi="仿宋" w:eastAsia="仿宋"/>
                <w:color w:val="auto"/>
                <w:kern w:val="0"/>
                <w:sz w:val="20"/>
                <w:szCs w:val="20"/>
              </w:rPr>
              <w:t>QC 080000</w:t>
            </w:r>
            <w:r>
              <w:rPr>
                <w:rFonts w:hint="eastAsia" w:ascii="仿宋" w:hAnsi="仿宋" w:eastAsia="仿宋"/>
                <w:color w:val="auto"/>
                <w:kern w:val="0"/>
                <w:sz w:val="20"/>
                <w:szCs w:val="20"/>
              </w:rPr>
              <w:t>有害物质过程管理体系认证，要求提供证书复印件和国家认监委官网截图并加盖原厂商有效印章；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三、接入交换机</w:t>
            </w:r>
            <w:r>
              <w:rPr>
                <w:rFonts w:ascii="仿宋" w:hAnsi="仿宋" w:eastAsia="仿宋"/>
                <w:color w:val="auto"/>
                <w:kern w:val="0"/>
                <w:sz w:val="20"/>
                <w:szCs w:val="20"/>
              </w:rPr>
              <w:t>36</w:t>
            </w:r>
            <w:r>
              <w:rPr>
                <w:rFonts w:hint="eastAsia" w:ascii="仿宋" w:hAnsi="仿宋" w:eastAsia="仿宋" w:cs="宋体"/>
                <w:color w:val="auto"/>
                <w:kern w:val="0"/>
                <w:sz w:val="20"/>
                <w:szCs w:val="20"/>
              </w:rPr>
              <w:t>台，以堆叠冗余方式避免单点设备故障导致的网络中断，功能参数要求如下：</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1. </w:t>
            </w:r>
            <w:r>
              <w:rPr>
                <w:rFonts w:hint="eastAsia" w:ascii="仿宋" w:hAnsi="仿宋" w:eastAsia="仿宋"/>
                <w:color w:val="auto"/>
                <w:kern w:val="0"/>
                <w:sz w:val="20"/>
                <w:szCs w:val="20"/>
              </w:rPr>
              <w:t>≥</w:t>
            </w:r>
            <w:r>
              <w:rPr>
                <w:rFonts w:ascii="仿宋" w:hAnsi="仿宋" w:eastAsia="仿宋"/>
                <w:color w:val="auto"/>
                <w:kern w:val="0"/>
                <w:sz w:val="20"/>
                <w:szCs w:val="20"/>
              </w:rPr>
              <w:t>24</w:t>
            </w:r>
            <w:r>
              <w:rPr>
                <w:rFonts w:hint="eastAsia" w:ascii="仿宋" w:hAnsi="仿宋" w:eastAsia="仿宋"/>
                <w:color w:val="auto"/>
                <w:kern w:val="0"/>
                <w:sz w:val="20"/>
                <w:szCs w:val="20"/>
              </w:rPr>
              <w:t>个千兆</w:t>
            </w:r>
            <w:r>
              <w:rPr>
                <w:rFonts w:ascii="仿宋" w:hAnsi="仿宋" w:eastAsia="仿宋"/>
                <w:color w:val="auto"/>
                <w:kern w:val="0"/>
                <w:sz w:val="20"/>
                <w:szCs w:val="20"/>
              </w:rPr>
              <w:t>SFP</w:t>
            </w:r>
            <w:r>
              <w:rPr>
                <w:rFonts w:hint="eastAsia" w:ascii="仿宋" w:hAnsi="仿宋" w:eastAsia="仿宋"/>
                <w:color w:val="auto"/>
                <w:kern w:val="0"/>
                <w:sz w:val="20"/>
                <w:szCs w:val="20"/>
              </w:rPr>
              <w:t>光口（其中</w:t>
            </w:r>
            <w:r>
              <w:rPr>
                <w:rFonts w:ascii="仿宋" w:hAnsi="仿宋" w:eastAsia="仿宋"/>
                <w:color w:val="auto"/>
                <w:kern w:val="0"/>
                <w:sz w:val="20"/>
                <w:szCs w:val="20"/>
              </w:rPr>
              <w:t>8</w:t>
            </w:r>
            <w:r>
              <w:rPr>
                <w:rFonts w:hint="eastAsia" w:ascii="仿宋" w:hAnsi="仿宋" w:eastAsia="仿宋"/>
                <w:color w:val="auto"/>
                <w:kern w:val="0"/>
                <w:sz w:val="20"/>
                <w:szCs w:val="20"/>
              </w:rPr>
              <w:t>个</w:t>
            </w:r>
            <w:r>
              <w:rPr>
                <w:rFonts w:ascii="仿宋" w:hAnsi="仿宋" w:eastAsia="仿宋"/>
                <w:color w:val="auto"/>
                <w:kern w:val="0"/>
                <w:sz w:val="20"/>
                <w:szCs w:val="20"/>
              </w:rPr>
              <w:t>combo</w:t>
            </w:r>
            <w:r>
              <w:rPr>
                <w:rFonts w:hint="eastAsia" w:ascii="仿宋" w:hAnsi="仿宋" w:eastAsia="仿宋"/>
                <w:color w:val="auto"/>
                <w:kern w:val="0"/>
                <w:sz w:val="20"/>
                <w:szCs w:val="20"/>
              </w:rPr>
              <w:t>），≥</w:t>
            </w:r>
            <w:r>
              <w:rPr>
                <w:rFonts w:ascii="仿宋" w:hAnsi="仿宋" w:eastAsia="仿宋"/>
                <w:color w:val="auto"/>
                <w:kern w:val="0"/>
                <w:sz w:val="20"/>
                <w:szCs w:val="20"/>
              </w:rPr>
              <w:t>4</w:t>
            </w:r>
            <w:r>
              <w:rPr>
                <w:rFonts w:hint="eastAsia" w:ascii="仿宋" w:hAnsi="仿宋" w:eastAsia="仿宋"/>
                <w:color w:val="auto"/>
                <w:kern w:val="0"/>
                <w:sz w:val="20"/>
                <w:szCs w:val="20"/>
              </w:rPr>
              <w:t>个万兆光接口</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2. </w:t>
            </w:r>
            <w:r>
              <w:rPr>
                <w:rFonts w:hint="eastAsia" w:ascii="仿宋" w:hAnsi="仿宋" w:eastAsia="仿宋"/>
                <w:color w:val="auto"/>
                <w:kern w:val="0"/>
                <w:sz w:val="20"/>
                <w:szCs w:val="20"/>
              </w:rPr>
              <w:t>配置冗余模块化电源、</w:t>
            </w:r>
            <w:r>
              <w:rPr>
                <w:rFonts w:ascii="仿宋" w:hAnsi="仿宋" w:eastAsia="仿宋"/>
                <w:color w:val="auto"/>
                <w:kern w:val="0"/>
                <w:sz w:val="20"/>
                <w:szCs w:val="20"/>
              </w:rPr>
              <w:t>2</w:t>
            </w:r>
            <w:r>
              <w:rPr>
                <w:rFonts w:hint="eastAsia" w:ascii="仿宋" w:hAnsi="仿宋" w:eastAsia="仿宋"/>
                <w:color w:val="auto"/>
                <w:kern w:val="0"/>
                <w:sz w:val="20"/>
                <w:szCs w:val="20"/>
              </w:rPr>
              <w:t>个千兆单模</w:t>
            </w:r>
            <w:r>
              <w:rPr>
                <w:rFonts w:ascii="仿宋" w:hAnsi="仿宋" w:eastAsia="仿宋"/>
                <w:color w:val="auto"/>
                <w:kern w:val="0"/>
                <w:sz w:val="20"/>
                <w:szCs w:val="20"/>
              </w:rPr>
              <w:t>10</w:t>
            </w:r>
            <w:r>
              <w:rPr>
                <w:rFonts w:hint="eastAsia" w:ascii="仿宋" w:hAnsi="仿宋" w:eastAsia="仿宋"/>
                <w:color w:val="auto"/>
                <w:kern w:val="0"/>
                <w:sz w:val="20"/>
                <w:szCs w:val="20"/>
              </w:rPr>
              <w:t>公里光模块、</w:t>
            </w:r>
            <w:r>
              <w:rPr>
                <w:rFonts w:ascii="仿宋" w:hAnsi="仿宋" w:eastAsia="仿宋"/>
                <w:color w:val="auto"/>
                <w:kern w:val="0"/>
                <w:sz w:val="20"/>
                <w:szCs w:val="20"/>
              </w:rPr>
              <w:t>5</w:t>
            </w:r>
            <w:r>
              <w:rPr>
                <w:rFonts w:hint="eastAsia" w:ascii="仿宋" w:hAnsi="仿宋" w:eastAsia="仿宋"/>
                <w:color w:val="auto"/>
                <w:kern w:val="0"/>
                <w:sz w:val="20"/>
                <w:szCs w:val="20"/>
              </w:rPr>
              <w:t>个万兆多模光模块</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3. </w:t>
            </w:r>
            <w:r>
              <w:rPr>
                <w:rFonts w:hint="eastAsia" w:ascii="仿宋" w:hAnsi="仿宋" w:eastAsia="仿宋"/>
                <w:color w:val="auto"/>
                <w:kern w:val="0"/>
                <w:sz w:val="20"/>
                <w:szCs w:val="20"/>
              </w:rPr>
              <w:t>交换容量≥</w:t>
            </w:r>
            <w:r>
              <w:rPr>
                <w:rFonts w:ascii="仿宋" w:hAnsi="仿宋" w:eastAsia="仿宋"/>
                <w:color w:val="auto"/>
                <w:kern w:val="0"/>
                <w:sz w:val="20"/>
                <w:szCs w:val="20"/>
              </w:rPr>
              <w:t>250Gbps</w:t>
            </w:r>
            <w:r>
              <w:rPr>
                <w:rFonts w:hint="eastAsia" w:ascii="仿宋" w:hAnsi="仿宋" w:eastAsia="仿宋"/>
                <w:color w:val="auto"/>
                <w:kern w:val="0"/>
                <w:sz w:val="20"/>
                <w:szCs w:val="20"/>
              </w:rPr>
              <w:t>，转发性能≥</w:t>
            </w:r>
            <w:r>
              <w:rPr>
                <w:rFonts w:ascii="仿宋" w:hAnsi="仿宋" w:eastAsia="仿宋"/>
                <w:color w:val="auto"/>
                <w:kern w:val="0"/>
                <w:sz w:val="20"/>
                <w:szCs w:val="20"/>
              </w:rPr>
              <w:t>90Mpps</w:t>
            </w:r>
            <w:r>
              <w:rPr>
                <w:rFonts w:hint="eastAsia" w:ascii="仿宋" w:hAnsi="仿宋" w:eastAsia="仿宋"/>
                <w:color w:val="auto"/>
                <w:kern w:val="0"/>
                <w:sz w:val="20"/>
                <w:szCs w:val="20"/>
              </w:rPr>
              <w:t>；</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4. </w:t>
            </w:r>
            <w:r>
              <w:rPr>
                <w:rFonts w:hint="eastAsia" w:ascii="仿宋" w:hAnsi="仿宋" w:eastAsia="仿宋"/>
                <w:color w:val="auto"/>
                <w:kern w:val="0"/>
                <w:sz w:val="20"/>
                <w:szCs w:val="20"/>
              </w:rPr>
              <w:t>支持通过标准以太端口进行堆叠；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5. </w:t>
            </w:r>
            <w:r>
              <w:rPr>
                <w:rFonts w:hint="eastAsia" w:ascii="仿宋" w:hAnsi="仿宋" w:eastAsia="仿宋"/>
                <w:color w:val="auto"/>
                <w:kern w:val="0"/>
                <w:sz w:val="20"/>
                <w:szCs w:val="20"/>
              </w:rPr>
              <w:t>支持</w:t>
            </w:r>
            <w:r>
              <w:rPr>
                <w:rFonts w:ascii="仿宋" w:hAnsi="仿宋" w:eastAsia="仿宋"/>
                <w:color w:val="auto"/>
                <w:kern w:val="0"/>
                <w:sz w:val="20"/>
                <w:szCs w:val="20"/>
              </w:rPr>
              <w:t>RRPP</w:t>
            </w:r>
            <w:r>
              <w:rPr>
                <w:rFonts w:hint="eastAsia" w:ascii="仿宋" w:hAnsi="仿宋" w:eastAsia="仿宋"/>
                <w:color w:val="auto"/>
                <w:kern w:val="0"/>
                <w:sz w:val="20"/>
                <w:szCs w:val="20"/>
              </w:rPr>
              <w:t>（快速环网保护协议），环网故障恢复时间不超过</w:t>
            </w:r>
            <w:r>
              <w:rPr>
                <w:rFonts w:ascii="仿宋" w:hAnsi="仿宋" w:eastAsia="仿宋"/>
                <w:color w:val="auto"/>
                <w:kern w:val="0"/>
                <w:sz w:val="20"/>
                <w:szCs w:val="20"/>
              </w:rPr>
              <w:t>200ms</w:t>
            </w:r>
            <w:r>
              <w:rPr>
                <w:rFonts w:hint="eastAsia" w:ascii="仿宋" w:hAnsi="仿宋" w:eastAsia="仿宋"/>
                <w:color w:val="auto"/>
                <w:kern w:val="0"/>
                <w:sz w:val="20"/>
                <w:szCs w:val="20"/>
              </w:rPr>
              <w:t>；</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6. </w:t>
            </w:r>
            <w:r>
              <w:rPr>
                <w:rFonts w:hint="eastAsia" w:ascii="仿宋" w:hAnsi="仿宋" w:eastAsia="仿宋"/>
                <w:color w:val="auto"/>
                <w:kern w:val="0"/>
                <w:sz w:val="20"/>
                <w:szCs w:val="20"/>
              </w:rPr>
              <w:t>支持</w:t>
            </w:r>
            <w:r>
              <w:rPr>
                <w:rFonts w:ascii="仿宋" w:hAnsi="仿宋" w:eastAsia="仿宋"/>
                <w:color w:val="auto"/>
                <w:kern w:val="0"/>
                <w:sz w:val="20"/>
                <w:szCs w:val="20"/>
              </w:rPr>
              <w:t>SNMP V1/V2/V3</w:t>
            </w:r>
            <w:r>
              <w:rPr>
                <w:rFonts w:hint="eastAsia" w:ascii="仿宋" w:hAnsi="仿宋" w:eastAsia="仿宋"/>
                <w:color w:val="auto"/>
                <w:kern w:val="0"/>
                <w:sz w:val="20"/>
                <w:szCs w:val="20"/>
              </w:rPr>
              <w:t>、</w:t>
            </w:r>
            <w:r>
              <w:rPr>
                <w:rFonts w:ascii="仿宋" w:hAnsi="仿宋" w:eastAsia="仿宋"/>
                <w:color w:val="auto"/>
                <w:kern w:val="0"/>
                <w:sz w:val="20"/>
                <w:szCs w:val="20"/>
              </w:rPr>
              <w:t>RMON</w:t>
            </w:r>
            <w:r>
              <w:rPr>
                <w:rFonts w:hint="eastAsia" w:ascii="仿宋" w:hAnsi="仿宋" w:eastAsia="仿宋"/>
                <w:color w:val="auto"/>
                <w:kern w:val="0"/>
                <w:sz w:val="20"/>
                <w:szCs w:val="20"/>
              </w:rPr>
              <w:t>、</w:t>
            </w:r>
            <w:r>
              <w:rPr>
                <w:rFonts w:ascii="仿宋" w:hAnsi="仿宋" w:eastAsia="仿宋"/>
                <w:color w:val="auto"/>
                <w:kern w:val="0"/>
                <w:sz w:val="20"/>
                <w:szCs w:val="20"/>
              </w:rPr>
              <w:t>SSHV2</w:t>
            </w:r>
            <w:r>
              <w:rPr>
                <w:rFonts w:hint="eastAsia" w:ascii="仿宋" w:hAnsi="仿宋" w:eastAsia="仿宋"/>
                <w:color w:val="auto"/>
                <w:kern w:val="0"/>
                <w:sz w:val="20"/>
                <w:szCs w:val="20"/>
              </w:rPr>
              <w:t>等协议；</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0"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7</w:t>
            </w:r>
            <w:r>
              <w:rPr>
                <w:rFonts w:hint="eastAsia" w:ascii="仿宋" w:hAnsi="仿宋" w:eastAsia="仿宋"/>
                <w:color w:val="auto"/>
                <w:kern w:val="0"/>
                <w:sz w:val="20"/>
                <w:szCs w:val="20"/>
              </w:rPr>
              <w:t>、</w:t>
            </w:r>
            <w:r>
              <w:rPr>
                <w:rFonts w:hint="eastAsia" w:ascii="仿宋" w:hAnsi="仿宋" w:eastAsia="仿宋" w:cs="仿宋"/>
                <w:color w:val="auto"/>
                <w:szCs w:val="21"/>
              </w:rPr>
              <w:t>★</w:t>
            </w:r>
            <w:r>
              <w:rPr>
                <w:rFonts w:hint="eastAsia" w:ascii="仿宋" w:hAnsi="仿宋" w:eastAsia="仿宋"/>
                <w:color w:val="auto"/>
                <w:kern w:val="0"/>
                <w:sz w:val="20"/>
                <w:szCs w:val="20"/>
              </w:rPr>
              <w:t>生产厂商应具有预防潜在的威胁</w:t>
            </w:r>
            <w:r>
              <w:rPr>
                <w:rFonts w:ascii="仿宋" w:hAnsi="仿宋" w:eastAsia="仿宋"/>
                <w:color w:val="auto"/>
                <w:kern w:val="0"/>
                <w:sz w:val="20"/>
                <w:szCs w:val="20"/>
              </w:rPr>
              <w:t>,</w:t>
            </w:r>
            <w:r>
              <w:rPr>
                <w:rFonts w:hint="eastAsia" w:ascii="仿宋" w:hAnsi="仿宋" w:eastAsia="仿宋"/>
                <w:color w:val="auto"/>
                <w:kern w:val="0"/>
                <w:sz w:val="20"/>
                <w:szCs w:val="20"/>
              </w:rPr>
              <w:t>增强本项目应对灾难的能力，保证产品和服务的连续性。通过</w:t>
            </w:r>
            <w:r>
              <w:rPr>
                <w:rFonts w:ascii="仿宋" w:hAnsi="仿宋" w:eastAsia="仿宋"/>
                <w:color w:val="auto"/>
                <w:kern w:val="0"/>
                <w:sz w:val="20"/>
                <w:szCs w:val="20"/>
              </w:rPr>
              <w:t>ISO 22301</w:t>
            </w:r>
            <w:r>
              <w:rPr>
                <w:rFonts w:hint="eastAsia" w:ascii="仿宋" w:hAnsi="仿宋" w:eastAsia="仿宋"/>
                <w:color w:val="auto"/>
                <w:kern w:val="0"/>
                <w:sz w:val="20"/>
                <w:szCs w:val="20"/>
              </w:rPr>
              <w:t>业务连续性管理体系认证。要求提供证书复印件和国家认监委官网截图并加盖原厂商有效印章；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8. </w:t>
            </w:r>
            <w:r>
              <w:rPr>
                <w:rFonts w:hint="eastAsia" w:ascii="仿宋" w:hAnsi="仿宋" w:eastAsia="仿宋"/>
                <w:color w:val="auto"/>
                <w:kern w:val="0"/>
                <w:sz w:val="20"/>
                <w:szCs w:val="20"/>
              </w:rPr>
              <w:t>为统一管理、运维方便，要求与防火墙同一品牌。</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0"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9.</w:t>
            </w:r>
            <w:r>
              <w:rPr>
                <w:rFonts w:hint="eastAsia" w:ascii="仿宋" w:hAnsi="仿宋" w:eastAsia="仿宋" w:cs="仿宋"/>
                <w:color w:val="auto"/>
                <w:szCs w:val="21"/>
              </w:rPr>
              <w:t xml:space="preserve"> ★</w:t>
            </w:r>
            <w:r>
              <w:rPr>
                <w:rFonts w:hint="eastAsia" w:ascii="仿宋" w:hAnsi="仿宋" w:eastAsia="仿宋" w:cs="宋体"/>
                <w:color w:val="auto"/>
                <w:kern w:val="0"/>
                <w:sz w:val="20"/>
                <w:szCs w:val="20"/>
              </w:rPr>
              <w:t>生产厂商均须具备良好的商业信誉，遵守国家法律、法规，国家工商总局的国家企业信用信息公示系统（网址：http://www.gsxt.gov.cn/）上无行政处罚信息，要求提供国家工商总局的国家企业信用信息公示系统无行政处罚信息截图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0"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10.</w:t>
            </w:r>
            <w:r>
              <w:rPr>
                <w:rFonts w:hint="eastAsia" w:ascii="仿宋" w:hAnsi="仿宋" w:eastAsia="仿宋" w:cs="仿宋"/>
                <w:color w:val="auto"/>
                <w:szCs w:val="21"/>
              </w:rPr>
              <w:t xml:space="preserve"> ★</w:t>
            </w:r>
            <w:r>
              <w:rPr>
                <w:rFonts w:hint="eastAsia" w:ascii="仿宋" w:hAnsi="仿宋" w:eastAsia="仿宋" w:cs="宋体"/>
                <w:color w:val="auto"/>
                <w:kern w:val="0"/>
                <w:sz w:val="20"/>
                <w:szCs w:val="20"/>
              </w:rPr>
              <w:t>为响应国家低碳的要求，生产厂商在产品设计、研发、生产、过程需采取有效减少温室气体排放措施，符合国家温室气体排放和清除的量化和报告的规范。产品生产厂商需通过ISO 14064温室气体核查。要求提供报告复印件和国家认证认可监督管理委员会官网截图并加盖原厂商有效印章；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四、广域网智能管理平台</w:t>
            </w:r>
            <w:r>
              <w:rPr>
                <w:rFonts w:ascii="仿宋" w:hAnsi="仿宋" w:eastAsia="仿宋"/>
                <w:color w:val="auto"/>
                <w:kern w:val="0"/>
                <w:sz w:val="20"/>
                <w:szCs w:val="20"/>
              </w:rPr>
              <w:t>1</w:t>
            </w:r>
            <w:r>
              <w:rPr>
                <w:rFonts w:hint="eastAsia" w:ascii="仿宋" w:hAnsi="仿宋" w:eastAsia="仿宋" w:cs="宋体"/>
                <w:color w:val="auto"/>
                <w:kern w:val="0"/>
                <w:sz w:val="20"/>
                <w:szCs w:val="20"/>
              </w:rPr>
              <w:t>套，功能参数要求如下：</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1. </w:t>
            </w:r>
            <w:r>
              <w:rPr>
                <w:rFonts w:hint="eastAsia" w:ascii="仿宋" w:hAnsi="仿宋" w:eastAsia="仿宋"/>
                <w:color w:val="auto"/>
                <w:kern w:val="0"/>
                <w:sz w:val="20"/>
                <w:szCs w:val="20"/>
              </w:rPr>
              <w:t>广域网智能管理平台</w:t>
            </w:r>
            <w:r>
              <w:rPr>
                <w:rFonts w:ascii="仿宋" w:hAnsi="仿宋" w:eastAsia="仿宋"/>
                <w:color w:val="auto"/>
                <w:kern w:val="0"/>
                <w:sz w:val="20"/>
                <w:szCs w:val="20"/>
              </w:rPr>
              <w:t>,</w:t>
            </w:r>
            <w:r>
              <w:rPr>
                <w:rFonts w:hint="eastAsia" w:ascii="仿宋" w:hAnsi="仿宋" w:eastAsia="仿宋"/>
                <w:color w:val="auto"/>
                <w:kern w:val="0"/>
                <w:sz w:val="20"/>
                <w:szCs w:val="20"/>
              </w:rPr>
              <w:t>可实现对本次服务包含的网络设备、防火墙设备、</w:t>
            </w:r>
            <w:r>
              <w:rPr>
                <w:rFonts w:ascii="仿宋" w:hAnsi="仿宋" w:eastAsia="仿宋"/>
                <w:color w:val="auto"/>
                <w:kern w:val="0"/>
                <w:sz w:val="20"/>
                <w:szCs w:val="20"/>
              </w:rPr>
              <w:t>VPN</w:t>
            </w:r>
            <w:r>
              <w:rPr>
                <w:rFonts w:hint="eastAsia" w:ascii="仿宋" w:hAnsi="仿宋" w:eastAsia="仿宋"/>
                <w:color w:val="auto"/>
                <w:kern w:val="0"/>
                <w:sz w:val="20"/>
                <w:szCs w:val="20"/>
              </w:rPr>
              <w:t>系统的管理；</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2</w:t>
            </w:r>
            <w:r>
              <w:rPr>
                <w:rFonts w:hint="eastAsia" w:ascii="仿宋" w:hAnsi="仿宋" w:eastAsia="仿宋"/>
                <w:color w:val="auto"/>
                <w:kern w:val="0"/>
                <w:sz w:val="20"/>
                <w:szCs w:val="20"/>
              </w:rPr>
              <w:t>．管理平台支持网络管理和防火墙设备、</w:t>
            </w:r>
            <w:r>
              <w:rPr>
                <w:rFonts w:ascii="仿宋" w:hAnsi="仿宋" w:eastAsia="仿宋"/>
                <w:color w:val="auto"/>
                <w:kern w:val="0"/>
                <w:sz w:val="20"/>
                <w:szCs w:val="20"/>
              </w:rPr>
              <w:t>VPN</w:t>
            </w:r>
            <w:r>
              <w:rPr>
                <w:rFonts w:hint="eastAsia" w:ascii="仿宋" w:hAnsi="仿宋" w:eastAsia="仿宋"/>
                <w:color w:val="auto"/>
                <w:kern w:val="0"/>
                <w:sz w:val="20"/>
                <w:szCs w:val="20"/>
              </w:rPr>
              <w:t>系统的深度融合，能同时对网络设备和安全设备进行集中监控和管理；管理平台支持展示网络拓扑和安全拓扑，支持完整攻击路径溯源；</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3. </w:t>
            </w:r>
            <w:r>
              <w:rPr>
                <w:rFonts w:hint="eastAsia" w:ascii="仿宋" w:hAnsi="仿宋" w:eastAsia="仿宋"/>
                <w:color w:val="auto"/>
                <w:kern w:val="0"/>
                <w:sz w:val="20"/>
                <w:szCs w:val="20"/>
              </w:rPr>
              <w:t>支持设备配置集中管理：配置库包括配置文件和配置片断，配置内容可带有参数，在部署时根据设备的差异设置不同的值；配置文件可部署到设备的启动配置或者运行配置；配置片断只能部署到设备的运行配置（提供功能截图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4. </w:t>
            </w:r>
            <w:r>
              <w:rPr>
                <w:rFonts w:hint="eastAsia" w:ascii="仿宋" w:hAnsi="仿宋" w:eastAsia="仿宋"/>
                <w:color w:val="auto"/>
                <w:kern w:val="0"/>
                <w:sz w:val="20"/>
                <w:szCs w:val="20"/>
              </w:rPr>
              <w:t>支持虚拟网络资源管理、虚拟网络拓扑展示、虚拟网络告警管理、虚拟网络性能监控、虚拟交换机配置管理、虚拟网络配置迁移管理。</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5. </w:t>
            </w:r>
            <w:r>
              <w:rPr>
                <w:rFonts w:hint="eastAsia" w:ascii="仿宋" w:hAnsi="仿宋" w:eastAsia="仿宋"/>
                <w:color w:val="auto"/>
                <w:kern w:val="0"/>
                <w:sz w:val="20"/>
                <w:szCs w:val="20"/>
              </w:rPr>
              <w:t>支持对常用的</w:t>
            </w:r>
            <w:r>
              <w:rPr>
                <w:rFonts w:ascii="仿宋" w:hAnsi="仿宋" w:eastAsia="仿宋"/>
                <w:color w:val="auto"/>
                <w:kern w:val="0"/>
                <w:sz w:val="20"/>
                <w:szCs w:val="20"/>
              </w:rPr>
              <w:t>IPsec VPN</w:t>
            </w:r>
            <w:r>
              <w:rPr>
                <w:rFonts w:hint="eastAsia" w:ascii="仿宋" w:hAnsi="仿宋" w:eastAsia="仿宋"/>
                <w:color w:val="auto"/>
                <w:kern w:val="0"/>
                <w:sz w:val="20"/>
                <w:szCs w:val="20"/>
              </w:rPr>
              <w:t>业务配置参数固化为模板，并将模板中定义的配置参数应用于网络域中的全部设备，实现对</w:t>
            </w:r>
            <w:r>
              <w:rPr>
                <w:rFonts w:ascii="仿宋" w:hAnsi="仿宋" w:eastAsia="仿宋"/>
                <w:color w:val="auto"/>
                <w:kern w:val="0"/>
                <w:sz w:val="20"/>
                <w:szCs w:val="20"/>
              </w:rPr>
              <w:t>IPsec VPN</w:t>
            </w:r>
            <w:r>
              <w:rPr>
                <w:rFonts w:hint="eastAsia" w:ascii="仿宋" w:hAnsi="仿宋" w:eastAsia="仿宋"/>
                <w:color w:val="auto"/>
                <w:kern w:val="0"/>
                <w:sz w:val="20"/>
                <w:szCs w:val="20"/>
              </w:rPr>
              <w:t>业务进行统一的管理；</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6. </w:t>
            </w:r>
            <w:r>
              <w:rPr>
                <w:rFonts w:hint="eastAsia" w:ascii="仿宋" w:hAnsi="仿宋" w:eastAsia="仿宋"/>
                <w:color w:val="auto"/>
                <w:kern w:val="0"/>
                <w:sz w:val="20"/>
                <w:szCs w:val="20"/>
              </w:rPr>
              <w:t>支持通过配置向导和模板的方式提供基于网络域的</w:t>
            </w:r>
            <w:r>
              <w:rPr>
                <w:rFonts w:ascii="仿宋" w:hAnsi="仿宋" w:eastAsia="仿宋"/>
                <w:color w:val="auto"/>
                <w:kern w:val="0"/>
                <w:sz w:val="20"/>
                <w:szCs w:val="20"/>
              </w:rPr>
              <w:t>IPsec</w:t>
            </w:r>
            <w:r>
              <w:rPr>
                <w:rFonts w:hint="eastAsia" w:ascii="仿宋" w:hAnsi="仿宋" w:eastAsia="仿宋"/>
                <w:color w:val="auto"/>
                <w:kern w:val="0"/>
                <w:sz w:val="20"/>
                <w:szCs w:val="20"/>
              </w:rPr>
              <w:t>、</w:t>
            </w:r>
            <w:r>
              <w:rPr>
                <w:rFonts w:ascii="仿宋" w:hAnsi="仿宋" w:eastAsia="仿宋"/>
                <w:color w:val="auto"/>
                <w:kern w:val="0"/>
                <w:sz w:val="20"/>
                <w:szCs w:val="20"/>
              </w:rPr>
              <w:t>GRE over IPsec</w:t>
            </w:r>
            <w:r>
              <w:rPr>
                <w:rFonts w:hint="eastAsia" w:ascii="仿宋" w:hAnsi="仿宋" w:eastAsia="仿宋"/>
                <w:color w:val="auto"/>
                <w:kern w:val="0"/>
                <w:sz w:val="20"/>
                <w:szCs w:val="20"/>
              </w:rPr>
              <w:t>、</w:t>
            </w:r>
            <w:r>
              <w:rPr>
                <w:rFonts w:ascii="仿宋" w:hAnsi="仿宋" w:eastAsia="仿宋"/>
                <w:color w:val="auto"/>
                <w:kern w:val="0"/>
                <w:sz w:val="20"/>
                <w:szCs w:val="20"/>
              </w:rPr>
              <w:t>DVPN</w:t>
            </w:r>
            <w:r>
              <w:rPr>
                <w:rFonts w:hint="eastAsia" w:ascii="仿宋" w:hAnsi="仿宋" w:eastAsia="仿宋"/>
                <w:color w:val="auto"/>
                <w:kern w:val="0"/>
                <w:sz w:val="20"/>
                <w:szCs w:val="20"/>
              </w:rPr>
              <w:t>统一配置管理功能，可以实现整网</w:t>
            </w:r>
            <w:r>
              <w:rPr>
                <w:rFonts w:ascii="仿宋" w:hAnsi="仿宋" w:eastAsia="仿宋"/>
                <w:color w:val="auto"/>
                <w:kern w:val="0"/>
                <w:sz w:val="20"/>
                <w:szCs w:val="20"/>
              </w:rPr>
              <w:t>VPN</w:t>
            </w:r>
            <w:r>
              <w:rPr>
                <w:rFonts w:hint="eastAsia" w:ascii="仿宋" w:hAnsi="仿宋" w:eastAsia="仿宋"/>
                <w:color w:val="auto"/>
                <w:kern w:val="0"/>
                <w:sz w:val="20"/>
                <w:szCs w:val="20"/>
              </w:rPr>
              <w:t>业务的快速部署；</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7. </w:t>
            </w:r>
            <w:r>
              <w:rPr>
                <w:rFonts w:hint="eastAsia" w:ascii="仿宋" w:hAnsi="仿宋" w:eastAsia="仿宋"/>
                <w:color w:val="auto"/>
                <w:kern w:val="0"/>
                <w:sz w:val="20"/>
                <w:szCs w:val="20"/>
              </w:rPr>
              <w:t>配置专门的隧道管理功能，展示实时隧道的属性及状态信息；并通过</w:t>
            </w:r>
            <w:r>
              <w:rPr>
                <w:rFonts w:ascii="仿宋" w:hAnsi="仿宋" w:eastAsia="仿宋"/>
                <w:color w:val="auto"/>
                <w:kern w:val="0"/>
                <w:sz w:val="20"/>
                <w:szCs w:val="20"/>
              </w:rPr>
              <w:t>VPN</w:t>
            </w:r>
            <w:r>
              <w:rPr>
                <w:rFonts w:hint="eastAsia" w:ascii="仿宋" w:hAnsi="仿宋" w:eastAsia="仿宋"/>
                <w:color w:val="auto"/>
                <w:kern w:val="0"/>
                <w:sz w:val="20"/>
                <w:szCs w:val="20"/>
              </w:rPr>
              <w:t>拓扑实时展示拓扑状态；</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8. </w:t>
            </w:r>
            <w:r>
              <w:rPr>
                <w:rFonts w:hint="eastAsia" w:ascii="仿宋" w:hAnsi="仿宋" w:eastAsia="仿宋"/>
                <w:color w:val="auto"/>
                <w:kern w:val="0"/>
                <w:sz w:val="20"/>
                <w:szCs w:val="20"/>
              </w:rPr>
              <w:t>支持与接入认证的关联能力，通过关联对于日志中的</w:t>
            </w:r>
            <w:r>
              <w:rPr>
                <w:rFonts w:ascii="仿宋" w:hAnsi="仿宋" w:eastAsia="仿宋"/>
                <w:color w:val="auto"/>
                <w:kern w:val="0"/>
                <w:sz w:val="20"/>
                <w:szCs w:val="20"/>
              </w:rPr>
              <w:t>IP</w:t>
            </w:r>
            <w:r>
              <w:rPr>
                <w:rFonts w:hint="eastAsia" w:ascii="仿宋" w:hAnsi="仿宋" w:eastAsia="仿宋"/>
                <w:color w:val="auto"/>
                <w:kern w:val="0"/>
                <w:sz w:val="20"/>
                <w:szCs w:val="20"/>
              </w:rPr>
              <w:t>地址，可转换成对应的用户名，基于用户下发策略和用户管理；</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0"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9. </w:t>
            </w:r>
            <w:r>
              <w:rPr>
                <w:rFonts w:hint="eastAsia" w:ascii="仿宋" w:hAnsi="仿宋" w:eastAsia="仿宋"/>
                <w:color w:val="auto"/>
                <w:kern w:val="0"/>
                <w:sz w:val="20"/>
                <w:szCs w:val="20"/>
              </w:rPr>
              <w:t>支持根据预定义的联动策略对匹配的事件（</w:t>
            </w:r>
            <w:r>
              <w:rPr>
                <w:rFonts w:ascii="仿宋" w:hAnsi="仿宋" w:eastAsia="仿宋"/>
                <w:color w:val="auto"/>
                <w:kern w:val="0"/>
                <w:sz w:val="20"/>
                <w:szCs w:val="20"/>
              </w:rPr>
              <w:t>Trap</w:t>
            </w:r>
            <w:r>
              <w:rPr>
                <w:rFonts w:hint="eastAsia" w:ascii="仿宋" w:hAnsi="仿宋" w:eastAsia="仿宋"/>
                <w:color w:val="auto"/>
                <w:kern w:val="0"/>
                <w:sz w:val="20"/>
                <w:szCs w:val="20"/>
              </w:rPr>
              <w:t>）执行联动控制；支持各类安全威胁的分析和联动（支持防火墙、</w:t>
            </w:r>
            <w:r>
              <w:rPr>
                <w:rFonts w:ascii="仿宋" w:hAnsi="仿宋" w:eastAsia="仿宋"/>
                <w:color w:val="auto"/>
                <w:kern w:val="0"/>
                <w:sz w:val="20"/>
                <w:szCs w:val="20"/>
              </w:rPr>
              <w:t>IPS</w:t>
            </w:r>
            <w:r>
              <w:rPr>
                <w:rFonts w:hint="eastAsia" w:ascii="仿宋" w:hAnsi="仿宋" w:eastAsia="仿宋"/>
                <w:color w:val="auto"/>
                <w:kern w:val="0"/>
                <w:sz w:val="20"/>
                <w:szCs w:val="20"/>
              </w:rPr>
              <w:t>、交换机、终端软件等上报信息的分析）；并支持在拓扑中显示攻击路径、攻击源等节点信息（提供功能截图并加盖原厂商有效印章）；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10.</w:t>
            </w:r>
            <w:r>
              <w:rPr>
                <w:rFonts w:hint="eastAsia" w:ascii="仿宋" w:hAnsi="仿宋" w:eastAsia="仿宋"/>
                <w:color w:val="auto"/>
                <w:kern w:val="0"/>
                <w:sz w:val="20"/>
                <w:szCs w:val="20"/>
              </w:rPr>
              <w:t>管理平台支持防火墙等安全设备集中统一管理和日志收集分析，支持与在网设备进行配置同步；</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11.</w:t>
            </w:r>
            <w:r>
              <w:rPr>
                <w:rFonts w:hint="eastAsia" w:ascii="仿宋" w:hAnsi="仿宋" w:eastAsia="仿宋" w:cs="仿宋"/>
                <w:color w:val="auto"/>
                <w:szCs w:val="21"/>
              </w:rPr>
              <w:t xml:space="preserve"> ★</w:t>
            </w:r>
            <w:r>
              <w:rPr>
                <w:rFonts w:hint="eastAsia" w:ascii="仿宋" w:hAnsi="仿宋" w:eastAsia="仿宋"/>
                <w:color w:val="auto"/>
                <w:kern w:val="0"/>
                <w:sz w:val="20"/>
                <w:szCs w:val="20"/>
              </w:rPr>
              <w:t>对管理软件功能进行了专业的第三方测试，要求提供测试报告复印件并加盖原厂商有效印章；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 xml:space="preserve">12. </w:t>
            </w:r>
            <w:r>
              <w:rPr>
                <w:rFonts w:hint="eastAsia" w:ascii="仿宋" w:hAnsi="仿宋" w:eastAsia="仿宋" w:cs="仿宋"/>
                <w:color w:val="auto"/>
                <w:szCs w:val="21"/>
              </w:rPr>
              <w:t>★</w:t>
            </w:r>
            <w:r>
              <w:rPr>
                <w:rFonts w:hint="eastAsia" w:ascii="仿宋" w:hAnsi="仿宋" w:eastAsia="仿宋"/>
                <w:color w:val="auto"/>
                <w:kern w:val="0"/>
                <w:sz w:val="20"/>
                <w:szCs w:val="20"/>
              </w:rPr>
              <w:t>产品成熟可靠，要求提供管理软件各版本软件著作权登记证书复印件并加盖原厂商有效印章；</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s="宋体"/>
                <w:color w:val="auto"/>
                <w:kern w:val="0"/>
                <w:sz w:val="20"/>
                <w:szCs w:val="20"/>
              </w:rPr>
            </w:pPr>
            <w:r>
              <w:rPr>
                <w:rFonts w:hint="eastAsia" w:ascii="仿宋" w:hAnsi="仿宋" w:eastAsia="仿宋" w:cs="宋体"/>
                <w:color w:val="auto"/>
                <w:kern w:val="0"/>
                <w:sz w:val="20"/>
                <w:szCs w:val="20"/>
              </w:rPr>
              <w:t>三、光模块</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419" w:type="pct"/>
            <w:vMerge w:val="continue"/>
            <w:vAlign w:val="center"/>
          </w:tcPr>
          <w:p>
            <w:pPr>
              <w:widowControl/>
              <w:jc w:val="left"/>
              <w:rPr>
                <w:rFonts w:ascii="仿宋" w:hAnsi="仿宋" w:eastAsia="仿宋" w:cs="宋体"/>
                <w:color w:val="auto"/>
                <w:kern w:val="0"/>
                <w:sz w:val="20"/>
                <w:szCs w:val="20"/>
              </w:rPr>
            </w:pPr>
          </w:p>
        </w:tc>
        <w:tc>
          <w:tcPr>
            <w:tcW w:w="3427" w:type="pct"/>
            <w:shd w:val="clear" w:color="auto" w:fill="auto"/>
            <w:vAlign w:val="center"/>
          </w:tcPr>
          <w:p>
            <w:pPr>
              <w:widowControl/>
              <w:jc w:val="left"/>
              <w:rPr>
                <w:rFonts w:ascii="仿宋" w:hAnsi="仿宋" w:eastAsia="仿宋"/>
                <w:color w:val="auto"/>
                <w:kern w:val="0"/>
                <w:sz w:val="20"/>
                <w:szCs w:val="20"/>
              </w:rPr>
            </w:pPr>
            <w:r>
              <w:rPr>
                <w:rFonts w:ascii="仿宋" w:hAnsi="仿宋" w:eastAsia="仿宋"/>
                <w:color w:val="auto"/>
                <w:kern w:val="0"/>
                <w:sz w:val="20"/>
                <w:szCs w:val="20"/>
              </w:rPr>
              <w:t>1</w:t>
            </w:r>
            <w:r>
              <w:rPr>
                <w:rFonts w:hint="eastAsia" w:ascii="仿宋" w:hAnsi="仿宋" w:eastAsia="仿宋"/>
                <w:color w:val="auto"/>
                <w:kern w:val="0"/>
                <w:sz w:val="20"/>
                <w:szCs w:val="20"/>
              </w:rPr>
              <w:t>、</w:t>
            </w:r>
            <w:r>
              <w:rPr>
                <w:rFonts w:ascii="仿宋" w:hAnsi="仿宋" w:eastAsia="仿宋"/>
                <w:color w:val="auto"/>
                <w:kern w:val="0"/>
                <w:sz w:val="20"/>
                <w:szCs w:val="20"/>
              </w:rPr>
              <w:t>40KM</w:t>
            </w:r>
            <w:r>
              <w:rPr>
                <w:rFonts w:hint="eastAsia" w:ascii="仿宋" w:hAnsi="仿宋" w:eastAsia="仿宋"/>
                <w:color w:val="auto"/>
                <w:kern w:val="0"/>
                <w:sz w:val="20"/>
                <w:szCs w:val="20"/>
              </w:rPr>
              <w:t>万兆单模光模块</w:t>
            </w:r>
            <w:r>
              <w:rPr>
                <w:rFonts w:ascii="仿宋" w:hAnsi="仿宋" w:eastAsia="仿宋"/>
                <w:color w:val="auto"/>
                <w:kern w:val="0"/>
                <w:sz w:val="20"/>
                <w:szCs w:val="20"/>
              </w:rPr>
              <w:t>4</w:t>
            </w:r>
            <w:r>
              <w:rPr>
                <w:rFonts w:hint="eastAsia" w:ascii="仿宋" w:hAnsi="仿宋" w:eastAsia="仿宋"/>
                <w:color w:val="auto"/>
                <w:kern w:val="0"/>
                <w:sz w:val="20"/>
                <w:szCs w:val="20"/>
              </w:rPr>
              <w:t>块</w:t>
            </w:r>
          </w:p>
        </w:tc>
        <w:tc>
          <w:tcPr>
            <w:tcW w:w="734" w:type="pct"/>
            <w:vMerge w:val="continue"/>
            <w:vAlign w:val="center"/>
          </w:tcPr>
          <w:p>
            <w:pPr>
              <w:widowControl/>
              <w:jc w:val="left"/>
              <w:rPr>
                <w:rFonts w:ascii="仿宋" w:hAnsi="仿宋" w:eastAsia="仿宋"/>
                <w:color w:val="auto"/>
                <w:kern w:val="0"/>
                <w:sz w:val="20"/>
                <w:szCs w:val="20"/>
              </w:rPr>
            </w:pPr>
          </w:p>
        </w:tc>
        <w:tc>
          <w:tcPr>
            <w:tcW w:w="419" w:type="pct"/>
            <w:vMerge w:val="continue"/>
            <w:vAlign w:val="center"/>
          </w:tcPr>
          <w:p>
            <w:pPr>
              <w:widowControl/>
              <w:jc w:val="left"/>
              <w:rPr>
                <w:rFonts w:ascii="仿宋" w:hAnsi="仿宋" w:eastAsia="仿宋"/>
                <w:color w:val="auto"/>
                <w:kern w:val="0"/>
                <w:sz w:val="20"/>
                <w:szCs w:val="20"/>
              </w:rPr>
            </w:pPr>
          </w:p>
        </w:tc>
      </w:tr>
    </w:tbl>
    <w:p>
      <w:pPr>
        <w:rPr>
          <w:rFonts w:ascii="仿宋" w:hAnsi="仿宋" w:eastAsia="仿宋"/>
          <w:color w:val="auto"/>
        </w:rPr>
      </w:pPr>
    </w:p>
    <w:p>
      <w:pPr>
        <w:rPr>
          <w:rFonts w:ascii="仿宋" w:hAnsi="仿宋" w:eastAsia="仿宋"/>
          <w:b/>
          <w:color w:val="auto"/>
          <w:sz w:val="24"/>
        </w:rPr>
      </w:pPr>
      <w:r>
        <w:rPr>
          <w:rFonts w:hint="eastAsia" w:ascii="仿宋" w:hAnsi="仿宋" w:eastAsia="仿宋"/>
          <w:b/>
          <w:color w:val="auto"/>
          <w:sz w:val="24"/>
        </w:rPr>
        <w:t>（2）接入服务</w:t>
      </w:r>
    </w:p>
    <w:p>
      <w:pPr>
        <w:rPr>
          <w:rFonts w:ascii="仿宋" w:hAnsi="仿宋" w:eastAsia="仿宋"/>
          <w:color w:val="auto"/>
        </w:rPr>
      </w:pPr>
    </w:p>
    <w:tbl>
      <w:tblPr>
        <w:tblStyle w:val="14"/>
        <w:tblW w:w="5000" w:type="pct"/>
        <w:tblInd w:w="0" w:type="dxa"/>
        <w:tblLayout w:type="autofit"/>
        <w:tblCellMar>
          <w:top w:w="0" w:type="dxa"/>
          <w:left w:w="108" w:type="dxa"/>
          <w:bottom w:w="0" w:type="dxa"/>
          <w:right w:w="108" w:type="dxa"/>
        </w:tblCellMar>
      </w:tblPr>
      <w:tblGrid>
        <w:gridCol w:w="656"/>
        <w:gridCol w:w="4066"/>
        <w:gridCol w:w="1316"/>
        <w:gridCol w:w="947"/>
        <w:gridCol w:w="1537"/>
      </w:tblGrid>
      <w:tr>
        <w:tblPrEx>
          <w:tblCellMar>
            <w:top w:w="0" w:type="dxa"/>
            <w:left w:w="108" w:type="dxa"/>
            <w:bottom w:w="0" w:type="dxa"/>
            <w:right w:w="108" w:type="dxa"/>
          </w:tblCellMar>
        </w:tblPrEx>
        <w:trPr>
          <w:trHeight w:val="570" w:hRule="atLeast"/>
        </w:trPr>
        <w:tc>
          <w:tcPr>
            <w:tcW w:w="577" w:type="pct"/>
            <w:tcBorders>
              <w:top w:val="single" w:color="auto" w:sz="4" w:space="0"/>
              <w:left w:val="single" w:color="auto" w:sz="4" w:space="0"/>
              <w:bottom w:val="single" w:color="auto" w:sz="4" w:space="0"/>
              <w:right w:val="single" w:color="auto" w:sz="4" w:space="0"/>
            </w:tcBorders>
            <w:shd w:val="clear" w:color="000000" w:fill="C4BD97"/>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序号</w:t>
            </w:r>
          </w:p>
        </w:tc>
        <w:tc>
          <w:tcPr>
            <w:tcW w:w="1700" w:type="pct"/>
            <w:tcBorders>
              <w:top w:val="single" w:color="auto" w:sz="4" w:space="0"/>
              <w:left w:val="nil"/>
              <w:bottom w:val="single" w:color="auto" w:sz="4" w:space="0"/>
              <w:right w:val="single" w:color="auto" w:sz="4" w:space="0"/>
            </w:tcBorders>
            <w:shd w:val="clear" w:color="000000" w:fill="C4BD97"/>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链路名称</w:t>
            </w:r>
          </w:p>
        </w:tc>
        <w:tc>
          <w:tcPr>
            <w:tcW w:w="744" w:type="pct"/>
            <w:tcBorders>
              <w:top w:val="single" w:color="auto" w:sz="4" w:space="0"/>
              <w:left w:val="nil"/>
              <w:bottom w:val="single" w:color="auto" w:sz="4" w:space="0"/>
              <w:right w:val="single" w:color="auto" w:sz="4" w:space="0"/>
            </w:tcBorders>
            <w:shd w:val="clear" w:color="000000" w:fill="C4BD97"/>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时长（月）</w:t>
            </w:r>
          </w:p>
        </w:tc>
        <w:tc>
          <w:tcPr>
            <w:tcW w:w="888" w:type="pct"/>
            <w:tcBorders>
              <w:top w:val="single" w:color="auto" w:sz="4" w:space="0"/>
              <w:left w:val="nil"/>
              <w:bottom w:val="single" w:color="auto" w:sz="4" w:space="0"/>
              <w:right w:val="single" w:color="auto" w:sz="4" w:space="0"/>
            </w:tcBorders>
            <w:shd w:val="clear" w:color="000000" w:fill="C4BD97"/>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数量</w:t>
            </w:r>
          </w:p>
        </w:tc>
        <w:tc>
          <w:tcPr>
            <w:tcW w:w="1093" w:type="pct"/>
            <w:tcBorders>
              <w:top w:val="single" w:color="auto" w:sz="4" w:space="0"/>
              <w:left w:val="nil"/>
              <w:bottom w:val="single" w:color="auto" w:sz="4" w:space="0"/>
              <w:right w:val="single" w:color="auto" w:sz="4" w:space="0"/>
            </w:tcBorders>
            <w:shd w:val="clear" w:color="000000" w:fill="C4BD97"/>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带宽（Mbps）</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省医保局-市县医保局</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19</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20</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经办机构</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26</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20</w:t>
            </w:r>
          </w:p>
        </w:tc>
      </w:tr>
      <w:tr>
        <w:tblPrEx>
          <w:tblCellMar>
            <w:top w:w="0" w:type="dxa"/>
            <w:left w:w="108" w:type="dxa"/>
            <w:bottom w:w="0" w:type="dxa"/>
            <w:right w:w="108" w:type="dxa"/>
          </w:tblCellMar>
        </w:tblPrEx>
        <w:trPr>
          <w:trHeight w:val="63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3</w:t>
            </w:r>
          </w:p>
        </w:tc>
        <w:tc>
          <w:tcPr>
            <w:tcW w:w="1700"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人社、卫建、民政、扶贫办、税务、工信、三亚卫健委</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7</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100</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4</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省医保局会议室-数据中心</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20</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5</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省医保局数据谷-数据中心</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100</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6</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省医保局数据谷-数据中心（备用线路）</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20</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7</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政务外网-数据中心</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1000</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8</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备用汇聚专线</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18</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1000</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9</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无线VPDN光纤</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1000</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有线VPDN光纤</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1000</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11</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三级医院</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25</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100</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二级医院</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86</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50</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13</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一级医院</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443</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6</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14</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商业银行、保险公司</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6</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10</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15</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一级以下医院</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2600</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VPDN带宽</w:t>
            </w:r>
          </w:p>
        </w:tc>
      </w:tr>
      <w:tr>
        <w:tblPrEx>
          <w:tblCellMar>
            <w:top w:w="0" w:type="dxa"/>
            <w:left w:w="108" w:type="dxa"/>
            <w:bottom w:w="0" w:type="dxa"/>
            <w:right w:w="108" w:type="dxa"/>
          </w:tblCellMar>
        </w:tblPrEx>
        <w:trPr>
          <w:trHeight w:val="270" w:hRule="atLeast"/>
        </w:trPr>
        <w:tc>
          <w:tcPr>
            <w:tcW w:w="57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16</w:t>
            </w:r>
          </w:p>
        </w:tc>
        <w:tc>
          <w:tcPr>
            <w:tcW w:w="17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医保人员远程办公</w:t>
            </w:r>
          </w:p>
        </w:tc>
        <w:tc>
          <w:tcPr>
            <w:tcW w:w="74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12</w:t>
            </w:r>
          </w:p>
        </w:tc>
        <w:tc>
          <w:tcPr>
            <w:tcW w:w="88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160</w:t>
            </w:r>
          </w:p>
        </w:tc>
        <w:tc>
          <w:tcPr>
            <w:tcW w:w="1093"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auto"/>
                <w:kern w:val="0"/>
                <w:sz w:val="22"/>
                <w:szCs w:val="22"/>
              </w:rPr>
            </w:pPr>
            <w:r>
              <w:rPr>
                <w:rFonts w:hint="eastAsia" w:ascii="仿宋" w:hAnsi="仿宋" w:eastAsia="仿宋" w:cs="宋体"/>
                <w:color w:val="auto"/>
                <w:kern w:val="0"/>
                <w:sz w:val="22"/>
                <w:szCs w:val="22"/>
              </w:rPr>
              <w:t>VPDN带宽</w:t>
            </w:r>
          </w:p>
        </w:tc>
      </w:tr>
    </w:tbl>
    <w:p>
      <w:pPr>
        <w:spacing w:line="360" w:lineRule="auto"/>
        <w:ind w:firstLine="420" w:firstLineChars="200"/>
        <w:rPr>
          <w:rFonts w:ascii="仿宋" w:hAnsi="仿宋" w:eastAsia="仿宋"/>
          <w:color w:val="auto"/>
        </w:rPr>
      </w:pPr>
    </w:p>
    <w:p>
      <w:pPr>
        <w:spacing w:line="360" w:lineRule="auto"/>
        <w:ind w:firstLine="480" w:firstLineChars="200"/>
        <w:rPr>
          <w:rFonts w:ascii="仿宋" w:hAnsi="仿宋" w:eastAsia="仿宋" w:cs="仿宋"/>
          <w:color w:val="auto"/>
          <w:sz w:val="24"/>
        </w:rPr>
      </w:pPr>
    </w:p>
    <w:p>
      <w:pPr>
        <w:keepNext/>
        <w:keepLines/>
        <w:spacing w:line="360" w:lineRule="auto"/>
        <w:rPr>
          <w:rFonts w:ascii="仿宋" w:hAnsi="仿宋" w:eastAsia="仿宋" w:cs="仿宋"/>
          <w:b/>
          <w:bCs/>
          <w:color w:val="auto"/>
          <w:kern w:val="44"/>
          <w:sz w:val="24"/>
        </w:rPr>
      </w:pPr>
      <w:r>
        <w:rPr>
          <w:rFonts w:hint="eastAsia" w:ascii="仿宋" w:hAnsi="仿宋" w:eastAsia="仿宋" w:cs="仿宋"/>
          <w:b/>
          <w:bCs/>
          <w:color w:val="auto"/>
          <w:kern w:val="44"/>
          <w:sz w:val="24"/>
        </w:rPr>
        <w:t>5.</w:t>
      </w:r>
      <w:r>
        <w:rPr>
          <w:rFonts w:hint="eastAsia" w:ascii="仿宋" w:hAnsi="仿宋" w:eastAsia="仿宋" w:cs="仿宋"/>
          <w:color w:val="auto"/>
          <w:kern w:val="0"/>
          <w:sz w:val="20"/>
          <w:szCs w:val="20"/>
        </w:rPr>
        <w:t>▲</w:t>
      </w:r>
      <w:r>
        <w:rPr>
          <w:rFonts w:hint="eastAsia" w:ascii="仿宋" w:hAnsi="仿宋" w:eastAsia="仿宋" w:cs="仿宋"/>
          <w:b/>
          <w:bCs/>
          <w:color w:val="auto"/>
          <w:kern w:val="44"/>
          <w:sz w:val="24"/>
        </w:rPr>
        <w:t>项目实施要求</w:t>
      </w:r>
      <w:bookmarkEnd w:id="782"/>
    </w:p>
    <w:p>
      <w:pPr>
        <w:keepNext/>
        <w:keepLines/>
        <w:spacing w:line="360" w:lineRule="auto"/>
        <w:ind w:firstLine="482" w:firstLineChars="200"/>
        <w:rPr>
          <w:rFonts w:ascii="仿宋" w:hAnsi="仿宋" w:eastAsia="仿宋" w:cs="仿宋"/>
          <w:b/>
          <w:bCs/>
          <w:color w:val="auto"/>
          <w:sz w:val="24"/>
        </w:rPr>
      </w:pPr>
      <w:bookmarkStart w:id="783" w:name="_Toc40908561"/>
      <w:r>
        <w:rPr>
          <w:rFonts w:hint="eastAsia" w:ascii="仿宋" w:hAnsi="仿宋" w:eastAsia="仿宋" w:cs="仿宋"/>
          <w:b/>
          <w:bCs/>
          <w:color w:val="auto"/>
          <w:sz w:val="24"/>
        </w:rPr>
        <w:t>5.1服务期限：</w:t>
      </w:r>
      <w:r>
        <w:rPr>
          <w:rFonts w:hint="eastAsia" w:ascii="仿宋" w:hAnsi="仿宋" w:eastAsia="仿宋" w:cs="仿宋"/>
          <w:bCs/>
          <w:color w:val="auto"/>
          <w:sz w:val="24"/>
        </w:rPr>
        <w:t>签订合同之日起至2021年12月31日</w:t>
      </w:r>
    </w:p>
    <w:p>
      <w:pPr>
        <w:keepNext/>
        <w:keepLines/>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5.2中标单位项目管理要求</w:t>
      </w:r>
      <w:bookmarkEnd w:id="783"/>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为保证本项目顺利实施，中标单位需提供本次建设的项目管理方案，实施期间提供每市县不少于5人的项目实施团队（包含1名项目经理，该团队的核心技术人员具备医保行业或医疗行业项目实施经验。中标单位应承诺提供现场实施服务，办公场地由中标单位自行解决。</w:t>
      </w:r>
    </w:p>
    <w:p>
      <w:pPr>
        <w:tabs>
          <w:tab w:val="left" w:pos="0"/>
        </w:tabs>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中标单位应提供详细的服务方案，包括施工人员、技术支持、工期进度安排、组织管理培训。</w:t>
      </w:r>
    </w:p>
    <w:p>
      <w:pPr>
        <w:keepNext/>
        <w:keepLines/>
        <w:spacing w:line="360" w:lineRule="auto"/>
        <w:ind w:firstLine="482" w:firstLineChars="200"/>
        <w:rPr>
          <w:rFonts w:ascii="仿宋" w:hAnsi="仿宋" w:eastAsia="仿宋" w:cs="仿宋"/>
          <w:b/>
          <w:bCs/>
          <w:color w:val="auto"/>
          <w:sz w:val="24"/>
        </w:rPr>
      </w:pPr>
      <w:bookmarkStart w:id="784" w:name="_Toc40908562"/>
      <w:r>
        <w:rPr>
          <w:rFonts w:hint="eastAsia" w:ascii="仿宋" w:hAnsi="仿宋" w:eastAsia="仿宋" w:cs="仿宋"/>
          <w:b/>
          <w:bCs/>
          <w:color w:val="auto"/>
          <w:sz w:val="24"/>
        </w:rPr>
        <w:t>5.3质量管理要求</w:t>
      </w:r>
      <w:bookmarkEnd w:id="784"/>
    </w:p>
    <w:p>
      <w:pPr>
        <w:tabs>
          <w:tab w:val="left" w:pos="0"/>
        </w:tabs>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中标单位需有完善的质量管理体系，针对招标项目实施过程及交付结果进行质量规划、管理、控制。</w:t>
      </w:r>
    </w:p>
    <w:p>
      <w:pPr>
        <w:tabs>
          <w:tab w:val="left" w:pos="0"/>
        </w:tabs>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中标单位需能提供项目准备、需求分析、设计、实施、上线、交付各阶段及项目管理等有关文档。</w:t>
      </w:r>
    </w:p>
    <w:p>
      <w:pPr>
        <w:keepNext/>
        <w:keepLines/>
        <w:spacing w:line="360" w:lineRule="auto"/>
        <w:ind w:firstLine="482" w:firstLineChars="200"/>
        <w:rPr>
          <w:rFonts w:ascii="仿宋" w:hAnsi="仿宋" w:eastAsia="仿宋" w:cs="仿宋"/>
          <w:b/>
          <w:bCs/>
          <w:color w:val="auto"/>
          <w:sz w:val="24"/>
        </w:rPr>
      </w:pPr>
      <w:bookmarkStart w:id="785" w:name="_Toc40908563"/>
      <w:r>
        <w:rPr>
          <w:rFonts w:hint="eastAsia" w:ascii="仿宋" w:hAnsi="仿宋" w:eastAsia="仿宋" w:cs="仿宋"/>
          <w:b/>
          <w:bCs/>
          <w:color w:val="auto"/>
          <w:sz w:val="24"/>
        </w:rPr>
        <w:t>5.4风险控制要求</w:t>
      </w:r>
      <w:bookmarkEnd w:id="785"/>
    </w:p>
    <w:p>
      <w:pPr>
        <w:tabs>
          <w:tab w:val="left" w:pos="0"/>
        </w:tabs>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中标单位要能在充分理解本项目的基础上，对可能出现的各类风险进行评估和制定应对措施，以保证本项目的顺利交付服务。</w:t>
      </w:r>
    </w:p>
    <w:p>
      <w:pPr>
        <w:keepNext/>
        <w:keepLines/>
        <w:spacing w:line="360" w:lineRule="auto"/>
        <w:rPr>
          <w:rFonts w:ascii="仿宋" w:hAnsi="仿宋" w:eastAsia="仿宋" w:cs="仿宋"/>
          <w:b/>
          <w:bCs/>
          <w:color w:val="auto"/>
          <w:kern w:val="44"/>
          <w:sz w:val="24"/>
        </w:rPr>
      </w:pPr>
      <w:bookmarkStart w:id="786" w:name="_Toc40908564"/>
      <w:r>
        <w:rPr>
          <w:rFonts w:hint="eastAsia" w:ascii="仿宋" w:hAnsi="仿宋" w:eastAsia="仿宋" w:cs="仿宋"/>
          <w:b/>
          <w:bCs/>
          <w:color w:val="auto"/>
          <w:kern w:val="44"/>
          <w:sz w:val="24"/>
        </w:rPr>
        <w:t>6.</w:t>
      </w:r>
      <w:r>
        <w:rPr>
          <w:rFonts w:hint="eastAsia" w:ascii="仿宋" w:hAnsi="仿宋" w:eastAsia="仿宋" w:cs="仿宋"/>
          <w:color w:val="auto"/>
          <w:kern w:val="0"/>
          <w:sz w:val="20"/>
          <w:szCs w:val="20"/>
        </w:rPr>
        <w:t>▲</w:t>
      </w:r>
      <w:r>
        <w:rPr>
          <w:rFonts w:hint="eastAsia" w:ascii="仿宋" w:hAnsi="仿宋" w:eastAsia="仿宋" w:cs="仿宋"/>
          <w:b/>
          <w:bCs/>
          <w:color w:val="auto"/>
          <w:kern w:val="44"/>
          <w:sz w:val="24"/>
        </w:rPr>
        <w:t>保密要求</w:t>
      </w:r>
      <w:bookmarkEnd w:id="786"/>
    </w:p>
    <w:p>
      <w:pPr>
        <w:tabs>
          <w:tab w:val="left" w:pos="0"/>
        </w:tabs>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投标方需在投标文件中明确，本项目中数据（包含原始数据和衍生数据）全部为招标方所有，全部列入保密范围，投标方不得未经用户许可的情况下导出、分析以及移作他用。</w:t>
      </w:r>
    </w:p>
    <w:p>
      <w:pPr>
        <w:keepNext/>
        <w:keepLines/>
        <w:spacing w:line="360" w:lineRule="auto"/>
        <w:rPr>
          <w:rFonts w:ascii="仿宋" w:hAnsi="仿宋" w:eastAsia="仿宋" w:cs="仿宋"/>
          <w:b/>
          <w:bCs/>
          <w:color w:val="auto"/>
          <w:kern w:val="44"/>
          <w:sz w:val="24"/>
        </w:rPr>
      </w:pPr>
      <w:bookmarkStart w:id="787" w:name="_Toc40908565"/>
      <w:r>
        <w:rPr>
          <w:rFonts w:hint="eastAsia" w:ascii="仿宋" w:hAnsi="仿宋" w:eastAsia="仿宋" w:cs="仿宋"/>
          <w:b/>
          <w:bCs/>
          <w:color w:val="auto"/>
          <w:kern w:val="44"/>
          <w:sz w:val="24"/>
        </w:rPr>
        <w:t>7.</w:t>
      </w:r>
      <w:r>
        <w:rPr>
          <w:rFonts w:hint="eastAsia" w:ascii="仿宋" w:hAnsi="仿宋" w:eastAsia="仿宋" w:cs="仿宋"/>
          <w:color w:val="auto"/>
          <w:kern w:val="0"/>
          <w:sz w:val="20"/>
          <w:szCs w:val="20"/>
        </w:rPr>
        <w:t>▲</w:t>
      </w:r>
      <w:r>
        <w:rPr>
          <w:rFonts w:hint="eastAsia" w:ascii="仿宋" w:hAnsi="仿宋" w:eastAsia="仿宋" w:cs="仿宋"/>
          <w:b/>
          <w:bCs/>
          <w:color w:val="auto"/>
          <w:kern w:val="44"/>
          <w:sz w:val="24"/>
        </w:rPr>
        <w:t>项目计划要求</w:t>
      </w:r>
      <w:bookmarkEnd w:id="787"/>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请投标方提出具体实施方案（建设内容明细、项目进度等），保证本项目如期交付服务。</w:t>
      </w:r>
    </w:p>
    <w:p>
      <w:pPr>
        <w:keepNext/>
        <w:keepLines/>
        <w:spacing w:line="360" w:lineRule="auto"/>
        <w:rPr>
          <w:rFonts w:ascii="仿宋" w:hAnsi="仿宋" w:eastAsia="仿宋" w:cs="仿宋"/>
          <w:b/>
          <w:bCs/>
          <w:color w:val="auto"/>
          <w:kern w:val="44"/>
          <w:sz w:val="24"/>
        </w:rPr>
      </w:pPr>
      <w:bookmarkStart w:id="788" w:name="_Toc40908566"/>
      <w:r>
        <w:rPr>
          <w:rFonts w:hint="eastAsia" w:ascii="仿宋" w:hAnsi="仿宋" w:eastAsia="仿宋" w:cs="仿宋"/>
          <w:b/>
          <w:bCs/>
          <w:color w:val="auto"/>
          <w:kern w:val="44"/>
          <w:sz w:val="24"/>
        </w:rPr>
        <w:t>8.</w:t>
      </w:r>
      <w:r>
        <w:rPr>
          <w:rFonts w:hint="eastAsia" w:ascii="仿宋" w:hAnsi="仿宋" w:eastAsia="仿宋" w:cs="仿宋"/>
          <w:color w:val="auto"/>
          <w:kern w:val="0"/>
          <w:sz w:val="20"/>
          <w:szCs w:val="20"/>
        </w:rPr>
        <w:t>▲</w:t>
      </w:r>
      <w:r>
        <w:rPr>
          <w:rFonts w:hint="eastAsia" w:ascii="仿宋" w:hAnsi="仿宋" w:eastAsia="仿宋" w:cs="仿宋"/>
          <w:b/>
          <w:bCs/>
          <w:color w:val="auto"/>
          <w:kern w:val="44"/>
          <w:sz w:val="24"/>
        </w:rPr>
        <w:t>项目协作要求</w:t>
      </w:r>
      <w:bookmarkEnd w:id="788"/>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中标单位须配合其它相关包号中标单位。</w:t>
      </w:r>
    </w:p>
    <w:p>
      <w:pPr>
        <w:keepNext/>
        <w:keepLines/>
        <w:spacing w:line="360" w:lineRule="auto"/>
        <w:rPr>
          <w:rFonts w:ascii="仿宋" w:hAnsi="仿宋" w:eastAsia="仿宋" w:cs="仿宋"/>
          <w:b/>
          <w:bCs/>
          <w:color w:val="auto"/>
          <w:kern w:val="44"/>
          <w:sz w:val="24"/>
        </w:rPr>
      </w:pPr>
      <w:bookmarkStart w:id="789" w:name="_Toc40908567"/>
      <w:r>
        <w:rPr>
          <w:rFonts w:hint="eastAsia" w:ascii="仿宋" w:hAnsi="仿宋" w:eastAsia="仿宋" w:cs="仿宋"/>
          <w:b/>
          <w:bCs/>
          <w:color w:val="auto"/>
          <w:kern w:val="44"/>
          <w:sz w:val="24"/>
        </w:rPr>
        <w:t>9.</w:t>
      </w:r>
      <w:r>
        <w:rPr>
          <w:rFonts w:hint="eastAsia" w:ascii="仿宋" w:hAnsi="仿宋" w:eastAsia="仿宋" w:cs="仿宋"/>
          <w:color w:val="auto"/>
          <w:kern w:val="0"/>
          <w:sz w:val="20"/>
          <w:szCs w:val="20"/>
        </w:rPr>
        <w:t>▲</w:t>
      </w:r>
      <w:r>
        <w:rPr>
          <w:rFonts w:hint="eastAsia" w:ascii="仿宋" w:hAnsi="仿宋" w:eastAsia="仿宋" w:cs="仿宋"/>
          <w:b/>
          <w:bCs/>
          <w:color w:val="auto"/>
          <w:kern w:val="44"/>
          <w:sz w:val="24"/>
        </w:rPr>
        <w:t>售后服务要求</w:t>
      </w:r>
      <w:bookmarkEnd w:id="789"/>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在服务期内，中标单位应提供灵活、多样的通信手段（包括但不限于场地、设备及人员、专用服务电话），提供7*24小时的响应服务，保证在任何时候招标方人员都能及时找到投标方的服务人员。如遇现场人员无法解决的问题或招标方认为需要，中标单位的技术人员应在2小时内赶到现场支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中标单位应在项目建设方案中说明技术指导和技术支持的范围和程度，投标方应提供技术服务流程、技术支持与售后服务体系，需根据本次招标文件所制定的目标和范围，提出相应的技术支持服务和售后服务方案。</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（3）本项目需投标方提供本地化服务，处理所有售后服务，同时提供7×24小时本地语言（中文）支持。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中标单位需做出无推诿承诺。即中标单位应提供特殊措施，无论由于哪一方产生的问题而使网络发生不正常情况时，并在得到招标方通知后，需立即派工程师到场，全力配合设备原厂商和其他供应商，使设备尽快恢复正常。</w:t>
      </w:r>
    </w:p>
    <w:p>
      <w:pPr>
        <w:keepNext/>
        <w:keepLines/>
        <w:spacing w:line="360" w:lineRule="auto"/>
        <w:rPr>
          <w:rFonts w:ascii="仿宋" w:hAnsi="仿宋" w:eastAsia="仿宋" w:cs="仿宋"/>
          <w:b/>
          <w:bCs/>
          <w:color w:val="auto"/>
          <w:kern w:val="44"/>
          <w:sz w:val="24"/>
        </w:rPr>
      </w:pPr>
      <w:bookmarkStart w:id="790" w:name="_Toc40908568"/>
      <w:r>
        <w:rPr>
          <w:rFonts w:hint="eastAsia" w:ascii="仿宋" w:hAnsi="仿宋" w:eastAsia="仿宋" w:cs="仿宋"/>
          <w:b/>
          <w:bCs/>
          <w:color w:val="auto"/>
          <w:kern w:val="44"/>
          <w:sz w:val="24"/>
        </w:rPr>
        <w:t>10.</w:t>
      </w:r>
      <w:r>
        <w:rPr>
          <w:rFonts w:hint="eastAsia" w:ascii="仿宋" w:hAnsi="仿宋" w:eastAsia="仿宋" w:cs="仿宋"/>
          <w:color w:val="auto"/>
          <w:kern w:val="0"/>
          <w:sz w:val="20"/>
          <w:szCs w:val="20"/>
        </w:rPr>
        <w:t>▲</w:t>
      </w:r>
      <w:r>
        <w:rPr>
          <w:rFonts w:hint="eastAsia" w:ascii="仿宋" w:hAnsi="仿宋" w:eastAsia="仿宋" w:cs="仿宋"/>
          <w:b/>
          <w:bCs/>
          <w:color w:val="auto"/>
          <w:kern w:val="44"/>
          <w:sz w:val="24"/>
        </w:rPr>
        <w:t>其他要求</w:t>
      </w:r>
      <w:bookmarkEnd w:id="790"/>
    </w:p>
    <w:p>
      <w:pPr>
        <w:tabs>
          <w:tab w:val="left" w:pos="1301"/>
        </w:tabs>
        <w:autoSpaceDE w:val="0"/>
        <w:autoSpaceDN w:val="0"/>
        <w:spacing w:line="360" w:lineRule="auto"/>
        <w:ind w:right="318" w:firstLine="440" w:firstLineChars="200"/>
        <w:rPr>
          <w:rFonts w:ascii="仿宋" w:hAnsi="仿宋" w:eastAsia="仿宋" w:cs="仿宋"/>
          <w:color w:val="auto"/>
          <w:spacing w:val="-10"/>
          <w:sz w:val="24"/>
        </w:rPr>
      </w:pPr>
      <w:r>
        <w:rPr>
          <w:rFonts w:hint="eastAsia" w:ascii="仿宋" w:hAnsi="仿宋" w:eastAsia="仿宋" w:cs="仿宋"/>
          <w:color w:val="auto"/>
          <w:spacing w:val="-10"/>
          <w:sz w:val="24"/>
        </w:rPr>
        <w:t>（1）投标方承诺：如投标单位在海南省无分公司或办事处，须承诺中标后在海南省注册分公司或办事处，办公地址须在海南省医疗保障局周边半径2公里范围内。</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（2）当招标方有新需求，而本文又未包括或与本文不符时，则应符合招标方新需求；对于招标方尚未有标准的，而本文又未提及的部分，中标单位提出其标准，留待双方认可后执行。</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（3）中标单位应确保其技术建议的可行性以及所提供服务和产品的完整性，若出现由于中标单位所提供的服务和产品不全面而导致系统功能无法实现或不能完全实现，由中标单位及时无偿补足，并负全部责任。</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（5）投标方承诺承担驻场工程师就餐和相关差旅费用，并提供驻场工程师办公电脑、打印机等设备。</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（6）投标方承诺本项目合作终止后1年内，无条件配合招标方进行数据迁移、数据字典提供、数据结构提供、对相关实现方式讲解。</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（7）本项目建设内容、需求若有变化，与本文不符的，则按照招标方与投标方友好协商修订为准。</w:t>
      </w:r>
    </w:p>
    <w:p>
      <w:pPr>
        <w:spacing w:line="360" w:lineRule="auto"/>
        <w:rPr>
          <w:rFonts w:ascii="仿宋" w:hAnsi="仿宋" w:eastAsia="仿宋" w:cs="仿宋"/>
          <w:color w:val="auto"/>
          <w:sz w:val="24"/>
        </w:rPr>
        <w:sectPr>
          <w:pgSz w:w="11906" w:h="16838"/>
          <w:pgMar w:top="1440" w:right="1800" w:bottom="1440" w:left="1800" w:header="851" w:footer="992" w:gutter="0"/>
          <w:cols w:space="425" w:num="1"/>
          <w:docGrid w:type="lines" w:linePitch="312" w:charSpace="0"/>
        </w:sectPr>
      </w:pPr>
    </w:p>
    <w:p>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16包安全等级保护测评</w:t>
      </w:r>
    </w:p>
    <w:p>
      <w:pPr>
        <w:autoSpaceDE w:val="0"/>
        <w:autoSpaceDN w:val="0"/>
        <w:spacing w:line="360" w:lineRule="auto"/>
        <w:jc w:val="left"/>
        <w:rPr>
          <w:rFonts w:ascii="仿宋" w:hAnsi="仿宋" w:eastAsia="仿宋" w:cs="仿宋"/>
          <w:b/>
          <w:bCs/>
          <w:color w:val="auto"/>
          <w:sz w:val="24"/>
        </w:rPr>
      </w:pPr>
      <w:bookmarkStart w:id="791" w:name="_Toc40909359"/>
      <w:r>
        <w:rPr>
          <w:rFonts w:hint="eastAsia" w:ascii="仿宋" w:hAnsi="仿宋" w:eastAsia="仿宋" w:cs="仿宋"/>
          <w:b/>
          <w:bCs/>
          <w:color w:val="auto"/>
          <w:sz w:val="24"/>
        </w:rPr>
        <w:t>1.项目概述</w:t>
      </w:r>
      <w:bookmarkEnd w:id="791"/>
    </w:p>
    <w:p>
      <w:pPr>
        <w:tabs>
          <w:tab w:val="left" w:pos="640"/>
        </w:tabs>
        <w:autoSpaceDE w:val="0"/>
        <w:autoSpaceDN w:val="0"/>
        <w:spacing w:line="360" w:lineRule="auto"/>
        <w:ind w:firstLine="482" w:firstLineChars="200"/>
        <w:jc w:val="left"/>
        <w:rPr>
          <w:rFonts w:ascii="仿宋" w:hAnsi="仿宋" w:eastAsia="仿宋" w:cs="仿宋"/>
          <w:bCs/>
          <w:color w:val="auto"/>
          <w:kern w:val="0"/>
          <w:sz w:val="24"/>
          <w:lang w:val="zh-CN" w:bidi="zh-CN"/>
        </w:rPr>
      </w:pPr>
      <w:bookmarkStart w:id="792" w:name="_Toc40909360"/>
      <w:r>
        <w:rPr>
          <w:rFonts w:hint="eastAsia" w:ascii="仿宋" w:hAnsi="仿宋" w:eastAsia="仿宋" w:cs="仿宋"/>
          <w:b/>
          <w:bCs/>
          <w:color w:val="auto"/>
          <w:sz w:val="24"/>
        </w:rPr>
        <w:t>1.1项目建设背景</w:t>
      </w:r>
      <w:bookmarkEnd w:id="792"/>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共中央《深化党和国家机构改革方案》中要求：（三十九）组建国家医疗保障局。医疗保险制度对于保障人民群众就医需求、减轻医药费用负担、提高健康水平有着重要作用。为完善统一的城乡居民基本医疗保险制度和大病保险制度，不断提高医疗保障水平，确保医保资金合理使用、安全可控，推进医疗、医保、医药“三医联动”改革，更好保障病有所医，将人力资源和社会保障部的城镇职工和城镇居民基本医疗保险、生育保险职责，国家卫生和计划生育委员会的新型农村合作医疗职责，国家发展和改革委员会的药品和医疗服务价格管理职责，民政部的医疗救助职责整合，组建国家医疗保障局，作为国务院直属机构。</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为加快推进医保信息化建设，国家医疗保障局印发《关于医疗保障信息化工作的指导意见》的通知（医保发〔2019〕1号），要求到“十三五”期末，初步建成标准统一、数据汇聚、规范协同的“内部管理、业务管理、生产经办、数据分析”四类系统组成的国家医疗保障信息化支撑体系，有效支撑全国医疗保障部门规范、高效、科学履职，支撑构建更加公平、可持续的医疗保障体系，在纵横一体、软硬协同的基础上，实现医疗保障信息化规范高效“大经办”、便捷可及“大服务”、智能精准“大治理”、融合共享“大协作”、在线可用“大数据”、安全可靠“大支撑”六大目标。</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海南省医疗保障局医疗保障信息平台建设遵循全国医疗保障信息化顶层设计和总体规划，依据全国统一的技术标准、业务标准、业务规范，打造医疗保障现代化支撑平台，助力自上而下医疗保障信息化“一盘棋”格局的形成，发挥信息化对医疗保障事业的支撑作用。</w:t>
      </w:r>
    </w:p>
    <w:p>
      <w:pPr>
        <w:autoSpaceDE w:val="0"/>
        <w:autoSpaceDN w:val="0"/>
        <w:spacing w:line="360" w:lineRule="auto"/>
        <w:jc w:val="left"/>
        <w:rPr>
          <w:rFonts w:ascii="仿宋" w:hAnsi="仿宋" w:eastAsia="仿宋" w:cs="仿宋"/>
          <w:b/>
          <w:bCs/>
          <w:color w:val="auto"/>
          <w:sz w:val="24"/>
        </w:rPr>
      </w:pPr>
      <w:bookmarkStart w:id="793" w:name="_Toc40909361"/>
      <w:r>
        <w:rPr>
          <w:rFonts w:hint="eastAsia" w:ascii="仿宋" w:hAnsi="仿宋" w:eastAsia="仿宋" w:cs="仿宋"/>
          <w:b/>
          <w:bCs/>
          <w:color w:val="auto"/>
          <w:sz w:val="24"/>
        </w:rPr>
        <w:t>2.项目建设目标</w:t>
      </w:r>
      <w:bookmarkEnd w:id="793"/>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习近平新时代中国特色社会主义思想为指导，全面贯彻党的十九大、十九届二中三中全会精神和2019年全国“两会”精神，认真落实全国医疗保障工作会议座谈会精神，严格遵循《国家医疗保障局医疗保障信息化工作指导意见》及《医疗保障信息平台建设指南》，坚持“千方百计保基本、始终做到可持续、回应社会解民忧、敢于担当推改革”，以医保为龙头带动“三医联动”改革，以信息化建设为抓手推动医保覆盖与医保控费，积极融入医疗保障信息化全国“一盘棋”格局，为逐步构建起全国医保便捷可及“大服务”、规范高效“大经办”、智能精准“大治理”、融合共享“大协作”、在线可用“大数据”、安全可靠“大支撑”信息化支撑体系添枝加叶。</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针对海南地区人口经济发展差异和老龄化严重的社会问题及农垦职工医疗保险基金缺口等历史遗留问题，本项目按照国家医保局标准全国统一、数据两级集中、平台分级部署、网络全面覆盖的医疗保障信息化建设要求，注重顶层设计、统一业务标准、打造基础平台、做好数据汇集、强化协同共享、增强网络安全。依托国家平台与海南省平台之间的协作联通，使用国家下达的中台服务，贯彻表层应用能用即用，国家系统中未设计的表层应用，采用国家统一的中台进行组装的整体思路，建设海南省统一的医疗保障信息平台，实现医保全省统筹统收统支“九统一”的重点工作任务，即： 统一行政管理和稽查执法，统一医保发展规划，统一医保基金收缴，统一医保待遇政策，统一医保支付范围，统一医保基金管理，统一医保经办规程，统一医保定点机构，统一医保信息系统。进一步完善医疗保障制度体系，提升医疗保障基金监管，强化医保支付、深化医药服务价格改革、优化医疗保障管理服务水平，探索常住外籍人员医疗保障办法。发挥信息化对医疗保障事业的支撑作用。解决群众反映强烈的突出问题，不断提高人民群众医疗保障获利感、幸福感和安全感，助力提高医改整体效能同时促进海南自由贸易试验区快速建设和实施健康中国战略。</w:t>
      </w:r>
    </w:p>
    <w:p>
      <w:pPr>
        <w:autoSpaceDE w:val="0"/>
        <w:autoSpaceDN w:val="0"/>
        <w:spacing w:line="360" w:lineRule="auto"/>
        <w:jc w:val="left"/>
        <w:rPr>
          <w:rFonts w:ascii="仿宋" w:hAnsi="仿宋" w:eastAsia="仿宋" w:cs="仿宋"/>
          <w:b/>
          <w:bCs/>
          <w:color w:val="auto"/>
          <w:sz w:val="24"/>
        </w:rPr>
      </w:pPr>
      <w:bookmarkStart w:id="794" w:name="_Toc40909362"/>
      <w:r>
        <w:rPr>
          <w:rFonts w:hint="eastAsia" w:ascii="仿宋" w:hAnsi="仿宋" w:eastAsia="仿宋" w:cs="仿宋"/>
          <w:b/>
          <w:bCs/>
          <w:color w:val="auto"/>
          <w:sz w:val="24"/>
        </w:rPr>
        <w:t>3.项目建设内容</w:t>
      </w:r>
      <w:bookmarkEnd w:id="794"/>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海南省医疗保障信息平台遵循统一设计、统一标准、统一技术架构、统一业务规范，支持横向纵向业务协同、信息共享。依据医疗保障信息平台建设指南，结合海南省医疗保障局实际情况，本期建设内容如下：</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3.1基础设施建设</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云基础设施建设：本项目由政务云提供计算资源、存储资源、网络资源、安全资源等各项云基础设施，实现计算资源、存储资源、网络资源的动态管理和资源调配。通过云基础设施为上层应用提供基础设施支撑。依托政务云建设医疗保障局双数据中心，实现业务系统应用级容灾，同时在数据中心本地建设备份系统。</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网络系统建设：依托电子政务外网、互联网，建设双数据中心主备容灾模式的网络系统，两数据中心之间以光纤链路进行交互。本项目网络架构采用spine-leaf结构同时结合VxLAN+SDN技术对整个网络进行管理和配置。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医保指挥中心建设：建设医保指挥中心，配置大屏、视频会议系统、音视频、网络接入及安全、数字时钟、视频会议室改造、供配电系统、操作台扩声系统、大屏显示系统、中控系统、计算机网络系统、综合布线系统等设备。</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3.2 DaaS层建设</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Daas层主要承载着各个业务系统的基础业务数据库，各个业务系统的生产数据全部存储在业务系统的生产数据库中，并通过镜像的方式同步到交换库中，从而通过交换库实现纵向与国家医疗保障信息平台交换库的数据交换，横向基于海南省数据交换平台或直连方式实现与海南省自然人库、法人库、电子证照库、地理信息库以及公安、民政、人社、卫健、扶贫、市场监督管理局等相关省级局办委之间的数据共享和交换。</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3.3 HSAF框架及云支撑服务</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海南省医疗保障信息平台建设依托“基于统一的技术框架”，包括HSAF（医疗保障应用框架）适配框架以及包括云服务总线、分布式数据库访问服务、分布式缓存在内的多种云支撑服务组件。云支撑服务具体包括分布式服务、消息队列服务、分布式缓存服务、分布式日志服务、分布式数据访问服务、关系型数据库、非结构化存储服务、分布式离线计算、分布式实时计算引擎、流计算引擎和云服务总线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3.4政务中台建设</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政务中台包括业务中台和数据中台。</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业务中台包括国家统一下发的分别部署在海南省医疗保障平台核心业务区和公共服务区的25个业务中心。其中省内核心业务区的业务中心包括基本信息中心、用户中心、统一认证中心、政策中心、参保中心、征缴中心、结算中心、电子凭证中心、电子档案中心、消息中心、风控中心、工作流引擎中心、报表中心和招采中心共14个业务中心。公共服务区业务中心包括统一认证中心、用户中心、服务事项中心、CMS中心、咨询中心、电子凭证中心、电子票据中心、消息推送中心、知识库中心、位置管理中心和个人服务中心共11个业务中心。</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数据中台基于数据资源池提供数据综合治理服务和数据计算服务。数据综合治理服务通过数据可视化、数据管理、数据开发等手段构建平台数据综合治理服务能力，实现数据的深度综合治理。数据计算服务通过构建各类数据计算服务能力，搭建机器学习、深度学习、分析预测、决策、计算框架等计算服务能力，为上层业务系统进行数据处理、数据计算、数据分析提供能力保障。</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中台建设内容将根据国家医保局的最新成果进行修订。</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3.5应用系统建设</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应用系统包括核心业务区的5个子系统和公共服务区的1个子系统。</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（1）核心业务区建设应用支撑子系统、业务经办子系统、支付方式管理子系统、综合管控子系统、智慧决策子系统等5个子系统。</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应用支撑子系统包括：内部统一门户模块、基础信息管理模块、专家库模块。</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业务经办子系统包括：医保基础业务模块、医疗救助模块、医保扶贫、跨省异地就医管理模块、医疗服务价格管理模块、医保结算收费平台模块。</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支付方式管理子系统做到支付参数与支付执行一致，实现支付方式的统一管理，包括对参保人支付和对医药机构支付两个方面。</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综合管控子系统包括：基金运行及审计监管模块、医疗保障智能监管模块、医保管家模块、内控管理模块、全生命周期档案管理模块。</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智慧决策子系统包括：信用评价管理模块和宏观决策大数据应用模块。</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（2）公共服务区建设公共服务子系统，包括：公共服务模块和医保药品和医用耗材招采管理模块。</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3.6访问入口建设</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核心业务区的访问入口主要包括网站和智能终端。对于实现有线连接的经办机构、定点医疗机构使用网站接入，对于电子政务外网暂时无法覆盖的经办机构，暂时未能实现有线接入的定点医疗机构使用VPDN+4G+智能终端的方式接入。</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公共服务区的访问入口支持多种渠道的访问，具体包括国家平台访问入口、海南省政务服务网访问入口、医保局网站、自助终端、小程序、互联网企业等第三方渠道等。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3.7标准规范体系</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次海南省医疗保障信息平台建设基于国家统一制定的国家医疗保障信息平台标准体系，结合海南省电子政务外网的接入标准规范、海南省人民政府政务服务中心的接入标准规范、海南省政务服务网等各级各类平台的接入标准规范要求进行建设。实现国家医疗保障信息平台总体标准标准规范体系、总体标准标准业务术语、系统建设标准、系统集成技术标准、网络安全开发标准、信息资源标准、外部系统交互规范、中台管理规范和数据归集标准、业务流程规范、业务管理规范和业务编码标准等12类标准规范的落地。在本项目建设过程中不涉及具体标准规范建设。</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3.8安全运维体系</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项目参考网络安全法、网络安全等级保护标准等国内相关安全标准并借鉴部署于云平台上信息系统安全防护的最佳实践经验，通过网络安全管理体系、网络安全技术体系和网络安全运营体系的建设，实现风险可控的建设目标。同时，制定运维体系保证信息化业务系统及硬件设施后期的安全稳定运行。</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3.9其他自助终端采购</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包括医保自助一体机，在省本级医保局及每个市县配置；医保高拍仪，在每个市县医保局、社保局配置。</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3.10数据迁移</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数据迁移是指对原医保相关系统中的医保数据，经过数据整理、环境准备、数据分析转换、数据同步、数据验证与测试等操作，实现原系统中的医保数据在医保新建系统中得到复用的过程。</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数据迁移包括多项工作：旧系统数据字典整理、旧系统数据质量分析、新系统数据字典整理、新旧系统数据差异分析、建立新旧系统数据之间的映射关系、开发部署数据转换与迁移工具/程序/脚本、制定数据转换与迁移的实施方案和应急方案、按方案实施旧系统数据到新系统的转换与迁移工作、检查转换与迁移后数据的完整性与正确性。</w:t>
      </w:r>
    </w:p>
    <w:p>
      <w:pPr>
        <w:autoSpaceDE w:val="0"/>
        <w:autoSpaceDN w:val="0"/>
        <w:spacing w:line="360" w:lineRule="auto"/>
        <w:jc w:val="left"/>
        <w:rPr>
          <w:rFonts w:ascii="仿宋" w:hAnsi="仿宋" w:eastAsia="仿宋" w:cs="仿宋"/>
          <w:b/>
          <w:bCs/>
          <w:color w:val="auto"/>
          <w:sz w:val="24"/>
        </w:rPr>
      </w:pPr>
      <w:bookmarkStart w:id="795" w:name="_Toc40909363"/>
      <w:r>
        <w:rPr>
          <w:rFonts w:hint="eastAsia" w:ascii="仿宋" w:hAnsi="仿宋" w:eastAsia="仿宋" w:cs="仿宋"/>
          <w:b/>
          <w:bCs/>
          <w:color w:val="auto"/>
          <w:sz w:val="24"/>
        </w:rPr>
        <w:t>4.平台总体架构</w:t>
      </w:r>
      <w:bookmarkEnd w:id="795"/>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海南省医疗保障信息平台严格遵照国家医疗保障信息平台建设指南的相关约束与要求，依照国家医疗保障信息平台的统一设计原则，贯彻使用全国统一的标准规范体系和中台服务，依托全国统一的技术体系和架构建设海南全新的医疗保障信息平台。</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平台总体架构划分为公共服务区和核心业务区，其中核心业务区分为生产区、交换区和大数据区。</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平台总体架构如下：</w:t>
      </w:r>
    </w:p>
    <w:p>
      <w:pPr>
        <w:tabs>
          <w:tab w:val="left" w:pos="1301"/>
        </w:tabs>
        <w:autoSpaceDE w:val="0"/>
        <w:autoSpaceDN w:val="0"/>
        <w:spacing w:line="360" w:lineRule="auto"/>
        <w:ind w:right="318" w:firstLine="480" w:firstLineChars="200"/>
        <w:rPr>
          <w:rFonts w:ascii="仿宋" w:hAnsi="仿宋" w:eastAsia="仿宋" w:cs="仿宋"/>
          <w:color w:val="auto"/>
          <w:sz w:val="24"/>
        </w:rPr>
      </w:pPr>
      <w:r>
        <w:rPr>
          <w:rFonts w:hint="eastAsia" w:ascii="仿宋" w:hAnsi="仿宋" w:eastAsia="仿宋" w:cs="仿宋"/>
          <w:color w:val="auto"/>
          <w:sz w:val="24"/>
        </w:rPr>
        <w:drawing>
          <wp:inline distT="0" distB="0" distL="114300" distR="114300">
            <wp:extent cx="5209540" cy="2837180"/>
            <wp:effectExtent l="0" t="0" r="10160" b="127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4"/>
                    <a:stretch>
                      <a:fillRect/>
                    </a:stretch>
                  </pic:blipFill>
                  <pic:spPr>
                    <a:xfrm>
                      <a:off x="0" y="0"/>
                      <a:ext cx="5209540" cy="2837180"/>
                    </a:xfrm>
                    <a:prstGeom prst="rect">
                      <a:avLst/>
                    </a:prstGeom>
                    <a:noFill/>
                    <a:ln>
                      <a:noFill/>
                    </a:ln>
                  </pic:spPr>
                </pic:pic>
              </a:graphicData>
            </a:graphic>
          </wp:inline>
        </w:drawing>
      </w:r>
    </w:p>
    <w:p>
      <w:pPr>
        <w:spacing w:line="360" w:lineRule="auto"/>
        <w:ind w:firstLine="480"/>
        <w:jc w:val="center"/>
        <w:rPr>
          <w:rFonts w:ascii="仿宋" w:hAnsi="仿宋" w:eastAsia="仿宋" w:cs="仿宋"/>
          <w:b/>
          <w:color w:val="auto"/>
          <w:sz w:val="24"/>
        </w:rPr>
      </w:pPr>
      <w:r>
        <w:rPr>
          <w:rFonts w:hint="eastAsia" w:ascii="仿宋" w:hAnsi="仿宋" w:eastAsia="仿宋" w:cs="仿宋"/>
          <w:b/>
          <w:color w:val="auto"/>
          <w:sz w:val="24"/>
        </w:rPr>
        <w:t>图：平台总体架构</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（1）展现层</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核心业务区入口：通过内部统一门户面向全省工作人员提供统一的核心业务区系统访问入口，实现全省人员在医疗保障信息平台的单点登录和统一身份认证，同时通过内部统一门户接收医疗保障信息平台的消息提醒并处理自身日常工作的各类待办事务。</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公共服务区入口：通过个人网厅、企业网厅、APP及自助终端等面向执业人员、医疗机构、社会公众和企业提供医保业务的办理、查询、咨询、监督等渠道；药品和医用耗材招采管理模块为药品和医用耗材招采提供访问入口。</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（2）应用层</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核心业务区中的生产区应用系统：包括业务经办子系统、综合管控子系统、支付方式管理子系统、应用支撑子系统。</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核心业务区中的大数据区应用系统：智慧决策子系统，通过大数据服务及在线分析数据库、离线分析数据库作为数据应用场景的支撑。</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公共服务区中的应用系统：公共服务子系统，包括公共服务模块和药品和医用耗材招采两个模块。</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（3）政务中台层</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政务中台包括业务中台和数据中台，对应用系统提供服务逻辑支撑。核心业务中台抽取各系统间可共享、可复用的业务能力，形成共享业务中心。应用层的各应用系统通过调用核心业务中台所提供的各业务中心中台服务，并要应用层进行逻辑组装和业务实现。最大程度地提升系统间协作效率，实现核心业务系统高弹性、高容错的技术特点。同时，服务层提供了数据中台，实现数据计算和分析服务，并且完成数据的综合治理。</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数据中台基于数据资源池提供数据综合治理服务和数据计算服务。数据综合治理服务通过数据可视化、数据管理、数据开发等手段构建平台数据综合治理服务能力，实现数据的深度综合治理。数据计算服务通过构建各类数据计算服务能力，搭建机器学习、深度学习、分析预测、决策、计算框架等计算服务能力，为上层业务系统进行数据处理、数据计算、数据分析提供能力保障。</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核心业务区数据中台包括了两大能力：</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1）数据综合治理能力，完成数据的整合、转换、清洗及数据质量处理，并实现专题数据的生产能力；</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2）大数据价值挖掘能力，通过定义数据应用场景，构建模型，并进行训练和计算，挖掘大数据价值，为新业务及政策优化提供数据依据。</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（4）支撑层</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支撑层包括了核心业务区中的交换区所提供的共享交换支撑平台能力，并且提供适配器，以及可加载的第三方分布式中间件、工具、产品或应用。</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核心业务区中交换区：</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交换区主要基于数据中台支撑数据交换库以及共享交换平台的建设，以实现海南医保平台横向与海南省数据交换平台和纵向与国家局平台的数据共享与交换。</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适配器：</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适配器包括核心业务区适配器和公共服务区适配器，是为了实现分布式中间件与产品服务与业务中台之间的技术解藕而建立，负责服务第三方分布式中间件、工具、产品或应用的注册、对象引用的创建和解释、对象实现的激活和去活以及客户请求的分发等。</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（5）分布式中间件及产品服务</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为上层应用系统提供各类基础能力支持，包括：</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1）业务支撑类服务组件</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业务支撑服务组件是针对医疗保障信息平台所需的各项服务能力。业务支撑服务组件所包含用于进行数据交换的业务网关、用于进行消息接收的即时消息、用于进行对账操作的对账服务组件等。</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2）基础服务支撑组件</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基础服务支撑组件是通过整合系统运行时所需的各项服务能力提供统一的功能服务。基础服务支撑组件提供的基础服务功能包括数据采集、二维码管理、站内消息、邮件服务、生物识别和密码管理。</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3）中间件</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中间件是一种独立的系统软件或服务程序，分布式应用软件借助中间件在不同的技术之间共享资源。中间件包括业务通用服务组件、大数据分析组件。</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（6）基础设施层</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构建计算、存储、网络资源池，提供计算服务、存储服务和网络服务。</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（7）安全运维体系</w:t>
      </w:r>
    </w:p>
    <w:p>
      <w:pPr>
        <w:widowControl/>
        <w:adjustRightInd w:val="0"/>
        <w:spacing w:line="360" w:lineRule="auto"/>
        <w:ind w:firstLine="480" w:firstLineChars="200"/>
        <w:jc w:val="left"/>
        <w:textAlignment w:val="baseline"/>
        <w:rPr>
          <w:rFonts w:ascii="仿宋" w:hAnsi="仿宋" w:eastAsia="仿宋" w:cs="仿宋"/>
          <w:bCs/>
          <w:color w:val="auto"/>
          <w:kern w:val="0"/>
          <w:sz w:val="24"/>
          <w:lang w:val="zh-CN" w:bidi="zh-CN"/>
        </w:rPr>
      </w:pPr>
      <w:r>
        <w:rPr>
          <w:rFonts w:hint="eastAsia" w:ascii="仿宋" w:hAnsi="仿宋" w:eastAsia="仿宋" w:cs="仿宋"/>
          <w:bCs/>
          <w:color w:val="auto"/>
          <w:kern w:val="0"/>
          <w:sz w:val="24"/>
        </w:rPr>
        <w:t>针对医疗保障信息平台进行安全防护体系建设，并制定相关信息化标准体系指导信息化整体项目的推进工作，同时制定运维体系保证信息化业务系统及硬件设施后期的安全稳定运行。其中安全防护体系内容包括网络安全技术体系、网络安全管理体系和网络安全运营体系；运维管理体系主要包括运维管理平台、运维服务体系、运维组织体系、运维管理制度体系、运维管理考核指标。</w:t>
      </w:r>
    </w:p>
    <w:p>
      <w:pPr>
        <w:autoSpaceDE w:val="0"/>
        <w:autoSpaceDN w:val="0"/>
        <w:spacing w:line="360" w:lineRule="auto"/>
        <w:jc w:val="left"/>
        <w:rPr>
          <w:rFonts w:ascii="仿宋" w:hAnsi="仿宋" w:eastAsia="仿宋" w:cs="仿宋"/>
          <w:b/>
          <w:bCs/>
          <w:color w:val="auto"/>
          <w:sz w:val="24"/>
        </w:rPr>
      </w:pPr>
      <w:bookmarkStart w:id="796" w:name="_Toc40909364"/>
      <w:r>
        <w:rPr>
          <w:rFonts w:hint="eastAsia" w:ascii="仿宋" w:hAnsi="仿宋" w:eastAsia="仿宋" w:cs="仿宋"/>
          <w:b/>
          <w:bCs/>
          <w:color w:val="auto"/>
          <w:sz w:val="24"/>
        </w:rPr>
        <w:t>5.安全等级保护测评服务内容</w:t>
      </w:r>
      <w:bookmarkEnd w:id="796"/>
    </w:p>
    <w:p>
      <w:pPr>
        <w:autoSpaceDE w:val="0"/>
        <w:autoSpaceDN w:val="0"/>
        <w:spacing w:line="360" w:lineRule="auto"/>
        <w:ind w:firstLine="482" w:firstLineChars="200"/>
        <w:jc w:val="left"/>
        <w:rPr>
          <w:rFonts w:ascii="仿宋" w:hAnsi="仿宋" w:eastAsia="仿宋" w:cs="仿宋"/>
          <w:b/>
          <w:bCs/>
          <w:color w:val="auto"/>
          <w:sz w:val="24"/>
        </w:rPr>
      </w:pPr>
      <w:bookmarkStart w:id="797" w:name="_Toc40909365"/>
      <w:r>
        <w:rPr>
          <w:rFonts w:hint="eastAsia" w:ascii="仿宋" w:hAnsi="仿宋" w:eastAsia="仿宋" w:cs="仿宋"/>
          <w:b/>
          <w:bCs/>
          <w:color w:val="auto"/>
          <w:sz w:val="24"/>
        </w:rPr>
        <w:t>5.1服务内容</w:t>
      </w:r>
      <w:bookmarkEnd w:id="797"/>
    </w:p>
    <w:p>
      <w:pPr>
        <w:spacing w:line="360" w:lineRule="auto"/>
        <w:rPr>
          <w:rFonts w:ascii="仿宋" w:hAnsi="仿宋" w:eastAsia="仿宋" w:cs="仿宋"/>
          <w:color w:val="auto"/>
          <w:sz w:val="24"/>
        </w:rPr>
      </w:pPr>
      <w:r>
        <w:rPr>
          <w:rFonts w:hint="eastAsia" w:ascii="仿宋" w:hAnsi="仿宋" w:eastAsia="仿宋" w:cs="仿宋"/>
          <w:color w:val="auto"/>
          <w:sz w:val="24"/>
        </w:rPr>
        <w:t>（1）信息系统安全等级保护测评</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 根据《信息安全技术网络安全等级保护基本要求》（GB/T 22239一2019）的相关法律和技术标准要求，对海南省医疗保障信息平台内的所有系统进行安全等级保护测评工作。</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具体内容应包括：</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海南省医疗保障信息平台内的所有系统进行安全等级保护测评。测评内容包括物理安全、网络安全、主机安全、应用安全、数据安全及备份、安全管理。客观地分析这些信息系统安全保护现状和信息安全等级保护基本要求之间的差距。</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2）协助招标方进一步完善等级保护管理体系。根据《信息安全等级保护管理办法》和《信息安全技术网络安全等级保护基本要求》，结合测评的结果，协助招标方进一步完善信息安全等级保护管理体系。</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3）协助招标方进一步完善等级保护安全技术措施。结合等级保护测评报告提出的安全防护现状与等级保护基本要求之间的差距，明确安全需求，设计符合相应等级要求的信息系统安全技术建设整改方案。</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4）完成测评备案工作。在完成上述信息系统安全等级保护测评工作的基础上，提交这些系统的测评报告至公安局等保办，最终完成测评备案工作。</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5）对测评过程检测出来的高危漏洞，须提供有效的解决方案并帮助相应系统的管理员完成整改。对于确认无法完成的整改，须提供书面证明。</w:t>
      </w:r>
    </w:p>
    <w:p>
      <w:pPr>
        <w:widowControl/>
        <w:spacing w:line="360" w:lineRule="auto"/>
        <w:ind w:firstLine="200"/>
        <w:jc w:val="left"/>
        <w:rPr>
          <w:rFonts w:ascii="仿宋" w:hAnsi="仿宋" w:eastAsia="仿宋" w:cs="仿宋"/>
          <w:color w:val="auto"/>
          <w:sz w:val="24"/>
        </w:rPr>
      </w:pPr>
      <w:r>
        <w:rPr>
          <w:rFonts w:hint="eastAsia" w:ascii="仿宋" w:hAnsi="仿宋" w:eastAsia="仿宋" w:cs="仿宋"/>
          <w:color w:val="auto"/>
          <w:sz w:val="24"/>
        </w:rPr>
        <w:t>（2）其他工作</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1）利用等级保护测评过程，由中标方对招标方工作人员进行相关的培训，包含但不限于工具的使用、渗透测试技术等。</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2）协助招标方完成对其他指定的重要信息系统基于等级保护的要求作必要的安全检测与评估。这些系统经整改完成后，投标方须承认该系统已通过等级保护测评企业主持的等级保护测评。</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3）投标方须提供完整方案。</w:t>
      </w:r>
    </w:p>
    <w:p>
      <w:pPr>
        <w:autoSpaceDE w:val="0"/>
        <w:autoSpaceDN w:val="0"/>
        <w:spacing w:line="360" w:lineRule="auto"/>
        <w:ind w:firstLine="482" w:firstLineChars="200"/>
        <w:jc w:val="left"/>
        <w:rPr>
          <w:rFonts w:ascii="仿宋" w:hAnsi="仿宋" w:eastAsia="仿宋" w:cs="仿宋"/>
          <w:b/>
          <w:bCs/>
          <w:color w:val="auto"/>
          <w:sz w:val="24"/>
        </w:rPr>
      </w:pPr>
      <w:bookmarkStart w:id="798" w:name="_Toc40909367"/>
      <w:r>
        <w:rPr>
          <w:rFonts w:hint="eastAsia" w:ascii="仿宋" w:hAnsi="仿宋" w:eastAsia="仿宋" w:cs="仿宋"/>
          <w:b/>
          <w:bCs/>
          <w:color w:val="auto"/>
          <w:sz w:val="24"/>
        </w:rPr>
        <w:t>5.2项目管理要求</w:t>
      </w:r>
      <w:bookmarkEnd w:id="798"/>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中标单位需提供详细的项目管理方案，应配备1个独立的项目管理小组，提供项目团队人员安排、项目进度安排、项目关键点控制计划与方案、项目安全控制计划与方案、监理软硬件厂商，确保项目顺利实施。中标单位负责在日常工作中整理各类监理相关资料。</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中标单位为本包投入技术人员不少于5人，实施期间提供现场不少于3人的项目实施团队（包含1名项目经理），该团队的核心技术人员具备安全等级保护测评经验。中标单位应承诺提供现场实施服务，办公场地由中标单位自行解决。</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（1）项目团队要求</w:t>
      </w:r>
    </w:p>
    <w:p>
      <w:pPr>
        <w:tabs>
          <w:tab w:val="left" w:pos="0"/>
        </w:tabs>
        <w:spacing w:line="360" w:lineRule="auto"/>
        <w:ind w:firstLine="482"/>
        <w:rPr>
          <w:rFonts w:ascii="仿宋" w:hAnsi="仿宋" w:eastAsia="仿宋" w:cs="仿宋"/>
          <w:color w:val="auto"/>
          <w:sz w:val="24"/>
        </w:rPr>
      </w:pPr>
      <w:r>
        <w:rPr>
          <w:rFonts w:hint="eastAsia" w:ascii="仿宋" w:hAnsi="仿宋" w:eastAsia="仿宋" w:cs="仿宋"/>
          <w:color w:val="auto"/>
          <w:sz w:val="24"/>
        </w:rPr>
        <w:t>中标单位应成立满足本项目工作需要的项目组。项目组由项目经理、测评工程师（不少于3人）组成的不少于5人的项目服务团队。</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（2）人员稳定性保证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中标单位在项目实施中应保障项目组人员稳定，若有替换，必须与招标方协商，未经甲方同意，人员变动扣除项目1%/人，人员超过总人数10%，甲方有权终止项目。项目组人员可根据工程建设不同阶段的工作需要进行调配。项目组人员必须是中标单位本单位正式员工。</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（3）人员工作经验保证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中标单位要建立实施该项目的组织架构，中标单位确定的项目经理需具有高级等保测评师资质证书，项目经理不得在项目建设期间同时担任其他项目团队工作。</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中标单位应能够提供经验丰富的项目实施队伍参与此项目的实施。</w:t>
      </w:r>
    </w:p>
    <w:p>
      <w:pPr>
        <w:widowControl/>
        <w:spacing w:line="360" w:lineRule="auto"/>
        <w:ind w:firstLine="436" w:firstLineChars="182"/>
        <w:jc w:val="left"/>
        <w:rPr>
          <w:rFonts w:ascii="仿宋" w:hAnsi="仿宋" w:eastAsia="仿宋" w:cs="仿宋"/>
          <w:color w:val="auto"/>
          <w:sz w:val="24"/>
        </w:rPr>
      </w:pPr>
      <w:r>
        <w:rPr>
          <w:rFonts w:hint="eastAsia" w:ascii="仿宋" w:hAnsi="仿宋" w:eastAsia="仿宋" w:cs="仿宋"/>
          <w:color w:val="auto"/>
          <w:sz w:val="24"/>
        </w:rPr>
        <w:t>（4）项目工期：自签订合同之日起，至最终完成测评工作并提交测试报告</w:t>
      </w:r>
    </w:p>
    <w:p>
      <w:pPr>
        <w:tabs>
          <w:tab w:val="left" w:pos="640"/>
        </w:tabs>
        <w:autoSpaceDE w:val="0"/>
        <w:autoSpaceDN w:val="0"/>
        <w:spacing w:line="360" w:lineRule="auto"/>
        <w:ind w:left="420" w:hanging="420"/>
        <w:jc w:val="left"/>
        <w:rPr>
          <w:rFonts w:ascii="仿宋" w:hAnsi="仿宋" w:eastAsia="仿宋" w:cs="仿宋"/>
          <w:b/>
          <w:bCs/>
          <w:color w:val="auto"/>
          <w:sz w:val="24"/>
        </w:rPr>
      </w:pPr>
      <w:bookmarkStart w:id="799" w:name="_Toc40909368"/>
      <w:r>
        <w:rPr>
          <w:rFonts w:hint="eastAsia" w:ascii="仿宋" w:hAnsi="仿宋" w:eastAsia="仿宋" w:cs="仿宋"/>
          <w:b/>
          <w:bCs/>
          <w:color w:val="auto"/>
          <w:sz w:val="24"/>
        </w:rPr>
        <w:t>6.保密要求</w:t>
      </w:r>
      <w:bookmarkEnd w:id="799"/>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中标单位(含项目组所有成员)必须对项目技术文件以及由招标人提供的所有内部资料、技术文档、数据和信息予以保密。中标单位必须与招标人签订保密协议并严格遵守，未经招标人书面许可，中标单位不得以任何形式向第三方透露本项目标书以及本项目的任何内容。</w:t>
      </w:r>
    </w:p>
    <w:p>
      <w:pPr>
        <w:tabs>
          <w:tab w:val="left" w:pos="640"/>
        </w:tabs>
        <w:autoSpaceDE w:val="0"/>
        <w:autoSpaceDN w:val="0"/>
        <w:spacing w:line="360" w:lineRule="auto"/>
        <w:ind w:left="420" w:hanging="420"/>
        <w:jc w:val="left"/>
        <w:rPr>
          <w:rFonts w:ascii="仿宋" w:hAnsi="仿宋" w:eastAsia="仿宋" w:cs="仿宋"/>
          <w:b/>
          <w:bCs/>
          <w:color w:val="auto"/>
          <w:sz w:val="24"/>
        </w:rPr>
      </w:pPr>
      <w:bookmarkStart w:id="800" w:name="_Toc40909369"/>
      <w:r>
        <w:rPr>
          <w:rFonts w:hint="eastAsia" w:ascii="仿宋" w:hAnsi="仿宋" w:eastAsia="仿宋" w:cs="仿宋"/>
          <w:b/>
          <w:bCs/>
          <w:color w:val="auto"/>
          <w:sz w:val="24"/>
        </w:rPr>
        <w:t>7.其它要求</w:t>
      </w:r>
      <w:bookmarkEnd w:id="800"/>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（1）投标方需承诺：</w:t>
      </w:r>
      <w:r>
        <w:rPr>
          <w:rFonts w:hint="eastAsia" w:ascii="仿宋" w:hAnsi="仿宋" w:eastAsia="仿宋" w:cs="仿宋"/>
          <w:bCs/>
          <w:color w:val="auto"/>
          <w:spacing w:val="-10"/>
          <w:kern w:val="0"/>
          <w:sz w:val="24"/>
        </w:rPr>
        <w:t>如投标单位在海南省无分公司或办事处，须承诺中标后在海南省注册分公司或办事处，办公地址须在海南省医疗保障局周边半径2公里范围内。</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（2）当招标方有新需求，而本文又未包括或与本文不符时，则应符合招标方新需求；对于招标方尚未有标准的，而本文又未提及的部分，中标单位提出其标准，留待双方认可后执行。</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（3）中标单位应确保其技术建议的可行性以及所提供服务和产品的完整性，若出现由于中标单位所提供的服务和产品不全面而导致系统功能无法实现或不能完全实现，由中标单位及时无偿补足，并负全部责任。</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4）投标方应答应真实、客观，如果发现应答与实际情况不符或系统初验后6个月仍达不到验收要求，则招标方有权取消合同、无条件收回已付合同款、并向投标方追加全部合同款额度的15%的罚款和全部合同款额度的银行同期商业贷款利息。</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（5）投标方承诺承担驻场工程师就餐和相关差旅费用，并提供驻场工程师办公电脑、打印机等设备。</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rPr>
        <w:t>（6）本项目建设内容、需求若有变化，与本文不符的，则按照招标方与投标方友好协商修订为准。</w:t>
      </w:r>
    </w:p>
    <w:p>
      <w:pPr>
        <w:widowControl/>
        <w:adjustRightInd w:val="0"/>
        <w:spacing w:line="360" w:lineRule="auto"/>
        <w:ind w:firstLine="480" w:firstLineChars="200"/>
        <w:jc w:val="left"/>
        <w:textAlignment w:val="baseline"/>
        <w:rPr>
          <w:rFonts w:ascii="仿宋" w:hAnsi="仿宋" w:eastAsia="仿宋" w:cs="仿宋"/>
          <w:bCs/>
          <w:color w:val="auto"/>
          <w:kern w:val="0"/>
          <w:sz w:val="24"/>
        </w:rPr>
      </w:pPr>
      <w:r>
        <w:rPr>
          <w:rFonts w:hint="eastAsia" w:ascii="仿宋" w:hAnsi="仿宋" w:eastAsia="仿宋" w:cs="仿宋"/>
          <w:bCs/>
          <w:color w:val="auto"/>
          <w:kern w:val="0"/>
          <w:sz w:val="24"/>
          <w:lang w:val="zh-CN"/>
        </w:rPr>
        <w:t>（</w:t>
      </w:r>
      <w:r>
        <w:rPr>
          <w:rFonts w:hint="eastAsia" w:ascii="仿宋" w:hAnsi="仿宋" w:eastAsia="仿宋" w:cs="仿宋"/>
          <w:bCs/>
          <w:color w:val="auto"/>
          <w:kern w:val="0"/>
          <w:sz w:val="24"/>
        </w:rPr>
        <w:t>7</w:t>
      </w:r>
      <w:r>
        <w:rPr>
          <w:rFonts w:hint="eastAsia" w:ascii="仿宋" w:hAnsi="仿宋" w:eastAsia="仿宋" w:cs="仿宋"/>
          <w:bCs/>
          <w:color w:val="auto"/>
          <w:kern w:val="0"/>
          <w:sz w:val="24"/>
          <w:lang w:val="zh-CN"/>
        </w:rPr>
        <w:t>）要求投标人同时具有公安部授予的信息安全等级保护测评机构资质，在公安部等级保护联盟《全国信息安全等级保护测评机构推荐目录》中，并在人员、设备、资金等方面具有相应的能力。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imesNewRomanPSMT">
    <w:altName w:val="Times New Roman"/>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087" w:usb1="28AF4000" w:usb2="00000016" w:usb3="00000000" w:csb0="00100009" w:csb1="00000000"/>
  </w:font>
  <w:font w:name="MS Mincho">
    <w:altName w:val="Meiryo UI"/>
    <w:panose1 w:val="02020609040205080304"/>
    <w:charset w:val="80"/>
    <w:family w:val="modern"/>
    <w:pitch w:val="default"/>
    <w:sig w:usb0="00000000" w:usb1="00000000" w:usb2="00000010" w:usb3="00000000" w:csb0="0002009F" w:csb1="00000000"/>
  </w:font>
  <w:font w:name="Meiryo UI">
    <w:panose1 w:val="020B0604030504040204"/>
    <w:charset w:val="80"/>
    <w:family w:val="auto"/>
    <w:pitch w:val="default"/>
    <w:sig w:usb0="E10102FF" w:usb1="EAC7FFFF" w:usb2="00010012" w:usb3="00000000" w:csb0="6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ABDD1D"/>
    <w:multiLevelType w:val="singleLevel"/>
    <w:tmpl w:val="87ABDD1D"/>
    <w:lvl w:ilvl="0" w:tentative="0">
      <w:start w:val="1"/>
      <w:numFmt w:val="decimal"/>
      <w:lvlText w:val="%1)"/>
      <w:lvlJc w:val="left"/>
      <w:pPr>
        <w:ind w:left="425" w:hanging="425"/>
      </w:pPr>
      <w:rPr>
        <w:rFonts w:hint="default"/>
      </w:rPr>
    </w:lvl>
  </w:abstractNum>
  <w:abstractNum w:abstractNumId="1">
    <w:nsid w:val="8C59F2E3"/>
    <w:multiLevelType w:val="singleLevel"/>
    <w:tmpl w:val="8C59F2E3"/>
    <w:lvl w:ilvl="0" w:tentative="0">
      <w:start w:val="1"/>
      <w:numFmt w:val="decimal"/>
      <w:lvlText w:val="(%1)"/>
      <w:lvlJc w:val="left"/>
      <w:pPr>
        <w:ind w:left="425" w:hanging="425"/>
      </w:pPr>
      <w:rPr>
        <w:rFonts w:hint="default"/>
      </w:rPr>
    </w:lvl>
  </w:abstractNum>
  <w:abstractNum w:abstractNumId="2">
    <w:nsid w:val="9A91F3C1"/>
    <w:multiLevelType w:val="singleLevel"/>
    <w:tmpl w:val="9A91F3C1"/>
    <w:lvl w:ilvl="0" w:tentative="0">
      <w:start w:val="1"/>
      <w:numFmt w:val="decimal"/>
      <w:suff w:val="nothing"/>
      <w:lvlText w:val="%1、"/>
      <w:lvlJc w:val="left"/>
    </w:lvl>
  </w:abstractNum>
  <w:abstractNum w:abstractNumId="3">
    <w:nsid w:val="A93E01BD"/>
    <w:multiLevelType w:val="singleLevel"/>
    <w:tmpl w:val="A93E01BD"/>
    <w:lvl w:ilvl="0" w:tentative="0">
      <w:start w:val="1"/>
      <w:numFmt w:val="decimal"/>
      <w:lvlText w:val="(%1)"/>
      <w:lvlJc w:val="left"/>
      <w:pPr>
        <w:ind w:left="425" w:hanging="425"/>
      </w:pPr>
      <w:rPr>
        <w:rFonts w:hint="default"/>
      </w:rPr>
    </w:lvl>
  </w:abstractNum>
  <w:abstractNum w:abstractNumId="4">
    <w:nsid w:val="C14803FA"/>
    <w:multiLevelType w:val="singleLevel"/>
    <w:tmpl w:val="C14803FA"/>
    <w:lvl w:ilvl="0" w:tentative="0">
      <w:start w:val="1"/>
      <w:numFmt w:val="decimal"/>
      <w:lvlText w:val="(%1)"/>
      <w:lvlJc w:val="left"/>
      <w:pPr>
        <w:ind w:left="425" w:hanging="425"/>
      </w:pPr>
      <w:rPr>
        <w:rFonts w:hint="default"/>
      </w:rPr>
    </w:lvl>
  </w:abstractNum>
  <w:abstractNum w:abstractNumId="5">
    <w:nsid w:val="C1A27B57"/>
    <w:multiLevelType w:val="singleLevel"/>
    <w:tmpl w:val="C1A27B57"/>
    <w:lvl w:ilvl="0" w:tentative="0">
      <w:start w:val="1"/>
      <w:numFmt w:val="decimal"/>
      <w:lvlText w:val="%1."/>
      <w:lvlJc w:val="left"/>
      <w:pPr>
        <w:ind w:left="425" w:hanging="425"/>
      </w:pPr>
      <w:rPr>
        <w:rFonts w:hint="default"/>
      </w:rPr>
    </w:lvl>
  </w:abstractNum>
  <w:abstractNum w:abstractNumId="6">
    <w:nsid w:val="C63A8944"/>
    <w:multiLevelType w:val="singleLevel"/>
    <w:tmpl w:val="C63A8944"/>
    <w:lvl w:ilvl="0" w:tentative="0">
      <w:start w:val="1"/>
      <w:numFmt w:val="decimal"/>
      <w:lvlText w:val="%1)"/>
      <w:lvlJc w:val="left"/>
      <w:pPr>
        <w:ind w:left="425" w:hanging="425"/>
      </w:pPr>
      <w:rPr>
        <w:rFonts w:hint="default"/>
      </w:rPr>
    </w:lvl>
  </w:abstractNum>
  <w:abstractNum w:abstractNumId="7">
    <w:nsid w:val="C9C62D2A"/>
    <w:multiLevelType w:val="singleLevel"/>
    <w:tmpl w:val="C9C62D2A"/>
    <w:lvl w:ilvl="0" w:tentative="0">
      <w:start w:val="1"/>
      <w:numFmt w:val="decimal"/>
      <w:lvlText w:val="%1)"/>
      <w:lvlJc w:val="left"/>
      <w:pPr>
        <w:ind w:left="425" w:hanging="425"/>
      </w:pPr>
      <w:rPr>
        <w:rFonts w:hint="default"/>
      </w:rPr>
    </w:lvl>
  </w:abstractNum>
  <w:abstractNum w:abstractNumId="8">
    <w:nsid w:val="D394D460"/>
    <w:multiLevelType w:val="singleLevel"/>
    <w:tmpl w:val="D394D460"/>
    <w:lvl w:ilvl="0" w:tentative="0">
      <w:start w:val="1"/>
      <w:numFmt w:val="decimal"/>
      <w:lvlText w:val="%1)"/>
      <w:lvlJc w:val="left"/>
      <w:pPr>
        <w:ind w:left="425" w:hanging="425"/>
      </w:pPr>
      <w:rPr>
        <w:rFonts w:hint="default"/>
      </w:rPr>
    </w:lvl>
  </w:abstractNum>
  <w:abstractNum w:abstractNumId="9">
    <w:nsid w:val="E2DEB7D5"/>
    <w:multiLevelType w:val="singleLevel"/>
    <w:tmpl w:val="E2DEB7D5"/>
    <w:lvl w:ilvl="0" w:tentative="0">
      <w:start w:val="1"/>
      <w:numFmt w:val="decimal"/>
      <w:lvlText w:val="(%1)"/>
      <w:lvlJc w:val="left"/>
      <w:pPr>
        <w:ind w:left="425" w:hanging="425"/>
      </w:pPr>
      <w:rPr>
        <w:rFonts w:hint="default"/>
      </w:rPr>
    </w:lvl>
  </w:abstractNum>
  <w:abstractNum w:abstractNumId="10">
    <w:nsid w:val="F43B10F0"/>
    <w:multiLevelType w:val="singleLevel"/>
    <w:tmpl w:val="F43B10F0"/>
    <w:lvl w:ilvl="0" w:tentative="0">
      <w:start w:val="1"/>
      <w:numFmt w:val="decimal"/>
      <w:lvlText w:val="(%1)"/>
      <w:lvlJc w:val="left"/>
      <w:pPr>
        <w:ind w:left="425" w:hanging="425"/>
      </w:pPr>
      <w:rPr>
        <w:rFonts w:hint="default"/>
      </w:rPr>
    </w:lvl>
  </w:abstractNum>
  <w:abstractNum w:abstractNumId="11">
    <w:nsid w:val="F55D6F86"/>
    <w:multiLevelType w:val="singleLevel"/>
    <w:tmpl w:val="F55D6F86"/>
    <w:lvl w:ilvl="0" w:tentative="0">
      <w:start w:val="1"/>
      <w:numFmt w:val="decimal"/>
      <w:lvlText w:val="(%1)"/>
      <w:lvlJc w:val="left"/>
      <w:pPr>
        <w:ind w:left="425" w:hanging="425"/>
      </w:pPr>
      <w:rPr>
        <w:rFonts w:hint="default"/>
      </w:rPr>
    </w:lvl>
  </w:abstractNum>
  <w:abstractNum w:abstractNumId="12">
    <w:nsid w:val="023840A4"/>
    <w:multiLevelType w:val="multilevel"/>
    <w:tmpl w:val="023840A4"/>
    <w:lvl w:ilvl="0" w:tentative="0">
      <w:start w:val="1"/>
      <w:numFmt w:val="decimal"/>
      <w:lvlText w:val="%1."/>
      <w:lvlJc w:val="left"/>
      <w:pPr>
        <w:ind w:left="420" w:hanging="420"/>
      </w:pPr>
      <w:rPr>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4960B1E"/>
    <w:multiLevelType w:val="multilevel"/>
    <w:tmpl w:val="04960B1E"/>
    <w:lvl w:ilvl="0" w:tentative="0">
      <w:start w:val="2"/>
      <w:numFmt w:val="decimal"/>
      <w:lvlText w:val="（%1）"/>
      <w:lvlJc w:val="left"/>
      <w:pPr>
        <w:ind w:left="1080" w:hanging="720"/>
      </w:pPr>
      <w:rPr>
        <w:rFonts w:hint="default"/>
      </w:rPr>
    </w:lvl>
    <w:lvl w:ilvl="1" w:tentative="0">
      <w:start w:val="1"/>
      <w:numFmt w:val="decimal"/>
      <w:lvlText w:val="（%2）"/>
      <w:lvlJc w:val="left"/>
      <w:pPr>
        <w:ind w:left="1500" w:hanging="720"/>
      </w:pPr>
      <w:rPr>
        <w:rFonts w:hint="default"/>
      </w:r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4">
    <w:nsid w:val="05083871"/>
    <w:multiLevelType w:val="multilevel"/>
    <w:tmpl w:val="05083871"/>
    <w:lvl w:ilvl="0" w:tentative="0">
      <w:start w:val="1"/>
      <w:numFmt w:val="decimal"/>
      <w:lvlText w:val="（%1）"/>
      <w:lvlJc w:val="left"/>
      <w:pPr>
        <w:ind w:left="1064" w:hanging="360"/>
      </w:pPr>
      <w:rPr>
        <w:rFonts w:ascii="宋体" w:hAnsi="宋体" w:eastAsia="宋体" w:cs="Times New Roman"/>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5">
    <w:nsid w:val="05134F0C"/>
    <w:multiLevelType w:val="multilevel"/>
    <w:tmpl w:val="05134F0C"/>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6">
    <w:nsid w:val="062D657A"/>
    <w:multiLevelType w:val="singleLevel"/>
    <w:tmpl w:val="062D657A"/>
    <w:lvl w:ilvl="0" w:tentative="0">
      <w:start w:val="1"/>
      <w:numFmt w:val="decimal"/>
      <w:lvlText w:val="(%1)"/>
      <w:lvlJc w:val="left"/>
      <w:pPr>
        <w:ind w:left="425" w:hanging="425"/>
      </w:pPr>
      <w:rPr>
        <w:rFonts w:hint="default"/>
      </w:rPr>
    </w:lvl>
  </w:abstractNum>
  <w:abstractNum w:abstractNumId="17">
    <w:nsid w:val="06970B29"/>
    <w:multiLevelType w:val="multilevel"/>
    <w:tmpl w:val="06970B29"/>
    <w:lvl w:ilvl="0" w:tentative="0">
      <w:start w:val="1"/>
      <w:numFmt w:val="decimal"/>
      <w:lvlText w:val="%1）"/>
      <w:lvlJc w:val="left"/>
      <w:pPr>
        <w:ind w:left="1212" w:hanging="360"/>
      </w:pPr>
      <w:rPr>
        <w:rFonts w:hint="default"/>
      </w:rPr>
    </w:lvl>
    <w:lvl w:ilvl="1" w:tentative="0">
      <w:start w:val="1"/>
      <w:numFmt w:val="lowerLetter"/>
      <w:lvlText w:val="%2)"/>
      <w:lvlJc w:val="left"/>
      <w:pPr>
        <w:ind w:left="1692" w:hanging="420"/>
      </w:pPr>
    </w:lvl>
    <w:lvl w:ilvl="2" w:tentative="0">
      <w:start w:val="1"/>
      <w:numFmt w:val="lowerRoman"/>
      <w:lvlText w:val="%3."/>
      <w:lvlJc w:val="right"/>
      <w:pPr>
        <w:ind w:left="2112" w:hanging="420"/>
      </w:pPr>
    </w:lvl>
    <w:lvl w:ilvl="3" w:tentative="0">
      <w:start w:val="1"/>
      <w:numFmt w:val="decimal"/>
      <w:lvlText w:val="%4."/>
      <w:lvlJc w:val="left"/>
      <w:pPr>
        <w:ind w:left="2532" w:hanging="420"/>
      </w:pPr>
    </w:lvl>
    <w:lvl w:ilvl="4" w:tentative="0">
      <w:start w:val="1"/>
      <w:numFmt w:val="lowerLetter"/>
      <w:lvlText w:val="%5)"/>
      <w:lvlJc w:val="left"/>
      <w:pPr>
        <w:ind w:left="2952" w:hanging="420"/>
      </w:pPr>
    </w:lvl>
    <w:lvl w:ilvl="5" w:tentative="0">
      <w:start w:val="1"/>
      <w:numFmt w:val="lowerRoman"/>
      <w:lvlText w:val="%6."/>
      <w:lvlJc w:val="right"/>
      <w:pPr>
        <w:ind w:left="3372" w:hanging="420"/>
      </w:pPr>
    </w:lvl>
    <w:lvl w:ilvl="6" w:tentative="0">
      <w:start w:val="1"/>
      <w:numFmt w:val="decimal"/>
      <w:lvlText w:val="%7."/>
      <w:lvlJc w:val="left"/>
      <w:pPr>
        <w:ind w:left="3792" w:hanging="420"/>
      </w:pPr>
    </w:lvl>
    <w:lvl w:ilvl="7" w:tentative="0">
      <w:start w:val="1"/>
      <w:numFmt w:val="lowerLetter"/>
      <w:lvlText w:val="%8)"/>
      <w:lvlJc w:val="left"/>
      <w:pPr>
        <w:ind w:left="4212" w:hanging="420"/>
      </w:pPr>
    </w:lvl>
    <w:lvl w:ilvl="8" w:tentative="0">
      <w:start w:val="1"/>
      <w:numFmt w:val="lowerRoman"/>
      <w:lvlText w:val="%9."/>
      <w:lvlJc w:val="right"/>
      <w:pPr>
        <w:ind w:left="4632" w:hanging="420"/>
      </w:pPr>
    </w:lvl>
  </w:abstractNum>
  <w:abstractNum w:abstractNumId="18">
    <w:nsid w:val="070029D0"/>
    <w:multiLevelType w:val="multilevel"/>
    <w:tmpl w:val="070029D0"/>
    <w:lvl w:ilvl="0" w:tentative="0">
      <w:start w:val="13"/>
      <w:numFmt w:val="decimal"/>
      <w:lvlText w:val="（%1）"/>
      <w:lvlJc w:val="left"/>
      <w:pPr>
        <w:ind w:left="1176" w:hanging="756"/>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07AF758A"/>
    <w:multiLevelType w:val="multilevel"/>
    <w:tmpl w:val="07AF758A"/>
    <w:lvl w:ilvl="0" w:tentative="0">
      <w:start w:val="1"/>
      <w:numFmt w:val="decimal"/>
      <w:lvlText w:val="（%1）"/>
      <w:lvlJc w:val="left"/>
      <w:pPr>
        <w:ind w:left="900" w:hanging="420"/>
      </w:pPr>
      <w:rPr>
        <w:rFonts w:hint="default"/>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09B51ADF"/>
    <w:multiLevelType w:val="multilevel"/>
    <w:tmpl w:val="09B51ADF"/>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0E976381"/>
    <w:multiLevelType w:val="multilevel"/>
    <w:tmpl w:val="0E97638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2">
    <w:nsid w:val="0FC478C2"/>
    <w:multiLevelType w:val="multilevel"/>
    <w:tmpl w:val="0FC478C2"/>
    <w:lvl w:ilvl="0" w:tentative="0">
      <w:start w:val="1"/>
      <w:numFmt w:val="decimal"/>
      <w:lvlText w:val="%1)"/>
      <w:lvlJc w:val="left"/>
      <w:pPr>
        <w:ind w:left="900" w:hanging="420"/>
      </w:p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3">
    <w:nsid w:val="0FFF5DB3"/>
    <w:multiLevelType w:val="multilevel"/>
    <w:tmpl w:val="0FFF5DB3"/>
    <w:lvl w:ilvl="0" w:tentative="0">
      <w:start w:val="1"/>
      <w:numFmt w:val="decimal"/>
      <w:lvlText w:val="（%1）"/>
      <w:lvlJc w:val="left"/>
      <w:pPr>
        <w:ind w:left="220" w:hanging="601"/>
      </w:pPr>
      <w:rPr>
        <w:rFonts w:hint="default" w:ascii="仿宋" w:hAnsi="仿宋" w:eastAsia="仿宋" w:cs="宋体"/>
        <w:w w:val="100"/>
        <w:sz w:val="22"/>
        <w:szCs w:val="22"/>
        <w:lang w:val="zh-CN" w:eastAsia="zh-CN" w:bidi="zh-CN"/>
      </w:rPr>
    </w:lvl>
    <w:lvl w:ilvl="1" w:tentative="0">
      <w:start w:val="0"/>
      <w:numFmt w:val="bullet"/>
      <w:lvlText w:val="•"/>
      <w:lvlJc w:val="left"/>
      <w:pPr>
        <w:ind w:left="1082" w:hanging="601"/>
      </w:pPr>
      <w:rPr>
        <w:rFonts w:hint="default"/>
        <w:lang w:val="zh-CN" w:eastAsia="zh-CN" w:bidi="zh-CN"/>
      </w:rPr>
    </w:lvl>
    <w:lvl w:ilvl="2" w:tentative="0">
      <w:start w:val="0"/>
      <w:numFmt w:val="bullet"/>
      <w:lvlText w:val="•"/>
      <w:lvlJc w:val="left"/>
      <w:pPr>
        <w:ind w:left="1945" w:hanging="601"/>
      </w:pPr>
      <w:rPr>
        <w:rFonts w:hint="default"/>
        <w:lang w:val="zh-CN" w:eastAsia="zh-CN" w:bidi="zh-CN"/>
      </w:rPr>
    </w:lvl>
    <w:lvl w:ilvl="3" w:tentative="0">
      <w:start w:val="0"/>
      <w:numFmt w:val="bullet"/>
      <w:lvlText w:val="•"/>
      <w:lvlJc w:val="left"/>
      <w:pPr>
        <w:ind w:left="2807" w:hanging="601"/>
      </w:pPr>
      <w:rPr>
        <w:rFonts w:hint="default"/>
        <w:lang w:val="zh-CN" w:eastAsia="zh-CN" w:bidi="zh-CN"/>
      </w:rPr>
    </w:lvl>
    <w:lvl w:ilvl="4" w:tentative="0">
      <w:start w:val="0"/>
      <w:numFmt w:val="bullet"/>
      <w:lvlText w:val="•"/>
      <w:lvlJc w:val="left"/>
      <w:pPr>
        <w:ind w:left="3670" w:hanging="601"/>
      </w:pPr>
      <w:rPr>
        <w:rFonts w:hint="default"/>
        <w:lang w:val="zh-CN" w:eastAsia="zh-CN" w:bidi="zh-CN"/>
      </w:rPr>
    </w:lvl>
    <w:lvl w:ilvl="5" w:tentative="0">
      <w:start w:val="0"/>
      <w:numFmt w:val="bullet"/>
      <w:lvlText w:val="•"/>
      <w:lvlJc w:val="left"/>
      <w:pPr>
        <w:ind w:left="4533" w:hanging="601"/>
      </w:pPr>
      <w:rPr>
        <w:rFonts w:hint="default"/>
        <w:lang w:val="zh-CN" w:eastAsia="zh-CN" w:bidi="zh-CN"/>
      </w:rPr>
    </w:lvl>
    <w:lvl w:ilvl="6" w:tentative="0">
      <w:start w:val="0"/>
      <w:numFmt w:val="bullet"/>
      <w:lvlText w:val="•"/>
      <w:lvlJc w:val="left"/>
      <w:pPr>
        <w:ind w:left="5395" w:hanging="601"/>
      </w:pPr>
      <w:rPr>
        <w:rFonts w:hint="default"/>
        <w:lang w:val="zh-CN" w:eastAsia="zh-CN" w:bidi="zh-CN"/>
      </w:rPr>
    </w:lvl>
    <w:lvl w:ilvl="7" w:tentative="0">
      <w:start w:val="0"/>
      <w:numFmt w:val="bullet"/>
      <w:lvlText w:val="•"/>
      <w:lvlJc w:val="left"/>
      <w:pPr>
        <w:ind w:left="6258" w:hanging="601"/>
      </w:pPr>
      <w:rPr>
        <w:rFonts w:hint="default"/>
        <w:lang w:val="zh-CN" w:eastAsia="zh-CN" w:bidi="zh-CN"/>
      </w:rPr>
    </w:lvl>
    <w:lvl w:ilvl="8" w:tentative="0">
      <w:start w:val="0"/>
      <w:numFmt w:val="bullet"/>
      <w:lvlText w:val="•"/>
      <w:lvlJc w:val="left"/>
      <w:pPr>
        <w:ind w:left="7120" w:hanging="601"/>
      </w:pPr>
      <w:rPr>
        <w:rFonts w:hint="default"/>
        <w:lang w:val="zh-CN" w:eastAsia="zh-CN" w:bidi="zh-CN"/>
      </w:rPr>
    </w:lvl>
  </w:abstractNum>
  <w:abstractNum w:abstractNumId="24">
    <w:nsid w:val="106A67F7"/>
    <w:multiLevelType w:val="multilevel"/>
    <w:tmpl w:val="106A67F7"/>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123538E5"/>
    <w:multiLevelType w:val="multilevel"/>
    <w:tmpl w:val="123538E5"/>
    <w:lvl w:ilvl="0" w:tentative="0">
      <w:start w:val="21"/>
      <w:numFmt w:val="decimal"/>
      <w:lvlText w:val="（%1）"/>
      <w:lvlJc w:val="left"/>
      <w:pPr>
        <w:ind w:left="1176" w:hanging="756"/>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128824E2"/>
    <w:multiLevelType w:val="multilevel"/>
    <w:tmpl w:val="128824E2"/>
    <w:lvl w:ilvl="0" w:tentative="0">
      <w:start w:val="1"/>
      <w:numFmt w:val="decimal"/>
      <w:lvlText w:val="%1)"/>
      <w:lvlJc w:val="left"/>
      <w:pPr>
        <w:ind w:left="900" w:hanging="420"/>
      </w:pPr>
      <w:rPr>
        <w:b w:val="0"/>
        <w:bC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18940A11"/>
    <w:multiLevelType w:val="multilevel"/>
    <w:tmpl w:val="18940A11"/>
    <w:lvl w:ilvl="0" w:tentative="0">
      <w:start w:val="1"/>
      <w:numFmt w:val="decimal"/>
      <w:lvlText w:val="%1)"/>
      <w:lvlJc w:val="left"/>
      <w:pPr>
        <w:ind w:left="900" w:hanging="420"/>
      </w:p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8">
    <w:nsid w:val="1A06042C"/>
    <w:multiLevelType w:val="multilevel"/>
    <w:tmpl w:val="1A06042C"/>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1B4C77B7"/>
    <w:multiLevelType w:val="multilevel"/>
    <w:tmpl w:val="1B4C77B7"/>
    <w:lvl w:ilvl="0" w:tentative="0">
      <w:start w:val="1"/>
      <w:numFmt w:val="decimal"/>
      <w:lvlText w:val="（%1）"/>
      <w:lvlJc w:val="left"/>
      <w:pPr>
        <w:ind w:left="420" w:hanging="420"/>
      </w:pPr>
      <w:rPr>
        <w:rFonts w:hint="default"/>
        <w:lang w:val="en-US"/>
      </w:r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1DBB5918"/>
    <w:multiLevelType w:val="multilevel"/>
    <w:tmpl w:val="1DBB591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1E293B3B"/>
    <w:multiLevelType w:val="singleLevel"/>
    <w:tmpl w:val="1E293B3B"/>
    <w:lvl w:ilvl="0" w:tentative="0">
      <w:start w:val="1"/>
      <w:numFmt w:val="decimal"/>
      <w:lvlText w:val="%1)"/>
      <w:lvlJc w:val="left"/>
      <w:pPr>
        <w:ind w:left="425" w:hanging="425"/>
      </w:pPr>
      <w:rPr>
        <w:rFonts w:hint="default"/>
      </w:rPr>
    </w:lvl>
  </w:abstractNum>
  <w:abstractNum w:abstractNumId="32">
    <w:nsid w:val="1E4152BA"/>
    <w:multiLevelType w:val="multilevel"/>
    <w:tmpl w:val="1E4152BA"/>
    <w:lvl w:ilvl="0" w:tentative="0">
      <w:start w:val="7"/>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1E614089"/>
    <w:multiLevelType w:val="multilevel"/>
    <w:tmpl w:val="1E614089"/>
    <w:lvl w:ilvl="0" w:tentative="0">
      <w:start w:val="1"/>
      <w:numFmt w:val="decimal"/>
      <w:lvlText w:val="（%1）"/>
      <w:lvlJc w:val="left"/>
      <w:pPr>
        <w:tabs>
          <w:tab w:val="left" w:pos="0"/>
        </w:tabs>
        <w:ind w:left="0" w:firstLine="704"/>
      </w:pPr>
      <w:rPr>
        <w:rFonts w:hint="eastAsia" w:ascii="宋体" w:hAnsi="宋体" w:eastAsia="宋体" w:cs="Times New Roman"/>
      </w:rPr>
    </w:lvl>
    <w:lvl w:ilvl="1" w:tentative="0">
      <w:start w:val="1"/>
      <w:numFmt w:val="lowerLetter"/>
      <w:lvlText w:val="%2)"/>
      <w:lvlJc w:val="left"/>
      <w:pPr>
        <w:tabs>
          <w:tab w:val="left" w:pos="0"/>
        </w:tabs>
        <w:ind w:left="1124" w:hanging="420"/>
      </w:pPr>
      <w:rPr>
        <w:rFonts w:hint="default" w:ascii="Times New Roman" w:hAnsi="Times New Roman" w:cs="Times New Roman"/>
      </w:rPr>
    </w:lvl>
    <w:lvl w:ilvl="2" w:tentative="0">
      <w:start w:val="1"/>
      <w:numFmt w:val="lowerRoman"/>
      <w:lvlText w:val="%3."/>
      <w:lvlJc w:val="right"/>
      <w:pPr>
        <w:tabs>
          <w:tab w:val="left" w:pos="0"/>
        </w:tabs>
        <w:ind w:left="1544" w:hanging="420"/>
      </w:pPr>
      <w:rPr>
        <w:rFonts w:hint="default" w:ascii="Times New Roman" w:hAnsi="Times New Roman" w:cs="Times New Roman"/>
      </w:rPr>
    </w:lvl>
    <w:lvl w:ilvl="3" w:tentative="0">
      <w:start w:val="1"/>
      <w:numFmt w:val="decimal"/>
      <w:lvlText w:val="%4."/>
      <w:lvlJc w:val="left"/>
      <w:pPr>
        <w:tabs>
          <w:tab w:val="left" w:pos="0"/>
        </w:tabs>
        <w:ind w:left="1964" w:hanging="420"/>
      </w:pPr>
      <w:rPr>
        <w:rFonts w:hint="default" w:ascii="Times New Roman" w:hAnsi="Times New Roman" w:cs="Times New Roman"/>
      </w:rPr>
    </w:lvl>
    <w:lvl w:ilvl="4" w:tentative="0">
      <w:start w:val="1"/>
      <w:numFmt w:val="lowerLetter"/>
      <w:lvlText w:val="%5)"/>
      <w:lvlJc w:val="left"/>
      <w:pPr>
        <w:tabs>
          <w:tab w:val="left" w:pos="0"/>
        </w:tabs>
        <w:ind w:left="2384" w:hanging="420"/>
      </w:pPr>
      <w:rPr>
        <w:rFonts w:hint="default" w:ascii="Times New Roman" w:hAnsi="Times New Roman" w:cs="Times New Roman"/>
      </w:rPr>
    </w:lvl>
    <w:lvl w:ilvl="5" w:tentative="0">
      <w:start w:val="1"/>
      <w:numFmt w:val="lowerRoman"/>
      <w:lvlText w:val="%6."/>
      <w:lvlJc w:val="right"/>
      <w:pPr>
        <w:tabs>
          <w:tab w:val="left" w:pos="0"/>
        </w:tabs>
        <w:ind w:left="2804" w:hanging="420"/>
      </w:pPr>
      <w:rPr>
        <w:rFonts w:hint="default" w:ascii="Times New Roman" w:hAnsi="Times New Roman" w:cs="Times New Roman"/>
      </w:rPr>
    </w:lvl>
    <w:lvl w:ilvl="6" w:tentative="0">
      <w:start w:val="1"/>
      <w:numFmt w:val="decimal"/>
      <w:lvlText w:val="%7."/>
      <w:lvlJc w:val="left"/>
      <w:pPr>
        <w:tabs>
          <w:tab w:val="left" w:pos="0"/>
        </w:tabs>
        <w:ind w:left="3224" w:hanging="420"/>
      </w:pPr>
      <w:rPr>
        <w:rFonts w:hint="default" w:ascii="Times New Roman" w:hAnsi="Times New Roman" w:cs="Times New Roman"/>
      </w:rPr>
    </w:lvl>
    <w:lvl w:ilvl="7" w:tentative="0">
      <w:start w:val="1"/>
      <w:numFmt w:val="lowerLetter"/>
      <w:lvlText w:val="%8)"/>
      <w:lvlJc w:val="left"/>
      <w:pPr>
        <w:tabs>
          <w:tab w:val="left" w:pos="0"/>
        </w:tabs>
        <w:ind w:left="3644" w:hanging="420"/>
      </w:pPr>
      <w:rPr>
        <w:rFonts w:hint="default" w:ascii="Times New Roman" w:hAnsi="Times New Roman" w:cs="Times New Roman"/>
      </w:rPr>
    </w:lvl>
    <w:lvl w:ilvl="8" w:tentative="0">
      <w:start w:val="1"/>
      <w:numFmt w:val="lowerRoman"/>
      <w:lvlText w:val="%9."/>
      <w:lvlJc w:val="right"/>
      <w:pPr>
        <w:tabs>
          <w:tab w:val="left" w:pos="0"/>
        </w:tabs>
        <w:ind w:left="4064" w:hanging="420"/>
      </w:pPr>
      <w:rPr>
        <w:rFonts w:hint="default" w:ascii="Times New Roman" w:hAnsi="Times New Roman" w:cs="Times New Roman"/>
      </w:rPr>
    </w:lvl>
  </w:abstractNum>
  <w:abstractNum w:abstractNumId="34">
    <w:nsid w:val="1E7D508B"/>
    <w:multiLevelType w:val="multilevel"/>
    <w:tmpl w:val="1E7D508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1F3F6640"/>
    <w:multiLevelType w:val="multilevel"/>
    <w:tmpl w:val="1F3F664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1FEE2739"/>
    <w:multiLevelType w:val="multilevel"/>
    <w:tmpl w:val="1FEE2739"/>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7">
    <w:nsid w:val="202F707A"/>
    <w:multiLevelType w:val="multilevel"/>
    <w:tmpl w:val="202F707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210B60CE"/>
    <w:multiLevelType w:val="multilevel"/>
    <w:tmpl w:val="210B60C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222B072F"/>
    <w:multiLevelType w:val="multilevel"/>
    <w:tmpl w:val="222B072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25FE28E5"/>
    <w:multiLevelType w:val="multilevel"/>
    <w:tmpl w:val="25FE28E5"/>
    <w:lvl w:ilvl="0" w:tentative="0">
      <w:start w:val="1"/>
      <w:numFmt w:val="chineseCountingThousand"/>
      <w:lvlText w:val="(%1)"/>
      <w:lvlJc w:val="left"/>
      <w:pPr>
        <w:ind w:left="420" w:hanging="420"/>
      </w:pPr>
      <w:rPr>
        <w:rFonts w:hint="eastAsia"/>
        <w:sz w:val="32"/>
      </w:rPr>
    </w:lvl>
    <w:lvl w:ilvl="1" w:tentative="0">
      <w:start w:val="1"/>
      <w:numFmt w:val="decimal"/>
      <w:lvlText w:val="（%2）"/>
      <w:lvlJc w:val="left"/>
      <w:pPr>
        <w:ind w:left="852" w:hanging="432"/>
      </w:pPr>
      <w:rPr>
        <w:rFonts w:hint="default" w:cs="TimesNewRomanPSMT"/>
      </w:rPr>
    </w:lvl>
    <w:lvl w:ilvl="2" w:tentative="0">
      <w:start w:val="1"/>
      <w:numFmt w:val="decimal"/>
      <w:lvlText w:val="（%3）"/>
      <w:lvlJc w:val="left"/>
      <w:pPr>
        <w:ind w:left="1200" w:hanging="360"/>
      </w:pPr>
      <w:rPr>
        <w:rFonts w:ascii="仿宋_GB2312" w:hAnsi="等线" w:eastAsia="仿宋_GB2312" w:cs="宋体"/>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287C6612"/>
    <w:multiLevelType w:val="multilevel"/>
    <w:tmpl w:val="287C6612"/>
    <w:lvl w:ilvl="0" w:tentative="0">
      <w:start w:val="1"/>
      <w:numFmt w:val="decimal"/>
      <w:lvlText w:val="%1."/>
      <w:lvlJc w:val="left"/>
      <w:pPr>
        <w:ind w:left="786" w:hanging="360"/>
      </w:pPr>
      <w:rPr>
        <w:rFonts w:hint="default" w:hAnsi="宋体" w:eastAsia="宋体"/>
        <w:sz w:val="24"/>
        <w:szCs w:val="24"/>
      </w:rPr>
    </w:lvl>
    <w:lvl w:ilvl="1" w:tentative="0">
      <w:start w:val="1"/>
      <w:numFmt w:val="decimal"/>
      <w:isLgl/>
      <w:lvlText w:val="%1.%2"/>
      <w:lvlJc w:val="left"/>
      <w:pPr>
        <w:ind w:left="1146" w:hanging="720"/>
      </w:pPr>
      <w:rPr>
        <w:rFonts w:hint="default"/>
      </w:rPr>
    </w:lvl>
    <w:lvl w:ilvl="2" w:tentative="0">
      <w:start w:val="1"/>
      <w:numFmt w:val="decimal"/>
      <w:isLgl/>
      <w:lvlText w:val="%1.%2.%3"/>
      <w:lvlJc w:val="left"/>
      <w:pPr>
        <w:ind w:left="1146" w:hanging="720"/>
      </w:pPr>
      <w:rPr>
        <w:rFonts w:hint="default"/>
      </w:rPr>
    </w:lvl>
    <w:lvl w:ilvl="3" w:tentative="0">
      <w:start w:val="1"/>
      <w:numFmt w:val="decimal"/>
      <w:isLgl/>
      <w:lvlText w:val="%1.%2.%3.%4"/>
      <w:lvlJc w:val="left"/>
      <w:pPr>
        <w:ind w:left="1506" w:hanging="1080"/>
      </w:pPr>
      <w:rPr>
        <w:rFonts w:hint="default"/>
      </w:rPr>
    </w:lvl>
    <w:lvl w:ilvl="4" w:tentative="0">
      <w:start w:val="1"/>
      <w:numFmt w:val="decimal"/>
      <w:isLgl/>
      <w:lvlText w:val="%1.%2.%3.%4.%5"/>
      <w:lvlJc w:val="left"/>
      <w:pPr>
        <w:ind w:left="1866" w:hanging="1440"/>
      </w:pPr>
      <w:rPr>
        <w:rFonts w:hint="default"/>
      </w:rPr>
    </w:lvl>
    <w:lvl w:ilvl="5" w:tentative="0">
      <w:start w:val="1"/>
      <w:numFmt w:val="decimal"/>
      <w:isLgl/>
      <w:lvlText w:val="%1.%2.%3.%4.%5.%6"/>
      <w:lvlJc w:val="left"/>
      <w:pPr>
        <w:ind w:left="2226" w:hanging="1800"/>
      </w:pPr>
      <w:rPr>
        <w:rFonts w:hint="default"/>
      </w:rPr>
    </w:lvl>
    <w:lvl w:ilvl="6" w:tentative="0">
      <w:start w:val="1"/>
      <w:numFmt w:val="decimal"/>
      <w:isLgl/>
      <w:lvlText w:val="%1.%2.%3.%4.%5.%6.%7"/>
      <w:lvlJc w:val="left"/>
      <w:pPr>
        <w:ind w:left="2226" w:hanging="1800"/>
      </w:pPr>
      <w:rPr>
        <w:rFonts w:hint="default"/>
      </w:rPr>
    </w:lvl>
    <w:lvl w:ilvl="7" w:tentative="0">
      <w:start w:val="1"/>
      <w:numFmt w:val="decimal"/>
      <w:isLgl/>
      <w:lvlText w:val="%1.%2.%3.%4.%5.%6.%7.%8"/>
      <w:lvlJc w:val="left"/>
      <w:pPr>
        <w:ind w:left="2586" w:hanging="2160"/>
      </w:pPr>
      <w:rPr>
        <w:rFonts w:hint="default"/>
      </w:rPr>
    </w:lvl>
    <w:lvl w:ilvl="8" w:tentative="0">
      <w:start w:val="1"/>
      <w:numFmt w:val="decimal"/>
      <w:isLgl/>
      <w:lvlText w:val="%1.%2.%3.%4.%5.%6.%7.%8.%9"/>
      <w:lvlJc w:val="left"/>
      <w:pPr>
        <w:ind w:left="2946" w:hanging="2520"/>
      </w:pPr>
      <w:rPr>
        <w:rFonts w:hint="default"/>
      </w:rPr>
    </w:lvl>
  </w:abstractNum>
  <w:abstractNum w:abstractNumId="42">
    <w:nsid w:val="28CA1A66"/>
    <w:multiLevelType w:val="multilevel"/>
    <w:tmpl w:val="28CA1A66"/>
    <w:lvl w:ilvl="0" w:tentative="0">
      <w:start w:val="5"/>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3">
    <w:nsid w:val="29D87AC0"/>
    <w:multiLevelType w:val="multilevel"/>
    <w:tmpl w:val="29D87AC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2AD311A5"/>
    <w:multiLevelType w:val="multilevel"/>
    <w:tmpl w:val="2AD311A5"/>
    <w:lvl w:ilvl="0" w:tentative="0">
      <w:start w:val="1"/>
      <w:numFmt w:val="decimal"/>
      <w:lvlText w:val="（%1）"/>
      <w:lvlJc w:val="left"/>
      <w:pPr>
        <w:ind w:left="900" w:hanging="420"/>
      </w:pPr>
      <w:rPr>
        <w:rFonts w:hint="default"/>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2C6C64FF"/>
    <w:multiLevelType w:val="multilevel"/>
    <w:tmpl w:val="2C6C64FF"/>
    <w:lvl w:ilvl="0" w:tentative="0">
      <w:start w:val="1"/>
      <w:numFmt w:val="decimal"/>
      <w:lvlText w:val="（%1）"/>
      <w:lvlJc w:val="left"/>
      <w:pPr>
        <w:ind w:left="720" w:hanging="720"/>
      </w:pPr>
      <w:rPr>
        <w:rFonts w:hint="default"/>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2CCD7EAF"/>
    <w:multiLevelType w:val="multilevel"/>
    <w:tmpl w:val="2CCD7EA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2D3163F0"/>
    <w:multiLevelType w:val="multilevel"/>
    <w:tmpl w:val="2D3163F0"/>
    <w:lvl w:ilvl="0" w:tentative="0">
      <w:start w:val="5"/>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8">
    <w:nsid w:val="2E024B96"/>
    <w:multiLevelType w:val="multilevel"/>
    <w:tmpl w:val="2E024B96"/>
    <w:lvl w:ilvl="0" w:tentative="0">
      <w:start w:val="6"/>
      <w:numFmt w:val="decimal"/>
      <w:lvlText w:val="（%1）"/>
      <w:lvlJc w:val="left"/>
      <w:pPr>
        <w:ind w:left="1004"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30102448"/>
    <w:multiLevelType w:val="multilevel"/>
    <w:tmpl w:val="30102448"/>
    <w:lvl w:ilvl="0" w:tentative="0">
      <w:start w:val="1"/>
      <w:numFmt w:val="decimal"/>
      <w:lvlText w:val="%1)"/>
      <w:lvlJc w:val="left"/>
      <w:pPr>
        <w:ind w:left="1270" w:hanging="420"/>
      </w:p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50">
    <w:nsid w:val="30FE3F6A"/>
    <w:multiLevelType w:val="multilevel"/>
    <w:tmpl w:val="30FE3F6A"/>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51">
    <w:nsid w:val="3572147C"/>
    <w:multiLevelType w:val="multilevel"/>
    <w:tmpl w:val="3572147C"/>
    <w:lvl w:ilvl="0" w:tentative="0">
      <w:start w:val="1"/>
      <w:numFmt w:val="decimal"/>
      <w:suff w:val="space"/>
      <w:lvlText w:val="（%1）"/>
      <w:lvlJc w:val="left"/>
      <w:pPr>
        <w:ind w:left="1064" w:hanging="360"/>
      </w:pPr>
      <w:rPr>
        <w:rFonts w:hint="eastAsia" w:ascii="宋体" w:hAnsi="宋体" w:eastAsia="宋体" w:cs="Times New Roman"/>
      </w:rPr>
    </w:lvl>
    <w:lvl w:ilvl="1" w:tentative="0">
      <w:start w:val="1"/>
      <w:numFmt w:val="lowerLetter"/>
      <w:lvlText w:val="%2)"/>
      <w:lvlJc w:val="left"/>
      <w:pPr>
        <w:ind w:left="1124" w:hanging="420"/>
      </w:pPr>
      <w:rPr>
        <w:rFonts w:hint="eastAsia"/>
      </w:rPr>
    </w:lvl>
    <w:lvl w:ilvl="2" w:tentative="0">
      <w:start w:val="1"/>
      <w:numFmt w:val="lowerRoman"/>
      <w:lvlText w:val="%3."/>
      <w:lvlJc w:val="right"/>
      <w:pPr>
        <w:ind w:left="1544" w:hanging="420"/>
      </w:pPr>
      <w:rPr>
        <w:rFonts w:hint="eastAsia"/>
      </w:rPr>
    </w:lvl>
    <w:lvl w:ilvl="3" w:tentative="0">
      <w:start w:val="1"/>
      <w:numFmt w:val="decimal"/>
      <w:lvlText w:val="%4."/>
      <w:lvlJc w:val="left"/>
      <w:pPr>
        <w:ind w:left="1964" w:hanging="420"/>
      </w:pPr>
      <w:rPr>
        <w:rFonts w:hint="eastAsia"/>
      </w:rPr>
    </w:lvl>
    <w:lvl w:ilvl="4" w:tentative="0">
      <w:start w:val="1"/>
      <w:numFmt w:val="lowerLetter"/>
      <w:lvlText w:val="%5)"/>
      <w:lvlJc w:val="left"/>
      <w:pPr>
        <w:ind w:left="2384" w:hanging="420"/>
      </w:pPr>
      <w:rPr>
        <w:rFonts w:hint="eastAsia"/>
      </w:rPr>
    </w:lvl>
    <w:lvl w:ilvl="5" w:tentative="0">
      <w:start w:val="1"/>
      <w:numFmt w:val="lowerRoman"/>
      <w:lvlText w:val="%6."/>
      <w:lvlJc w:val="right"/>
      <w:pPr>
        <w:ind w:left="2804" w:hanging="420"/>
      </w:pPr>
      <w:rPr>
        <w:rFonts w:hint="eastAsia"/>
      </w:rPr>
    </w:lvl>
    <w:lvl w:ilvl="6" w:tentative="0">
      <w:start w:val="1"/>
      <w:numFmt w:val="decimal"/>
      <w:lvlText w:val="%7."/>
      <w:lvlJc w:val="left"/>
      <w:pPr>
        <w:ind w:left="3224" w:hanging="420"/>
      </w:pPr>
      <w:rPr>
        <w:rFonts w:hint="eastAsia"/>
      </w:rPr>
    </w:lvl>
    <w:lvl w:ilvl="7" w:tentative="0">
      <w:start w:val="1"/>
      <w:numFmt w:val="lowerLetter"/>
      <w:lvlText w:val="%8)"/>
      <w:lvlJc w:val="left"/>
      <w:pPr>
        <w:ind w:left="3644" w:hanging="420"/>
      </w:pPr>
      <w:rPr>
        <w:rFonts w:hint="eastAsia"/>
      </w:rPr>
    </w:lvl>
    <w:lvl w:ilvl="8" w:tentative="0">
      <w:start w:val="1"/>
      <w:numFmt w:val="lowerRoman"/>
      <w:lvlText w:val="%9."/>
      <w:lvlJc w:val="right"/>
      <w:pPr>
        <w:ind w:left="4064" w:hanging="420"/>
      </w:pPr>
      <w:rPr>
        <w:rFonts w:hint="eastAsia"/>
      </w:rPr>
    </w:lvl>
  </w:abstractNum>
  <w:abstractNum w:abstractNumId="52">
    <w:nsid w:val="365F22F9"/>
    <w:multiLevelType w:val="multilevel"/>
    <w:tmpl w:val="365F22F9"/>
    <w:lvl w:ilvl="0" w:tentative="0">
      <w:start w:val="1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3">
    <w:nsid w:val="371719A1"/>
    <w:multiLevelType w:val="multilevel"/>
    <w:tmpl w:val="371719A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4">
    <w:nsid w:val="380C5CF6"/>
    <w:multiLevelType w:val="multilevel"/>
    <w:tmpl w:val="380C5CF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3B6A20DD"/>
    <w:multiLevelType w:val="multilevel"/>
    <w:tmpl w:val="3B6A20DD"/>
    <w:lvl w:ilvl="0" w:tentative="0">
      <w:start w:val="7"/>
      <w:numFmt w:val="decimal"/>
      <w:lvlText w:val="%1）"/>
      <w:lvlJc w:val="left"/>
      <w:pPr>
        <w:ind w:left="580" w:hanging="360"/>
      </w:pPr>
      <w:rPr>
        <w:rFonts w:hint="default"/>
      </w:rPr>
    </w:lvl>
    <w:lvl w:ilvl="1" w:tentative="0">
      <w:start w:val="1"/>
      <w:numFmt w:val="lowerLetter"/>
      <w:lvlText w:val="%2)"/>
      <w:lvlJc w:val="left"/>
      <w:pPr>
        <w:ind w:left="1060" w:hanging="420"/>
      </w:pPr>
    </w:lvl>
    <w:lvl w:ilvl="2" w:tentative="0">
      <w:start w:val="1"/>
      <w:numFmt w:val="lowerRoman"/>
      <w:lvlText w:val="%3."/>
      <w:lvlJc w:val="right"/>
      <w:pPr>
        <w:ind w:left="1480" w:hanging="420"/>
      </w:pPr>
    </w:lvl>
    <w:lvl w:ilvl="3" w:tentative="0">
      <w:start w:val="1"/>
      <w:numFmt w:val="decimal"/>
      <w:lvlText w:val="%4."/>
      <w:lvlJc w:val="left"/>
      <w:pPr>
        <w:ind w:left="1900" w:hanging="420"/>
      </w:pPr>
    </w:lvl>
    <w:lvl w:ilvl="4" w:tentative="0">
      <w:start w:val="1"/>
      <w:numFmt w:val="lowerLetter"/>
      <w:lvlText w:val="%5)"/>
      <w:lvlJc w:val="left"/>
      <w:pPr>
        <w:ind w:left="2320" w:hanging="420"/>
      </w:pPr>
    </w:lvl>
    <w:lvl w:ilvl="5" w:tentative="0">
      <w:start w:val="1"/>
      <w:numFmt w:val="lowerRoman"/>
      <w:lvlText w:val="%6."/>
      <w:lvlJc w:val="right"/>
      <w:pPr>
        <w:ind w:left="2740" w:hanging="420"/>
      </w:pPr>
    </w:lvl>
    <w:lvl w:ilvl="6" w:tentative="0">
      <w:start w:val="1"/>
      <w:numFmt w:val="decimal"/>
      <w:lvlText w:val="%7."/>
      <w:lvlJc w:val="left"/>
      <w:pPr>
        <w:ind w:left="3160" w:hanging="420"/>
      </w:pPr>
    </w:lvl>
    <w:lvl w:ilvl="7" w:tentative="0">
      <w:start w:val="1"/>
      <w:numFmt w:val="lowerLetter"/>
      <w:lvlText w:val="%8)"/>
      <w:lvlJc w:val="left"/>
      <w:pPr>
        <w:ind w:left="3580" w:hanging="420"/>
      </w:pPr>
    </w:lvl>
    <w:lvl w:ilvl="8" w:tentative="0">
      <w:start w:val="1"/>
      <w:numFmt w:val="lowerRoman"/>
      <w:lvlText w:val="%9."/>
      <w:lvlJc w:val="right"/>
      <w:pPr>
        <w:ind w:left="4000" w:hanging="420"/>
      </w:pPr>
    </w:lvl>
  </w:abstractNum>
  <w:abstractNum w:abstractNumId="56">
    <w:nsid w:val="3D1D4175"/>
    <w:multiLevelType w:val="multilevel"/>
    <w:tmpl w:val="3D1D4175"/>
    <w:lvl w:ilvl="0" w:tentative="0">
      <w:start w:val="1"/>
      <w:numFmt w:val="decimal"/>
      <w:lvlText w:val="%1)"/>
      <w:lvlJc w:val="left"/>
      <w:pPr>
        <w:ind w:left="852" w:hanging="432"/>
      </w:pPr>
      <w:rPr>
        <w:rFonts w:hint="default" w:cs="TimesNewRomanPSM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3E3D58C7"/>
    <w:multiLevelType w:val="multilevel"/>
    <w:tmpl w:val="3E3D58C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8">
    <w:nsid w:val="3F1A0AF1"/>
    <w:multiLevelType w:val="multilevel"/>
    <w:tmpl w:val="3F1A0AF1"/>
    <w:lvl w:ilvl="0" w:tentative="0">
      <w:start w:val="1"/>
      <w:numFmt w:val="decimal"/>
      <w:lvlText w:val="%1)"/>
      <w:lvlJc w:val="left"/>
      <w:pPr>
        <w:ind w:left="420" w:hanging="420"/>
      </w:pPr>
    </w:lvl>
    <w:lvl w:ilvl="1" w:tentative="0">
      <w:start w:val="4"/>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418B29B6"/>
    <w:multiLevelType w:val="multilevel"/>
    <w:tmpl w:val="418B29B6"/>
    <w:lvl w:ilvl="0" w:tentative="0">
      <w:start w:val="1"/>
      <w:numFmt w:val="decimal"/>
      <w:lvlText w:val="（%1）"/>
      <w:lvlJc w:val="left"/>
      <w:pPr>
        <w:ind w:left="1064" w:hanging="360"/>
      </w:pPr>
      <w:rPr>
        <w:rFonts w:ascii="宋体" w:hAnsi="宋体" w:eastAsia="宋体" w:cs="Times New Roman"/>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60">
    <w:nsid w:val="41EB0C06"/>
    <w:multiLevelType w:val="multilevel"/>
    <w:tmpl w:val="41EB0C0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42144DC5"/>
    <w:multiLevelType w:val="multilevel"/>
    <w:tmpl w:val="42144DC5"/>
    <w:lvl w:ilvl="0" w:tentative="0">
      <w:start w:val="10"/>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2">
    <w:nsid w:val="45273044"/>
    <w:multiLevelType w:val="multilevel"/>
    <w:tmpl w:val="4527304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45436744"/>
    <w:multiLevelType w:val="multilevel"/>
    <w:tmpl w:val="45436744"/>
    <w:lvl w:ilvl="0" w:tentative="0">
      <w:start w:val="1"/>
      <w:numFmt w:val="decimal"/>
      <w:lvlText w:val="%1)"/>
      <w:lvlJc w:val="left"/>
      <w:pPr>
        <w:ind w:left="734" w:hanging="420"/>
      </w:pPr>
    </w:lvl>
    <w:lvl w:ilvl="1" w:tentative="0">
      <w:start w:val="1"/>
      <w:numFmt w:val="lowerLetter"/>
      <w:lvlText w:val="%2)"/>
      <w:lvlJc w:val="left"/>
      <w:pPr>
        <w:ind w:left="1154" w:hanging="420"/>
      </w:pPr>
    </w:lvl>
    <w:lvl w:ilvl="2" w:tentative="0">
      <w:start w:val="1"/>
      <w:numFmt w:val="lowerRoman"/>
      <w:lvlText w:val="%3."/>
      <w:lvlJc w:val="right"/>
      <w:pPr>
        <w:ind w:left="1574" w:hanging="420"/>
      </w:pPr>
    </w:lvl>
    <w:lvl w:ilvl="3" w:tentative="0">
      <w:start w:val="1"/>
      <w:numFmt w:val="decimal"/>
      <w:lvlText w:val="%4."/>
      <w:lvlJc w:val="left"/>
      <w:pPr>
        <w:ind w:left="1994" w:hanging="420"/>
      </w:pPr>
    </w:lvl>
    <w:lvl w:ilvl="4" w:tentative="0">
      <w:start w:val="1"/>
      <w:numFmt w:val="lowerLetter"/>
      <w:lvlText w:val="%5)"/>
      <w:lvlJc w:val="left"/>
      <w:pPr>
        <w:ind w:left="2414" w:hanging="420"/>
      </w:pPr>
    </w:lvl>
    <w:lvl w:ilvl="5" w:tentative="0">
      <w:start w:val="1"/>
      <w:numFmt w:val="lowerRoman"/>
      <w:lvlText w:val="%6."/>
      <w:lvlJc w:val="right"/>
      <w:pPr>
        <w:ind w:left="2834" w:hanging="420"/>
      </w:pPr>
    </w:lvl>
    <w:lvl w:ilvl="6" w:tentative="0">
      <w:start w:val="1"/>
      <w:numFmt w:val="decimal"/>
      <w:lvlText w:val="%7."/>
      <w:lvlJc w:val="left"/>
      <w:pPr>
        <w:ind w:left="3254" w:hanging="420"/>
      </w:pPr>
    </w:lvl>
    <w:lvl w:ilvl="7" w:tentative="0">
      <w:start w:val="1"/>
      <w:numFmt w:val="lowerLetter"/>
      <w:lvlText w:val="%8)"/>
      <w:lvlJc w:val="left"/>
      <w:pPr>
        <w:ind w:left="3674" w:hanging="420"/>
      </w:pPr>
    </w:lvl>
    <w:lvl w:ilvl="8" w:tentative="0">
      <w:start w:val="1"/>
      <w:numFmt w:val="lowerRoman"/>
      <w:lvlText w:val="%9."/>
      <w:lvlJc w:val="right"/>
      <w:pPr>
        <w:ind w:left="4094" w:hanging="420"/>
      </w:pPr>
    </w:lvl>
  </w:abstractNum>
  <w:abstractNum w:abstractNumId="64">
    <w:nsid w:val="45DF3F20"/>
    <w:multiLevelType w:val="multilevel"/>
    <w:tmpl w:val="45DF3F20"/>
    <w:lvl w:ilvl="0" w:tentative="0">
      <w:start w:val="1"/>
      <w:numFmt w:val="decimal"/>
      <w:lvlText w:val="%1)"/>
      <w:lvlJc w:val="left"/>
      <w:pPr>
        <w:ind w:left="852" w:hanging="432"/>
      </w:pPr>
      <w:rPr>
        <w:rFonts w:hint="default" w:cs="TimesNewRomanPSM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46434800"/>
    <w:multiLevelType w:val="multilevel"/>
    <w:tmpl w:val="4643480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466C50E0"/>
    <w:multiLevelType w:val="multilevel"/>
    <w:tmpl w:val="466C50E0"/>
    <w:lvl w:ilvl="0" w:tentative="0">
      <w:start w:val="29"/>
      <w:numFmt w:val="decimal"/>
      <w:lvlText w:val="（%1）"/>
      <w:lvlJc w:val="left"/>
      <w:pPr>
        <w:ind w:left="1176" w:hanging="756"/>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7">
    <w:nsid w:val="46C53185"/>
    <w:multiLevelType w:val="multilevel"/>
    <w:tmpl w:val="46C53185"/>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8">
    <w:nsid w:val="46D75F4E"/>
    <w:multiLevelType w:val="multilevel"/>
    <w:tmpl w:val="46D75F4E"/>
    <w:lvl w:ilvl="0" w:tentative="0">
      <w:start w:val="3"/>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9">
    <w:nsid w:val="4737478C"/>
    <w:multiLevelType w:val="multilevel"/>
    <w:tmpl w:val="4737478C"/>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0">
    <w:nsid w:val="490341F4"/>
    <w:multiLevelType w:val="multilevel"/>
    <w:tmpl w:val="490341F4"/>
    <w:lvl w:ilvl="0" w:tentative="0">
      <w:start w:val="1"/>
      <w:numFmt w:val="decimal"/>
      <w:lvlText w:val="（%1）"/>
      <w:lvlJc w:val="left"/>
      <w:pPr>
        <w:ind w:left="1200" w:hanging="720"/>
      </w:pPr>
      <w:rPr>
        <w:rFonts w:hint="default"/>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1">
    <w:nsid w:val="4BE54238"/>
    <w:multiLevelType w:val="multilevel"/>
    <w:tmpl w:val="4BE54238"/>
    <w:lvl w:ilvl="0" w:tentative="0">
      <w:start w:val="1"/>
      <w:numFmt w:val="bullet"/>
      <w:lvlText w:val=""/>
      <w:lvlJc w:val="left"/>
      <w:pPr>
        <w:ind w:left="900" w:hanging="420"/>
      </w:pPr>
      <w:rPr>
        <w:rFonts w:hint="default" w:ascii="Wingdings" w:hAnsi="Wingdings"/>
      </w:rPr>
    </w:lvl>
    <w:lvl w:ilvl="1" w:tentative="0">
      <w:start w:val="2"/>
      <w:numFmt w:val="decimal"/>
      <w:lvlText w:val="%2、"/>
      <w:lvlJc w:val="left"/>
      <w:pPr>
        <w:ind w:left="1620" w:hanging="720"/>
      </w:pPr>
      <w:rPr>
        <w:rFonts w:hint="default"/>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2">
    <w:nsid w:val="4D4F1548"/>
    <w:multiLevelType w:val="multilevel"/>
    <w:tmpl w:val="4D4F1548"/>
    <w:lvl w:ilvl="0" w:tentative="0">
      <w:start w:val="1"/>
      <w:numFmt w:val="decimal"/>
      <w:lvlText w:val="（%1）"/>
      <w:lvlJc w:val="left"/>
      <w:pPr>
        <w:ind w:left="1140" w:hanging="720"/>
      </w:pPr>
      <w:rPr>
        <w:rFonts w:hint="default"/>
      </w:rPr>
    </w:lvl>
    <w:lvl w:ilvl="1" w:tentative="0">
      <w:start w:val="2"/>
      <w:numFmt w:val="decimal"/>
      <w:lvlText w:val="%2）"/>
      <w:lvlJc w:val="left"/>
      <w:pPr>
        <w:ind w:left="1494"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3">
    <w:nsid w:val="4D6F70CE"/>
    <w:multiLevelType w:val="multilevel"/>
    <w:tmpl w:val="4D6F70CE"/>
    <w:lvl w:ilvl="0" w:tentative="0">
      <w:start w:val="1"/>
      <w:numFmt w:val="decimal"/>
      <w:lvlText w:val="（%1）"/>
      <w:lvlJc w:val="left"/>
      <w:pPr>
        <w:ind w:left="1064" w:hanging="36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74">
    <w:nsid w:val="4D70A887"/>
    <w:multiLevelType w:val="singleLevel"/>
    <w:tmpl w:val="4D70A887"/>
    <w:lvl w:ilvl="0" w:tentative="0">
      <w:start w:val="1"/>
      <w:numFmt w:val="decimal"/>
      <w:lvlText w:val="(%1)"/>
      <w:lvlJc w:val="left"/>
      <w:pPr>
        <w:ind w:left="425" w:hanging="425"/>
      </w:pPr>
      <w:rPr>
        <w:rFonts w:hint="default"/>
      </w:rPr>
    </w:lvl>
  </w:abstractNum>
  <w:abstractNum w:abstractNumId="75">
    <w:nsid w:val="4E196B6E"/>
    <w:multiLevelType w:val="multilevel"/>
    <w:tmpl w:val="4E196B6E"/>
    <w:lvl w:ilvl="0" w:tentative="0">
      <w:start w:val="7"/>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6">
    <w:nsid w:val="4E8F15F8"/>
    <w:multiLevelType w:val="multilevel"/>
    <w:tmpl w:val="4E8F15F8"/>
    <w:lvl w:ilvl="0" w:tentative="0">
      <w:start w:val="3"/>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7">
    <w:nsid w:val="4EF012BE"/>
    <w:multiLevelType w:val="multilevel"/>
    <w:tmpl w:val="4EF012BE"/>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8">
    <w:nsid w:val="4FA4106E"/>
    <w:multiLevelType w:val="multilevel"/>
    <w:tmpl w:val="4FA4106E"/>
    <w:lvl w:ilvl="0" w:tentative="0">
      <w:start w:val="32"/>
      <w:numFmt w:val="decimal"/>
      <w:lvlText w:val="（%1）"/>
      <w:lvlJc w:val="left"/>
      <w:pPr>
        <w:ind w:left="1176" w:hanging="756"/>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9">
    <w:nsid w:val="4FD6177A"/>
    <w:multiLevelType w:val="multilevel"/>
    <w:tmpl w:val="4FD6177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0">
    <w:nsid w:val="52984655"/>
    <w:multiLevelType w:val="multilevel"/>
    <w:tmpl w:val="52984655"/>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1">
    <w:nsid w:val="53CC486D"/>
    <w:multiLevelType w:val="multilevel"/>
    <w:tmpl w:val="53CC486D"/>
    <w:lvl w:ilvl="0" w:tentative="0">
      <w:start w:val="1"/>
      <w:numFmt w:val="decimal"/>
      <w:lvlText w:val="（%1）"/>
      <w:lvlJc w:val="left"/>
      <w:pPr>
        <w:tabs>
          <w:tab w:val="left" w:pos="147"/>
        </w:tabs>
        <w:ind w:left="1211" w:hanging="360"/>
      </w:pPr>
      <w:rPr>
        <w:rFonts w:hint="eastAsia" w:ascii="宋体" w:hAnsi="宋体" w:eastAsia="宋体" w:cs="Times New Roman"/>
      </w:rPr>
    </w:lvl>
    <w:lvl w:ilvl="1" w:tentative="0">
      <w:start w:val="1"/>
      <w:numFmt w:val="lowerLetter"/>
      <w:lvlText w:val="%2)"/>
      <w:lvlJc w:val="left"/>
      <w:pPr>
        <w:tabs>
          <w:tab w:val="left" w:pos="0"/>
        </w:tabs>
        <w:ind w:left="1124" w:hanging="420"/>
      </w:pPr>
      <w:rPr>
        <w:rFonts w:hint="default" w:ascii="Times New Roman" w:hAnsi="Times New Roman" w:cs="Times New Roman"/>
      </w:rPr>
    </w:lvl>
    <w:lvl w:ilvl="2" w:tentative="0">
      <w:start w:val="1"/>
      <w:numFmt w:val="lowerRoman"/>
      <w:lvlText w:val="%3."/>
      <w:lvlJc w:val="right"/>
      <w:pPr>
        <w:tabs>
          <w:tab w:val="left" w:pos="0"/>
        </w:tabs>
        <w:ind w:left="1544" w:hanging="420"/>
      </w:pPr>
      <w:rPr>
        <w:rFonts w:hint="default" w:ascii="Times New Roman" w:hAnsi="Times New Roman" w:cs="Times New Roman"/>
      </w:rPr>
    </w:lvl>
    <w:lvl w:ilvl="3" w:tentative="0">
      <w:start w:val="1"/>
      <w:numFmt w:val="decimal"/>
      <w:lvlText w:val="%4."/>
      <w:lvlJc w:val="left"/>
      <w:pPr>
        <w:tabs>
          <w:tab w:val="left" w:pos="0"/>
        </w:tabs>
        <w:ind w:left="1964" w:hanging="420"/>
      </w:pPr>
      <w:rPr>
        <w:rFonts w:hint="default" w:ascii="Times New Roman" w:hAnsi="Times New Roman" w:cs="Times New Roman"/>
      </w:rPr>
    </w:lvl>
    <w:lvl w:ilvl="4" w:tentative="0">
      <w:start w:val="1"/>
      <w:numFmt w:val="lowerLetter"/>
      <w:lvlText w:val="%5)"/>
      <w:lvlJc w:val="left"/>
      <w:pPr>
        <w:tabs>
          <w:tab w:val="left" w:pos="0"/>
        </w:tabs>
        <w:ind w:left="2384" w:hanging="420"/>
      </w:pPr>
      <w:rPr>
        <w:rFonts w:hint="default" w:ascii="Times New Roman" w:hAnsi="Times New Roman" w:cs="Times New Roman"/>
      </w:rPr>
    </w:lvl>
    <w:lvl w:ilvl="5" w:tentative="0">
      <w:start w:val="1"/>
      <w:numFmt w:val="lowerRoman"/>
      <w:lvlText w:val="%6."/>
      <w:lvlJc w:val="right"/>
      <w:pPr>
        <w:tabs>
          <w:tab w:val="left" w:pos="0"/>
        </w:tabs>
        <w:ind w:left="2804" w:hanging="420"/>
      </w:pPr>
      <w:rPr>
        <w:rFonts w:hint="default" w:ascii="Times New Roman" w:hAnsi="Times New Roman" w:cs="Times New Roman"/>
      </w:rPr>
    </w:lvl>
    <w:lvl w:ilvl="6" w:tentative="0">
      <w:start w:val="1"/>
      <w:numFmt w:val="decimal"/>
      <w:lvlText w:val="%7."/>
      <w:lvlJc w:val="left"/>
      <w:pPr>
        <w:tabs>
          <w:tab w:val="left" w:pos="0"/>
        </w:tabs>
        <w:ind w:left="3224" w:hanging="420"/>
      </w:pPr>
      <w:rPr>
        <w:rFonts w:hint="default" w:ascii="Times New Roman" w:hAnsi="Times New Roman" w:cs="Times New Roman"/>
      </w:rPr>
    </w:lvl>
    <w:lvl w:ilvl="7" w:tentative="0">
      <w:start w:val="1"/>
      <w:numFmt w:val="lowerLetter"/>
      <w:lvlText w:val="%8)"/>
      <w:lvlJc w:val="left"/>
      <w:pPr>
        <w:tabs>
          <w:tab w:val="left" w:pos="0"/>
        </w:tabs>
        <w:ind w:left="3644" w:hanging="420"/>
      </w:pPr>
      <w:rPr>
        <w:rFonts w:hint="default" w:ascii="Times New Roman" w:hAnsi="Times New Roman" w:cs="Times New Roman"/>
      </w:rPr>
    </w:lvl>
    <w:lvl w:ilvl="8" w:tentative="0">
      <w:start w:val="1"/>
      <w:numFmt w:val="lowerRoman"/>
      <w:lvlText w:val="%9."/>
      <w:lvlJc w:val="right"/>
      <w:pPr>
        <w:tabs>
          <w:tab w:val="left" w:pos="0"/>
        </w:tabs>
        <w:ind w:left="4064" w:hanging="420"/>
      </w:pPr>
      <w:rPr>
        <w:rFonts w:hint="default" w:ascii="Times New Roman" w:hAnsi="Times New Roman" w:cs="Times New Roman"/>
      </w:rPr>
    </w:lvl>
  </w:abstractNum>
  <w:abstractNum w:abstractNumId="82">
    <w:nsid w:val="56190ECE"/>
    <w:multiLevelType w:val="singleLevel"/>
    <w:tmpl w:val="56190ECE"/>
    <w:lvl w:ilvl="0" w:tentative="0">
      <w:start w:val="1"/>
      <w:numFmt w:val="chineseCounting"/>
      <w:suff w:val="nothing"/>
      <w:lvlText w:val="%1、"/>
      <w:lvlJc w:val="left"/>
      <w:rPr>
        <w:rFonts w:cs="Times New Roman"/>
      </w:rPr>
    </w:lvl>
  </w:abstractNum>
  <w:abstractNum w:abstractNumId="83">
    <w:nsid w:val="59555B10"/>
    <w:multiLevelType w:val="multilevel"/>
    <w:tmpl w:val="59555B10"/>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4">
    <w:nsid w:val="5ACD3B7E"/>
    <w:multiLevelType w:val="multilevel"/>
    <w:tmpl w:val="5ACD3B7E"/>
    <w:lvl w:ilvl="0" w:tentative="0">
      <w:start w:val="11"/>
      <w:numFmt w:val="decimal"/>
      <w:lvlText w:val="（%1）"/>
      <w:lvlJc w:val="left"/>
      <w:pPr>
        <w:ind w:left="1176" w:hanging="756"/>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5">
    <w:nsid w:val="5BCC5E88"/>
    <w:multiLevelType w:val="multilevel"/>
    <w:tmpl w:val="5BCC5E88"/>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6">
    <w:nsid w:val="5DFD741F"/>
    <w:multiLevelType w:val="multilevel"/>
    <w:tmpl w:val="5DFD741F"/>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7">
    <w:nsid w:val="5E9D2487"/>
    <w:multiLevelType w:val="singleLevel"/>
    <w:tmpl w:val="5E9D2487"/>
    <w:lvl w:ilvl="0" w:tentative="0">
      <w:start w:val="4"/>
      <w:numFmt w:val="decimal"/>
      <w:suff w:val="nothing"/>
      <w:lvlText w:val="%1、"/>
      <w:lvlJc w:val="left"/>
    </w:lvl>
  </w:abstractNum>
  <w:abstractNum w:abstractNumId="88">
    <w:nsid w:val="5ECC921B"/>
    <w:multiLevelType w:val="singleLevel"/>
    <w:tmpl w:val="5ECC921B"/>
    <w:lvl w:ilvl="0" w:tentative="0">
      <w:start w:val="1"/>
      <w:numFmt w:val="decimal"/>
      <w:lvlText w:val="%1."/>
      <w:lvlJc w:val="left"/>
      <w:pPr>
        <w:ind w:left="425" w:hanging="425"/>
      </w:pPr>
      <w:rPr>
        <w:rFonts w:hint="default"/>
      </w:rPr>
    </w:lvl>
  </w:abstractNum>
  <w:abstractNum w:abstractNumId="89">
    <w:nsid w:val="6189141F"/>
    <w:multiLevelType w:val="multilevel"/>
    <w:tmpl w:val="6189141F"/>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0">
    <w:nsid w:val="69106B7A"/>
    <w:multiLevelType w:val="multilevel"/>
    <w:tmpl w:val="69106B7A"/>
    <w:lvl w:ilvl="0" w:tentative="0">
      <w:start w:val="14"/>
      <w:numFmt w:val="decimal"/>
      <w:lvlText w:val="%1．"/>
      <w:lvlJc w:val="left"/>
      <w:pPr>
        <w:ind w:left="600" w:hanging="6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6D634A6E"/>
    <w:multiLevelType w:val="multilevel"/>
    <w:tmpl w:val="6D634A6E"/>
    <w:lvl w:ilvl="0" w:tentative="0">
      <w:start w:val="2"/>
      <w:numFmt w:val="decimal"/>
      <w:lvlText w:val="%1）"/>
      <w:lvlJc w:val="left"/>
      <w:pPr>
        <w:ind w:left="780" w:hanging="360"/>
      </w:pPr>
      <w:rPr>
        <w:rFonts w:hint="default"/>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2">
    <w:nsid w:val="6D73240B"/>
    <w:multiLevelType w:val="multilevel"/>
    <w:tmpl w:val="6D73240B"/>
    <w:lvl w:ilvl="0" w:tentative="0">
      <w:start w:val="1"/>
      <w:numFmt w:val="bullet"/>
      <w:lvlText w:val=""/>
      <w:lvlJc w:val="left"/>
      <w:pPr>
        <w:ind w:left="900" w:hanging="420"/>
      </w:pPr>
      <w:rPr>
        <w:rFonts w:hint="default" w:ascii="Wingdings" w:hAnsi="Wingdings"/>
      </w:rPr>
    </w:lvl>
    <w:lvl w:ilvl="1" w:tentative="0">
      <w:start w:val="2"/>
      <w:numFmt w:val="decimal"/>
      <w:lvlText w:val="（%2）"/>
      <w:lvlJc w:val="left"/>
      <w:pPr>
        <w:ind w:left="1620" w:hanging="720"/>
      </w:pPr>
      <w:rPr>
        <w:rFonts w:hint="default"/>
      </w:rPr>
    </w:lvl>
    <w:lvl w:ilvl="2" w:tentative="0">
      <w:start w:val="1"/>
      <w:numFmt w:val="decimal"/>
      <w:lvlText w:val="%3、"/>
      <w:lvlJc w:val="left"/>
      <w:pPr>
        <w:ind w:left="1680" w:hanging="360"/>
      </w:pPr>
      <w:rPr>
        <w:rFonts w:hint="default"/>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3">
    <w:nsid w:val="6E0B5B81"/>
    <w:multiLevelType w:val="multilevel"/>
    <w:tmpl w:val="6E0B5B81"/>
    <w:lvl w:ilvl="0" w:tentative="0">
      <w:start w:val="6"/>
      <w:numFmt w:val="decimal"/>
      <w:lvlText w:val="%1"/>
      <w:lvlJc w:val="left"/>
      <w:pPr>
        <w:ind w:left="636" w:hanging="636"/>
      </w:pPr>
      <w:rPr>
        <w:rFonts w:hint="default"/>
      </w:rPr>
    </w:lvl>
    <w:lvl w:ilvl="1" w:tentative="0">
      <w:start w:val="1"/>
      <w:numFmt w:val="decimal"/>
      <w:lvlText w:val="%1.%2"/>
      <w:lvlJc w:val="left"/>
      <w:pPr>
        <w:ind w:left="877" w:hanging="636"/>
      </w:pPr>
      <w:rPr>
        <w:rFonts w:hint="default"/>
      </w:rPr>
    </w:lvl>
    <w:lvl w:ilvl="2" w:tentative="0">
      <w:start w:val="8"/>
      <w:numFmt w:val="decimal"/>
      <w:lvlText w:val="%1.%2.%3"/>
      <w:lvlJc w:val="left"/>
      <w:pPr>
        <w:ind w:left="1202" w:hanging="720"/>
      </w:pPr>
      <w:rPr>
        <w:rFonts w:hint="default"/>
      </w:rPr>
    </w:lvl>
    <w:lvl w:ilvl="3" w:tentative="0">
      <w:start w:val="1"/>
      <w:numFmt w:val="decimal"/>
      <w:lvlText w:val="%1.%2.%3.%4"/>
      <w:lvlJc w:val="left"/>
      <w:pPr>
        <w:ind w:left="1803" w:hanging="1080"/>
      </w:pPr>
      <w:rPr>
        <w:rFonts w:hint="default"/>
      </w:rPr>
    </w:lvl>
    <w:lvl w:ilvl="4" w:tentative="0">
      <w:start w:val="1"/>
      <w:numFmt w:val="decimal"/>
      <w:lvlText w:val="%1.%2.%3.%4.%5"/>
      <w:lvlJc w:val="left"/>
      <w:pPr>
        <w:ind w:left="2044" w:hanging="1080"/>
      </w:pPr>
      <w:rPr>
        <w:rFonts w:hint="default"/>
      </w:rPr>
    </w:lvl>
    <w:lvl w:ilvl="5" w:tentative="0">
      <w:start w:val="1"/>
      <w:numFmt w:val="decimal"/>
      <w:lvlText w:val="%1.%2.%3.%4.%5.%6"/>
      <w:lvlJc w:val="left"/>
      <w:pPr>
        <w:ind w:left="2645" w:hanging="1440"/>
      </w:pPr>
      <w:rPr>
        <w:rFonts w:hint="default"/>
      </w:rPr>
    </w:lvl>
    <w:lvl w:ilvl="6" w:tentative="0">
      <w:start w:val="1"/>
      <w:numFmt w:val="decimal"/>
      <w:lvlText w:val="%1.%2.%3.%4.%5.%6.%7"/>
      <w:lvlJc w:val="left"/>
      <w:pPr>
        <w:ind w:left="3246" w:hanging="1800"/>
      </w:pPr>
      <w:rPr>
        <w:rFonts w:hint="default"/>
      </w:rPr>
    </w:lvl>
    <w:lvl w:ilvl="7" w:tentative="0">
      <w:start w:val="1"/>
      <w:numFmt w:val="decimal"/>
      <w:lvlText w:val="%1.%2.%3.%4.%5.%6.%7.%8"/>
      <w:lvlJc w:val="left"/>
      <w:pPr>
        <w:ind w:left="3487" w:hanging="1800"/>
      </w:pPr>
      <w:rPr>
        <w:rFonts w:hint="default"/>
      </w:rPr>
    </w:lvl>
    <w:lvl w:ilvl="8" w:tentative="0">
      <w:start w:val="1"/>
      <w:numFmt w:val="decimal"/>
      <w:lvlText w:val="%1.%2.%3.%4.%5.%6.%7.%8.%9"/>
      <w:lvlJc w:val="left"/>
      <w:pPr>
        <w:ind w:left="4088" w:hanging="2160"/>
      </w:pPr>
      <w:rPr>
        <w:rFonts w:hint="default"/>
      </w:rPr>
    </w:lvl>
  </w:abstractNum>
  <w:abstractNum w:abstractNumId="94">
    <w:nsid w:val="6F304168"/>
    <w:multiLevelType w:val="multilevel"/>
    <w:tmpl w:val="6F304168"/>
    <w:lvl w:ilvl="0" w:tentative="0">
      <w:start w:val="1"/>
      <w:numFmt w:val="chineseCountingThousand"/>
      <w:lvlText w:val="(%1)"/>
      <w:lvlJc w:val="left"/>
      <w:pPr>
        <w:ind w:left="420" w:hanging="420"/>
      </w:pPr>
      <w:rPr>
        <w:rFonts w:hint="eastAsia"/>
        <w:sz w:val="32"/>
      </w:rPr>
    </w:lvl>
    <w:lvl w:ilvl="1" w:tentative="0">
      <w:start w:val="1"/>
      <w:numFmt w:val="decimal"/>
      <w:lvlText w:val="（%2）"/>
      <w:lvlJc w:val="left"/>
      <w:pPr>
        <w:ind w:left="852" w:hanging="432"/>
      </w:pPr>
      <w:rPr>
        <w:rFonts w:hint="default" w:cs="TimesNewRomanPSMT"/>
      </w:rPr>
    </w:lvl>
    <w:lvl w:ilvl="2" w:tentative="0">
      <w:start w:val="1"/>
      <w:numFmt w:val="decimal"/>
      <w:lvlText w:val="（%3）"/>
      <w:lvlJc w:val="left"/>
      <w:pPr>
        <w:ind w:left="1200" w:hanging="360"/>
      </w:pPr>
      <w:rPr>
        <w:rFonts w:ascii="仿宋_GB2312" w:hAnsi="等线" w:eastAsia="仿宋_GB2312" w:cs="宋体"/>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6F915EE0"/>
    <w:multiLevelType w:val="multilevel"/>
    <w:tmpl w:val="6F915EE0"/>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6">
    <w:nsid w:val="703736A0"/>
    <w:multiLevelType w:val="multilevel"/>
    <w:tmpl w:val="703736A0"/>
    <w:lvl w:ilvl="0" w:tentative="0">
      <w:start w:val="1"/>
      <w:numFmt w:val="chineseCountingThousand"/>
      <w:pStyle w:val="4"/>
      <w:lvlText w:val="(%1)"/>
      <w:lvlJc w:val="left"/>
      <w:pPr>
        <w:ind w:left="420" w:hanging="420"/>
      </w:pPr>
      <w:rPr>
        <w:rFonts w:hint="eastAsia"/>
        <w:sz w:val="32"/>
      </w:rPr>
    </w:lvl>
    <w:lvl w:ilvl="1" w:tentative="0">
      <w:start w:val="1"/>
      <w:numFmt w:val="decimal"/>
      <w:lvlText w:val="（%2）"/>
      <w:lvlJc w:val="left"/>
      <w:pPr>
        <w:ind w:left="852" w:hanging="432"/>
      </w:pPr>
      <w:rPr>
        <w:rFonts w:hint="default" w:ascii="TimesNewRomanPSMT" w:eastAsia="TimesNewRomanPSMT" w:cs="TimesNewRomanPSMT"/>
      </w:rPr>
    </w:lvl>
    <w:lvl w:ilvl="2" w:tentative="0">
      <w:start w:val="1"/>
      <w:numFmt w:val="decimal"/>
      <w:lvlText w:val="（%3）"/>
      <w:lvlJc w:val="left"/>
      <w:pPr>
        <w:ind w:left="1200" w:hanging="360"/>
      </w:pPr>
      <w:rPr>
        <w:rFonts w:ascii="仿宋_GB2312" w:hAnsi="等线" w:eastAsia="仿宋_GB2312" w:cs="宋体"/>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7">
    <w:nsid w:val="70BD4455"/>
    <w:multiLevelType w:val="multilevel"/>
    <w:tmpl w:val="70BD4455"/>
    <w:lvl w:ilvl="0" w:tentative="0">
      <w:start w:val="4"/>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8">
    <w:nsid w:val="73902A87"/>
    <w:multiLevelType w:val="multilevel"/>
    <w:tmpl w:val="73902A87"/>
    <w:lvl w:ilvl="0" w:tentative="0">
      <w:start w:val="1"/>
      <w:numFmt w:val="decimal"/>
      <w:lvlText w:val="%1."/>
      <w:lvlJc w:val="left"/>
      <w:pPr>
        <w:ind w:left="786" w:hanging="360"/>
      </w:pPr>
      <w:rPr>
        <w:rFonts w:hint="default" w:hAnsi="宋体" w:eastAsia="宋体"/>
        <w:sz w:val="24"/>
        <w:szCs w:val="24"/>
      </w:rPr>
    </w:lvl>
    <w:lvl w:ilvl="1" w:tentative="0">
      <w:start w:val="1"/>
      <w:numFmt w:val="decimal"/>
      <w:isLgl/>
      <w:lvlText w:val="%1.%2"/>
      <w:lvlJc w:val="left"/>
      <w:pPr>
        <w:ind w:left="1146" w:hanging="720"/>
      </w:pPr>
      <w:rPr>
        <w:rFonts w:hint="default"/>
      </w:rPr>
    </w:lvl>
    <w:lvl w:ilvl="2" w:tentative="0">
      <w:start w:val="1"/>
      <w:numFmt w:val="decimal"/>
      <w:isLgl/>
      <w:lvlText w:val="%1.%2.%3"/>
      <w:lvlJc w:val="left"/>
      <w:pPr>
        <w:ind w:left="1146" w:hanging="720"/>
      </w:pPr>
      <w:rPr>
        <w:rFonts w:hint="default"/>
      </w:rPr>
    </w:lvl>
    <w:lvl w:ilvl="3" w:tentative="0">
      <w:start w:val="1"/>
      <w:numFmt w:val="decimal"/>
      <w:isLgl/>
      <w:lvlText w:val="%1.%2.%3.%4"/>
      <w:lvlJc w:val="left"/>
      <w:pPr>
        <w:ind w:left="1506" w:hanging="1080"/>
      </w:pPr>
      <w:rPr>
        <w:rFonts w:hint="default"/>
      </w:rPr>
    </w:lvl>
    <w:lvl w:ilvl="4" w:tentative="0">
      <w:start w:val="1"/>
      <w:numFmt w:val="decimal"/>
      <w:isLgl/>
      <w:lvlText w:val="%1.%2.%3.%4.%5"/>
      <w:lvlJc w:val="left"/>
      <w:pPr>
        <w:ind w:left="1866" w:hanging="1440"/>
      </w:pPr>
      <w:rPr>
        <w:rFonts w:hint="default"/>
      </w:rPr>
    </w:lvl>
    <w:lvl w:ilvl="5" w:tentative="0">
      <w:start w:val="1"/>
      <w:numFmt w:val="decimal"/>
      <w:isLgl/>
      <w:lvlText w:val="%1.%2.%3.%4.%5.%6"/>
      <w:lvlJc w:val="left"/>
      <w:pPr>
        <w:ind w:left="2226" w:hanging="1800"/>
      </w:pPr>
      <w:rPr>
        <w:rFonts w:hint="default"/>
      </w:rPr>
    </w:lvl>
    <w:lvl w:ilvl="6" w:tentative="0">
      <w:start w:val="1"/>
      <w:numFmt w:val="decimal"/>
      <w:isLgl/>
      <w:lvlText w:val="%1.%2.%3.%4.%5.%6.%7"/>
      <w:lvlJc w:val="left"/>
      <w:pPr>
        <w:ind w:left="2226" w:hanging="1800"/>
      </w:pPr>
      <w:rPr>
        <w:rFonts w:hint="default"/>
      </w:rPr>
    </w:lvl>
    <w:lvl w:ilvl="7" w:tentative="0">
      <w:start w:val="1"/>
      <w:numFmt w:val="decimal"/>
      <w:isLgl/>
      <w:lvlText w:val="%1.%2.%3.%4.%5.%6.%7.%8"/>
      <w:lvlJc w:val="left"/>
      <w:pPr>
        <w:ind w:left="2586" w:hanging="2160"/>
      </w:pPr>
      <w:rPr>
        <w:rFonts w:hint="default"/>
      </w:rPr>
    </w:lvl>
    <w:lvl w:ilvl="8" w:tentative="0">
      <w:start w:val="1"/>
      <w:numFmt w:val="decimal"/>
      <w:isLgl/>
      <w:lvlText w:val="%1.%2.%3.%4.%5.%6.%7.%8.%9"/>
      <w:lvlJc w:val="left"/>
      <w:pPr>
        <w:ind w:left="2946" w:hanging="2520"/>
      </w:pPr>
      <w:rPr>
        <w:rFonts w:hint="default"/>
      </w:rPr>
    </w:lvl>
  </w:abstractNum>
  <w:abstractNum w:abstractNumId="99">
    <w:nsid w:val="7614248B"/>
    <w:multiLevelType w:val="multilevel"/>
    <w:tmpl w:val="7614248B"/>
    <w:lvl w:ilvl="0" w:tentative="0">
      <w:start w:val="8"/>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0">
    <w:nsid w:val="78FB1742"/>
    <w:multiLevelType w:val="multilevel"/>
    <w:tmpl w:val="78FB1742"/>
    <w:lvl w:ilvl="0" w:tentative="0">
      <w:start w:val="1"/>
      <w:numFmt w:val="decimal"/>
      <w:lvlText w:val="（%1）"/>
      <w:lvlJc w:val="left"/>
      <w:pPr>
        <w:tabs>
          <w:tab w:val="left" w:pos="0"/>
        </w:tabs>
        <w:ind w:left="852" w:hanging="432"/>
      </w:pPr>
      <w:rPr>
        <w:rFonts w:hint="default" w:ascii="Times New Roman" w:hAnsi="Times New Roman" w:cs="TimesNewRomanPSMT"/>
      </w:rPr>
    </w:lvl>
    <w:lvl w:ilvl="1" w:tentative="0">
      <w:start w:val="1"/>
      <w:numFmt w:val="lowerLetter"/>
      <w:lvlText w:val="%2)"/>
      <w:lvlJc w:val="left"/>
      <w:pPr>
        <w:tabs>
          <w:tab w:val="left" w:pos="0"/>
        </w:tabs>
        <w:ind w:left="840" w:hanging="420"/>
      </w:pPr>
      <w:rPr>
        <w:rFonts w:hint="default" w:ascii="Times New Roman" w:hAnsi="Times New Roman" w:cs="Times New Roman"/>
      </w:rPr>
    </w:lvl>
    <w:lvl w:ilvl="2" w:tentative="0">
      <w:start w:val="1"/>
      <w:numFmt w:val="lowerRoman"/>
      <w:lvlText w:val="%3."/>
      <w:lvlJc w:val="right"/>
      <w:pPr>
        <w:tabs>
          <w:tab w:val="left" w:pos="0"/>
        </w:tabs>
        <w:ind w:left="1260" w:hanging="420"/>
      </w:pPr>
      <w:rPr>
        <w:rFonts w:hint="default" w:ascii="Times New Roman" w:hAnsi="Times New Roman" w:cs="Times New Roman"/>
      </w:rPr>
    </w:lvl>
    <w:lvl w:ilvl="3" w:tentative="0">
      <w:start w:val="1"/>
      <w:numFmt w:val="decimal"/>
      <w:lvlText w:val="%4."/>
      <w:lvlJc w:val="left"/>
      <w:pPr>
        <w:tabs>
          <w:tab w:val="left" w:pos="0"/>
        </w:tabs>
        <w:ind w:left="1680" w:hanging="420"/>
      </w:pPr>
      <w:rPr>
        <w:rFonts w:hint="default" w:ascii="Times New Roman" w:hAnsi="Times New Roman" w:cs="Times New Roman"/>
      </w:rPr>
    </w:lvl>
    <w:lvl w:ilvl="4" w:tentative="0">
      <w:start w:val="1"/>
      <w:numFmt w:val="lowerLetter"/>
      <w:lvlText w:val="%5)"/>
      <w:lvlJc w:val="left"/>
      <w:pPr>
        <w:tabs>
          <w:tab w:val="left" w:pos="0"/>
        </w:tabs>
        <w:ind w:left="2100" w:hanging="420"/>
      </w:pPr>
      <w:rPr>
        <w:rFonts w:hint="default" w:ascii="Times New Roman" w:hAnsi="Times New Roman" w:cs="Times New Roman"/>
      </w:rPr>
    </w:lvl>
    <w:lvl w:ilvl="5" w:tentative="0">
      <w:start w:val="1"/>
      <w:numFmt w:val="lowerRoman"/>
      <w:lvlText w:val="%6."/>
      <w:lvlJc w:val="right"/>
      <w:pPr>
        <w:tabs>
          <w:tab w:val="left" w:pos="0"/>
        </w:tabs>
        <w:ind w:left="2520" w:hanging="420"/>
      </w:pPr>
      <w:rPr>
        <w:rFonts w:hint="default" w:ascii="Times New Roman" w:hAnsi="Times New Roman" w:cs="Times New Roman"/>
      </w:rPr>
    </w:lvl>
    <w:lvl w:ilvl="6" w:tentative="0">
      <w:start w:val="1"/>
      <w:numFmt w:val="decimal"/>
      <w:lvlText w:val="%7."/>
      <w:lvlJc w:val="left"/>
      <w:pPr>
        <w:tabs>
          <w:tab w:val="left" w:pos="0"/>
        </w:tabs>
        <w:ind w:left="2940" w:hanging="420"/>
      </w:pPr>
      <w:rPr>
        <w:rFonts w:hint="default" w:ascii="Times New Roman" w:hAnsi="Times New Roman" w:cs="Times New Roman"/>
      </w:rPr>
    </w:lvl>
    <w:lvl w:ilvl="7" w:tentative="0">
      <w:start w:val="1"/>
      <w:numFmt w:val="lowerLetter"/>
      <w:lvlText w:val="%8)"/>
      <w:lvlJc w:val="left"/>
      <w:pPr>
        <w:tabs>
          <w:tab w:val="left" w:pos="0"/>
        </w:tabs>
        <w:ind w:left="3360" w:hanging="420"/>
      </w:pPr>
      <w:rPr>
        <w:rFonts w:hint="default" w:ascii="Times New Roman" w:hAnsi="Times New Roman" w:cs="Times New Roman"/>
      </w:rPr>
    </w:lvl>
    <w:lvl w:ilvl="8" w:tentative="0">
      <w:start w:val="1"/>
      <w:numFmt w:val="lowerRoman"/>
      <w:lvlText w:val="%9."/>
      <w:lvlJc w:val="right"/>
      <w:pPr>
        <w:tabs>
          <w:tab w:val="left" w:pos="0"/>
        </w:tabs>
        <w:ind w:left="3780" w:hanging="420"/>
      </w:pPr>
      <w:rPr>
        <w:rFonts w:hint="default" w:ascii="Times New Roman" w:hAnsi="Times New Roman" w:cs="Times New Roman"/>
      </w:rPr>
    </w:lvl>
  </w:abstractNum>
  <w:abstractNum w:abstractNumId="101">
    <w:nsid w:val="7E682022"/>
    <w:multiLevelType w:val="multilevel"/>
    <w:tmpl w:val="7E682022"/>
    <w:lvl w:ilvl="0" w:tentative="0">
      <w:start w:val="1"/>
      <w:numFmt w:val="decimal"/>
      <w:lvlText w:val="（%1）"/>
      <w:lvlJc w:val="left"/>
      <w:pPr>
        <w:ind w:left="900" w:hanging="420"/>
      </w:pPr>
      <w:rPr>
        <w:rFonts w:hint="default"/>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96"/>
  </w:num>
  <w:num w:numId="2">
    <w:abstractNumId w:val="82"/>
  </w:num>
  <w:num w:numId="3">
    <w:abstractNumId w:val="2"/>
  </w:num>
  <w:num w:numId="4">
    <w:abstractNumId w:val="90"/>
  </w:num>
  <w:num w:numId="5">
    <w:abstractNumId w:val="33"/>
  </w:num>
  <w:num w:numId="6">
    <w:abstractNumId w:val="81"/>
  </w:num>
  <w:num w:numId="7">
    <w:abstractNumId w:val="29"/>
  </w:num>
  <w:num w:numId="8">
    <w:abstractNumId w:val="100"/>
  </w:num>
  <w:num w:numId="9">
    <w:abstractNumId w:val="48"/>
  </w:num>
  <w:num w:numId="10">
    <w:abstractNumId w:val="61"/>
  </w:num>
  <w:num w:numId="11">
    <w:abstractNumId w:val="72"/>
  </w:num>
  <w:num w:numId="12">
    <w:abstractNumId w:val="91"/>
  </w:num>
  <w:num w:numId="13">
    <w:abstractNumId w:val="52"/>
  </w:num>
  <w:num w:numId="14">
    <w:abstractNumId w:val="92"/>
  </w:num>
  <w:num w:numId="15">
    <w:abstractNumId w:val="57"/>
  </w:num>
  <w:num w:numId="16">
    <w:abstractNumId w:val="71"/>
  </w:num>
  <w:num w:numId="17">
    <w:abstractNumId w:val="21"/>
  </w:num>
  <w:num w:numId="18">
    <w:abstractNumId w:val="23"/>
  </w:num>
  <w:num w:numId="19">
    <w:abstractNumId w:val="28"/>
  </w:num>
  <w:num w:numId="20">
    <w:abstractNumId w:val="84"/>
  </w:num>
  <w:num w:numId="21">
    <w:abstractNumId w:val="25"/>
  </w:num>
  <w:num w:numId="22">
    <w:abstractNumId w:val="66"/>
  </w:num>
  <w:num w:numId="23">
    <w:abstractNumId w:val="78"/>
  </w:num>
  <w:num w:numId="24">
    <w:abstractNumId w:val="47"/>
  </w:num>
  <w:num w:numId="25">
    <w:abstractNumId w:val="32"/>
  </w:num>
  <w:num w:numId="26">
    <w:abstractNumId w:val="24"/>
  </w:num>
  <w:num w:numId="27">
    <w:abstractNumId w:val="77"/>
  </w:num>
  <w:num w:numId="28">
    <w:abstractNumId w:val="99"/>
  </w:num>
  <w:num w:numId="29">
    <w:abstractNumId w:val="20"/>
  </w:num>
  <w:num w:numId="30">
    <w:abstractNumId w:val="18"/>
  </w:num>
  <w:num w:numId="31">
    <w:abstractNumId w:val="43"/>
  </w:num>
  <w:num w:numId="32">
    <w:abstractNumId w:val="58"/>
  </w:num>
  <w:num w:numId="33">
    <w:abstractNumId w:val="62"/>
  </w:num>
  <w:num w:numId="34">
    <w:abstractNumId w:val="86"/>
  </w:num>
  <w:num w:numId="35">
    <w:abstractNumId w:val="51"/>
  </w:num>
  <w:num w:numId="36">
    <w:abstractNumId w:val="40"/>
  </w:num>
  <w:num w:numId="37">
    <w:abstractNumId w:val="4"/>
  </w:num>
  <w:num w:numId="38">
    <w:abstractNumId w:val="94"/>
  </w:num>
  <w:num w:numId="39">
    <w:abstractNumId w:val="76"/>
  </w:num>
  <w:num w:numId="40">
    <w:abstractNumId w:val="68"/>
  </w:num>
  <w:num w:numId="41">
    <w:abstractNumId w:val="93"/>
  </w:num>
  <w:num w:numId="42">
    <w:abstractNumId w:val="27"/>
  </w:num>
  <w:num w:numId="43">
    <w:abstractNumId w:val="22"/>
  </w:num>
  <w:num w:numId="44">
    <w:abstractNumId w:val="63"/>
  </w:num>
  <w:num w:numId="45">
    <w:abstractNumId w:val="36"/>
  </w:num>
  <w:num w:numId="46">
    <w:abstractNumId w:val="30"/>
  </w:num>
  <w:num w:numId="47">
    <w:abstractNumId w:val="10"/>
  </w:num>
  <w:num w:numId="48">
    <w:abstractNumId w:val="17"/>
  </w:num>
  <w:num w:numId="49">
    <w:abstractNumId w:val="3"/>
  </w:num>
  <w:num w:numId="50">
    <w:abstractNumId w:val="70"/>
  </w:num>
  <w:num w:numId="51">
    <w:abstractNumId w:val="98"/>
  </w:num>
  <w:num w:numId="52">
    <w:abstractNumId w:val="55"/>
  </w:num>
  <w:num w:numId="53">
    <w:abstractNumId w:val="60"/>
  </w:num>
  <w:num w:numId="54">
    <w:abstractNumId w:val="35"/>
  </w:num>
  <w:num w:numId="55">
    <w:abstractNumId w:val="39"/>
  </w:num>
  <w:num w:numId="56">
    <w:abstractNumId w:val="45"/>
  </w:num>
  <w:num w:numId="57">
    <w:abstractNumId w:val="101"/>
  </w:num>
  <w:num w:numId="58">
    <w:abstractNumId w:val="44"/>
  </w:num>
  <w:num w:numId="59">
    <w:abstractNumId w:val="89"/>
  </w:num>
  <w:num w:numId="60">
    <w:abstractNumId w:val="95"/>
  </w:num>
  <w:num w:numId="61">
    <w:abstractNumId w:val="73"/>
  </w:num>
  <w:num w:numId="62">
    <w:abstractNumId w:val="14"/>
  </w:num>
  <w:num w:numId="63">
    <w:abstractNumId w:val="67"/>
  </w:num>
  <w:num w:numId="64">
    <w:abstractNumId w:val="83"/>
  </w:num>
  <w:num w:numId="65">
    <w:abstractNumId w:val="80"/>
  </w:num>
  <w:num w:numId="66">
    <w:abstractNumId w:val="15"/>
  </w:num>
  <w:num w:numId="67">
    <w:abstractNumId w:val="19"/>
  </w:num>
  <w:num w:numId="68">
    <w:abstractNumId w:val="16"/>
  </w:num>
  <w:num w:numId="69">
    <w:abstractNumId w:val="64"/>
  </w:num>
  <w:num w:numId="70">
    <w:abstractNumId w:val="56"/>
  </w:num>
  <w:num w:numId="71">
    <w:abstractNumId w:val="59"/>
  </w:num>
  <w:num w:numId="72">
    <w:abstractNumId w:val="13"/>
  </w:num>
  <w:num w:numId="73">
    <w:abstractNumId w:val="75"/>
  </w:num>
  <w:num w:numId="74">
    <w:abstractNumId w:val="65"/>
  </w:num>
  <w:num w:numId="75">
    <w:abstractNumId w:val="54"/>
  </w:num>
  <w:num w:numId="76">
    <w:abstractNumId w:val="46"/>
  </w:num>
  <w:num w:numId="77">
    <w:abstractNumId w:val="12"/>
  </w:num>
  <w:num w:numId="78">
    <w:abstractNumId w:val="1"/>
  </w:num>
  <w:num w:numId="79">
    <w:abstractNumId w:val="5"/>
  </w:num>
  <w:num w:numId="80">
    <w:abstractNumId w:val="85"/>
  </w:num>
  <w:num w:numId="81">
    <w:abstractNumId w:val="88"/>
  </w:num>
  <w:num w:numId="82">
    <w:abstractNumId w:val="87"/>
  </w:num>
  <w:num w:numId="83">
    <w:abstractNumId w:val="38"/>
  </w:num>
  <w:num w:numId="84">
    <w:abstractNumId w:val="37"/>
  </w:num>
  <w:num w:numId="85">
    <w:abstractNumId w:val="50"/>
  </w:num>
  <w:num w:numId="86">
    <w:abstractNumId w:val="26"/>
  </w:num>
  <w:num w:numId="87">
    <w:abstractNumId w:val="79"/>
  </w:num>
  <w:num w:numId="88">
    <w:abstractNumId w:val="53"/>
  </w:num>
  <w:num w:numId="89">
    <w:abstractNumId w:val="34"/>
  </w:num>
  <w:num w:numId="90">
    <w:abstractNumId w:val="0"/>
  </w:num>
  <w:num w:numId="91">
    <w:abstractNumId w:val="6"/>
  </w:num>
  <w:num w:numId="92">
    <w:abstractNumId w:val="8"/>
  </w:num>
  <w:num w:numId="93">
    <w:abstractNumId w:val="69"/>
  </w:num>
  <w:num w:numId="94">
    <w:abstractNumId w:val="49"/>
  </w:num>
  <w:num w:numId="95">
    <w:abstractNumId w:val="11"/>
  </w:num>
  <w:num w:numId="96">
    <w:abstractNumId w:val="97"/>
  </w:num>
  <w:num w:numId="97">
    <w:abstractNumId w:val="42"/>
  </w:num>
  <w:num w:numId="98">
    <w:abstractNumId w:val="9"/>
  </w:num>
  <w:num w:numId="99">
    <w:abstractNumId w:val="74"/>
  </w:num>
  <w:num w:numId="100">
    <w:abstractNumId w:val="7"/>
  </w:num>
  <w:num w:numId="101">
    <w:abstractNumId w:val="31"/>
  </w:num>
  <w:num w:numId="10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C9A3733"/>
    <w:rsid w:val="00003A15"/>
    <w:rsid w:val="00186C1E"/>
    <w:rsid w:val="001920CD"/>
    <w:rsid w:val="001D3D0D"/>
    <w:rsid w:val="004278A1"/>
    <w:rsid w:val="004319BC"/>
    <w:rsid w:val="004E38D4"/>
    <w:rsid w:val="009710B7"/>
    <w:rsid w:val="00A14AAF"/>
    <w:rsid w:val="00C2086E"/>
    <w:rsid w:val="00C9504F"/>
    <w:rsid w:val="00D6483C"/>
    <w:rsid w:val="00D737CB"/>
    <w:rsid w:val="00F6083C"/>
    <w:rsid w:val="00FC1637"/>
    <w:rsid w:val="0DCB679F"/>
    <w:rsid w:val="0F016508"/>
    <w:rsid w:val="0F585554"/>
    <w:rsid w:val="1ACC361C"/>
    <w:rsid w:val="2B557A56"/>
    <w:rsid w:val="2E0D3C35"/>
    <w:rsid w:val="339A0FE8"/>
    <w:rsid w:val="3C0B4A72"/>
    <w:rsid w:val="3F017749"/>
    <w:rsid w:val="4C9A3733"/>
    <w:rsid w:val="4E1963BC"/>
    <w:rsid w:val="4F917F4C"/>
    <w:rsid w:val="53633198"/>
    <w:rsid w:val="61F44DAD"/>
    <w:rsid w:val="674E5646"/>
    <w:rsid w:val="6D1E3498"/>
    <w:rsid w:val="78941867"/>
    <w:rsid w:val="7DE27E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3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nhideWhenUsed="0" w:uiPriority="9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39"/>
    <w:pPr>
      <w:keepNext/>
      <w:keepLines/>
      <w:spacing w:before="340" w:after="330" w:line="576" w:lineRule="auto"/>
      <w:outlineLvl w:val="0"/>
    </w:pPr>
    <w:rPr>
      <w:b/>
      <w:bCs/>
      <w:kern w:val="44"/>
      <w:sz w:val="30"/>
      <w:szCs w:val="44"/>
    </w:rPr>
  </w:style>
  <w:style w:type="paragraph" w:styleId="2">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9"/>
    <w:pPr>
      <w:keepNext/>
      <w:keepLines/>
      <w:numPr>
        <w:ilvl w:val="0"/>
        <w:numId w:val="1"/>
      </w:numPr>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等线 Light" w:hAnsi="等线 Light" w:eastAsia="等线 Light"/>
      <w:b/>
      <w:bCs/>
      <w:sz w:val="28"/>
      <w:szCs w:val="28"/>
    </w:rPr>
  </w:style>
  <w:style w:type="paragraph" w:styleId="6">
    <w:name w:val="heading 6"/>
    <w:basedOn w:val="1"/>
    <w:next w:val="1"/>
    <w:qFormat/>
    <w:uiPriority w:val="99"/>
    <w:pPr>
      <w:keepNext/>
      <w:keepLines/>
      <w:spacing w:line="320" w:lineRule="auto"/>
      <w:outlineLvl w:val="5"/>
    </w:pPr>
    <w:rPr>
      <w:rFonts w:ascii="等线 Light" w:hAnsi="等线 Light" w:eastAsia="等线 Light"/>
      <w:b/>
      <w:bCs/>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caption"/>
    <w:basedOn w:val="1"/>
    <w:next w:val="1"/>
    <w:qFormat/>
    <w:uiPriority w:val="0"/>
    <w:rPr>
      <w:rFonts w:ascii="Arial" w:hAnsi="Arial" w:eastAsia="黑体"/>
      <w:sz w:val="20"/>
      <w:szCs w:val="20"/>
    </w:rPr>
  </w:style>
  <w:style w:type="paragraph" w:styleId="9">
    <w:name w:val="Body Text"/>
    <w:basedOn w:val="1"/>
    <w:qFormat/>
    <w:uiPriority w:val="99"/>
    <w:pPr>
      <w:autoSpaceDE w:val="0"/>
      <w:autoSpaceDN w:val="0"/>
      <w:jc w:val="left"/>
    </w:pPr>
    <w:rPr>
      <w:rFonts w:ascii="宋体" w:hAnsi="宋体" w:eastAsia="等线" w:cs="宋体"/>
      <w:lang w:val="zh-CN" w:bidi="zh-CN"/>
    </w:rPr>
  </w:style>
  <w:style w:type="paragraph" w:styleId="10">
    <w:name w:val="Balloon Text"/>
    <w:basedOn w:val="1"/>
    <w:link w:val="30"/>
    <w:qFormat/>
    <w:uiPriority w:val="0"/>
    <w:rPr>
      <w:sz w:val="18"/>
      <w:szCs w:val="18"/>
    </w:rPr>
  </w:style>
  <w:style w:type="paragraph" w:styleId="11">
    <w:name w:val="footer"/>
    <w:basedOn w:val="1"/>
    <w:qFormat/>
    <w:uiPriority w:val="99"/>
    <w:pPr>
      <w:tabs>
        <w:tab w:val="center" w:pos="4153"/>
        <w:tab w:val="right" w:pos="8306"/>
      </w:tabs>
      <w:snapToGrid w:val="0"/>
      <w:jc w:val="left"/>
    </w:pPr>
    <w:rPr>
      <w:rFonts w:ascii="等线" w:hAnsi="等线" w:eastAsia="等线"/>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rFonts w:ascii="等线" w:hAnsi="等线" w:eastAsia="等线"/>
      <w:sz w:val="18"/>
      <w:szCs w:val="18"/>
    </w:rPr>
  </w:style>
  <w:style w:type="paragraph" w:styleId="13">
    <w:name w:val="Normal (Web)"/>
    <w:basedOn w:val="1"/>
    <w:qFormat/>
    <w:uiPriority w:val="0"/>
    <w:pPr>
      <w:spacing w:beforeAutospacing="1" w:afterAutospacing="1"/>
      <w:jc w:val="left"/>
    </w:pPr>
    <w:rPr>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paragraph" w:customStyle="1" w:styleId="18">
    <w:name w:val="样式4"/>
    <w:basedOn w:val="1"/>
    <w:qFormat/>
    <w:uiPriority w:val="0"/>
    <w:pPr>
      <w:autoSpaceDE w:val="0"/>
      <w:autoSpaceDN w:val="0"/>
      <w:spacing w:line="360" w:lineRule="auto"/>
      <w:ind w:firstLine="480" w:firstLineChars="200"/>
    </w:pPr>
    <w:rPr>
      <w:rFonts w:ascii="宋体" w:hAnsi="宋体" w:cs="宋体"/>
      <w:color w:val="000000"/>
      <w:kern w:val="0"/>
      <w:lang w:val="zh-CN"/>
    </w:rPr>
  </w:style>
  <w:style w:type="paragraph" w:customStyle="1" w:styleId="19">
    <w:name w:val="*正文"/>
    <w:basedOn w:val="1"/>
    <w:qFormat/>
    <w:uiPriority w:val="0"/>
    <w:pPr>
      <w:widowControl/>
      <w:adjustRightInd w:val="0"/>
      <w:spacing w:line="360" w:lineRule="auto"/>
      <w:ind w:firstLine="200" w:firstLineChars="200"/>
      <w:jc w:val="left"/>
      <w:textAlignment w:val="baseline"/>
    </w:pPr>
    <w:rPr>
      <w:rFonts w:ascii="仿宋_GB2312" w:hAnsi="等线" w:eastAsia="等线"/>
      <w:bCs/>
      <w:szCs w:val="28"/>
    </w:rPr>
  </w:style>
  <w:style w:type="paragraph" w:customStyle="1" w:styleId="20">
    <w:name w:val="列出段落1"/>
    <w:basedOn w:val="1"/>
    <w:qFormat/>
    <w:uiPriority w:val="34"/>
    <w:pPr>
      <w:spacing w:line="588" w:lineRule="exact"/>
      <w:ind w:firstLine="420" w:firstLineChars="200"/>
    </w:pPr>
    <w:rPr>
      <w:rFonts w:ascii="等线" w:hAnsi="等线" w:eastAsia="仿宋_GB2312"/>
      <w:sz w:val="32"/>
      <w:szCs w:val="22"/>
    </w:rPr>
  </w:style>
  <w:style w:type="paragraph" w:customStyle="1" w:styleId="21">
    <w:name w:val="样式 正文缩进 + 首行缩进:  2 字符"/>
    <w:basedOn w:val="7"/>
    <w:qFormat/>
    <w:uiPriority w:val="0"/>
    <w:pPr>
      <w:widowControl/>
      <w:spacing w:line="360" w:lineRule="auto"/>
      <w:ind w:firstLine="200" w:firstLineChars="200"/>
      <w:jc w:val="left"/>
    </w:pPr>
  </w:style>
  <w:style w:type="paragraph" w:styleId="22">
    <w:name w:val="List Paragraph"/>
    <w:basedOn w:val="1"/>
    <w:qFormat/>
    <w:uiPriority w:val="34"/>
    <w:pPr>
      <w:spacing w:line="588" w:lineRule="exact"/>
      <w:ind w:firstLine="420" w:firstLineChars="200"/>
    </w:pPr>
    <w:rPr>
      <w:rFonts w:ascii="等线" w:hAnsi="等线" w:eastAsia="仿宋_GB2312"/>
      <w:sz w:val="32"/>
      <w:szCs w:val="22"/>
    </w:rPr>
  </w:style>
  <w:style w:type="paragraph" w:customStyle="1" w:styleId="23">
    <w:name w:val="样式 正文缩进 + 首行缩进: 2 字符"/>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24">
    <w:name w:val="彩色列表 - 强调文字颜色 11"/>
    <w:basedOn w:val="1"/>
    <w:qFormat/>
    <w:uiPriority w:val="99"/>
    <w:pPr>
      <w:spacing w:line="360" w:lineRule="auto"/>
      <w:jc w:val="left"/>
    </w:pPr>
  </w:style>
  <w:style w:type="paragraph" w:customStyle="1" w:styleId="25">
    <w:name w:val="图表题注样式"/>
    <w:basedOn w:val="1"/>
    <w:qFormat/>
    <w:uiPriority w:val="0"/>
    <w:pPr>
      <w:adjustRightInd w:val="0"/>
      <w:spacing w:line="360" w:lineRule="auto"/>
      <w:jc w:val="center"/>
      <w:textAlignment w:val="baseline"/>
    </w:pPr>
    <w:rPr>
      <w:rFonts w:eastAsia="黑体"/>
      <w:color w:val="000000"/>
    </w:rPr>
  </w:style>
  <w:style w:type="character" w:customStyle="1" w:styleId="26">
    <w:name w:val="font01"/>
    <w:basedOn w:val="16"/>
    <w:qFormat/>
    <w:uiPriority w:val="0"/>
    <w:rPr>
      <w:rFonts w:hint="eastAsia" w:ascii="宋体" w:hAnsi="宋体" w:eastAsia="宋体" w:cs="宋体"/>
      <w:color w:val="000000"/>
      <w:sz w:val="18"/>
      <w:szCs w:val="18"/>
      <w:u w:val="none"/>
    </w:rPr>
  </w:style>
  <w:style w:type="paragraph" w:customStyle="1" w:styleId="27">
    <w:name w:val="hq正文"/>
    <w:basedOn w:val="1"/>
    <w:qFormat/>
    <w:uiPriority w:val="0"/>
    <w:pPr>
      <w:spacing w:line="360" w:lineRule="auto"/>
      <w:ind w:firstLine="480" w:firstLineChars="200"/>
      <w:jc w:val="left"/>
    </w:pPr>
    <w:rPr>
      <w:kern w:val="24"/>
      <w:sz w:val="24"/>
    </w:rPr>
  </w:style>
  <w:style w:type="paragraph" w:customStyle="1" w:styleId="28">
    <w:name w:val="无间隔1"/>
    <w:qFormat/>
    <w:uiPriority w:val="0"/>
    <w:pPr>
      <w:adjustRightInd w:val="0"/>
      <w:snapToGrid w:val="0"/>
    </w:pPr>
    <w:rPr>
      <w:rFonts w:ascii="Tahoma" w:hAnsi="Tahoma" w:eastAsia="微软雅黑" w:cs="Times New Roman"/>
      <w:sz w:val="22"/>
      <w:szCs w:val="22"/>
      <w:lang w:val="en-US" w:eastAsia="zh-CN" w:bidi="ar-SA"/>
    </w:rPr>
  </w:style>
  <w:style w:type="paragraph" w:customStyle="1" w:styleId="29">
    <w:name w:val="方案正文"/>
    <w:basedOn w:val="1"/>
    <w:qFormat/>
    <w:uiPriority w:val="0"/>
    <w:pPr>
      <w:spacing w:before="156"/>
      <w:ind w:firstLine="359" w:firstLineChars="171"/>
      <w:jc w:val="left"/>
    </w:pPr>
    <w:rPr>
      <w:rFonts w:ascii="Arial" w:hAnsi="Arial" w:cs="宋体"/>
      <w:szCs w:val="21"/>
    </w:rPr>
  </w:style>
  <w:style w:type="character" w:customStyle="1" w:styleId="30">
    <w:name w:val="批注框文本 Char"/>
    <w:basedOn w:val="16"/>
    <w:link w:val="10"/>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21F6B2-F6D2-4B50-848D-A6E744ECE99B}">
  <ds:schemaRefs/>
</ds:datastoreItem>
</file>

<file path=docProps/app.xml><?xml version="1.0" encoding="utf-8"?>
<Properties xmlns="http://schemas.openxmlformats.org/officeDocument/2006/extended-properties" xmlns:vt="http://schemas.openxmlformats.org/officeDocument/2006/docPropsVTypes">
  <Template>Normal</Template>
  <Company>市府办</Company>
  <Pages>369</Pages>
  <Words>233080</Words>
  <Characters>15719</Characters>
  <Lines>130</Lines>
  <Paragraphs>496</Paragraphs>
  <TotalTime>1</TotalTime>
  <ScaleCrop>false</ScaleCrop>
  <LinksUpToDate>false</LinksUpToDate>
  <CharactersWithSpaces>248303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2020-05-25T14:41:00Z</dcterms:created>
  <dc:creator>Administrator</dc:creator>
  <cp:lastModifiedBy>Administrator</cp:lastModifiedBy>
  <dcterms:modified xsi:type="dcterms:W3CDTF">2020-06-05T09:52:34Z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