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_GB2312" w:hAnsi="宋体" w:eastAsia="仿宋_GB2312" w:cs="黑体"/>
        </w:rPr>
      </w:pPr>
      <w:r>
        <w:rPr>
          <w:rFonts w:hint="eastAsia" w:ascii="仿宋_GB2312" w:hAnsi="宋体" w:eastAsia="仿宋_GB2312" w:cs="黑体"/>
        </w:rPr>
        <w:t>用户需求书</w:t>
      </w:r>
    </w:p>
    <w:p>
      <w:pPr>
        <w:widowControl/>
        <w:numPr>
          <w:ilvl w:val="0"/>
          <w:numId w:val="1"/>
        </w:numPr>
        <w:shd w:val="solid" w:color="FFFFFF" w:fill="auto"/>
        <w:autoSpaceDN w:val="0"/>
        <w:spacing w:line="360" w:lineRule="auto"/>
        <w:ind w:left="284" w:hanging="284" w:hangingChars="118"/>
        <w:rPr>
          <w:rFonts w:ascii="仿宋_GB2312" w:eastAsia="仿宋_GB2312"/>
          <w:b/>
          <w:sz w:val="24"/>
          <w:szCs w:val="24"/>
        </w:rPr>
      </w:pPr>
      <w:bookmarkStart w:id="0" w:name="_Toc390176023"/>
      <w:bookmarkStart w:id="1" w:name="_Toc371949173"/>
      <w:bookmarkStart w:id="2" w:name="_Toc365559596"/>
      <w:r>
        <w:rPr>
          <w:rFonts w:hint="eastAsia" w:ascii="仿宋_GB2312" w:hAnsi="宋体" w:eastAsia="仿宋_GB2312"/>
          <w:b/>
          <w:sz w:val="24"/>
          <w:szCs w:val="24"/>
        </w:rPr>
        <w:t>项目基本情况</w:t>
      </w:r>
      <w:bookmarkEnd w:id="0"/>
      <w:bookmarkEnd w:id="1"/>
      <w:bookmarkEnd w:id="2"/>
    </w:p>
    <w:p>
      <w:pPr>
        <w:widowControl/>
        <w:shd w:val="solid" w:color="FFFFFF" w:fill="auto"/>
        <w:autoSpaceDN w:val="0"/>
        <w:spacing w:line="360" w:lineRule="auto"/>
        <w:ind w:left="-248" w:leftChars="-118" w:firstLine="240" w:firstLineChars="100"/>
        <w:rPr>
          <w:rFonts w:ascii="仿宋_GB2312" w:eastAsia="仿宋_GB2312"/>
          <w:sz w:val="24"/>
        </w:rPr>
      </w:pPr>
      <w:r>
        <w:rPr>
          <w:rFonts w:hint="eastAsia" w:ascii="仿宋_GB2312" w:hAnsi="宋体" w:eastAsia="仿宋_GB2312"/>
          <w:sz w:val="24"/>
        </w:rPr>
        <w:t>1、项目名称：采购全民健身路径器材</w:t>
      </w:r>
    </w:p>
    <w:p>
      <w:pPr>
        <w:widowControl/>
        <w:shd w:val="solid" w:color="FFFFFF" w:fill="auto"/>
        <w:autoSpaceDN w:val="0"/>
        <w:spacing w:line="360" w:lineRule="auto"/>
        <w:ind w:left="-248" w:leftChars="-118" w:firstLine="240" w:firstLineChars="100"/>
        <w:rPr>
          <w:rFonts w:ascii="仿宋_GB2312" w:eastAsia="仿宋_GB2312" w:cs="宋体"/>
          <w:sz w:val="24"/>
        </w:rPr>
      </w:pPr>
      <w:r>
        <w:rPr>
          <w:rFonts w:hint="eastAsia" w:ascii="仿宋_GB2312" w:hAnsi="宋体" w:eastAsia="仿宋_GB2312"/>
          <w:sz w:val="24"/>
        </w:rPr>
        <w:t>2、项目</w:t>
      </w:r>
      <w:r>
        <w:rPr>
          <w:rFonts w:hint="eastAsia" w:ascii="仿宋_GB2312" w:hAnsi="宋体" w:eastAsia="仿宋_GB2312" w:cs="宋体"/>
          <w:sz w:val="24"/>
        </w:rPr>
        <w:t>编号：HNZH-2019-257</w:t>
      </w:r>
    </w:p>
    <w:p>
      <w:pPr>
        <w:spacing w:line="360" w:lineRule="auto"/>
        <w:ind w:right="-178" w:rightChars="-85"/>
        <w:rPr>
          <w:rFonts w:ascii="仿宋_GB2312" w:eastAsia="仿宋_GB2312"/>
          <w:sz w:val="24"/>
        </w:rPr>
      </w:pPr>
      <w:r>
        <w:rPr>
          <w:rFonts w:hint="eastAsia" w:ascii="仿宋_GB2312" w:hAnsi="宋体" w:eastAsia="仿宋_GB2312"/>
          <w:sz w:val="24"/>
        </w:rPr>
        <w:t>3、采购预算：593940.00元，超出采购预算的为无效报价</w:t>
      </w:r>
    </w:p>
    <w:p>
      <w:pPr>
        <w:widowControl/>
        <w:shd w:val="solid" w:color="FFFFFF" w:fill="auto"/>
        <w:autoSpaceDN w:val="0"/>
        <w:spacing w:line="360" w:lineRule="auto"/>
        <w:jc w:val="left"/>
        <w:rPr>
          <w:rFonts w:ascii="仿宋_GB2312" w:eastAsia="仿宋_GB2312"/>
          <w:color w:val="auto"/>
          <w:sz w:val="24"/>
        </w:rPr>
      </w:pPr>
      <w:bookmarkStart w:id="3" w:name="_GoBack"/>
      <w:r>
        <w:rPr>
          <w:rFonts w:hint="eastAsia" w:ascii="仿宋_GB2312" w:hAnsi="宋体" w:eastAsia="仿宋_GB2312"/>
          <w:color w:val="auto"/>
          <w:sz w:val="24"/>
        </w:rPr>
        <w:t>4、交货期：签订合同之日起</w:t>
      </w:r>
      <w:r>
        <w:rPr>
          <w:rFonts w:hint="eastAsia" w:ascii="仿宋_GB2312" w:hAnsi="宋体" w:eastAsia="仿宋_GB2312"/>
          <w:color w:val="auto"/>
          <w:sz w:val="24"/>
          <w:u w:val="single"/>
        </w:rPr>
        <w:t>30</w:t>
      </w:r>
      <w:r>
        <w:rPr>
          <w:rFonts w:hint="eastAsia" w:ascii="仿宋_GB2312" w:hAnsi="宋体" w:eastAsia="仿宋_GB2312"/>
          <w:color w:val="auto"/>
          <w:sz w:val="24"/>
        </w:rPr>
        <w:t>天内</w:t>
      </w:r>
    </w:p>
    <w:bookmarkEnd w:id="3"/>
    <w:p>
      <w:pPr>
        <w:widowControl/>
        <w:shd w:val="solid" w:color="FFFFFF" w:fill="auto"/>
        <w:autoSpaceDN w:val="0"/>
        <w:spacing w:line="360" w:lineRule="auto"/>
        <w:jc w:val="left"/>
        <w:rPr>
          <w:rFonts w:ascii="仿宋_GB2312" w:eastAsia="仿宋_GB2312" w:cs="宋体"/>
          <w:sz w:val="24"/>
        </w:rPr>
      </w:pPr>
      <w:r>
        <w:rPr>
          <w:rFonts w:hint="eastAsia" w:ascii="仿宋_GB2312" w:hAnsi="宋体" w:eastAsia="仿宋_GB2312" w:cs="宋体"/>
          <w:sz w:val="24"/>
        </w:rPr>
        <w:t>5、实施地点：采购人指定</w:t>
      </w:r>
    </w:p>
    <w:p>
      <w:pPr>
        <w:shd w:val="clear" w:color="auto" w:fill="FFFFFF"/>
        <w:snapToGrid w:val="0"/>
        <w:spacing w:line="360" w:lineRule="auto"/>
        <w:rPr>
          <w:rFonts w:ascii="仿宋_GB2312" w:eastAsia="仿宋_GB2312"/>
          <w:sz w:val="24"/>
        </w:rPr>
      </w:pPr>
      <w:r>
        <w:rPr>
          <w:rFonts w:hint="eastAsia" w:ascii="仿宋_GB2312" w:hAnsi="宋体" w:eastAsia="仿宋_GB2312"/>
          <w:sz w:val="24"/>
        </w:rPr>
        <w:t>6、验收方式：由采购人组织有关部门按照国家有关标准的规定进行验收。</w:t>
      </w:r>
    </w:p>
    <w:p>
      <w:pPr>
        <w:shd w:val="clear" w:color="auto" w:fill="FFFFFF"/>
        <w:snapToGrid w:val="0"/>
        <w:spacing w:line="360" w:lineRule="auto"/>
        <w:rPr>
          <w:rFonts w:ascii="仿宋_GB2312" w:eastAsia="仿宋_GB2312" w:cs="宋体"/>
          <w:sz w:val="24"/>
        </w:rPr>
      </w:pPr>
      <w:r>
        <w:rPr>
          <w:rFonts w:hint="eastAsia" w:ascii="仿宋_GB2312" w:hAnsi="宋体" w:eastAsia="仿宋_GB2312"/>
          <w:sz w:val="24"/>
        </w:rPr>
        <w:t>7、付款方式：</w:t>
      </w:r>
      <w:r>
        <w:rPr>
          <w:rFonts w:hint="eastAsia" w:ascii="仿宋_GB2312" w:eastAsia="仿宋_GB2312" w:cs="宋体"/>
          <w:sz w:val="24"/>
        </w:rPr>
        <w:t xml:space="preserve"> 签订合同后按合同约定内容付款</w:t>
      </w:r>
    </w:p>
    <w:p>
      <w:pPr>
        <w:widowControl/>
        <w:tabs>
          <w:tab w:val="left" w:pos="630"/>
        </w:tabs>
        <w:spacing w:line="360" w:lineRule="auto"/>
        <w:jc w:val="left"/>
        <w:textAlignment w:val="bottom"/>
        <w:rPr>
          <w:rFonts w:ascii="仿宋_GB2312" w:eastAsia="仿宋_GB2312"/>
          <w:kern w:val="28"/>
          <w:sz w:val="24"/>
        </w:rPr>
      </w:pPr>
      <w:r>
        <w:rPr>
          <w:rFonts w:hint="eastAsia" w:ascii="仿宋_GB2312" w:hAnsi="宋体" w:eastAsia="仿宋_GB2312" w:cs="宋体"/>
          <w:sz w:val="24"/>
        </w:rPr>
        <w:t>8、</w:t>
      </w:r>
      <w:r>
        <w:rPr>
          <w:rFonts w:hint="eastAsia" w:ascii="仿宋_GB2312" w:hAnsi="宋体" w:eastAsia="仿宋_GB2312"/>
          <w:kern w:val="28"/>
          <w:sz w:val="24"/>
        </w:rPr>
        <w:t>根据国务院办公厅关于建立政府强制采购节能产品制度的通知，在同等条件下优先采购节能产品</w:t>
      </w:r>
    </w:p>
    <w:p>
      <w:pPr>
        <w:widowControl/>
        <w:snapToGrid w:val="0"/>
        <w:spacing w:line="360" w:lineRule="auto"/>
        <w:jc w:val="left"/>
        <w:rPr>
          <w:rFonts w:ascii="仿宋_GB2312" w:hAnsi="宋体" w:eastAsia="仿宋_GB2312"/>
          <w:sz w:val="24"/>
        </w:rPr>
      </w:pPr>
      <w:r>
        <w:rPr>
          <w:rFonts w:hint="eastAsia" w:ascii="仿宋_GB2312" w:hAnsi="宋体" w:eastAsia="仿宋_GB2312"/>
          <w:sz w:val="24"/>
        </w:rPr>
        <w:t>9、小微企业投标价格依据《关于印发中小企业划型标准规定的通知》（工信部联企业[2011]300号）文件及《政府采购促进中小企业发展暂行办法》（财库[2011]181号）文件规定，按6%的优惠折算后计算投标报价</w:t>
      </w:r>
    </w:p>
    <w:p>
      <w:pPr>
        <w:widowControl/>
        <w:numPr>
          <w:ilvl w:val="0"/>
          <w:numId w:val="1"/>
        </w:numPr>
        <w:shd w:val="solid" w:color="FFFFFF" w:fill="auto"/>
        <w:autoSpaceDN w:val="0"/>
        <w:spacing w:line="360" w:lineRule="auto"/>
        <w:ind w:left="284" w:hanging="284" w:hangingChars="118"/>
        <w:rPr>
          <w:rFonts w:ascii="仿宋_GB2312" w:hAnsi="宋体" w:eastAsia="仿宋_GB2312"/>
          <w:b/>
          <w:sz w:val="24"/>
          <w:szCs w:val="24"/>
        </w:rPr>
      </w:pPr>
      <w:r>
        <w:rPr>
          <w:rFonts w:hint="eastAsia" w:ascii="仿宋_GB2312" w:hAnsi="宋体" w:eastAsia="仿宋_GB2312"/>
          <w:b/>
          <w:sz w:val="24"/>
          <w:szCs w:val="24"/>
        </w:rPr>
        <w:t>采购需求</w:t>
      </w:r>
    </w:p>
    <w:tbl>
      <w:tblPr>
        <w:tblStyle w:val="3"/>
        <w:tblW w:w="8522" w:type="dxa"/>
        <w:tblInd w:w="0" w:type="dxa"/>
        <w:tblLayout w:type="fixed"/>
        <w:tblCellMar>
          <w:top w:w="0" w:type="dxa"/>
          <w:left w:w="108" w:type="dxa"/>
          <w:bottom w:w="0" w:type="dxa"/>
          <w:right w:w="108" w:type="dxa"/>
        </w:tblCellMar>
      </w:tblPr>
      <w:tblGrid>
        <w:gridCol w:w="659"/>
        <w:gridCol w:w="828"/>
        <w:gridCol w:w="827"/>
        <w:gridCol w:w="4597"/>
        <w:gridCol w:w="711"/>
        <w:gridCol w:w="900"/>
      </w:tblGrid>
      <w:tr>
        <w:tblPrEx>
          <w:tblCellMar>
            <w:top w:w="0" w:type="dxa"/>
            <w:left w:w="108" w:type="dxa"/>
            <w:bottom w:w="0" w:type="dxa"/>
            <w:right w:w="108" w:type="dxa"/>
          </w:tblCellMar>
        </w:tblPrEx>
        <w:trPr>
          <w:trHeight w:val="502"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序号</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产品名称</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产品规格</w:t>
            </w:r>
          </w:p>
        </w:tc>
        <w:tc>
          <w:tcPr>
            <w:tcW w:w="459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技术参数</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数量</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w:t>
            </w:r>
          </w:p>
        </w:tc>
      </w:tr>
      <w:tr>
        <w:tblPrEx>
          <w:tblCellMar>
            <w:top w:w="0" w:type="dxa"/>
            <w:left w:w="108" w:type="dxa"/>
            <w:bottom w:w="0" w:type="dxa"/>
            <w:right w:w="108" w:type="dxa"/>
          </w:tblCellMar>
        </w:tblPrEx>
        <w:trPr>
          <w:trHeight w:val="170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三位压腿训练器</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2520*120*1085mm</w:t>
            </w:r>
          </w:p>
        </w:tc>
        <w:tc>
          <w:tcPr>
            <w:tcW w:w="45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1.器材符合GB19272-2011标准要求，具有北京国体世纪体育用品质量认证中心的认证证书和国家体育用品质量监督检验中心</w:t>
            </w:r>
          </w:p>
          <w:p>
            <w:pPr>
              <w:widowControl/>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 xml:space="preserve">的检测报告； </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2.立柱规格：120×80×3mm钢管；承载管规格：38×2.5mm钢管；</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3.立柱顶部采用外扣式尼龙合金盖帽和钢制封片焊接，避免淋入雨水；</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4.棱边和棱角半径不小于3.0mm；</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5.立柱顶部高度低于杠面，顶端有防吊挂结构设计,不存在衣服吊挂现象；</w:t>
            </w:r>
          </w:p>
          <w:p>
            <w:pPr>
              <w:widowControl/>
              <w:jc w:val="left"/>
              <w:textAlignment w:val="center"/>
              <w:rPr>
                <w:rFonts w:ascii="仿宋_GB2312" w:hAnsi="宋体" w:eastAsia="仿宋_GB2312" w:cs="宋体"/>
                <w:color w:val="000000"/>
                <w:kern w:val="0"/>
                <w:sz w:val="22"/>
                <w:szCs w:val="22"/>
                <w:lang w:bidi="ar"/>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r>
        <w:tblPrEx>
          <w:tblCellMar>
            <w:top w:w="0" w:type="dxa"/>
            <w:left w:w="108" w:type="dxa"/>
            <w:bottom w:w="0" w:type="dxa"/>
            <w:right w:w="108" w:type="dxa"/>
          </w:tblCellMar>
        </w:tblPrEx>
        <w:trPr>
          <w:trHeight w:val="67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太极揉推器</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1398*1128*1330mm</w:t>
            </w:r>
          </w:p>
        </w:tc>
        <w:tc>
          <w:tcPr>
            <w:tcW w:w="4597"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2"/>
              </w:numPr>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 xml:space="preserve">器材符合GB19272-2011标准要求，具有北京国体世纪体育用品质量认证中心的认证证书和国家体育用品质量监督检验中心  的检测报告；   </w:t>
            </w:r>
          </w:p>
          <w:p>
            <w:pPr>
              <w:widowControl/>
              <w:numPr>
                <w:ilvl w:val="0"/>
                <w:numId w:val="2"/>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立柱规格：120×80×3mm钢管；</w:t>
            </w:r>
          </w:p>
          <w:p>
            <w:pPr>
              <w:widowControl/>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3.承载管规格：48×2.5mm钢管；</w:t>
            </w:r>
          </w:p>
          <w:p>
            <w:pPr>
              <w:widowControl/>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4.棱边和棱角半径不小于3.0mm；</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5.立柱顶部采用外扣式尼龙合金盖帽，避免淋入雨水；</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6.转盘材质须采用工程塑料,滚塑成型.表面采用凹凸设计，起到按摩作用；</w:t>
            </w:r>
          </w:p>
          <w:p>
            <w:pPr>
              <w:widowControl/>
              <w:jc w:val="left"/>
              <w:textAlignment w:val="center"/>
              <w:rPr>
                <w:rFonts w:ascii="仿宋_GB2312" w:hAnsi="宋体" w:eastAsia="仿宋_GB2312" w:cs="宋体"/>
                <w:color w:val="000000"/>
                <w:kern w:val="0"/>
                <w:sz w:val="22"/>
                <w:szCs w:val="22"/>
                <w:lang w:bidi="ar"/>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r>
        <w:tblPrEx>
          <w:tblCellMar>
            <w:top w:w="0" w:type="dxa"/>
            <w:left w:w="108" w:type="dxa"/>
            <w:bottom w:w="0" w:type="dxa"/>
            <w:right w:w="108" w:type="dxa"/>
          </w:tblCellMar>
        </w:tblPrEx>
        <w:trPr>
          <w:trHeight w:val="202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腰背按摩器</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1330*845*1330mm</w:t>
            </w:r>
          </w:p>
        </w:tc>
        <w:tc>
          <w:tcPr>
            <w:tcW w:w="4597"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3"/>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器材符合GB19272-2011标准要求，具有北京国体世纪体育用品质量认证中心的认证证书和国家体育用品质量监督检验中心的检测报告；</w:t>
            </w:r>
          </w:p>
          <w:p>
            <w:pPr>
              <w:widowControl/>
              <w:numPr>
                <w:ilvl w:val="0"/>
                <w:numId w:val="3"/>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立柱规格：120×80×3mm钢管；</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3.承载管规格：50×50×2.5mm钢管；</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4.棱边和棱角半径不小于3.0mm；</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5.立柱顶部采用外扣式尼龙合金盖帽和钢制封片焊接，避免淋入雨水；</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6.转动部位采用国家标准的轴承和有效的内置限位装置.并应采用有效的防水.防尘措施；</w:t>
            </w:r>
          </w:p>
          <w:p>
            <w:pPr>
              <w:widowControl/>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 xml:space="preserve"> </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r>
        <w:tblPrEx>
          <w:tblCellMar>
            <w:top w:w="0" w:type="dxa"/>
            <w:left w:w="108" w:type="dxa"/>
            <w:bottom w:w="0" w:type="dxa"/>
            <w:right w:w="108" w:type="dxa"/>
          </w:tblCellMar>
        </w:tblPrEx>
        <w:trPr>
          <w:trHeight w:val="13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按摩揉推器</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860*354*1465mm</w:t>
            </w:r>
          </w:p>
        </w:tc>
        <w:tc>
          <w:tcPr>
            <w:tcW w:w="4597"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4"/>
              </w:numPr>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器材符合GB19272-2011标准要求，具有北京国体世纪体育用品质量认证中心的认证证书和国家体育用品质量监督检验中心的检测报告</w:t>
            </w:r>
          </w:p>
          <w:p>
            <w:pPr>
              <w:widowControl/>
              <w:numPr>
                <w:ilvl w:val="0"/>
                <w:numId w:val="4"/>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立柱规格：120×80×3mm钢管；</w:t>
            </w:r>
          </w:p>
          <w:p>
            <w:pPr>
              <w:widowControl/>
              <w:numPr>
                <w:ilvl w:val="0"/>
                <w:numId w:val="4"/>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承载管规格：∮25mm圆钢；</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4.转动部位采用国家标准的轴承.并应采用有效的防水.防尘措施；</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5.按摩盘材质碳钢实际壁厚4毫米；表面采用凹凸设计，按摩盘上表面边缘R3mm的圆弧过渡；</w:t>
            </w:r>
          </w:p>
          <w:p>
            <w:pPr>
              <w:widowControl/>
              <w:jc w:val="left"/>
              <w:textAlignment w:val="center"/>
              <w:rPr>
                <w:rFonts w:ascii="仿宋_GB2312" w:hAnsi="宋体" w:eastAsia="仿宋_GB2312" w:cs="宋体"/>
                <w:color w:val="000000"/>
                <w:kern w:val="0"/>
                <w:sz w:val="22"/>
                <w:szCs w:val="22"/>
                <w:lang w:bidi="ar"/>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r>
        <w:tblPrEx>
          <w:tblCellMar>
            <w:top w:w="0" w:type="dxa"/>
            <w:left w:w="108" w:type="dxa"/>
            <w:bottom w:w="0" w:type="dxa"/>
            <w:right w:w="108" w:type="dxa"/>
          </w:tblCellMar>
        </w:tblPrEx>
        <w:trPr>
          <w:trHeight w:val="120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上肢牵引器</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870*734*2415mm</w:t>
            </w:r>
          </w:p>
        </w:tc>
        <w:tc>
          <w:tcPr>
            <w:tcW w:w="4597"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5"/>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器材符合GB19272-2011标准要求，具有北京国体世纪体育用品质量认证中心的认证证书和国家体育用品质量监督检验中心的检测报告；</w:t>
            </w:r>
          </w:p>
          <w:p>
            <w:pPr>
              <w:widowControl/>
              <w:numPr>
                <w:ilvl w:val="0"/>
                <w:numId w:val="5"/>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立柱规格：120×80×3mm钢管；</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3.立柱顶部采用外扣式尼龙合金盖帽，避免淋入雨水；</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4.棱边和棱角半径不小于3.0mm；</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5.把手端部直径大于50mm，无穿刺危险；</w:t>
            </w:r>
          </w:p>
          <w:p>
            <w:pPr>
              <w:widowControl/>
              <w:jc w:val="left"/>
              <w:textAlignment w:val="center"/>
              <w:rPr>
                <w:rFonts w:ascii="仿宋_GB2312" w:hAnsi="宋体" w:eastAsia="仿宋_GB2312" w:cs="宋体"/>
                <w:color w:val="000000"/>
                <w:kern w:val="0"/>
                <w:sz w:val="22"/>
                <w:szCs w:val="22"/>
                <w:lang w:bidi="ar"/>
              </w:rPr>
            </w:pP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r>
        <w:tblPrEx>
          <w:tblCellMar>
            <w:top w:w="0" w:type="dxa"/>
            <w:left w:w="108" w:type="dxa"/>
            <w:bottom w:w="0" w:type="dxa"/>
            <w:right w:w="108" w:type="dxa"/>
          </w:tblCellMar>
        </w:tblPrEx>
        <w:trPr>
          <w:trHeight w:val="16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伸腰伸背器</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755*620*910mm</w:t>
            </w:r>
          </w:p>
        </w:tc>
        <w:tc>
          <w:tcPr>
            <w:tcW w:w="4597"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6"/>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 xml:space="preserve">器材符合GB19272-2011标准要求，具有北京国体世纪体育用品质量认证中心的认证证书和国家体育用品质量监督检验中心的检测报告； </w:t>
            </w:r>
          </w:p>
          <w:p>
            <w:pPr>
              <w:widowControl/>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2.立柱规格：120×80×3mm；</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3.座板和背板材质为优质工程塑料.采用滚塑加工成型；</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4.侧板规格：650×120×20mm；</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5、棱边和棱角半径不小于3.0mm；</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r>
        <w:tblPrEx>
          <w:tblCellMar>
            <w:top w:w="0" w:type="dxa"/>
            <w:left w:w="108" w:type="dxa"/>
            <w:bottom w:w="0" w:type="dxa"/>
            <w:right w:w="108" w:type="dxa"/>
          </w:tblCellMar>
        </w:tblPrEx>
        <w:trPr>
          <w:trHeight w:val="140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告示牌</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1300*120*1380mm</w:t>
            </w:r>
          </w:p>
        </w:tc>
        <w:tc>
          <w:tcPr>
            <w:tcW w:w="459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7"/>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器材符合GB19272-2011标准要求，具有北京国体世纪体育用品质量认证中心的认证证书和国家体育用品质量监督检验中心的检测报告；</w:t>
            </w:r>
          </w:p>
          <w:p>
            <w:pPr>
              <w:widowControl/>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2、立柱规格：120×80×3mm钢管；</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3.立柱顶部采用外扣式尼龙合金盖帽，避免淋入雨水；</w:t>
            </w:r>
          </w:p>
          <w:p>
            <w:pPr>
              <w:widowControl/>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 xml:space="preserve">3.棱边和棱角半径不小于3.0mm；                     </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4.立柱顶部不允许高出牌面框架.立柱顶端有防吊挂结构设计.不允许存在5.衣服钩挂结构；</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6.应采用横式不锈钢牌面.耐蚀性能相当于0Cr18Ni9（SUS304），厚度为0.8mm，图样及字样蚀刻处理；</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7.牌面采用夹层式设计.防止产生刮伤的可能</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r>
        <w:tblPrEx>
          <w:tblCellMar>
            <w:top w:w="0" w:type="dxa"/>
            <w:left w:w="108" w:type="dxa"/>
            <w:bottom w:w="0" w:type="dxa"/>
            <w:right w:w="108" w:type="dxa"/>
          </w:tblCellMar>
        </w:tblPrEx>
        <w:trPr>
          <w:trHeight w:val="170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休闲椅</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1250*300*450mm</w:t>
            </w:r>
          </w:p>
        </w:tc>
        <w:tc>
          <w:tcPr>
            <w:tcW w:w="459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器材符合GB19272-2011标准要求，具有北京国体世纪体育用品质量认证中心的认证证书和国家体育用品质量监督检验中心的检测报告；</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2.主立柱采用Ф76×3.0钢管;支撑管采用80×40×2.5 扁通</w:t>
            </w:r>
          </w:p>
          <w:p>
            <w:pPr>
              <w:widowControl/>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3.座板为塑木板</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r>
        <w:tblPrEx>
          <w:tblCellMar>
            <w:top w:w="0" w:type="dxa"/>
            <w:left w:w="108" w:type="dxa"/>
            <w:bottom w:w="0" w:type="dxa"/>
            <w:right w:w="108" w:type="dxa"/>
          </w:tblCellMar>
        </w:tblPrEx>
        <w:trPr>
          <w:trHeight w:val="146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三位扭腰器</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1460*1310*1050mm</w:t>
            </w:r>
          </w:p>
        </w:tc>
        <w:tc>
          <w:tcPr>
            <w:tcW w:w="4597"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9"/>
              </w:numPr>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 xml:space="preserve">器材符合GB19272-2011标准要求，具有北京国体世纪体育用品质量认证中心的认证证书和国家体育用品质量监督检验中心     的检测报告； </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2.立柱规格：120×80×3mm钢管；承载管规格：32×2.5mm钢管；</w:t>
            </w:r>
          </w:p>
          <w:p>
            <w:pPr>
              <w:widowControl/>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3.棱边和棱角半径不小于3.0mm；</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4.立柱顶部采用钢制封头焊接，避免淋入雨水.预防立柱内部生锈；</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5.转盘材质碳钢实际壁厚4毫米；表面采用凹凸设计，转盘上表面边缘R3mm的圆弧过渡；</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r>
        <w:tblPrEx>
          <w:tblCellMar>
            <w:top w:w="0" w:type="dxa"/>
            <w:left w:w="108" w:type="dxa"/>
            <w:bottom w:w="0" w:type="dxa"/>
            <w:right w:w="108" w:type="dxa"/>
          </w:tblCellMar>
        </w:tblPrEx>
        <w:trPr>
          <w:trHeight w:val="16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仰卧起坐板</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1660*420*900mm</w:t>
            </w:r>
          </w:p>
        </w:tc>
        <w:tc>
          <w:tcPr>
            <w:tcW w:w="459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0"/>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 xml:space="preserve">器材符合GB19272-2011标准要求，具有北京国体世纪体育用品质量认证中心的认证证书和国家体育用品质量监督检验中心的检测报告； </w:t>
            </w:r>
          </w:p>
          <w:p>
            <w:pPr>
              <w:widowControl/>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2.立柱规格：120×80×3mm钢管；</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 xml:space="preserve">3.承载管规格：60×2.5mm钢管； </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4.立柱顶部采用钢制封片焊接，避免淋入雨水；</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5.棱边和棱角半径不小于3.0mm；</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6.起坐板采用整体式钢板板面，表面孔眼小于8mm，无手指卡夹危险；</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r>
        <w:tblPrEx>
          <w:tblCellMar>
            <w:top w:w="0" w:type="dxa"/>
            <w:left w:w="108" w:type="dxa"/>
            <w:bottom w:w="0" w:type="dxa"/>
            <w:right w:w="108" w:type="dxa"/>
          </w:tblCellMar>
        </w:tblPrEx>
        <w:trPr>
          <w:trHeight w:val="144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滑雪器</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1710mm×940mm×1370mm</w:t>
            </w:r>
          </w:p>
        </w:tc>
        <w:tc>
          <w:tcPr>
            <w:tcW w:w="459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 xml:space="preserve">1.器材符合GB19272-2011标准要求，具有北京国体世纪体育用品质量认证中心的认证证书和国家体育用品质量监督检验中心的检测报告； </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2.立柱规格：120mm×80mm×3.0mm钢管；</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3.承载管规格：120mm×80mm×3.0mm钢管；</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r>
        <w:tblPrEx>
          <w:tblCellMar>
            <w:top w:w="0" w:type="dxa"/>
            <w:left w:w="108" w:type="dxa"/>
            <w:bottom w:w="0" w:type="dxa"/>
            <w:right w:w="108" w:type="dxa"/>
          </w:tblCellMar>
        </w:tblPrEx>
        <w:trPr>
          <w:trHeight w:val="14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太空漫步机</w:t>
            </w:r>
          </w:p>
        </w:tc>
        <w:tc>
          <w:tcPr>
            <w:tcW w:w="827"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2020*600*1390mm</w:t>
            </w:r>
          </w:p>
        </w:tc>
        <w:tc>
          <w:tcPr>
            <w:tcW w:w="4597" w:type="dxa"/>
            <w:tcBorders>
              <w:top w:val="single" w:color="000000" w:sz="4" w:space="0"/>
              <w:left w:val="single" w:color="000000" w:sz="4" w:space="0"/>
              <w:bottom w:val="single" w:color="000000" w:sz="4" w:space="0"/>
              <w:right w:val="single" w:color="000000" w:sz="4" w:space="0"/>
            </w:tcBorders>
            <w:noWrap/>
            <w:vAlign w:val="center"/>
          </w:tcPr>
          <w:p>
            <w:pPr>
              <w:widowControl/>
              <w:numPr>
                <w:ilvl w:val="0"/>
                <w:numId w:val="11"/>
              </w:numPr>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器材符合GB19272-2011标准要求，具有北京国体世纪体育用品质量认证中心的认证证书和国家体育用品质量监督检验中心的检测报告；</w:t>
            </w:r>
          </w:p>
          <w:p>
            <w:pPr>
              <w:widowControl/>
              <w:jc w:val="left"/>
              <w:textAlignment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bidi="ar"/>
              </w:rPr>
              <w:t>2.立柱规格：120×80×3mm钢管；</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3.扶手管规格：38×2.5mm钢管；</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4.摆杆有内置限位装置，且单侧摆动幅度在55°- 65°之间，摆杆选用60×60×3mm钢管；</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12</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套</w:t>
            </w:r>
          </w:p>
        </w:tc>
      </w:tr>
    </w:tbl>
    <w:p>
      <w:pPr>
        <w:pStyle w:val="2"/>
        <w:keepNext w:val="0"/>
        <w:keepLines w:val="0"/>
        <w:widowControl/>
        <w:tabs>
          <w:tab w:val="left" w:pos="576"/>
          <w:tab w:val="left" w:pos="737"/>
        </w:tabs>
        <w:spacing w:line="360" w:lineRule="auto"/>
        <w:jc w:val="left"/>
        <w:rPr>
          <w:rFonts w:ascii="仿宋_GB2312" w:eastAsia="仿宋_GB2312"/>
          <w:b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4BBAA"/>
    <w:multiLevelType w:val="singleLevel"/>
    <w:tmpl w:val="9144BBAA"/>
    <w:lvl w:ilvl="0" w:tentative="0">
      <w:start w:val="1"/>
      <w:numFmt w:val="decimal"/>
      <w:lvlText w:val="%1."/>
      <w:lvlJc w:val="left"/>
      <w:pPr>
        <w:tabs>
          <w:tab w:val="left" w:pos="312"/>
        </w:tabs>
      </w:pPr>
    </w:lvl>
  </w:abstractNum>
  <w:abstractNum w:abstractNumId="1">
    <w:nsid w:val="A05A6B9F"/>
    <w:multiLevelType w:val="singleLevel"/>
    <w:tmpl w:val="A05A6B9F"/>
    <w:lvl w:ilvl="0" w:tentative="0">
      <w:start w:val="1"/>
      <w:numFmt w:val="decimal"/>
      <w:lvlText w:val="%1."/>
      <w:lvlJc w:val="left"/>
      <w:pPr>
        <w:tabs>
          <w:tab w:val="left" w:pos="312"/>
        </w:tabs>
      </w:pPr>
    </w:lvl>
  </w:abstractNum>
  <w:abstractNum w:abstractNumId="2">
    <w:nsid w:val="DA22220D"/>
    <w:multiLevelType w:val="singleLevel"/>
    <w:tmpl w:val="DA22220D"/>
    <w:lvl w:ilvl="0" w:tentative="0">
      <w:start w:val="1"/>
      <w:numFmt w:val="decimal"/>
      <w:lvlText w:val="%1."/>
      <w:lvlJc w:val="left"/>
      <w:pPr>
        <w:tabs>
          <w:tab w:val="left" w:pos="312"/>
        </w:tabs>
      </w:pPr>
    </w:lvl>
  </w:abstractNum>
  <w:abstractNum w:abstractNumId="3">
    <w:nsid w:val="DD21D146"/>
    <w:multiLevelType w:val="singleLevel"/>
    <w:tmpl w:val="DD21D146"/>
    <w:lvl w:ilvl="0" w:tentative="0">
      <w:start w:val="1"/>
      <w:numFmt w:val="decimal"/>
      <w:lvlText w:val="%1."/>
      <w:lvlJc w:val="left"/>
      <w:pPr>
        <w:tabs>
          <w:tab w:val="left" w:pos="312"/>
        </w:tabs>
      </w:pPr>
    </w:lvl>
  </w:abstractNum>
  <w:abstractNum w:abstractNumId="4">
    <w:nsid w:val="E96DA28D"/>
    <w:multiLevelType w:val="singleLevel"/>
    <w:tmpl w:val="E96DA28D"/>
    <w:lvl w:ilvl="0" w:tentative="0">
      <w:start w:val="1"/>
      <w:numFmt w:val="decimal"/>
      <w:lvlText w:val="%1."/>
      <w:lvlJc w:val="left"/>
      <w:pPr>
        <w:tabs>
          <w:tab w:val="left" w:pos="312"/>
        </w:tabs>
      </w:pPr>
    </w:lvl>
  </w:abstractNum>
  <w:abstractNum w:abstractNumId="5">
    <w:nsid w:val="10006049"/>
    <w:multiLevelType w:val="singleLevel"/>
    <w:tmpl w:val="10006049"/>
    <w:lvl w:ilvl="0" w:tentative="0">
      <w:start w:val="1"/>
      <w:numFmt w:val="decimal"/>
      <w:lvlText w:val="%1."/>
      <w:lvlJc w:val="left"/>
      <w:pPr>
        <w:tabs>
          <w:tab w:val="left" w:pos="312"/>
        </w:tabs>
      </w:pPr>
    </w:lvl>
  </w:abstractNum>
  <w:abstractNum w:abstractNumId="6">
    <w:nsid w:val="4391D870"/>
    <w:multiLevelType w:val="singleLevel"/>
    <w:tmpl w:val="4391D870"/>
    <w:lvl w:ilvl="0" w:tentative="0">
      <w:start w:val="1"/>
      <w:numFmt w:val="decimal"/>
      <w:lvlText w:val="%1."/>
      <w:lvlJc w:val="left"/>
      <w:pPr>
        <w:tabs>
          <w:tab w:val="left" w:pos="312"/>
        </w:tabs>
      </w:pPr>
    </w:lvl>
  </w:abstractNum>
  <w:abstractNum w:abstractNumId="7">
    <w:nsid w:val="56190ECE"/>
    <w:multiLevelType w:val="singleLevel"/>
    <w:tmpl w:val="56190ECE"/>
    <w:lvl w:ilvl="0" w:tentative="0">
      <w:start w:val="1"/>
      <w:numFmt w:val="chineseCounting"/>
      <w:suff w:val="nothing"/>
      <w:lvlText w:val="%1、"/>
      <w:lvlJc w:val="left"/>
      <w:rPr>
        <w:rFonts w:cs="Times New Roman"/>
      </w:rPr>
    </w:lvl>
  </w:abstractNum>
  <w:abstractNum w:abstractNumId="8">
    <w:nsid w:val="6494EF1B"/>
    <w:multiLevelType w:val="singleLevel"/>
    <w:tmpl w:val="6494EF1B"/>
    <w:lvl w:ilvl="0" w:tentative="0">
      <w:start w:val="1"/>
      <w:numFmt w:val="decimal"/>
      <w:lvlText w:val="%1."/>
      <w:lvlJc w:val="left"/>
      <w:pPr>
        <w:tabs>
          <w:tab w:val="left" w:pos="312"/>
        </w:tabs>
      </w:pPr>
    </w:lvl>
  </w:abstractNum>
  <w:abstractNum w:abstractNumId="9">
    <w:nsid w:val="72068ABC"/>
    <w:multiLevelType w:val="singleLevel"/>
    <w:tmpl w:val="72068ABC"/>
    <w:lvl w:ilvl="0" w:tentative="0">
      <w:start w:val="1"/>
      <w:numFmt w:val="decimal"/>
      <w:lvlText w:val="%1."/>
      <w:lvlJc w:val="left"/>
      <w:pPr>
        <w:tabs>
          <w:tab w:val="left" w:pos="312"/>
        </w:tabs>
      </w:pPr>
    </w:lvl>
  </w:abstractNum>
  <w:abstractNum w:abstractNumId="10">
    <w:nsid w:val="76C57CF2"/>
    <w:multiLevelType w:val="singleLevel"/>
    <w:tmpl w:val="76C57CF2"/>
    <w:lvl w:ilvl="0" w:tentative="0">
      <w:start w:val="1"/>
      <w:numFmt w:val="decimal"/>
      <w:lvlText w:val="%1."/>
      <w:lvlJc w:val="left"/>
      <w:pPr>
        <w:tabs>
          <w:tab w:val="left" w:pos="312"/>
        </w:tabs>
      </w:pPr>
    </w:lvl>
  </w:abstractNum>
  <w:num w:numId="1">
    <w:abstractNumId w:val="7"/>
  </w:num>
  <w:num w:numId="2">
    <w:abstractNumId w:val="9"/>
  </w:num>
  <w:num w:numId="3">
    <w:abstractNumId w:val="8"/>
  </w:num>
  <w:num w:numId="4">
    <w:abstractNumId w:val="6"/>
  </w:num>
  <w:num w:numId="5">
    <w:abstractNumId w:val="1"/>
  </w:num>
  <w:num w:numId="6">
    <w:abstractNumId w:val="10"/>
  </w:num>
  <w:num w:numId="7">
    <w:abstractNumId w:val="5"/>
  </w:num>
  <w:num w:numId="8">
    <w:abstractNumId w:val="4"/>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45DA7"/>
    <w:rsid w:val="54B4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2020-07-08T10:27:00Z</dcterms:created>
  <dc:creator>政辉</dc:creator>
  <cp:lastModifiedBy>政辉</cp:lastModifiedBy>
  <dcterms:modified xsi:type="dcterms:W3CDTF">2020-07-08T10:27:45Z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