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40" w:line="480" w:lineRule="auto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用户需求书</w:t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uto"/>
        <w:ind w:left="283" w:hanging="284" w:hangingChars="118"/>
        <w:jc w:val="both"/>
        <w:rPr>
          <w:rFonts w:ascii="仿宋_GB2312" w:eastAsia="仿宋_GB2312"/>
          <w:b/>
          <w:sz w:val="24"/>
          <w:szCs w:val="24"/>
        </w:rPr>
      </w:pPr>
      <w:bookmarkStart w:id="0" w:name="_Toc371949173"/>
      <w:bookmarkStart w:id="1" w:name="_Toc390176023"/>
      <w:bookmarkStart w:id="2" w:name="_Toc365559596"/>
      <w:r>
        <w:rPr>
          <w:rFonts w:hint="eastAsia" w:ascii="仿宋_GB2312" w:hAnsi="宋体" w:eastAsia="仿宋_GB2312"/>
          <w:b/>
          <w:sz w:val="24"/>
          <w:szCs w:val="24"/>
        </w:rPr>
        <w:t>项目基本情况</w:t>
      </w:r>
      <w:bookmarkEnd w:id="0"/>
      <w:bookmarkEnd w:id="1"/>
      <w:bookmarkEnd w:id="2"/>
    </w:p>
    <w:p>
      <w:pPr>
        <w:shd w:val="solid" w:color="FFFFFF" w:fill="auto"/>
        <w:autoSpaceDN w:val="0"/>
        <w:spacing w:line="360" w:lineRule="auto"/>
        <w:ind w:left="-248" w:leftChars="-118"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1、项目名称：天涯区级党群服务中心多媒体设备及中控系统采购</w:t>
      </w:r>
    </w:p>
    <w:p>
      <w:pPr>
        <w:shd w:val="solid" w:color="FFFFFF" w:fill="auto"/>
        <w:autoSpaceDN w:val="0"/>
        <w:spacing w:line="360" w:lineRule="auto"/>
        <w:ind w:left="-248" w:leftChars="-118" w:firstLine="240" w:firstLineChars="100"/>
        <w:rPr>
          <w:rFonts w:ascii="仿宋_GB2312" w:eastAsia="仿宋_GB2312" w:cs="宋体"/>
          <w:sz w:val="24"/>
        </w:rPr>
      </w:pPr>
      <w:r>
        <w:rPr>
          <w:rFonts w:hint="eastAsia" w:ascii="仿宋_GB2312" w:hAnsi="宋体" w:eastAsia="仿宋_GB2312"/>
          <w:sz w:val="24"/>
        </w:rPr>
        <w:t>2、项目</w:t>
      </w:r>
      <w:r>
        <w:rPr>
          <w:rFonts w:hint="eastAsia" w:ascii="仿宋_GB2312" w:hAnsi="宋体" w:eastAsia="仿宋_GB2312" w:cs="宋体"/>
          <w:sz w:val="24"/>
        </w:rPr>
        <w:t>编号：HNZH-2019-329</w:t>
      </w:r>
    </w:p>
    <w:p>
      <w:pPr>
        <w:spacing w:line="360" w:lineRule="auto"/>
        <w:ind w:right="-178" w:rightChars="-85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3、采购预算：</w:t>
      </w:r>
      <w:r>
        <w:rPr>
          <w:rFonts w:ascii="仿宋_GB2312" w:hAnsi="宋体" w:eastAsia="仿宋_GB2312"/>
          <w:sz w:val="24"/>
        </w:rPr>
        <w:t>1633386.80</w:t>
      </w:r>
      <w:r>
        <w:rPr>
          <w:rFonts w:hint="eastAsia" w:ascii="仿宋_GB2312" w:hAnsi="宋体" w:eastAsia="仿宋_GB2312"/>
          <w:sz w:val="24"/>
        </w:rPr>
        <w:t>元，超出采购预算的为无效报价</w:t>
      </w:r>
    </w:p>
    <w:p>
      <w:pPr>
        <w:shd w:val="solid" w:color="FFFFFF" w:fill="auto"/>
        <w:autoSpaceDN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4、交货期：签订合同之日起</w:t>
      </w:r>
      <w:r>
        <w:rPr>
          <w:rFonts w:hint="eastAsia" w:ascii="仿宋_GB2312" w:hAnsi="宋体" w:eastAsia="仿宋_GB2312"/>
          <w:sz w:val="24"/>
          <w:u w:val="single"/>
        </w:rPr>
        <w:t>30</w:t>
      </w:r>
      <w:r>
        <w:rPr>
          <w:rFonts w:hint="eastAsia" w:ascii="仿宋_GB2312" w:hAnsi="宋体" w:eastAsia="仿宋_GB2312"/>
          <w:sz w:val="24"/>
        </w:rPr>
        <w:t>天内</w:t>
      </w:r>
    </w:p>
    <w:p>
      <w:pPr>
        <w:shd w:val="solid" w:color="FFFFFF" w:fill="auto"/>
        <w:autoSpaceDN w:val="0"/>
        <w:spacing w:line="360" w:lineRule="auto"/>
        <w:rPr>
          <w:rFonts w:ascii="仿宋_GB2312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5、实施地点：采购人指定</w:t>
      </w:r>
    </w:p>
    <w:p>
      <w:pPr>
        <w:shd w:val="clear" w:color="auto" w:fill="FFFFFF"/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6、验收方式：由采购人组织有关部门按照国家有关标准的规定进行验收。</w:t>
      </w:r>
    </w:p>
    <w:p>
      <w:pPr>
        <w:shd w:val="clear" w:color="auto" w:fill="FFFFFF"/>
        <w:snapToGrid w:val="0"/>
        <w:spacing w:line="360" w:lineRule="auto"/>
        <w:rPr>
          <w:rFonts w:hint="eastAsia" w:ascii="仿宋_GB2312" w:eastAsia="仿宋_GB2312" w:cs="宋体"/>
          <w:sz w:val="24"/>
        </w:rPr>
      </w:pPr>
      <w:r>
        <w:rPr>
          <w:rFonts w:hint="eastAsia" w:ascii="仿宋_GB2312" w:hAnsi="宋体" w:eastAsia="仿宋_GB2312"/>
          <w:sz w:val="24"/>
        </w:rPr>
        <w:t>7、付款方式：</w:t>
      </w:r>
      <w:r>
        <w:rPr>
          <w:rFonts w:hint="eastAsia" w:ascii="仿宋_GB2312" w:eastAsia="仿宋_GB2312" w:cs="宋体"/>
          <w:sz w:val="24"/>
        </w:rPr>
        <w:t xml:space="preserve"> 签订合同后按合同约定内容付款。</w:t>
      </w:r>
    </w:p>
    <w:p>
      <w:pPr>
        <w:tabs>
          <w:tab w:val="left" w:pos="630"/>
        </w:tabs>
        <w:spacing w:line="360" w:lineRule="auto"/>
        <w:textAlignment w:val="bottom"/>
        <w:rPr>
          <w:rFonts w:hint="eastAsia" w:ascii="仿宋_GB2312" w:eastAsia="仿宋_GB2312"/>
          <w:kern w:val="28"/>
          <w:sz w:val="24"/>
        </w:rPr>
      </w:pPr>
      <w:r>
        <w:rPr>
          <w:rFonts w:hint="eastAsia" w:ascii="仿宋_GB2312" w:hAnsi="宋体" w:eastAsia="仿宋_GB2312" w:cs="宋体"/>
          <w:sz w:val="24"/>
        </w:rPr>
        <w:t>8、</w:t>
      </w:r>
      <w:r>
        <w:rPr>
          <w:rFonts w:hint="eastAsia" w:ascii="仿宋_GB2312" w:hAnsi="宋体" w:eastAsia="仿宋_GB2312"/>
          <w:kern w:val="28"/>
          <w:sz w:val="24"/>
        </w:rPr>
        <w:t>根据国务院办公厅关于建立政府强制采购节能产品制度的通知，在同等条件下优先采购节能产品。</w:t>
      </w:r>
    </w:p>
    <w:p>
      <w:pPr>
        <w:snapToGrid w:val="0"/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9、小微企业投标价格依据《关于印发中小企业划型标准规定的通知》（工信部联企业[2011]300号）文件及《政府采购促进中小企业发展暂行办法》（财库[2011]181号）文件规定，按6%的优惠折算后计算投标报价。</w:t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uto"/>
        <w:ind w:left="283" w:hanging="284" w:hangingChars="118"/>
        <w:jc w:val="both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采购清单</w:t>
      </w:r>
    </w:p>
    <w:tbl>
      <w:tblPr>
        <w:tblStyle w:val="5"/>
        <w:tblW w:w="48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27"/>
        <w:gridCol w:w="1703"/>
        <w:gridCol w:w="690"/>
        <w:gridCol w:w="817"/>
        <w:gridCol w:w="3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8" w:type="pct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  <w:szCs w:val="22"/>
              </w:rPr>
              <w:t>工艺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  <w:szCs w:val="22"/>
              </w:rPr>
              <w:t>数量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  <w:szCs w:val="22"/>
              </w:rPr>
              <w:t>参考规格及参数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53" w:type="pct"/>
            <w:gridSpan w:val="5"/>
            <w:shd w:val="clear" w:color="000000" w:fill="D9D9D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</w:rPr>
              <w:t>多媒体设备及中控系统</w:t>
            </w:r>
          </w:p>
        </w:tc>
        <w:tc>
          <w:tcPr>
            <w:tcW w:w="2046" w:type="pct"/>
            <w:shd w:val="clear" w:color="000000" w:fill="D9D9D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1 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签到机-一体机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55寸落地直立款触摸一体机-定制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1 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尺寸：55寸落地直立款触摸一体机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触摸：红外十点触摸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主机配置：I5四代独立CPU+8G内存+128G固态硬盘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2 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自助查询机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55寸落地直立款触摸一体机-定制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2 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尺寸：55寸落地直立款触摸一体机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触摸：红外十点触摸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主机配置：I5四代独立CPU+8G内存+128G固态硬盘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3 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触摸一体机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55寸壁挂触摸一体机（横款）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3 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尺寸：55寸壁挂触摸一体机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触摸：红外十点触摸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主机配置：I5四代独立CPU+8G内存+128G固态硬盘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4 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入门口-弧形LED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P2.5高清弧形LED</w:t>
            </w:r>
          </w:p>
        </w:tc>
        <w:tc>
          <w:tcPr>
            <w:tcW w:w="408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㎡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15 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P2.5-320mm*160mm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扫描方式：32扫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亮度(典型值）：≧500cd/㎡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驱动IC：集创北方 2038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刷新率：&gt;1920Hz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5 </w:t>
            </w:r>
          </w:p>
        </w:tc>
        <w:tc>
          <w:tcPr>
            <w:tcW w:w="667" w:type="pct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拼接屏-智慧党建-DID高清拼接屏</w:t>
            </w: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55寸超窄边拼接屏-定制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4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双边拼缝：3.9㎜；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分辨率：1920（H）*1080（V）；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背光源：节能LED背光；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亮度：500cd/㎡；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主要信号端口：输入接口：HDMI*1，DVI*1，VGA*1，AV*2，RS232*1；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内置拼接控制板卡。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6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图形拼接控制器-定制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主要信号端口：输入接口：HDMI*1，DVI*1，VGA*1，AV*2，RS232*1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7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拼接控制器软件-定制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定制，支持单屏、全屏及任意组合显示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8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壁挂安装支架-定制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4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定制，立柱：2.0，钣金结构，无键式挂入安装方式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9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拼接屏线材-定制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4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24K镀金插头 无氧铜导体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标准19芯 1.4版HDMI线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10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多媒体服务器-联想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CPU：I5-9400F 九代处理器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内存：8G内存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硬盘：256G固态硬盘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显卡：GTX1660Ti 4G独立显卡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机箱：普通机箱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11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视频传输器-定制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1.采用HDMI/DP/DVI输入接口，DVI输出。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2.超高分辨率，输出最高支持分辨率Nx1920x1080@30Hz，输出最高支持单屏分辨率1920x1200@30Hz，向下兼容低分辨率。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3.支持1xN，Nx1，MxN以及旋转90°等比拼接，不拉伸，不变形，视野更开阔。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4.采用45nm工艺高端可编程FPGA芯片，全硬件实时处理架构，超快处理速度不延迟。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5.工业级设计，加厚6层PCB板材，16KV超强防静电能力，超强的产品稳定性。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6.支持并联使用，保障大屏实时显示需求。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7.低功耗节能环保设计，内部采用传导散热，不需任何外部散热措施，可靠性极高。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12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吸顶扬声器-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个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额定功率 30W           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输入 70V/100V/8Ω 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频响 100-20kHz       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灵敏度  89</w:t>
            </w:r>
            <w:r>
              <w:rPr>
                <w:rFonts w:ascii="Calibri" w:hAnsi="Calibri" w:eastAsia="仿宋" w:cs="Calibri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±3dB         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外部尺寸mm  240*155     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开孔尺寸mm   200             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单元规格 6”*1           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净重  2.1kg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13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专业音频功率放大器-V+STORE 0.1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输出功率  120W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输入灵敏度 Line: 250mV Mic: 2mV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信噪比 Line-85db Mic&gt;70db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输出 70V、100V或4~8欧姆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频率 100HZ-18KHZ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失真度 &lt;1%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外型尺寸 485×90×410mm(W×H×D)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净重  10Kg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14 </w:t>
            </w:r>
          </w:p>
        </w:tc>
        <w:tc>
          <w:tcPr>
            <w:tcW w:w="667" w:type="pct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电子相册</w:t>
            </w:r>
          </w:p>
        </w:tc>
        <w:tc>
          <w:tcPr>
            <w:tcW w:w="1007" w:type="pct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12寸电子相框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15 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尺寸：15.6寸壁挂触摸一体机（横款）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触摸：电容触摸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主机配置：安卓亮钻3188方案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15 </w:t>
            </w:r>
          </w:p>
        </w:tc>
        <w:tc>
          <w:tcPr>
            <w:tcW w:w="667" w:type="pct"/>
            <w:vMerge w:val="restar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投影仪-城市建设发展</w:t>
            </w: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投影机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DLP多功能高亮激光投影机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真实分辨率:1920x1080(1080P)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输出亮度(高亮模式) / 对比度：6000 ISO21118流明/ 300000 :1(TBD)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激光光源，光源寿命长达30000小时（power  range 50%），节能环保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短焦镜头设计，投射比：0.8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16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超短焦镜头-定制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个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短焦镜头，0.8：1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17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投影机吊架-定制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定制，万能吊架，1.5米可伸缩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18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激光摄影灯-定制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19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视频传输器-定制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1.采用HDMI/DP/DVI输入接口，DVI输出。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2.超高分辨率，输出最高支持分辨率Nx1920x1080@30Hz，输出最高支持单屏分辨率1920x1200@30Hz，向下兼容低分辨率。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3.支持1xN，Nx1，MxN以及旋转90°等比拼接，不拉伸，不变形，视野更开阔。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4.采用45nm工艺高端可编程FPGA芯片，全硬件实时处理架构，超快处理速度不延迟。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5.工业级设计，加厚6层PCB板材，16KV超强防静电能力，超强的产品稳定性。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6.支持并联使用，保障大屏实时显示需求。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7.低功耗节能环保设计，内部采用传导散热，不需任何外部散热措施，可靠性极高。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20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多媒体服务器-联想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CPU：I5-9400F 九代处理器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内存：8G内存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硬盘：256G固态硬盘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显卡：GTX1660Ti 4G独立显卡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机箱：普通机箱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21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视频边缘融合-定制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1.超高融合性能，能够达到投影机的极限刷新率，120HZ 或更高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2.任意弧面、球面、柱面等异面几何校正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3.高性能视频播放器最大支持 8K 分辨率片源，支持所有流行视频格式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4.支持主（被）动 3D 融合、VR（虚拟现实）融合、桌面融合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5.支持 DLP-Link、nVIDIA3D Vision、AMD HD3D 主动 3D 方式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6.支持多机集群融合，视频同步播放，延时小于 1ms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7.支持多开窗口（画中画）融合，视频、图片、采集卡等数据源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8.兼容 nVIDIA、AMD 各类显卡，纯 GPU 融合渲染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9.兼容任意横向或纵向分屏宝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22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吸顶扬声器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个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额定功率 30W           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输入 70V/100V/8Ω 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频响 100-20kHz       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灵敏度  89</w:t>
            </w:r>
            <w:r>
              <w:rPr>
                <w:rFonts w:ascii="Calibri" w:hAnsi="Calibri" w:eastAsia="仿宋" w:cs="Calibri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±3dB         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外部尺寸mm  240*155     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开孔尺寸mm   200             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单元规格 6”*1           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净重  2.1kg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23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专业音频功率放大器-V+STORE 0.1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输出功率  120W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输入灵敏度 Line: 250mV Mic: 2mV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信噪比 Line-85db Mic&gt;70db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输出 70V、100V或4~8欧姆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频率 100HZ-18KHZ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失真度 &lt;1%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外型尺寸 485×90×410mm(W×H×D)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净重  10Kg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24 </w:t>
            </w:r>
          </w:p>
        </w:tc>
        <w:tc>
          <w:tcPr>
            <w:tcW w:w="667" w:type="pct"/>
            <w:vMerge w:val="restar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投影仪-多功能区</w:t>
            </w: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投影机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DLP多功能高亮激光投影机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真实分辨率:1920x1080(1080P)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输出亮度(高亮模式) / 对比度：6000 ISO21118流明/ 300000 :1(TBD)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激光光源，光源寿命长达30000小时（power  range 50%），节能环保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短焦镜头设计，投射比：0.8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25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短焦广角镜头-定制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个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短焦镜头，0.8：1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26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投影机吊架-定制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定制，万能吊架，1.5米可伸缩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27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激光摄影灯-定制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28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视频传输器-定制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1.采用HDMI/DP/DVI输入接口，DVI输出。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2.超高分辨率，输出最高支持分辨率Nx1920x1080@30Hz，输出最高支持单屏分辨率1920x1200@30Hz，向下兼容低分辨率。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3.支持1xN，Nx1，MxN以及旋转90°等比拼接，不拉伸，不变形，视野更开阔。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4.采用45nm工艺高端可编程FPGA芯片，全硬件实时处理架构，超快处理速度不延迟。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5.工业级设计，加厚6层PCB板材，16KV超强防静电能力，超强的产品稳定性。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6.支持并联使用，保障大屏实时显示需求。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7.低功耗节能环保设计，内部采用传导散热，不需任何外部散热措施，可靠性极高。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29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多媒体服务器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CPU：I5-9400F 九代处理器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内存：8G内存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硬盘：256G固态硬盘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显卡：GTX1660Ti 4G独立显卡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机箱：普通机箱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30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视频边缘融合-定制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1.超高融合性能，能够达到投影机的极限刷新率，120HZ 或更高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2.任意弧面、球面、柱面等异面几何校正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3.高性能视频播放器最大支持 8K 分辨率片源，支持所有流行视频格式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4.支持主（被）动 3D 融合、VR（虚拟现实）融合、桌面融合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5.支持 DLP-Link、nVIDIA3D Vision、AMD HD3D 主动 3D 方式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6.支持多机集群融合，视频同步播放，延时小于 1ms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7.支持多开窗口（画中画）融合，视频、图片、采集卡等数据源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8.兼容 nVIDIA、AMD 各类显卡，纯 GPU 融合渲染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9.兼容任意横向或纵向分屏宝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31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吸顶扬声器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个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额定功率 30W           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输入 70V/100V/8Ω 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频响 100-20kHz       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灵敏度  89</w:t>
            </w:r>
            <w:r>
              <w:rPr>
                <w:rFonts w:ascii="Calibri" w:hAnsi="Calibri" w:eastAsia="仿宋" w:cs="Calibri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±3dB         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外部尺寸mm  240*155     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开孔尺寸mm   200             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单元规格 6”*1           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净重  2.1kg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32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专业音频功率放大器-V+STORE 0.1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4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输出功率  120W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输入灵敏度 Line: 250mV Mic: 2mV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信噪比 Line-85db Mic&gt;70db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输出 70V、100V或4~8欧姆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频率 100HZ-18KHZ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失真度 &lt;1%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外型尺寸 485×90×410mm(W×H×D)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净重  10Kg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33 </w:t>
            </w:r>
          </w:p>
        </w:tc>
        <w:tc>
          <w:tcPr>
            <w:tcW w:w="667" w:type="pct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电脑-联想</w:t>
            </w:r>
          </w:p>
        </w:tc>
        <w:tc>
          <w:tcPr>
            <w:tcW w:w="1007" w:type="pct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台式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8 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i5-7400/4G/1TB/集显/无驱/18L中机箱/21.5寸/支持WIN7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34 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笔记本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1 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i5-8250U/8G/256G/集显/14.1寸/高清IPS屏/墨蓝。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35 </w:t>
            </w:r>
          </w:p>
        </w:tc>
        <w:tc>
          <w:tcPr>
            <w:tcW w:w="667" w:type="pct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中控系统及机房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平板电脑 128G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青春版 10.1英寸智能语音平板电脑 WiFi版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36 </w:t>
            </w: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中控服务器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CPU：I5-9400F 九代处理器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内存：8G内存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硬盘：256G固态硬盘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显卡：GTX1660Ti 4G独立显卡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机箱：普通机箱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37 </w:t>
            </w: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以太网交换机-8口千兆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个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24口全千兆交换机 非网管T系列机架式 企业级交换器 监控网络网线分线器 分流器 TL-SG1024T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38 </w:t>
            </w: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AC控制器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个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AP 盒式无线接入控制器 一体化接入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39 </w:t>
            </w: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专业无线无线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个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无线AP替代AP3010DN-AGN室内双频POE供电 双频600M胖瘦一体 无线AP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40 </w:t>
            </w: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POE供电交换机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POE交换机 5口百兆 监控交换机 非网管延长网线传输DS-3E0105P-E/M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41 </w:t>
            </w: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电源时序器-定制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专业工程8路电源时序器会议舞台多功能控制器电源开关顺序设备保护电源 D328专业电源时序器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42 </w:t>
            </w: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智能控制电箱-定制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双电源自动转换开关4p智能型停电切换控制器成套柜配电箱100a380v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43 </w:t>
            </w: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串口服务器-定制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串口设备联网服务器网络转RS232以太网有人串口服务器串口转网口USR-TCP232-302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44 </w:t>
            </w: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专业弱电机柜-32U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冷轧钢材质，立柱：2.0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45 </w:t>
            </w: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中控软件编程及IPAD系统开发-定制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设备开关，灯光开关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专用的平板中控编程软件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46 </w:t>
            </w: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专业线缆，音频线、网线、高清线、接插件、管材及各类配件--定制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shd w:val="clear" w:color="FFFFFF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47 </w:t>
            </w: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弱电综合布线调试--定制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6"/>
            <w:shd w:val="clear" w:color="000000" w:fill="D9D9D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  <w:szCs w:val="22"/>
              </w:rPr>
              <w:t>数字内容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8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1 </w:t>
            </w:r>
          </w:p>
        </w:tc>
        <w:tc>
          <w:tcPr>
            <w:tcW w:w="667" w:type="pct"/>
            <w:vMerge w:val="restar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投影仪-城市建设发展</w:t>
            </w:r>
          </w:p>
        </w:tc>
        <w:tc>
          <w:tcPr>
            <w:tcW w:w="1007" w:type="pct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投影机内容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1：常态显示高清屏保图片或视频；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2：管理员可以随时点触平板电脑控制投影幕墙的播放功能（播放、暂停、停止、声音的大小控制）；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3：触控播放完影片后大屏画面自动返回屏保高清图片或视频画面功能。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2 </w:t>
            </w: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定制影片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3 </w:t>
            </w: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8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4 </w:t>
            </w:r>
          </w:p>
        </w:tc>
        <w:tc>
          <w:tcPr>
            <w:tcW w:w="667" w:type="pct"/>
            <w:vMerge w:val="restar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投影仪-多功能区</w:t>
            </w:r>
          </w:p>
        </w:tc>
        <w:tc>
          <w:tcPr>
            <w:tcW w:w="1007" w:type="pct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投影机内容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1：常态显示高清屏保图片或视频；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2：管理员可以随时点触平板电脑控制投影幕墙的播放功能（播放、暂停、停止、声音的大小控制）；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3：触控播放完影片后大屏画面自动返回屏保高清图片或视频画面功能。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5 </w:t>
            </w: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定制影片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6 </w:t>
            </w: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7 </w:t>
            </w:r>
          </w:p>
        </w:tc>
        <w:tc>
          <w:tcPr>
            <w:tcW w:w="66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1年服务器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　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8 </w:t>
            </w:r>
          </w:p>
        </w:tc>
        <w:tc>
          <w:tcPr>
            <w:tcW w:w="66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软件调试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　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套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6"/>
            <w:shd w:val="clear" w:color="000000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  <w:szCs w:val="22"/>
              </w:rPr>
              <w:t>空调</w:t>
            </w:r>
          </w:p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66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一楼大厅天井机</w:t>
            </w: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5匹单冷天井机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</w:t>
            </w:r>
          </w:p>
        </w:tc>
        <w:tc>
          <w:tcPr>
            <w:tcW w:w="2046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制冷剂R32  制冷量12000W 制冷功率3900W     室内机噪音52dB  室外机噪音63dB 电源性能380V/50Hz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66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二楼大厅天井机</w:t>
            </w: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5匹单冷天井机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2046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制冷剂R32  制冷量12000W 制冷功率3900W     室内机噪音52dB  室外机噪音63dB 电源性能380V/50Hz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</w:t>
            </w:r>
          </w:p>
        </w:tc>
        <w:tc>
          <w:tcPr>
            <w:tcW w:w="66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会议室配天开机</w:t>
            </w: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3匹单冷天井机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2046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制冷剂R32  制冷量4500-5500W 制冷功率1000-1600W     室内机噪音22-46dB  室外机噪音42-56dB 电源性能220V/50Hz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4</w:t>
            </w:r>
          </w:p>
        </w:tc>
        <w:tc>
          <w:tcPr>
            <w:tcW w:w="66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综合办公室配天井机</w:t>
            </w: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3匹单冷天井机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制冷剂R32  制冷量4500-5500W 制冷功率1000-1600W     室内机噪音22-46dB  室外机噪音42-56dB 电源性能220V/50Hz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5</w:t>
            </w:r>
          </w:p>
        </w:tc>
        <w:tc>
          <w:tcPr>
            <w:tcW w:w="66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电子阅览室</w:t>
            </w: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3匹单冷天井机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2046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制冷剂R32  制冷量4500-5500W 制冷功率1000-1600W     室内机噪音22-46dB  室外机噪音42-56dB 电源性能220V/50Hz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6</w:t>
            </w:r>
          </w:p>
        </w:tc>
        <w:tc>
          <w:tcPr>
            <w:tcW w:w="66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儿童活动室</w:t>
            </w: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3匹单冷天井机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制冷剂R32  制冷量4500-5500W 制冷功率1000-1600W     室内机噪音22-46dB  室外机噪音42-56dB 电源性能220V/50Hz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7</w:t>
            </w:r>
          </w:p>
        </w:tc>
        <w:tc>
          <w:tcPr>
            <w:tcW w:w="66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儿童阅览室</w:t>
            </w: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3匹单冷天井机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制冷剂R32  制冷量4500-5500W 制冷功率1000-1600W     室内机噪音22-46dB  室外机噪音42-56dB 电源性能220V/50Hz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8</w:t>
            </w:r>
          </w:p>
        </w:tc>
        <w:tc>
          <w:tcPr>
            <w:tcW w:w="66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母婴室</w:t>
            </w: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1匹单冷挂机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台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046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制冷剂R32  制冷量2600W 制冷功率700W    室内机噪音49dB  室外机噪音42-56dB 电源性能220V/50Hz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9</w:t>
            </w:r>
          </w:p>
        </w:tc>
        <w:tc>
          <w:tcPr>
            <w:tcW w:w="667" w:type="pct"/>
            <w:vMerge w:val="restar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铜管</w:t>
            </w: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5P铜管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米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90</w:t>
            </w:r>
          </w:p>
        </w:tc>
        <w:tc>
          <w:tcPr>
            <w:tcW w:w="2046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铜管16和10的，0.8mm厚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10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3P铜管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米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210</w:t>
            </w:r>
          </w:p>
        </w:tc>
        <w:tc>
          <w:tcPr>
            <w:tcW w:w="2046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铜管16和6的，0.8mm厚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11</w:t>
            </w:r>
          </w:p>
        </w:tc>
        <w:tc>
          <w:tcPr>
            <w:tcW w:w="667" w:type="pct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1p铜管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米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30</w:t>
            </w:r>
          </w:p>
        </w:tc>
        <w:tc>
          <w:tcPr>
            <w:tcW w:w="2046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铜管10和6的，0.8mm厚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12</w:t>
            </w:r>
          </w:p>
        </w:tc>
        <w:tc>
          <w:tcPr>
            <w:tcW w:w="66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排水管</w:t>
            </w: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pvc管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米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330</w:t>
            </w:r>
          </w:p>
        </w:tc>
        <w:tc>
          <w:tcPr>
            <w:tcW w:w="2046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13</w:t>
            </w:r>
          </w:p>
        </w:tc>
        <w:tc>
          <w:tcPr>
            <w:tcW w:w="66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打孔</w:t>
            </w:r>
          </w:p>
        </w:tc>
        <w:tc>
          <w:tcPr>
            <w:tcW w:w="100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　</w:t>
            </w:r>
          </w:p>
        </w:tc>
        <w:tc>
          <w:tcPr>
            <w:tcW w:w="40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个</w:t>
            </w:r>
          </w:p>
        </w:tc>
        <w:tc>
          <w:tcPr>
            <w:tcW w:w="47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13</w:t>
            </w:r>
          </w:p>
        </w:tc>
        <w:tc>
          <w:tcPr>
            <w:tcW w:w="2046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　</w:t>
            </w:r>
          </w:p>
        </w:tc>
      </w:tr>
    </w:tbl>
    <w:p>
      <w:pPr>
        <w:spacing w:line="360" w:lineRule="auto"/>
        <w:jc w:val="both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ind w:left="378" w:hanging="379" w:hangingChars="118"/>
        <w:jc w:val="both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其他要求：</w:t>
      </w:r>
    </w:p>
    <w:p>
      <w:pPr>
        <w:spacing w:line="360" w:lineRule="auto"/>
        <w:jc w:val="both"/>
        <w:rPr>
          <w:rFonts w:hint="eastAsia" w:ascii="仿宋_GB2312" w:hAnsi="宋体" w:eastAsia="仿宋_GB2312" w:cs="宋体"/>
          <w:kern w:val="1"/>
          <w:sz w:val="24"/>
          <w:szCs w:val="24"/>
        </w:rPr>
      </w:pPr>
      <w:r>
        <w:rPr>
          <w:rFonts w:hint="eastAsia" w:ascii="仿宋_GB2312" w:hAnsi="宋体" w:eastAsia="仿宋_GB2312" w:cs="宋体"/>
          <w:kern w:val="1"/>
          <w:sz w:val="24"/>
          <w:szCs w:val="24"/>
        </w:rPr>
        <w:t>1.★质量要求：投标人需获得质量管理体系认证证书、环境管理体系认证证书、职业健康安全管理体系认证证书。（开标时需提供证书原件,未提供原件或原件不全者投标无效）。</w:t>
      </w:r>
    </w:p>
    <w:p>
      <w:pPr>
        <w:spacing w:line="360" w:lineRule="auto"/>
        <w:jc w:val="both"/>
        <w:rPr>
          <w:rFonts w:hint="eastAsia" w:ascii="仿宋_GB2312" w:hAnsi="宋体" w:eastAsia="仿宋_GB2312" w:cs="宋体"/>
          <w:kern w:val="1"/>
          <w:sz w:val="24"/>
          <w:szCs w:val="24"/>
        </w:rPr>
      </w:pPr>
      <w:r>
        <w:rPr>
          <w:rFonts w:hint="eastAsia" w:ascii="仿宋_GB2312" w:hAnsi="宋体" w:eastAsia="仿宋_GB2312" w:cs="宋体"/>
          <w:kern w:val="1"/>
          <w:sz w:val="24"/>
          <w:szCs w:val="24"/>
        </w:rPr>
        <w:t>2.★售后服务要求：投标人需获得GB/T27922-2011《商品售后服务评价体系》五星级认证证书（开标时需提供证书原件,未提供原件投标无效）。</w:t>
      </w:r>
    </w:p>
    <w:p>
      <w:pPr>
        <w:spacing w:line="360" w:lineRule="auto"/>
        <w:jc w:val="both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kern w:val="1"/>
          <w:sz w:val="24"/>
          <w:szCs w:val="24"/>
        </w:rPr>
        <w:t>3.★为了保证项目的质量，采购人有权要求中标人在签订合同时提供中标金额10%的履约保证金，如中标人在实施过程中偷工减料、不按工期完成项目，则采购人有权终止合同，没收履约保证金，并报主管部门严肃处理；项目整体验收合格3个月后，原履约保证金直接转为质保金，项目整体验收合格满2年后，由中标人提出申请，经采购人确认在此期间产品质量良好、且使用正常的，采购人在30个工作日内退还，如果此期间产品出现质量问题而中标人不及时更换的，采购人有权从质保金中取得补偿。</w:t>
      </w:r>
    </w:p>
    <w:p>
      <w:pPr>
        <w:spacing w:line="360" w:lineRule="auto"/>
        <w:jc w:val="both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宋体" w:eastAsia="仿宋_GB2312"/>
          <w:b/>
          <w:bCs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footnotePr>
            <w:pos w:val="beneathText"/>
          </w:footnotePr>
          <w:pgSz w:w="11906" w:h="16838"/>
          <w:pgMar w:top="1440" w:right="1559" w:bottom="1440" w:left="1797" w:header="851" w:footer="992" w:gutter="0"/>
          <w:cols w:space="720" w:num="1"/>
          <w:docGrid w:linePitch="312" w:charSpace="0"/>
        </w:sect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41</w:t>
    </w:r>
    <w:r>
      <w:fldChar w:fldCharType="end"/>
    </w: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0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0</w:t>
    </w:r>
    <w:r>
      <w:fldChar w:fldCharType="end"/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90ECE"/>
    <w:multiLevelType w:val="singleLevel"/>
    <w:tmpl w:val="56190ECE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C3A7F"/>
    <w:rsid w:val="035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宋体"/>
      <w:sz w:val="18"/>
    </w:rPr>
  </w:style>
  <w:style w:type="paragraph" w:styleId="4">
    <w:name w:val="header"/>
    <w:basedOn w:val="1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jc w:val="center"/>
    </w:pPr>
    <w:rPr>
      <w:rFonts w:ascii="宋体"/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2020-07-09T07:26:00Z</dcterms:created>
  <dc:creator>政辉</dc:creator>
  <cp:lastModifiedBy>政辉</cp:lastModifiedBy>
  <dcterms:modified xsi:type="dcterms:W3CDTF">2020-07-09T07:27:04Z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