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bCs/>
          <w:color w:val="FF0000"/>
          <w:sz w:val="48"/>
          <w:szCs w:val="48"/>
        </w:rPr>
      </w:pPr>
      <w:r>
        <w:rPr>
          <w:rFonts w:hint="eastAsia" w:ascii="宋体" w:hAnsi="宋体" w:cs="宋体"/>
          <w:b/>
          <w:bCs/>
          <w:color w:val="FF0000"/>
          <w:sz w:val="48"/>
          <w:szCs w:val="48"/>
        </w:rPr>
        <w:t>用户需求书</w:t>
      </w:r>
    </w:p>
    <w:p>
      <w:pPr>
        <w:spacing w:line="360" w:lineRule="auto"/>
        <w:outlineLvl w:val="0"/>
        <w:rPr>
          <w:rFonts w:hint="eastAsia" w:ascii="方正仿宋_GBK" w:eastAsia="方正仿宋_GBK"/>
          <w:b/>
          <w:sz w:val="30"/>
          <w:szCs w:val="30"/>
        </w:rPr>
      </w:pPr>
      <w:bookmarkStart w:id="0" w:name="_Toc23256239"/>
      <w:bookmarkStart w:id="1" w:name="_Toc14132"/>
      <w:bookmarkStart w:id="2" w:name="_Toc12570"/>
      <w:bookmarkStart w:id="3" w:name="_Toc30308"/>
      <w:bookmarkStart w:id="4" w:name="_Toc6772"/>
      <w:r>
        <w:rPr>
          <w:rFonts w:hint="eastAsia" w:ascii="微软雅黑" w:hAnsi="微软雅黑" w:eastAsia="微软雅黑" w:cs="微软雅黑"/>
          <w:b/>
          <w:sz w:val="30"/>
          <w:szCs w:val="30"/>
        </w:rPr>
        <w:t>一、项目基本信息</w:t>
      </w:r>
      <w:r>
        <w:rPr>
          <w:rFonts w:hint="eastAsia" w:ascii="方正仿宋_GBK" w:eastAsia="方正仿宋_GBK"/>
          <w:b/>
          <w:sz w:val="30"/>
          <w:szCs w:val="30"/>
        </w:rPr>
        <w:t>：</w:t>
      </w:r>
      <w:bookmarkEnd w:id="0"/>
      <w:bookmarkEnd w:id="1"/>
      <w:bookmarkEnd w:id="2"/>
      <w:bookmarkEnd w:id="3"/>
      <w:bookmarkEnd w:id="4"/>
    </w:p>
    <w:p>
      <w:pPr>
        <w:widowControl/>
        <w:tabs>
          <w:tab w:val="left" w:pos="630"/>
        </w:tabs>
        <w:spacing w:line="360" w:lineRule="auto"/>
        <w:ind w:firstLine="480" w:firstLineChars="200"/>
        <w:jc w:val="left"/>
        <w:textAlignment w:val="bottom"/>
        <w:rPr>
          <w:rFonts w:hint="eastAsia" w:ascii="宋体" w:hAnsi="宋体" w:cs="宋体"/>
          <w:color w:val="auto"/>
          <w:sz w:val="24"/>
        </w:rPr>
      </w:pPr>
      <w:r>
        <w:rPr>
          <w:rFonts w:hint="eastAsia" w:ascii="宋体" w:hAnsi="宋体" w:cs="宋体"/>
          <w:color w:val="auto"/>
          <w:sz w:val="24"/>
        </w:rPr>
        <w:t>1、名称：保亭县公安局信息系统项目维护费；</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2、预算：581226.60元人民币</w:t>
      </w:r>
      <w:r>
        <w:rPr>
          <w:rFonts w:ascii="宋体" w:hAnsi="宋体" w:cs="宋体"/>
          <w:color w:val="auto"/>
          <w:sz w:val="24"/>
        </w:rPr>
        <w:t>,</w:t>
      </w:r>
      <w:r>
        <w:rPr>
          <w:rFonts w:hint="eastAsia" w:ascii="宋体" w:hAnsi="宋体"/>
          <w:bCs/>
          <w:color w:val="auto"/>
          <w:sz w:val="24"/>
        </w:rPr>
        <w:t>投标总报价超过采购预算的将视为无效投标</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3、建设工期：12个月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4、交付地点：用户指定；</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5、付款方式：按照合同约定的付款方式付款；</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6、验收要求：由采购单位组织验收；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7、按照国务院办公厅关于建立政府强制采购节能产品制度的通知，同等条件下优先采购节能产品。</w:t>
      </w:r>
    </w:p>
    <w:p>
      <w:pPr>
        <w:pStyle w:val="2"/>
        <w:keepNext w:val="0"/>
        <w:keepLines w:val="0"/>
        <w:numPr>
          <w:ilvl w:val="1"/>
          <w:numId w:val="1"/>
        </w:numPr>
        <w:spacing w:before="0" w:after="0" w:line="360" w:lineRule="auto"/>
        <w:rPr>
          <w:rFonts w:ascii="宋体" w:hAnsi="宋体"/>
          <w:sz w:val="30"/>
          <w:szCs w:val="30"/>
        </w:rPr>
      </w:pPr>
      <w:bookmarkStart w:id="5" w:name="_Toc3353"/>
      <w:bookmarkStart w:id="6" w:name="_Toc17247"/>
      <w:bookmarkStart w:id="7" w:name="_Toc23256240"/>
      <w:r>
        <w:rPr>
          <w:rFonts w:hint="eastAsia" w:ascii="宋体" w:hAnsi="宋体"/>
          <w:sz w:val="30"/>
          <w:szCs w:val="30"/>
        </w:rPr>
        <w:t>二、项目概述</w:t>
      </w:r>
      <w:bookmarkEnd w:id="5"/>
      <w:bookmarkEnd w:id="6"/>
      <w:bookmarkEnd w:id="7"/>
    </w:p>
    <w:p>
      <w:pPr>
        <w:pStyle w:val="3"/>
        <w:spacing w:line="360" w:lineRule="auto"/>
      </w:pPr>
      <w:bookmarkStart w:id="8" w:name="_Toc12170"/>
      <w:bookmarkStart w:id="9" w:name="_Toc23256241"/>
      <w:bookmarkStart w:id="10" w:name="_Toc17143378"/>
      <w:bookmarkStart w:id="11" w:name="_Toc16133"/>
      <w:bookmarkStart w:id="12" w:name="_Toc10444"/>
      <w:bookmarkStart w:id="13" w:name="_Toc244968702"/>
      <w:bookmarkStart w:id="14" w:name="_Toc281145105"/>
      <w:r>
        <w:rPr>
          <w:rFonts w:hint="eastAsia"/>
        </w:rPr>
        <w:t>1、现状及需求分析</w:t>
      </w:r>
      <w:bookmarkEnd w:id="8"/>
      <w:bookmarkEnd w:id="9"/>
      <w:bookmarkEnd w:id="10"/>
      <w:bookmarkEnd w:id="11"/>
      <w:bookmarkEnd w:id="12"/>
    </w:p>
    <w:p>
      <w:pPr>
        <w:spacing w:line="360" w:lineRule="auto"/>
        <w:ind w:firstLine="480" w:firstLineChars="200"/>
        <w:rPr>
          <w:rFonts w:ascii="宋体" w:hAnsi="宋体" w:cs="宋体"/>
          <w:sz w:val="24"/>
        </w:rPr>
      </w:pPr>
      <w:r>
        <w:rPr>
          <w:rFonts w:hint="eastAsia" w:ascii="宋体" w:hAnsi="宋体" w:cs="宋体"/>
          <w:sz w:val="24"/>
        </w:rPr>
        <w:t>保亭县公安局平安城市一期、二期和三期共394路视频监控；视频督查督办系统12个派出所（城镇、城北、保城、新星、什玲、加茂、三道、响水、新政、南林、毛感、六弓）视频监控系统；公安局大楼信息化系统；省厅道路卡口监控系统；公安局大楼二楼指挥中心系统含拼接屏显示系统、会议系统等相关系统硬件设备已经超过保修期。</w:t>
      </w:r>
    </w:p>
    <w:p>
      <w:pPr>
        <w:spacing w:line="360" w:lineRule="auto"/>
        <w:ind w:firstLine="480" w:firstLineChars="200"/>
        <w:rPr>
          <w:rFonts w:ascii="宋体" w:hAnsi="宋体" w:cs="宋体"/>
          <w:sz w:val="24"/>
        </w:rPr>
      </w:pPr>
      <w:r>
        <w:rPr>
          <w:rFonts w:hint="eastAsia" w:ascii="宋体" w:hAnsi="宋体" w:cs="宋体"/>
          <w:sz w:val="24"/>
        </w:rPr>
        <w:t>现有维护公司对平安城市一期、二期；视频督查督办系统、局大楼信息化系统，省厅道路卡口监控系统；公安局大楼二楼指挥中心系统含拼接屏显示系统、会议系统等相关系统进行维护及维修，平安城市三期系统2019年起施工方维护期已到期。</w:t>
      </w:r>
    </w:p>
    <w:p>
      <w:pPr>
        <w:spacing w:line="360" w:lineRule="auto"/>
        <w:ind w:firstLine="480" w:firstLineChars="200"/>
        <w:rPr>
          <w:rFonts w:ascii="宋体" w:hAnsi="宋体" w:cs="宋体"/>
          <w:sz w:val="24"/>
        </w:rPr>
      </w:pPr>
      <w:r>
        <w:rPr>
          <w:rFonts w:hint="eastAsia" w:ascii="宋体" w:hAnsi="宋体" w:cs="宋体"/>
          <w:sz w:val="24"/>
        </w:rPr>
        <w:t>为了更好的发挥上述所有系统的功能，使用单位更方便、高效地使用，避免上述所有系统出现故障后临时寻找维修单位，甚至找不到维修单位。</w:t>
      </w:r>
    </w:p>
    <w:bookmarkEnd w:id="13"/>
    <w:bookmarkEnd w:id="14"/>
    <w:p>
      <w:pPr>
        <w:pStyle w:val="3"/>
        <w:spacing w:line="360" w:lineRule="auto"/>
        <w:ind w:left="284"/>
        <w:rPr>
          <w:lang w:eastAsia="zh-CN"/>
        </w:rPr>
      </w:pPr>
      <w:bookmarkStart w:id="15" w:name="_Toc20106"/>
      <w:bookmarkStart w:id="16" w:name="_Toc23256242"/>
      <w:bookmarkStart w:id="17" w:name="_Toc17143379"/>
      <w:bookmarkStart w:id="18" w:name="_Toc18856"/>
      <w:bookmarkStart w:id="19" w:name="_Toc18457"/>
      <w:r>
        <w:rPr>
          <w:rFonts w:hint="eastAsia"/>
          <w:lang w:eastAsia="zh-CN"/>
        </w:rPr>
        <w:t>2、建设内容、规模</w:t>
      </w:r>
      <w:bookmarkEnd w:id="15"/>
      <w:bookmarkEnd w:id="16"/>
      <w:bookmarkEnd w:id="17"/>
      <w:bookmarkEnd w:id="18"/>
      <w:bookmarkEnd w:id="19"/>
    </w:p>
    <w:p>
      <w:pPr>
        <w:pStyle w:val="2"/>
        <w:spacing w:line="360" w:lineRule="auto"/>
        <w:rPr>
          <w:lang w:eastAsia="zh-CN"/>
        </w:rPr>
      </w:pPr>
      <w:bookmarkStart w:id="20" w:name="_Toc17143380"/>
      <w:bookmarkStart w:id="21" w:name="_Toc26330"/>
      <w:bookmarkStart w:id="22" w:name="_Toc15933"/>
      <w:bookmarkStart w:id="23" w:name="_Toc23256243"/>
      <w:r>
        <w:rPr>
          <w:rFonts w:hint="eastAsia"/>
          <w:lang w:eastAsia="zh-CN"/>
        </w:rPr>
        <w:t>2.1信息化系统</w:t>
      </w:r>
      <w:bookmarkEnd w:id="20"/>
      <w:r>
        <w:rPr>
          <w:rFonts w:hint="eastAsia"/>
          <w:lang w:eastAsia="zh-CN"/>
        </w:rPr>
        <w:t>子系统服务要求</w:t>
      </w:r>
      <w:bookmarkEnd w:id="21"/>
      <w:bookmarkEnd w:id="22"/>
      <w:bookmarkEnd w:id="23"/>
    </w:p>
    <w:p>
      <w:pPr>
        <w:pStyle w:val="4"/>
        <w:tabs>
          <w:tab w:val="left" w:pos="5852"/>
        </w:tabs>
        <w:spacing w:before="0" w:line="360" w:lineRule="auto"/>
        <w:rPr>
          <w:rFonts w:ascii="宋体" w:hAnsi="宋体"/>
          <w:sz w:val="24"/>
          <w:szCs w:val="24"/>
          <w:lang w:eastAsia="zh-CN"/>
        </w:rPr>
      </w:pPr>
      <w:bookmarkStart w:id="24" w:name="_Toc10746"/>
      <w:bookmarkStart w:id="25" w:name="_Toc17143381"/>
      <w:bookmarkStart w:id="26" w:name="_Toc490556072"/>
      <w:bookmarkStart w:id="27" w:name="_Toc495671660"/>
      <w:bookmarkStart w:id="28" w:name="_Toc416249530"/>
      <w:bookmarkStart w:id="29" w:name="_Toc416249514"/>
      <w:r>
        <w:rPr>
          <w:rFonts w:hint="eastAsia" w:ascii="宋体" w:hAnsi="宋体"/>
          <w:sz w:val="24"/>
          <w:szCs w:val="24"/>
          <w:lang w:eastAsia="zh-CN"/>
        </w:rPr>
        <w:t>2.1.1服务器维护</w:t>
      </w:r>
      <w:bookmarkEnd w:id="24"/>
      <w:bookmarkEnd w:id="25"/>
    </w:p>
    <w:p>
      <w:pPr>
        <w:spacing w:line="360" w:lineRule="auto"/>
        <w:ind w:firstLine="480" w:firstLineChars="200"/>
        <w:rPr>
          <w:rFonts w:ascii="宋体" w:hAnsi="宋体" w:cs="宋体"/>
          <w:sz w:val="24"/>
        </w:rPr>
      </w:pPr>
      <w:r>
        <w:rPr>
          <w:rFonts w:hint="eastAsia" w:ascii="宋体" w:hAnsi="宋体" w:cs="宋体"/>
          <w:sz w:val="24"/>
        </w:rPr>
        <w:t>1）服务器每日硬件监控检查。包括可从外观查看服务器指示灯和硬盘状态灯是否正常，登录系统看系统是否正常启动，网络状态是否正常，硬盘是否出错或空间不足。查看服务器相关重要工作程序和服务</w:t>
      </w:r>
      <w:bookmarkStart w:id="101" w:name="_GoBack"/>
      <w:bookmarkEnd w:id="101"/>
      <w:r>
        <w:rPr>
          <w:rFonts w:hint="eastAsia" w:ascii="宋体" w:hAnsi="宋体" w:cs="宋体"/>
          <w:sz w:val="24"/>
        </w:rPr>
        <w:t>是否出现错误或意外停止。</w:t>
      </w:r>
    </w:p>
    <w:p>
      <w:pPr>
        <w:spacing w:line="360" w:lineRule="auto"/>
        <w:ind w:firstLine="480" w:firstLineChars="200"/>
        <w:rPr>
          <w:rFonts w:ascii="宋体" w:hAnsi="宋体" w:cs="宋体"/>
          <w:sz w:val="24"/>
        </w:rPr>
      </w:pPr>
      <w:r>
        <w:rPr>
          <w:rFonts w:hint="eastAsia" w:ascii="宋体" w:hAnsi="宋体" w:cs="宋体"/>
          <w:sz w:val="24"/>
        </w:rPr>
        <w:t>2）服务器的安全、性能检查。确保当前杀毒和防火墙软件已升级到最新版本，升级后进行一次全盘杀毒。查看是否有不必要的服务进程和网络端口开启，手动关闭危险进程。使用深信服的性能管理设备对服务器进行性能和硬件的检查，生产报告，并改进。</w:t>
      </w:r>
    </w:p>
    <w:p>
      <w:pPr>
        <w:spacing w:line="360" w:lineRule="auto"/>
        <w:ind w:firstLine="480" w:firstLineChars="200"/>
        <w:rPr>
          <w:rFonts w:ascii="宋体" w:hAnsi="宋体" w:cs="宋体"/>
          <w:sz w:val="24"/>
        </w:rPr>
      </w:pPr>
      <w:r>
        <w:rPr>
          <w:rFonts w:hint="eastAsia" w:ascii="宋体" w:hAnsi="宋体" w:cs="宋体"/>
          <w:sz w:val="24"/>
        </w:rPr>
        <w:t>3）服务器的补丁修补、应用程序更新工作，对于新出的漏洞补丁，应用程序方面的安全更新一定要在发现的第一时间给每服务器打上应用程序的补丁。可使用安装的天融信漏洞扫描系统，通过内网进行扫描，并根据报告修复漏洞。</w:t>
      </w:r>
    </w:p>
    <w:p>
      <w:pPr>
        <w:spacing w:line="360" w:lineRule="auto"/>
        <w:ind w:firstLine="480" w:firstLineChars="200"/>
        <w:rPr>
          <w:rFonts w:ascii="宋体" w:hAnsi="宋体" w:cs="宋体"/>
          <w:sz w:val="24"/>
        </w:rPr>
      </w:pPr>
      <w:r>
        <w:rPr>
          <w:rFonts w:hint="eastAsia" w:ascii="宋体" w:hAnsi="宋体" w:cs="宋体"/>
          <w:sz w:val="24"/>
        </w:rPr>
        <w:t>4）服务器的定时重启。每台服务器保证每周重新启动一次。重新启动之后要进行复查，确认服务器已经正常启动，确认服务器上的各项服务均恢复正常。对于没有正常启动或服务未能及时恢复的情况要采取相应措施。</w:t>
      </w:r>
    </w:p>
    <w:p>
      <w:pPr>
        <w:spacing w:line="360" w:lineRule="auto"/>
        <w:ind w:firstLine="480" w:firstLineChars="200"/>
        <w:rPr>
          <w:rFonts w:ascii="宋体" w:hAnsi="宋体" w:cs="宋体"/>
          <w:sz w:val="24"/>
        </w:rPr>
      </w:pPr>
      <w:r>
        <w:rPr>
          <w:rFonts w:hint="eastAsia" w:ascii="宋体" w:hAnsi="宋体" w:cs="宋体"/>
          <w:sz w:val="24"/>
        </w:rPr>
        <w:t>5）每台服务器保证每周查询系统日志，找出有无潜在问题，并对相关日志进行一次清理，清理前对日志进行备份。</w:t>
      </w:r>
    </w:p>
    <w:p>
      <w:pPr>
        <w:spacing w:line="360" w:lineRule="auto"/>
        <w:ind w:firstLine="480" w:firstLineChars="200"/>
        <w:rPr>
          <w:rFonts w:ascii="宋体" w:hAnsi="宋体" w:cs="宋体"/>
          <w:sz w:val="24"/>
        </w:rPr>
      </w:pPr>
      <w:r>
        <w:rPr>
          <w:rFonts w:hint="eastAsia" w:ascii="宋体" w:hAnsi="宋体" w:cs="宋体"/>
          <w:sz w:val="24"/>
        </w:rPr>
        <w:t>6）服务器的数据备份工作，每服务器至少保证每月备份一次系统数据，系统备份采用ghost方式，文件名以备份的日期命名；每台服务器至少保证每两周备份一次应用程序数据，以及每月备份一次用户数据，备份的数据需分类存放。</w:t>
      </w:r>
    </w:p>
    <w:p>
      <w:pPr>
        <w:spacing w:line="360" w:lineRule="auto"/>
        <w:ind w:firstLine="480" w:firstLineChars="200"/>
        <w:rPr>
          <w:rFonts w:ascii="宋体" w:hAnsi="宋体" w:cs="宋体"/>
          <w:sz w:val="24"/>
        </w:rPr>
      </w:pPr>
      <w:r>
        <w:rPr>
          <w:rFonts w:hint="eastAsia" w:ascii="宋体" w:hAnsi="宋体" w:cs="宋体"/>
          <w:sz w:val="24"/>
        </w:rPr>
        <w:t>7）服务器的隐患检查工作，主要包括安全隐患、性能等方面。每台服务器必须保证每月重点的单独检查一次。每次的检查结果必须做好记录。</w:t>
      </w:r>
    </w:p>
    <w:p>
      <w:pPr>
        <w:spacing w:line="360" w:lineRule="auto"/>
        <w:ind w:firstLine="480" w:firstLineChars="200"/>
        <w:rPr>
          <w:rFonts w:ascii="宋体" w:hAnsi="宋体" w:cs="宋体"/>
          <w:sz w:val="24"/>
        </w:rPr>
      </w:pPr>
      <w:r>
        <w:rPr>
          <w:rFonts w:hint="eastAsia" w:ascii="宋体" w:hAnsi="宋体" w:cs="宋体"/>
          <w:sz w:val="24"/>
        </w:rPr>
        <w:t>8）定期的管理密码更改工作，每服务器保证至少每三个月更改一次密码。</w:t>
      </w:r>
    </w:p>
    <w:p>
      <w:pPr>
        <w:pStyle w:val="4"/>
        <w:tabs>
          <w:tab w:val="left" w:pos="5852"/>
        </w:tabs>
        <w:spacing w:before="0" w:line="360" w:lineRule="auto"/>
        <w:rPr>
          <w:rFonts w:ascii="宋体" w:hAnsi="宋体"/>
          <w:sz w:val="24"/>
          <w:szCs w:val="24"/>
          <w:lang w:eastAsia="zh-CN"/>
        </w:rPr>
      </w:pPr>
      <w:bookmarkStart w:id="30" w:name="_Toc23256244"/>
      <w:bookmarkStart w:id="31" w:name="_Toc4978"/>
      <w:bookmarkStart w:id="32" w:name="_Toc17143382"/>
      <w:r>
        <w:rPr>
          <w:rFonts w:hint="eastAsia" w:ascii="宋体" w:hAnsi="宋体"/>
          <w:sz w:val="24"/>
          <w:szCs w:val="24"/>
          <w:lang w:eastAsia="zh-CN"/>
        </w:rPr>
        <w:t>2.1.2配电系统</w:t>
      </w:r>
      <w:bookmarkEnd w:id="26"/>
      <w:bookmarkEnd w:id="27"/>
      <w:bookmarkEnd w:id="30"/>
      <w:bookmarkEnd w:id="31"/>
      <w:bookmarkEnd w:id="32"/>
    </w:p>
    <w:p>
      <w:pPr>
        <w:spacing w:line="360" w:lineRule="auto"/>
        <w:ind w:firstLine="480" w:firstLineChars="200"/>
        <w:rPr>
          <w:rFonts w:ascii="宋体" w:hAnsi="宋体" w:cs="宋体"/>
          <w:sz w:val="24"/>
        </w:rPr>
      </w:pPr>
      <w:r>
        <w:rPr>
          <w:rFonts w:hint="eastAsia" w:ascii="宋体" w:hAnsi="宋体" w:cs="宋体"/>
          <w:sz w:val="24"/>
        </w:rPr>
        <w:t>每月定期检查配电柜中的智能电量监测仪，监测机房供电情况。并设置电流表、电压表、频率表、以便检查电源电压、电流、三相间平衡关系和电源输出频率变化。检查各配电柜中主要断路器辅助触点，无老化污渍现象。如有隐患及时维修更换。 </w:t>
      </w:r>
    </w:p>
    <w:p>
      <w:pPr>
        <w:spacing w:line="360" w:lineRule="auto"/>
        <w:ind w:firstLine="480" w:firstLineChars="200"/>
        <w:rPr>
          <w:rFonts w:ascii="宋体" w:hAnsi="宋体" w:cs="宋体"/>
          <w:sz w:val="24"/>
        </w:rPr>
      </w:pPr>
      <w:r>
        <w:rPr>
          <w:rFonts w:hint="eastAsia" w:ascii="宋体" w:hAnsi="宋体" w:cs="宋体"/>
          <w:sz w:val="24"/>
        </w:rPr>
        <w:t>每月定期检测机房电气装置，做到整齐、牢固、正确、标志明确、外观良好、内外清洁。如有老化损坏现象，要积极维修更换。对机房的10A五孔保洁及维修市电插座，及UPS测试插座定期检测，</w:t>
      </w:r>
    </w:p>
    <w:p>
      <w:pPr>
        <w:spacing w:line="360" w:lineRule="auto"/>
        <w:ind w:firstLine="480" w:firstLineChars="200"/>
        <w:rPr>
          <w:rFonts w:ascii="宋体" w:hAnsi="宋体" w:cs="宋体"/>
          <w:sz w:val="24"/>
        </w:rPr>
      </w:pPr>
      <w:r>
        <w:rPr>
          <w:rFonts w:hint="eastAsia" w:ascii="宋体" w:hAnsi="宋体" w:cs="宋体"/>
          <w:sz w:val="24"/>
        </w:rPr>
        <w:t>（1）重新梳理此项目中配电系统线路及相关开关情况，以熟悉现场环境及配电线路，为进行相关系统巡检、维护打下基础。</w:t>
      </w:r>
    </w:p>
    <w:p>
      <w:pPr>
        <w:spacing w:line="360" w:lineRule="auto"/>
        <w:ind w:firstLine="480" w:firstLineChars="200"/>
        <w:rPr>
          <w:rFonts w:ascii="宋体" w:hAnsi="宋体" w:cs="宋体"/>
          <w:sz w:val="24"/>
        </w:rPr>
      </w:pPr>
      <w:r>
        <w:rPr>
          <w:rFonts w:hint="eastAsia" w:ascii="宋体" w:hAnsi="宋体" w:cs="宋体"/>
          <w:sz w:val="24"/>
        </w:rPr>
        <w:t>（2）每周检查本系统开关设备、线路及设备运行情况，编制巡检周报。</w:t>
      </w:r>
    </w:p>
    <w:p>
      <w:pPr>
        <w:spacing w:line="360" w:lineRule="auto"/>
        <w:ind w:firstLine="480" w:firstLineChars="200"/>
        <w:rPr>
          <w:rFonts w:ascii="宋体" w:hAnsi="宋体" w:cs="宋体"/>
          <w:sz w:val="24"/>
        </w:rPr>
      </w:pPr>
      <w:r>
        <w:rPr>
          <w:rFonts w:hint="eastAsia" w:ascii="宋体" w:hAnsi="宋体" w:cs="宋体"/>
          <w:sz w:val="24"/>
        </w:rPr>
        <w:t>（3）完成本系统问题排除和日常维护、新增用户培训，保障系统正常运行和使用。如发现问题，在3个工作日内完成养护任务。</w:t>
      </w:r>
    </w:p>
    <w:p>
      <w:pPr>
        <w:spacing w:line="360" w:lineRule="auto"/>
        <w:ind w:firstLine="480" w:firstLineChars="200"/>
        <w:rPr>
          <w:rFonts w:ascii="宋体" w:hAnsi="宋体" w:cs="宋体"/>
          <w:sz w:val="24"/>
        </w:rPr>
      </w:pPr>
      <w:r>
        <w:rPr>
          <w:rFonts w:hint="eastAsia" w:ascii="宋体" w:hAnsi="宋体" w:cs="宋体"/>
          <w:sz w:val="24"/>
        </w:rPr>
        <w:t>（4）与配电系统相关的其它维护。</w:t>
      </w:r>
    </w:p>
    <w:p>
      <w:pPr>
        <w:pStyle w:val="4"/>
        <w:tabs>
          <w:tab w:val="left" w:pos="5852"/>
        </w:tabs>
        <w:spacing w:before="0" w:line="360" w:lineRule="auto"/>
        <w:rPr>
          <w:rFonts w:ascii="宋体" w:hAnsi="宋体"/>
          <w:sz w:val="24"/>
          <w:szCs w:val="24"/>
          <w:lang w:eastAsia="zh-CN"/>
        </w:rPr>
      </w:pPr>
      <w:bookmarkStart w:id="33" w:name="_Toc31085"/>
      <w:bookmarkStart w:id="34" w:name="_Toc490556073"/>
      <w:bookmarkStart w:id="35" w:name="_Toc23256245"/>
      <w:bookmarkStart w:id="36" w:name="_Toc17143383"/>
      <w:bookmarkStart w:id="37" w:name="_Toc495671661"/>
      <w:r>
        <w:rPr>
          <w:rFonts w:hint="eastAsia" w:ascii="宋体" w:hAnsi="宋体"/>
          <w:sz w:val="24"/>
          <w:szCs w:val="24"/>
          <w:lang w:eastAsia="zh-CN"/>
        </w:rPr>
        <w:t>2.1.3机房环境系统</w:t>
      </w:r>
      <w:bookmarkEnd w:id="33"/>
      <w:bookmarkEnd w:id="34"/>
      <w:bookmarkEnd w:id="35"/>
      <w:bookmarkEnd w:id="36"/>
      <w:bookmarkEnd w:id="37"/>
    </w:p>
    <w:p>
      <w:pPr>
        <w:spacing w:line="360" w:lineRule="auto"/>
        <w:ind w:firstLine="480" w:firstLineChars="200"/>
        <w:rPr>
          <w:rFonts w:ascii="宋体" w:hAnsi="宋体" w:cs="宋体"/>
          <w:sz w:val="24"/>
        </w:rPr>
      </w:pPr>
      <w:r>
        <w:rPr>
          <w:rFonts w:hint="eastAsia" w:ascii="宋体" w:hAnsi="宋体" w:cs="宋体"/>
          <w:sz w:val="24"/>
        </w:rPr>
        <w:t>每月对中心机房、2楼指挥中心大厅机房的含新风系统、防雷接地、强弱电、安防、机房照明、基础装修等维护保养保修，机房卫生打扫保持清洁等等进行检查，及时发现问题隐患并提出维护意见。</w:t>
      </w:r>
    </w:p>
    <w:p>
      <w:pPr>
        <w:spacing w:line="360" w:lineRule="auto"/>
        <w:ind w:firstLine="480" w:firstLineChars="200"/>
        <w:rPr>
          <w:rFonts w:ascii="宋体" w:hAnsi="宋体" w:cs="宋体"/>
          <w:sz w:val="24"/>
        </w:rPr>
      </w:pPr>
      <w:r>
        <w:rPr>
          <w:rFonts w:hint="eastAsia" w:ascii="宋体" w:hAnsi="宋体" w:cs="宋体"/>
          <w:sz w:val="24"/>
        </w:rPr>
        <w:t>原中心机房按照三级防雷要求，机房设直流工作地、交流工作地、安全保护地及防雷保护地。大楼采用联合接地，接地电阻设计要求为</w:t>
      </w:r>
      <w:r>
        <w:rPr>
          <w:rFonts w:ascii="宋体" w:hAnsi="宋体" w:cs="宋体"/>
          <w:sz w:val="24"/>
        </w:rPr>
        <w:t>0.5Ω</w:t>
      </w:r>
      <w:r>
        <w:rPr>
          <w:rFonts w:hint="eastAsia" w:ascii="宋体" w:hAnsi="宋体" w:cs="宋体"/>
          <w:sz w:val="24"/>
        </w:rPr>
        <w:t>，从大楼联合接地采用屏蔽电缆引入机房配电室，接地电阻要求小于</w:t>
      </w:r>
      <w:r>
        <w:rPr>
          <w:rFonts w:ascii="宋体" w:hAnsi="宋体" w:cs="宋体"/>
          <w:sz w:val="24"/>
        </w:rPr>
        <w:t>1Ω</w:t>
      </w:r>
      <w:r>
        <w:rPr>
          <w:rFonts w:hint="eastAsia" w:ascii="宋体" w:hAnsi="宋体" w:cs="宋体"/>
          <w:sz w:val="24"/>
        </w:rPr>
        <w:t>，零－地压降小于</w:t>
      </w:r>
      <w:r>
        <w:rPr>
          <w:rFonts w:ascii="宋体" w:hAnsi="宋体" w:cs="宋体"/>
          <w:sz w:val="24"/>
        </w:rPr>
        <w:t>1</w:t>
      </w:r>
      <w:r>
        <w:rPr>
          <w:rFonts w:hint="eastAsia" w:ascii="宋体" w:hAnsi="宋体" w:cs="宋体"/>
          <w:sz w:val="24"/>
        </w:rPr>
        <w:t>伏特。定期检测机房内市电输入配电柜及设备前段的一二三级电源防雷器和信号防雷器。如出现有损坏警示标志，及时进行更换。 考虑到机房的抗静电要求，根据机房的设计规范，机房的静电电压应小于1KV。要求日常维护中检查机房内接地铜排网，同时对镀锌钢管、金属软管、金属接线盒外壳等确认可靠接地，避免因电源波动较大而干扰设备的正常工作。</w:t>
      </w:r>
    </w:p>
    <w:p>
      <w:pPr>
        <w:spacing w:line="360" w:lineRule="auto"/>
        <w:ind w:firstLine="480" w:firstLineChars="200"/>
        <w:rPr>
          <w:rFonts w:ascii="宋体" w:hAnsi="宋体" w:cs="宋体"/>
          <w:sz w:val="24"/>
        </w:rPr>
      </w:pPr>
      <w:r>
        <w:rPr>
          <w:rFonts w:hint="eastAsia" w:ascii="宋体" w:hAnsi="宋体" w:cs="宋体"/>
          <w:sz w:val="24"/>
        </w:rPr>
        <w:t>机房照明系统包括中心机房、2楼指挥中心大厅机房等照明、应急照明。照度：主机房区平均照度不低于500lx，辅助区不低于300lx，应急照明不低于50lx，安全出口标志灯其照度不低于15lx。对损坏的亚光格栅荧光灯具及时进行更换。 </w:t>
      </w:r>
    </w:p>
    <w:p>
      <w:pPr>
        <w:spacing w:line="360" w:lineRule="auto"/>
        <w:ind w:firstLine="480" w:firstLineChars="200"/>
        <w:rPr>
          <w:rFonts w:ascii="宋体" w:hAnsi="宋体" w:cs="宋体"/>
          <w:sz w:val="24"/>
        </w:rPr>
      </w:pPr>
      <w:r>
        <w:rPr>
          <w:rFonts w:hint="eastAsia" w:ascii="宋体" w:hAnsi="宋体" w:cs="宋体"/>
          <w:sz w:val="24"/>
        </w:rPr>
        <w:t>（1）每月检查中心机房、2楼指挥中心大厅机房设备、线路及运行情况，编制巡检周报。</w:t>
      </w:r>
    </w:p>
    <w:p>
      <w:pPr>
        <w:spacing w:line="360" w:lineRule="auto"/>
        <w:ind w:firstLine="480" w:firstLineChars="200"/>
        <w:rPr>
          <w:rFonts w:ascii="宋体" w:hAnsi="宋体" w:cs="宋体"/>
          <w:sz w:val="24"/>
        </w:rPr>
      </w:pPr>
      <w:r>
        <w:rPr>
          <w:rFonts w:hint="eastAsia" w:ascii="宋体" w:hAnsi="宋体" w:cs="宋体"/>
          <w:sz w:val="24"/>
        </w:rPr>
        <w:t>（2）完成本系统问题排除和日常维护、新增用户培训，保障系统正常运行和使用。如发现问题，在3个工作日内完成养护任务。</w:t>
      </w:r>
    </w:p>
    <w:p>
      <w:pPr>
        <w:spacing w:line="360" w:lineRule="auto"/>
        <w:ind w:firstLine="480" w:firstLineChars="200"/>
        <w:rPr>
          <w:rFonts w:ascii="宋体" w:hAnsi="宋体" w:cs="宋体"/>
          <w:sz w:val="24"/>
        </w:rPr>
      </w:pPr>
      <w:r>
        <w:rPr>
          <w:rFonts w:hint="eastAsia" w:ascii="宋体" w:hAnsi="宋体" w:cs="宋体"/>
          <w:sz w:val="24"/>
        </w:rPr>
        <w:t>（3）与机房环境系统相关的其它维护。</w:t>
      </w:r>
    </w:p>
    <w:p>
      <w:pPr>
        <w:pStyle w:val="4"/>
        <w:tabs>
          <w:tab w:val="left" w:pos="5852"/>
        </w:tabs>
        <w:spacing w:before="0" w:line="360" w:lineRule="auto"/>
        <w:rPr>
          <w:rFonts w:ascii="宋体" w:hAnsi="宋体"/>
          <w:sz w:val="24"/>
          <w:szCs w:val="24"/>
          <w:lang w:eastAsia="zh-CN"/>
        </w:rPr>
      </w:pPr>
      <w:bookmarkStart w:id="38" w:name="_Toc23256246"/>
      <w:bookmarkStart w:id="39" w:name="_Toc17143384"/>
      <w:bookmarkStart w:id="40" w:name="_Toc495671663"/>
      <w:bookmarkStart w:id="41" w:name="_Toc490556075"/>
      <w:bookmarkStart w:id="42" w:name="_Toc9989"/>
      <w:r>
        <w:rPr>
          <w:rFonts w:hint="eastAsia" w:ascii="宋体" w:hAnsi="宋体"/>
          <w:sz w:val="24"/>
          <w:szCs w:val="24"/>
          <w:lang w:eastAsia="zh-CN"/>
        </w:rPr>
        <w:t>2.1.4 UPS系统</w:t>
      </w:r>
      <w:bookmarkEnd w:id="38"/>
      <w:bookmarkEnd w:id="39"/>
      <w:bookmarkEnd w:id="40"/>
      <w:bookmarkEnd w:id="41"/>
      <w:bookmarkEnd w:id="42"/>
    </w:p>
    <w:p>
      <w:pPr>
        <w:spacing w:line="360" w:lineRule="auto"/>
        <w:ind w:firstLine="480" w:firstLineChars="200"/>
        <w:rPr>
          <w:rFonts w:ascii="宋体" w:hAnsi="宋体" w:cs="宋体"/>
          <w:sz w:val="24"/>
        </w:rPr>
      </w:pPr>
      <w:r>
        <w:rPr>
          <w:rFonts w:hint="eastAsia" w:ascii="宋体" w:hAnsi="宋体" w:cs="宋体"/>
          <w:sz w:val="24"/>
        </w:rPr>
        <w:t>机房UPS配电系统的供电范围为：计算机设备（主机和附属设备）、通信设备、网络设备、保安监控系统、应急照明设备等。市电配电系统的供电范围是：空调设备、普通照明、新风排气设备、维修插座、一般动力等。各相用电分配尽量均衡，不均衡度小于15%。</w:t>
      </w:r>
    </w:p>
    <w:p>
      <w:pPr>
        <w:spacing w:line="360" w:lineRule="auto"/>
        <w:ind w:firstLine="480" w:firstLineChars="200"/>
        <w:rPr>
          <w:rFonts w:ascii="宋体" w:hAnsi="宋体" w:cs="宋体"/>
          <w:sz w:val="24"/>
        </w:rPr>
      </w:pPr>
      <w:r>
        <w:rPr>
          <w:rFonts w:hint="eastAsia" w:ascii="宋体" w:hAnsi="宋体" w:cs="宋体"/>
          <w:sz w:val="24"/>
        </w:rPr>
        <w:t>（1）每月对UPS电源系统进行巡检维护，查看输入电压、输入频率。查看输出频率、输出电压、输出电流、输出负载，填写巡检记录； </w:t>
      </w:r>
    </w:p>
    <w:p>
      <w:pPr>
        <w:spacing w:line="360" w:lineRule="auto"/>
        <w:ind w:firstLine="480" w:firstLineChars="200"/>
        <w:rPr>
          <w:rFonts w:ascii="宋体" w:hAnsi="宋体" w:cs="宋体"/>
          <w:sz w:val="24"/>
        </w:rPr>
      </w:pPr>
      <w:r>
        <w:rPr>
          <w:rFonts w:hint="eastAsia" w:ascii="宋体" w:hAnsi="宋体" w:cs="宋体"/>
          <w:sz w:val="24"/>
        </w:rPr>
        <w:t>（2）检查UPS接地、负载是否正常； </w:t>
      </w:r>
    </w:p>
    <w:p>
      <w:pPr>
        <w:spacing w:line="360" w:lineRule="auto"/>
        <w:ind w:firstLine="480" w:firstLineChars="200"/>
        <w:rPr>
          <w:rFonts w:ascii="宋体" w:hAnsi="宋体" w:cs="宋体"/>
          <w:sz w:val="24"/>
        </w:rPr>
      </w:pPr>
      <w:r>
        <w:rPr>
          <w:rFonts w:hint="eastAsia" w:ascii="宋体" w:hAnsi="宋体" w:cs="宋体"/>
          <w:sz w:val="24"/>
        </w:rPr>
        <w:t>（3）校正UPS数据、准确无误； </w:t>
      </w:r>
    </w:p>
    <w:p>
      <w:pPr>
        <w:spacing w:line="360" w:lineRule="auto"/>
        <w:ind w:firstLine="480" w:firstLineChars="200"/>
        <w:rPr>
          <w:rFonts w:ascii="宋体" w:hAnsi="宋体" w:cs="宋体"/>
          <w:sz w:val="24"/>
        </w:rPr>
      </w:pPr>
      <w:r>
        <w:rPr>
          <w:rFonts w:hint="eastAsia" w:ascii="宋体" w:hAnsi="宋体" w:cs="宋体"/>
          <w:sz w:val="24"/>
        </w:rPr>
        <w:t>（4）电源线、传输线正确连接，布线合理整齐，无裸露的三线交叉； </w:t>
      </w:r>
    </w:p>
    <w:p>
      <w:pPr>
        <w:spacing w:line="360" w:lineRule="auto"/>
        <w:ind w:firstLine="480" w:firstLineChars="200"/>
        <w:rPr>
          <w:rFonts w:ascii="宋体" w:hAnsi="宋体" w:cs="宋体"/>
          <w:sz w:val="24"/>
        </w:rPr>
      </w:pPr>
      <w:r>
        <w:rPr>
          <w:rFonts w:hint="eastAsia" w:ascii="宋体" w:hAnsi="宋体" w:cs="宋体"/>
          <w:sz w:val="24"/>
        </w:rPr>
        <w:t>（5）设备外表面完好无损、控制及通信功能正常； </w:t>
      </w:r>
    </w:p>
    <w:p>
      <w:pPr>
        <w:spacing w:line="360" w:lineRule="auto"/>
        <w:ind w:firstLine="480" w:firstLineChars="200"/>
        <w:rPr>
          <w:rFonts w:ascii="宋体" w:hAnsi="宋体" w:cs="宋体"/>
          <w:sz w:val="24"/>
        </w:rPr>
      </w:pPr>
      <w:r>
        <w:rPr>
          <w:rFonts w:hint="eastAsia" w:ascii="宋体" w:hAnsi="宋体" w:cs="宋体"/>
          <w:sz w:val="24"/>
        </w:rPr>
        <w:t>（6）每季度进行一次UPS放电测试，对电池进行检测； </w:t>
      </w:r>
    </w:p>
    <w:p>
      <w:pPr>
        <w:spacing w:line="360" w:lineRule="auto"/>
        <w:ind w:firstLine="480" w:firstLineChars="200"/>
        <w:rPr>
          <w:rFonts w:ascii="宋体" w:hAnsi="宋体" w:cs="宋体"/>
          <w:sz w:val="24"/>
        </w:rPr>
      </w:pPr>
      <w:r>
        <w:rPr>
          <w:rFonts w:hint="eastAsia" w:ascii="宋体" w:hAnsi="宋体" w:cs="宋体"/>
          <w:sz w:val="24"/>
        </w:rPr>
        <w:t>（7）服务期内免费提供运维所需的备品、备件。 </w:t>
      </w:r>
    </w:p>
    <w:p>
      <w:pPr>
        <w:spacing w:line="360" w:lineRule="auto"/>
        <w:ind w:firstLine="480" w:firstLineChars="200"/>
        <w:rPr>
          <w:rFonts w:ascii="宋体" w:hAnsi="宋体" w:cs="宋体"/>
          <w:sz w:val="24"/>
        </w:rPr>
      </w:pPr>
      <w:r>
        <w:rPr>
          <w:rFonts w:hint="eastAsia" w:ascii="宋体" w:hAnsi="宋体" w:cs="宋体"/>
          <w:sz w:val="24"/>
        </w:rPr>
        <w:t>（8）每月检查UPS系统设备、线路及运行情况，编制巡检月报。</w:t>
      </w:r>
    </w:p>
    <w:p>
      <w:pPr>
        <w:spacing w:line="360" w:lineRule="auto"/>
        <w:ind w:firstLine="480" w:firstLineChars="200"/>
        <w:rPr>
          <w:rFonts w:ascii="宋体" w:hAnsi="宋体" w:cs="宋体"/>
          <w:sz w:val="24"/>
        </w:rPr>
      </w:pPr>
      <w:r>
        <w:rPr>
          <w:rFonts w:hint="eastAsia" w:ascii="宋体" w:hAnsi="宋体" w:cs="宋体"/>
          <w:sz w:val="24"/>
        </w:rPr>
        <w:t>（9）完成本系统问题排除和日常维护、新增用户培训，保障系统正常运行和使用。如发现问题，在3个工作日内完成养护任务。</w:t>
      </w:r>
    </w:p>
    <w:p>
      <w:pPr>
        <w:spacing w:line="360" w:lineRule="auto"/>
        <w:ind w:firstLine="480" w:firstLineChars="200"/>
        <w:rPr>
          <w:rFonts w:ascii="宋体" w:hAnsi="宋体" w:cs="宋体"/>
          <w:sz w:val="24"/>
        </w:rPr>
      </w:pPr>
      <w:r>
        <w:rPr>
          <w:rFonts w:hint="eastAsia" w:ascii="宋体" w:hAnsi="宋体" w:cs="宋体"/>
          <w:sz w:val="24"/>
        </w:rPr>
        <w:t>（10）与机房UPS系统相关的其它维护。</w:t>
      </w:r>
    </w:p>
    <w:p>
      <w:pPr>
        <w:pStyle w:val="4"/>
        <w:tabs>
          <w:tab w:val="left" w:pos="5852"/>
        </w:tabs>
        <w:spacing w:before="0" w:line="360" w:lineRule="auto"/>
        <w:rPr>
          <w:rFonts w:ascii="宋体" w:hAnsi="宋体"/>
          <w:sz w:val="24"/>
          <w:szCs w:val="24"/>
          <w:lang w:eastAsia="zh-CN"/>
        </w:rPr>
      </w:pPr>
      <w:bookmarkStart w:id="43" w:name="_Toc17143385"/>
      <w:bookmarkStart w:id="44" w:name="_Toc495671665"/>
      <w:bookmarkStart w:id="45" w:name="_Toc27535"/>
      <w:bookmarkStart w:id="46" w:name="_Toc490556077"/>
      <w:bookmarkStart w:id="47" w:name="_Toc23256247"/>
      <w:r>
        <w:rPr>
          <w:rFonts w:hint="eastAsia" w:ascii="宋体" w:hAnsi="宋体"/>
          <w:sz w:val="24"/>
          <w:szCs w:val="24"/>
          <w:lang w:eastAsia="zh-CN"/>
        </w:rPr>
        <w:t>2.1.5综合布线系统</w:t>
      </w:r>
      <w:bookmarkEnd w:id="43"/>
      <w:bookmarkEnd w:id="44"/>
      <w:bookmarkEnd w:id="45"/>
      <w:bookmarkEnd w:id="46"/>
      <w:bookmarkEnd w:id="47"/>
    </w:p>
    <w:p>
      <w:pPr>
        <w:spacing w:line="360" w:lineRule="auto"/>
        <w:ind w:firstLine="480" w:firstLineChars="200"/>
        <w:rPr>
          <w:rFonts w:ascii="宋体" w:hAnsi="宋体" w:cs="宋体"/>
          <w:sz w:val="24"/>
        </w:rPr>
      </w:pPr>
      <w:r>
        <w:rPr>
          <w:rFonts w:hint="eastAsia" w:ascii="宋体" w:hAnsi="宋体" w:cs="宋体"/>
          <w:sz w:val="24"/>
        </w:rPr>
        <w:t>（1）重新梳理此项目中综合布线系统（电话、网络、有线电视）等相关端口情况，在业主方提供的电子版CAD图形基础上重新绘制CAD图纸，以熟悉现场环境，为进行相关系统巡检、维护打下基础。</w:t>
      </w:r>
    </w:p>
    <w:p>
      <w:pPr>
        <w:spacing w:line="360" w:lineRule="auto"/>
        <w:ind w:firstLine="480" w:firstLineChars="200"/>
        <w:rPr>
          <w:rFonts w:ascii="宋体" w:hAnsi="宋体" w:cs="宋体"/>
          <w:sz w:val="24"/>
        </w:rPr>
      </w:pPr>
      <w:r>
        <w:rPr>
          <w:rFonts w:hint="eastAsia" w:ascii="宋体" w:hAnsi="宋体" w:cs="宋体"/>
          <w:sz w:val="24"/>
        </w:rPr>
        <w:t>（2）供应商重新梳理弱电机房中的机柜、设备及端口布局情况，并绘制机柜、设备、端口CAD图纸，为进行相关系统巡检、维护打下基础。</w:t>
      </w:r>
    </w:p>
    <w:p>
      <w:pPr>
        <w:spacing w:line="360" w:lineRule="auto"/>
        <w:ind w:firstLine="480" w:firstLineChars="200"/>
        <w:rPr>
          <w:rFonts w:ascii="宋体" w:hAnsi="宋体" w:cs="宋体"/>
          <w:sz w:val="24"/>
        </w:rPr>
      </w:pPr>
      <w:r>
        <w:rPr>
          <w:rFonts w:hint="eastAsia" w:ascii="宋体" w:hAnsi="宋体" w:cs="宋体"/>
          <w:sz w:val="24"/>
        </w:rPr>
        <w:t>（3）在维护期内定期进行综合布线系统巡检，发现异常情况及时进行处理。</w:t>
      </w:r>
    </w:p>
    <w:p>
      <w:pPr>
        <w:pStyle w:val="4"/>
        <w:tabs>
          <w:tab w:val="left" w:pos="5852"/>
        </w:tabs>
        <w:spacing w:before="0" w:line="360" w:lineRule="auto"/>
        <w:rPr>
          <w:rFonts w:ascii="宋体" w:hAnsi="宋体"/>
          <w:sz w:val="24"/>
          <w:szCs w:val="24"/>
          <w:lang w:eastAsia="zh-CN"/>
        </w:rPr>
      </w:pPr>
      <w:bookmarkStart w:id="48" w:name="_Toc12845"/>
      <w:bookmarkStart w:id="49" w:name="_Toc490556078"/>
      <w:bookmarkStart w:id="50" w:name="_Toc23256248"/>
      <w:bookmarkStart w:id="51" w:name="_Toc495671666"/>
      <w:bookmarkStart w:id="52" w:name="_Toc17143386"/>
      <w:r>
        <w:rPr>
          <w:rFonts w:hint="eastAsia" w:ascii="宋体" w:hAnsi="宋体"/>
          <w:sz w:val="24"/>
          <w:szCs w:val="24"/>
          <w:lang w:eastAsia="zh-CN"/>
        </w:rPr>
        <w:t>2.1.6视频监控系统</w:t>
      </w:r>
      <w:bookmarkEnd w:id="48"/>
      <w:bookmarkEnd w:id="49"/>
      <w:bookmarkEnd w:id="50"/>
      <w:bookmarkEnd w:id="51"/>
      <w:bookmarkEnd w:id="52"/>
    </w:p>
    <w:p>
      <w:pPr>
        <w:spacing w:line="360" w:lineRule="auto"/>
        <w:ind w:firstLine="480" w:firstLineChars="200"/>
        <w:rPr>
          <w:rFonts w:ascii="宋体" w:hAnsi="宋体" w:cs="宋体"/>
          <w:sz w:val="24"/>
        </w:rPr>
      </w:pPr>
      <w:r>
        <w:rPr>
          <w:rFonts w:hint="eastAsia" w:ascii="宋体" w:hAnsi="宋体" w:cs="宋体"/>
          <w:sz w:val="24"/>
        </w:rPr>
        <w:t>（1）每周对平安城市、督察督办系统、省厅道路卡口系统进行检查，及时发现问题隐患并提出维护意见。</w:t>
      </w:r>
    </w:p>
    <w:p>
      <w:pPr>
        <w:spacing w:line="360" w:lineRule="auto"/>
        <w:ind w:firstLine="480" w:firstLineChars="200"/>
        <w:rPr>
          <w:rFonts w:ascii="宋体" w:hAnsi="宋体" w:cs="宋体"/>
          <w:sz w:val="24"/>
        </w:rPr>
      </w:pPr>
      <w:r>
        <w:rPr>
          <w:rFonts w:hint="eastAsia" w:ascii="宋体" w:hAnsi="宋体" w:cs="宋体"/>
          <w:sz w:val="24"/>
        </w:rPr>
        <w:t>（2）每周检查视频监控系统设备（摄像机、交换机、监控主机、存储设备、显示设备、平台）、线路及运行情况，编制巡检周报。</w:t>
      </w:r>
    </w:p>
    <w:p>
      <w:pPr>
        <w:spacing w:line="360" w:lineRule="auto"/>
        <w:ind w:firstLine="480" w:firstLineChars="200"/>
        <w:rPr>
          <w:rFonts w:ascii="宋体" w:hAnsi="宋体" w:cs="宋体"/>
          <w:sz w:val="24"/>
        </w:rPr>
      </w:pPr>
      <w:r>
        <w:rPr>
          <w:rFonts w:hint="eastAsia" w:ascii="宋体" w:hAnsi="宋体" w:cs="宋体"/>
          <w:sz w:val="24"/>
        </w:rPr>
        <w:t>（3）每月完成视频头清洗及遮挡物清除，保障每个视频监控点位干净无遮挡物。如发现问题，在3个工作日内完成养护任务。</w:t>
      </w:r>
    </w:p>
    <w:p>
      <w:pPr>
        <w:spacing w:line="360" w:lineRule="auto"/>
        <w:ind w:firstLine="480" w:firstLineChars="200"/>
        <w:rPr>
          <w:rFonts w:ascii="宋体" w:hAnsi="宋体" w:cs="宋体"/>
          <w:sz w:val="24"/>
        </w:rPr>
      </w:pPr>
      <w:r>
        <w:rPr>
          <w:rFonts w:hint="eastAsia" w:ascii="宋体" w:hAnsi="宋体" w:cs="宋体"/>
          <w:sz w:val="24"/>
        </w:rPr>
        <w:t>（4）与视频监控系统相关的其它维护。</w:t>
      </w:r>
    </w:p>
    <w:p>
      <w:pPr>
        <w:pStyle w:val="4"/>
        <w:tabs>
          <w:tab w:val="left" w:pos="5852"/>
        </w:tabs>
        <w:spacing w:before="0" w:line="360" w:lineRule="auto"/>
        <w:rPr>
          <w:rFonts w:ascii="宋体" w:hAnsi="宋体"/>
          <w:sz w:val="24"/>
          <w:szCs w:val="24"/>
          <w:lang w:eastAsia="zh-CN"/>
        </w:rPr>
      </w:pPr>
      <w:bookmarkStart w:id="53" w:name="_Toc495671668"/>
      <w:bookmarkStart w:id="54" w:name="_Toc490556080"/>
      <w:bookmarkStart w:id="55" w:name="_Toc17143387"/>
      <w:bookmarkStart w:id="56" w:name="_Toc27921"/>
      <w:bookmarkStart w:id="57" w:name="_Toc23256249"/>
      <w:r>
        <w:rPr>
          <w:rFonts w:hint="eastAsia" w:ascii="宋体" w:hAnsi="宋体"/>
          <w:sz w:val="24"/>
          <w:szCs w:val="24"/>
          <w:lang w:eastAsia="zh-CN"/>
        </w:rPr>
        <w:t>2.1.7会议系统</w:t>
      </w:r>
      <w:bookmarkEnd w:id="53"/>
      <w:bookmarkEnd w:id="54"/>
      <w:bookmarkEnd w:id="55"/>
      <w:bookmarkEnd w:id="56"/>
      <w:bookmarkEnd w:id="57"/>
    </w:p>
    <w:p>
      <w:pPr>
        <w:spacing w:line="360" w:lineRule="auto"/>
        <w:ind w:firstLine="480" w:firstLineChars="200"/>
        <w:rPr>
          <w:rFonts w:ascii="宋体" w:hAnsi="宋体" w:cs="宋体"/>
          <w:sz w:val="24"/>
        </w:rPr>
      </w:pPr>
      <w:r>
        <w:rPr>
          <w:rFonts w:hint="eastAsia" w:ascii="宋体" w:hAnsi="宋体" w:cs="宋体"/>
          <w:sz w:val="24"/>
        </w:rPr>
        <w:t>（1）每月对会议系统（视频会议、手拉手麦、音响系统、无线麦、会议中控系统）进行检查，和至少一个远程节点进行测试，及时发现问题隐患并提出维护意见。</w:t>
      </w:r>
    </w:p>
    <w:p>
      <w:pPr>
        <w:spacing w:line="360" w:lineRule="auto"/>
        <w:ind w:firstLine="480" w:firstLineChars="200"/>
        <w:rPr>
          <w:rFonts w:ascii="宋体" w:hAnsi="宋体" w:cs="宋体"/>
          <w:sz w:val="24"/>
        </w:rPr>
      </w:pPr>
      <w:r>
        <w:rPr>
          <w:rFonts w:hint="eastAsia" w:ascii="宋体" w:hAnsi="宋体" w:cs="宋体"/>
          <w:sz w:val="24"/>
        </w:rPr>
        <w:t>（2）每月检查数字化多媒体设备、线路及运行情况，编制巡检周报。</w:t>
      </w:r>
    </w:p>
    <w:p>
      <w:pPr>
        <w:spacing w:line="360" w:lineRule="auto"/>
        <w:ind w:firstLine="480" w:firstLineChars="200"/>
        <w:rPr>
          <w:rFonts w:ascii="宋体" w:hAnsi="宋体" w:cs="宋体"/>
          <w:sz w:val="24"/>
        </w:rPr>
      </w:pPr>
      <w:r>
        <w:rPr>
          <w:rFonts w:hint="eastAsia" w:ascii="宋体" w:hAnsi="宋体" w:cs="宋体"/>
          <w:sz w:val="24"/>
        </w:rPr>
        <w:t>（3）完成会议系统问题排除和日常维护、系统软件配置、新增用户培训，保障系统正常运行和使用。如发现问题，在3个工作日内完成养护任务。</w:t>
      </w:r>
    </w:p>
    <w:p>
      <w:pPr>
        <w:spacing w:line="360" w:lineRule="auto"/>
        <w:ind w:firstLine="480" w:firstLineChars="200"/>
        <w:rPr>
          <w:rFonts w:ascii="宋体" w:hAnsi="宋体" w:cs="宋体"/>
          <w:sz w:val="24"/>
        </w:rPr>
      </w:pPr>
      <w:r>
        <w:rPr>
          <w:rFonts w:hint="eastAsia" w:ascii="宋体" w:hAnsi="宋体" w:cs="宋体"/>
          <w:sz w:val="24"/>
        </w:rPr>
        <w:t>（4）与会议系统相关的其它维护。</w:t>
      </w:r>
    </w:p>
    <w:p>
      <w:pPr>
        <w:pStyle w:val="4"/>
        <w:tabs>
          <w:tab w:val="left" w:pos="5852"/>
        </w:tabs>
        <w:spacing w:before="0" w:line="360" w:lineRule="auto"/>
        <w:rPr>
          <w:rFonts w:ascii="宋体" w:hAnsi="宋体"/>
          <w:sz w:val="24"/>
          <w:szCs w:val="24"/>
          <w:lang w:eastAsia="zh-CN"/>
        </w:rPr>
      </w:pPr>
      <w:bookmarkStart w:id="58" w:name="_Toc23256250"/>
      <w:bookmarkStart w:id="59" w:name="_Toc28130"/>
      <w:bookmarkStart w:id="60" w:name="_Toc495671670"/>
      <w:bookmarkStart w:id="61" w:name="_Toc17143388"/>
      <w:bookmarkStart w:id="62" w:name="_Toc490556082"/>
      <w:r>
        <w:rPr>
          <w:rFonts w:hint="eastAsia" w:ascii="宋体" w:hAnsi="宋体"/>
          <w:sz w:val="24"/>
          <w:szCs w:val="24"/>
          <w:lang w:eastAsia="zh-CN"/>
        </w:rPr>
        <w:t>2.1.8大屏拼接管理系统</w:t>
      </w:r>
      <w:bookmarkEnd w:id="58"/>
      <w:bookmarkEnd w:id="59"/>
      <w:bookmarkEnd w:id="60"/>
      <w:bookmarkEnd w:id="61"/>
      <w:bookmarkEnd w:id="62"/>
    </w:p>
    <w:p>
      <w:pPr>
        <w:spacing w:line="360" w:lineRule="auto"/>
        <w:ind w:firstLine="480"/>
        <w:rPr>
          <w:rFonts w:ascii="宋体" w:hAnsi="宋体" w:cs="宋体"/>
          <w:sz w:val="24"/>
        </w:rPr>
      </w:pPr>
      <w:r>
        <w:rPr>
          <w:rFonts w:hint="eastAsia" w:ascii="宋体" w:hAnsi="宋体" w:cs="宋体"/>
          <w:sz w:val="24"/>
        </w:rPr>
        <w:t>（1）每月对指挥中心拼接屏显示系统进行检查，及时发现问题隐患并提出维护意见。</w:t>
      </w:r>
    </w:p>
    <w:p>
      <w:pPr>
        <w:spacing w:line="360" w:lineRule="auto"/>
        <w:ind w:firstLine="480"/>
        <w:rPr>
          <w:rFonts w:ascii="宋体" w:hAnsi="宋体" w:cs="宋体"/>
          <w:sz w:val="24"/>
        </w:rPr>
      </w:pPr>
      <w:r>
        <w:rPr>
          <w:rFonts w:hint="eastAsia" w:ascii="宋体" w:hAnsi="宋体" w:cs="宋体"/>
          <w:sz w:val="24"/>
        </w:rPr>
        <w:t>（2）每月检查大屏拼接屏系统设备、线路及运行情况，编制巡检周报。</w:t>
      </w:r>
    </w:p>
    <w:p>
      <w:pPr>
        <w:spacing w:line="360" w:lineRule="auto"/>
        <w:ind w:firstLine="480"/>
        <w:rPr>
          <w:rFonts w:ascii="宋体" w:hAnsi="宋体" w:cs="宋体"/>
          <w:sz w:val="24"/>
        </w:rPr>
      </w:pPr>
      <w:r>
        <w:rPr>
          <w:rFonts w:hint="eastAsia" w:ascii="宋体" w:hAnsi="宋体" w:cs="宋体"/>
          <w:sz w:val="24"/>
        </w:rPr>
        <w:t>（3）完成本系统问题排除和日常维护、系统软件配置、新增用户培训，保障系统正常运行和使用。如发现问题，在3个工作日内完成养护任务。</w:t>
      </w:r>
    </w:p>
    <w:p>
      <w:pPr>
        <w:spacing w:line="360" w:lineRule="auto"/>
        <w:ind w:firstLine="480"/>
        <w:rPr>
          <w:rFonts w:ascii="宋体" w:hAnsi="宋体" w:cs="宋体"/>
          <w:sz w:val="24"/>
        </w:rPr>
      </w:pPr>
      <w:r>
        <w:rPr>
          <w:rFonts w:hint="eastAsia" w:ascii="宋体" w:hAnsi="宋体" w:cs="宋体"/>
          <w:sz w:val="24"/>
        </w:rPr>
        <w:t>（4）与检查大屏拼接屏系统相关的其它维护。</w:t>
      </w:r>
    </w:p>
    <w:p>
      <w:pPr>
        <w:pStyle w:val="4"/>
        <w:tabs>
          <w:tab w:val="left" w:pos="5852"/>
        </w:tabs>
        <w:spacing w:before="0" w:line="360" w:lineRule="auto"/>
        <w:rPr>
          <w:rFonts w:ascii="宋体" w:hAnsi="宋体"/>
          <w:sz w:val="24"/>
          <w:szCs w:val="24"/>
          <w:lang w:eastAsia="zh-CN"/>
        </w:rPr>
      </w:pPr>
      <w:bookmarkStart w:id="63" w:name="_Toc23256251"/>
      <w:bookmarkStart w:id="64" w:name="_Toc495671671"/>
      <w:bookmarkStart w:id="65" w:name="_Toc17143389"/>
      <w:bookmarkStart w:id="66" w:name="_Toc490556083"/>
      <w:bookmarkStart w:id="67" w:name="_Toc32231"/>
      <w:r>
        <w:rPr>
          <w:rFonts w:hint="eastAsia" w:ascii="宋体" w:hAnsi="宋体"/>
          <w:sz w:val="24"/>
          <w:szCs w:val="24"/>
          <w:lang w:eastAsia="zh-CN"/>
        </w:rPr>
        <w:t>2.1.9网络系统</w:t>
      </w:r>
      <w:bookmarkEnd w:id="63"/>
      <w:bookmarkEnd w:id="64"/>
      <w:bookmarkEnd w:id="65"/>
      <w:bookmarkEnd w:id="66"/>
      <w:bookmarkEnd w:id="67"/>
    </w:p>
    <w:p>
      <w:pPr>
        <w:spacing w:line="360" w:lineRule="auto"/>
        <w:ind w:firstLine="480"/>
        <w:rPr>
          <w:rFonts w:ascii="宋体" w:hAnsi="宋体" w:cs="宋体"/>
          <w:sz w:val="24"/>
        </w:rPr>
      </w:pPr>
      <w:r>
        <w:rPr>
          <w:rFonts w:hint="eastAsia" w:ascii="宋体" w:hAnsi="宋体" w:cs="宋体"/>
          <w:sz w:val="24"/>
        </w:rPr>
        <w:t>（1）每月对各个机房内的网络系统进行检查，及时发现问题隐患并提出维护意见。</w:t>
      </w:r>
    </w:p>
    <w:p>
      <w:pPr>
        <w:spacing w:line="360" w:lineRule="auto"/>
        <w:ind w:firstLine="480"/>
        <w:rPr>
          <w:rFonts w:ascii="宋体" w:hAnsi="宋体" w:cs="宋体"/>
          <w:sz w:val="24"/>
        </w:rPr>
      </w:pPr>
      <w:r>
        <w:rPr>
          <w:rFonts w:hint="eastAsia" w:ascii="宋体" w:hAnsi="宋体" w:cs="宋体"/>
          <w:sz w:val="24"/>
        </w:rPr>
        <w:t>（2）每周检查网络系统设备、线路及运行情况，编制巡检周报。</w:t>
      </w:r>
    </w:p>
    <w:p>
      <w:pPr>
        <w:spacing w:line="360" w:lineRule="auto"/>
        <w:ind w:firstLine="480"/>
        <w:rPr>
          <w:rFonts w:ascii="宋体" w:hAnsi="宋体" w:cs="宋体"/>
          <w:sz w:val="24"/>
        </w:rPr>
      </w:pPr>
      <w:r>
        <w:rPr>
          <w:rFonts w:hint="eastAsia" w:ascii="宋体" w:hAnsi="宋体" w:cs="宋体"/>
          <w:sz w:val="24"/>
        </w:rPr>
        <w:t>（3）完成本系统问题排除和日常维护、系统软件配置、新增用户培训，保障系统正常运行和使用。如发现问题，在3个工作日内完成养护任务。</w:t>
      </w:r>
    </w:p>
    <w:p>
      <w:pPr>
        <w:spacing w:line="360" w:lineRule="auto"/>
        <w:ind w:firstLine="480"/>
        <w:rPr>
          <w:rFonts w:ascii="宋体" w:hAnsi="宋体" w:cs="宋体"/>
          <w:sz w:val="24"/>
        </w:rPr>
      </w:pPr>
      <w:r>
        <w:rPr>
          <w:rFonts w:hint="eastAsia" w:ascii="宋体" w:hAnsi="宋体" w:cs="宋体"/>
          <w:sz w:val="24"/>
        </w:rPr>
        <w:t>（4）与检查网络系统相关的其它维护。</w:t>
      </w:r>
    </w:p>
    <w:bookmarkEnd w:id="28"/>
    <w:bookmarkEnd w:id="29"/>
    <w:p>
      <w:pPr>
        <w:pStyle w:val="2"/>
        <w:spacing w:line="360" w:lineRule="auto"/>
        <w:rPr>
          <w:rFonts w:hint="eastAsia" w:ascii="Verdana" w:hAnsi="Verdana"/>
          <w:kern w:val="0"/>
          <w:szCs w:val="20"/>
        </w:rPr>
      </w:pPr>
      <w:bookmarkStart w:id="68" w:name="_Toc23256252"/>
      <w:bookmarkStart w:id="69" w:name="_Toc30303"/>
      <w:bookmarkStart w:id="70" w:name="_Toc17143390"/>
      <w:bookmarkStart w:id="71" w:name="_Toc24989"/>
      <w:r>
        <w:rPr>
          <w:rFonts w:hint="eastAsia" w:ascii="Times New Roman" w:hAnsi="Times New Roman"/>
          <w:sz w:val="30"/>
          <w:szCs w:val="30"/>
          <w:lang w:eastAsia="zh-CN"/>
        </w:rPr>
        <w:t>3.2维护方式</w:t>
      </w:r>
      <w:bookmarkEnd w:id="68"/>
      <w:bookmarkEnd w:id="69"/>
      <w:bookmarkEnd w:id="70"/>
      <w:bookmarkEnd w:id="71"/>
      <w:bookmarkStart w:id="72" w:name="_Toc17143391"/>
    </w:p>
    <w:p>
      <w:pPr>
        <w:pStyle w:val="4"/>
        <w:tabs>
          <w:tab w:val="left" w:pos="5852"/>
        </w:tabs>
        <w:spacing w:before="0" w:line="360" w:lineRule="auto"/>
        <w:rPr>
          <w:rFonts w:ascii="宋体" w:hAnsi="宋体"/>
          <w:sz w:val="24"/>
          <w:szCs w:val="24"/>
          <w:lang w:eastAsia="zh-CN"/>
        </w:rPr>
      </w:pPr>
      <w:bookmarkStart w:id="73" w:name="_Toc22941"/>
      <w:bookmarkStart w:id="74" w:name="_Toc23256254"/>
      <w:r>
        <w:rPr>
          <w:rFonts w:hint="eastAsia" w:ascii="宋体" w:hAnsi="宋体"/>
          <w:sz w:val="24"/>
          <w:szCs w:val="24"/>
          <w:lang w:eastAsia="zh-CN"/>
        </w:rPr>
        <w:t>3.2.</w:t>
      </w:r>
      <w:r>
        <w:rPr>
          <w:rFonts w:hint="eastAsia" w:ascii="宋体" w:hAnsi="宋体"/>
          <w:sz w:val="24"/>
          <w:szCs w:val="24"/>
          <w:lang w:val="en-US" w:eastAsia="zh-CN"/>
        </w:rPr>
        <w:t>1</w:t>
      </w:r>
      <w:r>
        <w:rPr>
          <w:rFonts w:hint="eastAsia" w:ascii="宋体" w:hAnsi="宋体"/>
          <w:sz w:val="24"/>
          <w:szCs w:val="24"/>
          <w:lang w:eastAsia="zh-CN"/>
        </w:rPr>
        <w:t>现场驻场服务</w:t>
      </w:r>
      <w:bookmarkEnd w:id="72"/>
      <w:bookmarkEnd w:id="73"/>
      <w:bookmarkEnd w:id="74"/>
    </w:p>
    <w:p>
      <w:pPr>
        <w:spacing w:line="360" w:lineRule="auto"/>
        <w:ind w:firstLine="480"/>
        <w:rPr>
          <w:rFonts w:ascii="宋体" w:hAnsi="宋体" w:cs="宋体"/>
          <w:sz w:val="24"/>
        </w:rPr>
      </w:pPr>
      <w:r>
        <w:rPr>
          <w:rFonts w:hint="eastAsia" w:ascii="宋体" w:hAnsi="宋体" w:cs="宋体"/>
          <w:sz w:val="24"/>
        </w:rPr>
        <w:t xml:space="preserve">1、派驻3名专业工程师驻场保证对客户的及时服务； </w:t>
      </w:r>
    </w:p>
    <w:p>
      <w:pPr>
        <w:spacing w:line="360" w:lineRule="auto"/>
        <w:ind w:firstLine="480"/>
        <w:rPr>
          <w:rFonts w:ascii="宋体" w:hAnsi="宋体" w:cs="宋体"/>
          <w:sz w:val="24"/>
        </w:rPr>
      </w:pPr>
      <w:r>
        <w:rPr>
          <w:rFonts w:hint="eastAsia" w:ascii="宋体" w:hAnsi="宋体" w:cs="宋体"/>
          <w:sz w:val="24"/>
        </w:rPr>
        <w:t xml:space="preserve">2、客户现场设备出现问题或故障，直接对现场工程师申报故障； </w:t>
      </w:r>
    </w:p>
    <w:p>
      <w:pPr>
        <w:spacing w:line="360" w:lineRule="auto"/>
        <w:ind w:firstLine="480"/>
        <w:rPr>
          <w:rFonts w:ascii="宋体" w:hAnsi="宋体" w:cs="宋体"/>
          <w:sz w:val="24"/>
        </w:rPr>
      </w:pPr>
      <w:r>
        <w:rPr>
          <w:rFonts w:hint="eastAsia" w:ascii="宋体" w:hAnsi="宋体" w:cs="宋体"/>
          <w:sz w:val="24"/>
        </w:rPr>
        <w:t xml:space="preserve">3、维护人员根据反应情况，马上作出处理及给予回复； </w:t>
      </w:r>
    </w:p>
    <w:p>
      <w:pPr>
        <w:spacing w:line="360" w:lineRule="auto"/>
        <w:ind w:firstLine="480"/>
        <w:rPr>
          <w:rFonts w:ascii="宋体" w:hAnsi="宋体" w:cs="宋体"/>
          <w:sz w:val="24"/>
        </w:rPr>
      </w:pPr>
      <w:r>
        <w:rPr>
          <w:rFonts w:hint="eastAsia" w:ascii="宋体" w:hAnsi="宋体" w:cs="宋体"/>
          <w:sz w:val="24"/>
        </w:rPr>
        <w:t xml:space="preserve">4、判断故障范围，根据故障难度，调度工程师现场服务； </w:t>
      </w:r>
    </w:p>
    <w:p>
      <w:pPr>
        <w:spacing w:line="360" w:lineRule="auto"/>
        <w:ind w:firstLine="480"/>
        <w:rPr>
          <w:rFonts w:ascii="宋体" w:hAnsi="宋体" w:cs="宋体"/>
          <w:sz w:val="24"/>
        </w:rPr>
      </w:pPr>
      <w:r>
        <w:rPr>
          <w:rFonts w:hint="eastAsia" w:ascii="宋体" w:hAnsi="宋体" w:cs="宋体"/>
          <w:sz w:val="24"/>
        </w:rPr>
        <w:t xml:space="preserve">5、查看现场情况，判断类别，报告相关技术问题； </w:t>
      </w:r>
    </w:p>
    <w:p>
      <w:pPr>
        <w:spacing w:line="360" w:lineRule="auto"/>
        <w:ind w:firstLine="480"/>
        <w:rPr>
          <w:rFonts w:ascii="宋体" w:hAnsi="宋体" w:cs="宋体"/>
          <w:sz w:val="24"/>
        </w:rPr>
      </w:pPr>
      <w:r>
        <w:rPr>
          <w:rFonts w:hint="eastAsia" w:ascii="宋体" w:hAnsi="宋体" w:cs="宋体"/>
          <w:sz w:val="24"/>
        </w:rPr>
        <w:t xml:space="preserve">6、故障实施处理，完毕后清理现场； </w:t>
      </w:r>
    </w:p>
    <w:p>
      <w:pPr>
        <w:spacing w:line="360" w:lineRule="auto"/>
        <w:ind w:firstLine="480"/>
        <w:rPr>
          <w:rFonts w:ascii="宋体" w:hAnsi="宋体" w:cs="宋体"/>
          <w:sz w:val="24"/>
        </w:rPr>
      </w:pPr>
      <w:r>
        <w:rPr>
          <w:rFonts w:hint="eastAsia" w:ascii="宋体" w:hAnsi="宋体" w:cs="宋体"/>
          <w:sz w:val="24"/>
        </w:rPr>
        <w:t xml:space="preserve">7、填写维护报告单； </w:t>
      </w:r>
    </w:p>
    <w:p>
      <w:pPr>
        <w:spacing w:line="360" w:lineRule="auto"/>
        <w:ind w:firstLine="480"/>
        <w:rPr>
          <w:rFonts w:ascii="宋体" w:hAnsi="宋体" w:cs="宋体"/>
          <w:sz w:val="24"/>
        </w:rPr>
      </w:pPr>
      <w:r>
        <w:rPr>
          <w:rFonts w:hint="eastAsia" w:ascii="宋体" w:hAnsi="宋体" w:cs="宋体"/>
          <w:sz w:val="24"/>
        </w:rPr>
        <w:t>8、填写相关日志报告，存案留底</w:t>
      </w:r>
    </w:p>
    <w:p>
      <w:pPr>
        <w:spacing w:line="360" w:lineRule="auto"/>
        <w:ind w:firstLine="480"/>
        <w:rPr>
          <w:rFonts w:ascii="宋体" w:hAnsi="宋体" w:cs="宋体"/>
          <w:sz w:val="24"/>
        </w:rPr>
      </w:pPr>
      <w:r>
        <w:rPr>
          <w:rFonts w:hint="eastAsia" w:ascii="宋体" w:hAnsi="宋体" w:cs="宋体"/>
          <w:sz w:val="24"/>
        </w:rPr>
        <w:t>9、设备出现问题或故障通过客服热线电话、客服办公点申报故障</w:t>
      </w:r>
    </w:p>
    <w:p>
      <w:pPr>
        <w:spacing w:line="360" w:lineRule="auto"/>
        <w:ind w:firstLine="480"/>
        <w:rPr>
          <w:rFonts w:ascii="宋体" w:hAnsi="宋体" w:cs="宋体"/>
          <w:sz w:val="24"/>
        </w:rPr>
      </w:pPr>
      <w:r>
        <w:rPr>
          <w:rFonts w:hint="eastAsia" w:ascii="宋体" w:hAnsi="宋体" w:cs="宋体"/>
          <w:sz w:val="24"/>
        </w:rPr>
        <w:t>维护人员根据反应情况</w:t>
      </w:r>
      <w:r>
        <w:rPr>
          <w:rFonts w:ascii="宋体" w:hAnsi="宋体" w:cs="宋体"/>
          <w:sz w:val="24"/>
        </w:rPr>
        <w:t>，</w:t>
      </w:r>
      <w:r>
        <w:rPr>
          <w:rFonts w:hint="eastAsia" w:ascii="宋体" w:hAnsi="宋体" w:cs="宋体"/>
          <w:sz w:val="24"/>
        </w:rPr>
        <w:t>马上作出处理及给予回复</w:t>
      </w:r>
      <w:r>
        <w:rPr>
          <w:rFonts w:ascii="宋体" w:hAnsi="宋体" w:cs="宋体"/>
          <w:sz w:val="24"/>
        </w:rPr>
        <w:t>，</w:t>
      </w:r>
      <w:r>
        <w:rPr>
          <w:rFonts w:hint="eastAsia" w:ascii="宋体" w:hAnsi="宋体" w:cs="宋体"/>
          <w:sz w:val="24"/>
        </w:rPr>
        <w:t>判断故障范围</w:t>
      </w:r>
      <w:r>
        <w:rPr>
          <w:rFonts w:ascii="宋体" w:hAnsi="宋体" w:cs="宋体"/>
          <w:sz w:val="24"/>
        </w:rPr>
        <w:t>，</w:t>
      </w:r>
      <w:r>
        <w:rPr>
          <w:rFonts w:hint="eastAsia" w:ascii="宋体" w:hAnsi="宋体" w:cs="宋体"/>
          <w:sz w:val="24"/>
        </w:rPr>
        <w:t>根据故障难度</w:t>
      </w:r>
      <w:r>
        <w:rPr>
          <w:rFonts w:ascii="宋体" w:hAnsi="宋体" w:cs="宋体"/>
          <w:sz w:val="24"/>
        </w:rPr>
        <w:t>，</w:t>
      </w:r>
      <w:r>
        <w:rPr>
          <w:rFonts w:hint="eastAsia" w:ascii="宋体" w:hAnsi="宋体" w:cs="宋体"/>
          <w:sz w:val="24"/>
        </w:rPr>
        <w:t>调度工程师现场服务查看现场情况</w:t>
      </w:r>
      <w:r>
        <w:rPr>
          <w:rFonts w:ascii="宋体" w:hAnsi="宋体" w:cs="宋体"/>
          <w:sz w:val="24"/>
        </w:rPr>
        <w:t>，</w:t>
      </w:r>
      <w:r>
        <w:rPr>
          <w:rFonts w:hint="eastAsia" w:ascii="宋体" w:hAnsi="宋体" w:cs="宋体"/>
          <w:sz w:val="24"/>
        </w:rPr>
        <w:t>判断类别</w:t>
      </w:r>
      <w:r>
        <w:rPr>
          <w:rFonts w:ascii="宋体" w:hAnsi="宋体" w:cs="宋体"/>
          <w:sz w:val="24"/>
        </w:rPr>
        <w:t>，</w:t>
      </w:r>
      <w:r>
        <w:rPr>
          <w:rFonts w:hint="eastAsia" w:ascii="宋体" w:hAnsi="宋体" w:cs="宋体"/>
          <w:sz w:val="24"/>
        </w:rPr>
        <w:t>报告相关技术问题 故障实施处理</w:t>
      </w:r>
      <w:r>
        <w:rPr>
          <w:rFonts w:ascii="宋体" w:hAnsi="宋体" w:cs="宋体"/>
          <w:sz w:val="24"/>
        </w:rPr>
        <w:t>，</w:t>
      </w:r>
      <w:r>
        <w:rPr>
          <w:rFonts w:hint="eastAsia" w:ascii="宋体" w:hAnsi="宋体" w:cs="宋体"/>
          <w:sz w:val="24"/>
        </w:rPr>
        <w:t>完毕后清理现场 填写护报告单填写相关日志报告</w:t>
      </w:r>
      <w:r>
        <w:rPr>
          <w:rFonts w:ascii="宋体" w:hAnsi="宋体" w:cs="宋体"/>
          <w:sz w:val="24"/>
        </w:rPr>
        <w:t>，</w:t>
      </w:r>
      <w:r>
        <w:rPr>
          <w:rFonts w:hint="eastAsia" w:ascii="宋体" w:hAnsi="宋体" w:cs="宋体"/>
          <w:sz w:val="24"/>
        </w:rPr>
        <w:t>存案留底。</w:t>
      </w:r>
    </w:p>
    <w:p>
      <w:pPr>
        <w:pStyle w:val="4"/>
        <w:tabs>
          <w:tab w:val="left" w:pos="5852"/>
        </w:tabs>
        <w:spacing w:before="0" w:line="360" w:lineRule="auto"/>
        <w:rPr>
          <w:rFonts w:ascii="宋体" w:hAnsi="宋体"/>
          <w:sz w:val="24"/>
          <w:szCs w:val="24"/>
          <w:lang w:eastAsia="zh-CN"/>
        </w:rPr>
      </w:pPr>
      <w:bookmarkStart w:id="75" w:name="_Toc17143392"/>
      <w:bookmarkStart w:id="76" w:name="_Toc11495"/>
      <w:bookmarkStart w:id="77" w:name="_Toc23256255"/>
      <w:r>
        <w:rPr>
          <w:rFonts w:hint="eastAsia" w:ascii="宋体" w:hAnsi="宋体"/>
          <w:sz w:val="24"/>
          <w:szCs w:val="24"/>
          <w:lang w:eastAsia="zh-CN"/>
        </w:rPr>
        <w:t>3.2.</w:t>
      </w:r>
      <w:r>
        <w:rPr>
          <w:rFonts w:hint="eastAsia" w:ascii="宋体" w:hAnsi="宋体"/>
          <w:sz w:val="24"/>
          <w:szCs w:val="24"/>
          <w:lang w:val="en-US" w:eastAsia="zh-CN"/>
        </w:rPr>
        <w:t>2</w:t>
      </w:r>
      <w:r>
        <w:rPr>
          <w:rFonts w:hint="eastAsia" w:ascii="宋体" w:hAnsi="宋体"/>
          <w:sz w:val="24"/>
          <w:szCs w:val="24"/>
          <w:lang w:eastAsia="zh-CN"/>
        </w:rPr>
        <w:t>设备维修及更换流程</w:t>
      </w:r>
      <w:bookmarkEnd w:id="75"/>
      <w:bookmarkEnd w:id="76"/>
      <w:bookmarkEnd w:id="77"/>
    </w:p>
    <w:p>
      <w:pPr>
        <w:spacing w:line="360" w:lineRule="auto"/>
        <w:ind w:firstLine="480"/>
        <w:rPr>
          <w:rFonts w:ascii="宋体" w:hAnsi="宋体" w:cs="宋体"/>
          <w:sz w:val="24"/>
        </w:rPr>
      </w:pPr>
      <w:r>
        <w:rPr>
          <w:rFonts w:hint="eastAsia" w:ascii="宋体" w:hAnsi="宋体" w:cs="宋体"/>
          <w:sz w:val="24"/>
        </w:rPr>
        <w:t xml:space="preserve">保修期内返厂维修：指需要维修或更换的设备在厂家规定标准保修期内，坏件返回工厂维修，维护人员跟进全返厂维修过程，直至设备正常投入使用。 </w:t>
      </w:r>
    </w:p>
    <w:p>
      <w:pPr>
        <w:spacing w:line="360" w:lineRule="auto"/>
        <w:ind w:firstLine="480"/>
        <w:rPr>
          <w:rFonts w:ascii="宋体" w:hAnsi="宋体" w:cs="宋体"/>
          <w:sz w:val="24"/>
        </w:rPr>
      </w:pPr>
      <w:r>
        <w:rPr>
          <w:rFonts w:hint="eastAsia" w:ascii="宋体" w:hAnsi="宋体" w:cs="宋体"/>
          <w:sz w:val="24"/>
        </w:rPr>
        <w:t>保修期外返厂维修：对已过保修期的坏件，由维护人员联系厂家，获得批准后维护人员将坏件送工厂维修，跟进全过程，直至设备正常投入使用。 （维修或更换设备中的维修费和设备费超出乙方应支付限额的由甲方支付。）</w:t>
      </w:r>
    </w:p>
    <w:p>
      <w:pPr>
        <w:spacing w:line="360" w:lineRule="auto"/>
        <w:ind w:firstLine="480"/>
        <w:rPr>
          <w:rFonts w:ascii="宋体" w:hAnsi="宋体"/>
        </w:rPr>
      </w:pPr>
    </w:p>
    <w:p>
      <w:pPr>
        <w:pStyle w:val="4"/>
        <w:tabs>
          <w:tab w:val="left" w:pos="5852"/>
        </w:tabs>
        <w:spacing w:before="0" w:line="360" w:lineRule="auto"/>
        <w:rPr>
          <w:rFonts w:ascii="宋体" w:hAnsi="宋体"/>
          <w:sz w:val="24"/>
          <w:szCs w:val="24"/>
          <w:lang w:eastAsia="zh-CN"/>
        </w:rPr>
      </w:pPr>
      <w:bookmarkStart w:id="78" w:name="_Toc17143393"/>
      <w:bookmarkStart w:id="79" w:name="_Toc19092"/>
      <w:bookmarkStart w:id="80" w:name="_Toc23256256"/>
      <w:r>
        <w:rPr>
          <w:rFonts w:hint="eastAsia" w:ascii="宋体" w:hAnsi="宋体"/>
          <w:sz w:val="24"/>
          <w:szCs w:val="24"/>
          <w:lang w:eastAsia="zh-CN"/>
        </w:rPr>
        <w:t>3.2.</w:t>
      </w:r>
      <w:r>
        <w:rPr>
          <w:rFonts w:hint="eastAsia" w:ascii="宋体" w:hAnsi="宋体"/>
          <w:sz w:val="24"/>
          <w:szCs w:val="24"/>
          <w:lang w:val="en-US" w:eastAsia="zh-CN"/>
        </w:rPr>
        <w:t>3</w:t>
      </w:r>
      <w:r>
        <w:rPr>
          <w:rFonts w:hint="eastAsia" w:ascii="宋体" w:hAnsi="宋体"/>
          <w:sz w:val="24"/>
          <w:szCs w:val="24"/>
          <w:lang w:eastAsia="zh-CN"/>
        </w:rPr>
        <w:t>故障等级划分及服务标准</w:t>
      </w:r>
      <w:bookmarkEnd w:id="78"/>
      <w:bookmarkEnd w:id="79"/>
      <w:bookmarkEnd w:id="80"/>
    </w:p>
    <w:tbl>
      <w:tblPr>
        <w:tblStyle w:val="5"/>
        <w:tblW w:w="9323" w:type="dxa"/>
        <w:jc w:val="center"/>
        <w:tblLayout w:type="fixed"/>
        <w:tblCellMar>
          <w:top w:w="0" w:type="dxa"/>
          <w:left w:w="108" w:type="dxa"/>
          <w:bottom w:w="0" w:type="dxa"/>
          <w:right w:w="108" w:type="dxa"/>
        </w:tblCellMar>
      </w:tblPr>
      <w:tblGrid>
        <w:gridCol w:w="1681"/>
        <w:gridCol w:w="3057"/>
        <w:gridCol w:w="1783"/>
        <w:gridCol w:w="2802"/>
      </w:tblGrid>
      <w:tr>
        <w:tblPrEx>
          <w:tblCellMar>
            <w:top w:w="0" w:type="dxa"/>
            <w:left w:w="108" w:type="dxa"/>
            <w:bottom w:w="0" w:type="dxa"/>
            <w:right w:w="108" w:type="dxa"/>
          </w:tblCellMar>
        </w:tblPrEx>
        <w:trPr>
          <w:trHeight w:val="836" w:hRule="atLeast"/>
          <w:jc w:val="center"/>
        </w:trPr>
        <w:tc>
          <w:tcPr>
            <w:tcW w:w="16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b/>
                <w:bCs/>
              </w:rPr>
            </w:pPr>
            <w:r>
              <w:rPr>
                <w:rFonts w:hint="eastAsia"/>
                <w:b/>
                <w:bCs/>
              </w:rPr>
              <w:t>故障级别</w:t>
            </w:r>
          </w:p>
        </w:tc>
        <w:tc>
          <w:tcPr>
            <w:tcW w:w="3057"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b/>
                <w:bCs/>
              </w:rPr>
            </w:pPr>
            <w:r>
              <w:rPr>
                <w:rFonts w:hint="eastAsia"/>
                <w:b/>
                <w:bCs/>
              </w:rPr>
              <w:t>故障描述</w:t>
            </w:r>
          </w:p>
        </w:tc>
        <w:tc>
          <w:tcPr>
            <w:tcW w:w="178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b/>
                <w:bCs/>
              </w:rPr>
            </w:pPr>
            <w:r>
              <w:rPr>
                <w:rFonts w:hint="eastAsia"/>
                <w:b/>
                <w:bCs/>
              </w:rPr>
              <w:t>响应时间</w:t>
            </w:r>
          </w:p>
        </w:tc>
        <w:tc>
          <w:tcPr>
            <w:tcW w:w="280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b/>
                <w:bCs/>
              </w:rPr>
            </w:pPr>
            <w:r>
              <w:rPr>
                <w:rFonts w:hint="eastAsia"/>
                <w:b/>
                <w:bCs/>
              </w:rPr>
              <w:t>解决时间</w:t>
            </w:r>
          </w:p>
        </w:tc>
      </w:tr>
      <w:tr>
        <w:tblPrEx>
          <w:tblCellMar>
            <w:top w:w="0" w:type="dxa"/>
            <w:left w:w="108" w:type="dxa"/>
            <w:bottom w:w="0" w:type="dxa"/>
            <w:right w:w="108" w:type="dxa"/>
          </w:tblCellMar>
        </w:tblPrEx>
        <w:trPr>
          <w:trHeight w:val="836" w:hRule="atLeast"/>
          <w:jc w:val="center"/>
        </w:trPr>
        <w:tc>
          <w:tcPr>
            <w:tcW w:w="16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重大的系统故障</w:t>
            </w:r>
          </w:p>
        </w:tc>
        <w:tc>
          <w:tcPr>
            <w:tcW w:w="3057"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整个系统瘫痪</w:t>
            </w:r>
          </w:p>
        </w:tc>
        <w:tc>
          <w:tcPr>
            <w:tcW w:w="178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10分钟</w:t>
            </w:r>
          </w:p>
        </w:tc>
        <w:tc>
          <w:tcPr>
            <w:tcW w:w="280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十二个小时内</w:t>
            </w:r>
          </w:p>
        </w:tc>
      </w:tr>
      <w:tr>
        <w:tblPrEx>
          <w:tblCellMar>
            <w:top w:w="0" w:type="dxa"/>
            <w:left w:w="108" w:type="dxa"/>
            <w:bottom w:w="0" w:type="dxa"/>
            <w:right w:w="108" w:type="dxa"/>
          </w:tblCellMar>
        </w:tblPrEx>
        <w:trPr>
          <w:trHeight w:val="836" w:hRule="atLeast"/>
          <w:jc w:val="center"/>
        </w:trPr>
        <w:tc>
          <w:tcPr>
            <w:tcW w:w="16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紧急故障</w:t>
            </w:r>
          </w:p>
        </w:tc>
        <w:tc>
          <w:tcPr>
            <w:tcW w:w="3057"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基本功能不能实现或者全面退化</w:t>
            </w:r>
          </w:p>
        </w:tc>
        <w:tc>
          <w:tcPr>
            <w:tcW w:w="178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半小时内</w:t>
            </w:r>
          </w:p>
        </w:tc>
        <w:tc>
          <w:tcPr>
            <w:tcW w:w="280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八个小时内</w:t>
            </w:r>
          </w:p>
        </w:tc>
      </w:tr>
      <w:tr>
        <w:tblPrEx>
          <w:tblCellMar>
            <w:top w:w="0" w:type="dxa"/>
            <w:left w:w="108" w:type="dxa"/>
            <w:bottom w:w="0" w:type="dxa"/>
            <w:right w:w="108" w:type="dxa"/>
          </w:tblCellMar>
        </w:tblPrEx>
        <w:trPr>
          <w:trHeight w:val="836" w:hRule="atLeast"/>
          <w:jc w:val="center"/>
        </w:trPr>
        <w:tc>
          <w:tcPr>
            <w:tcW w:w="16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一般性故障</w:t>
            </w:r>
          </w:p>
        </w:tc>
        <w:tc>
          <w:tcPr>
            <w:tcW w:w="3057"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其他系统故障</w:t>
            </w:r>
          </w:p>
        </w:tc>
        <w:tc>
          <w:tcPr>
            <w:tcW w:w="178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半小时内</w:t>
            </w:r>
          </w:p>
        </w:tc>
        <w:tc>
          <w:tcPr>
            <w:tcW w:w="280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八个小时内</w:t>
            </w:r>
          </w:p>
        </w:tc>
      </w:tr>
      <w:tr>
        <w:tblPrEx>
          <w:tblCellMar>
            <w:top w:w="0" w:type="dxa"/>
            <w:left w:w="108" w:type="dxa"/>
            <w:bottom w:w="0" w:type="dxa"/>
            <w:right w:w="108" w:type="dxa"/>
          </w:tblCellMar>
        </w:tblPrEx>
        <w:trPr>
          <w:trHeight w:val="836" w:hRule="atLeast"/>
          <w:jc w:val="center"/>
        </w:trPr>
        <w:tc>
          <w:tcPr>
            <w:tcW w:w="16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设备维修</w:t>
            </w:r>
          </w:p>
        </w:tc>
        <w:tc>
          <w:tcPr>
            <w:tcW w:w="3057"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设备故障，不影响系统使用</w:t>
            </w:r>
          </w:p>
        </w:tc>
        <w:tc>
          <w:tcPr>
            <w:tcW w:w="178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半小时内</w:t>
            </w:r>
          </w:p>
        </w:tc>
        <w:tc>
          <w:tcPr>
            <w:tcW w:w="280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pPr>
            <w:r>
              <w:rPr>
                <w:rFonts w:hint="eastAsia"/>
              </w:rPr>
              <w:t>两个小时内</w:t>
            </w:r>
          </w:p>
        </w:tc>
      </w:tr>
    </w:tbl>
    <w:p>
      <w:pPr>
        <w:pStyle w:val="7"/>
        <w:spacing w:line="360" w:lineRule="auto"/>
      </w:pPr>
    </w:p>
    <w:p>
      <w:pPr>
        <w:pStyle w:val="7"/>
        <w:spacing w:line="360" w:lineRule="auto"/>
      </w:pPr>
    </w:p>
    <w:p>
      <w:pPr>
        <w:spacing w:line="360" w:lineRule="auto"/>
        <w:ind w:firstLine="480"/>
        <w:rPr>
          <w:rFonts w:ascii="宋体" w:hAnsi="宋体" w:cs="宋体"/>
          <w:sz w:val="24"/>
        </w:rPr>
      </w:pPr>
      <w:r>
        <w:rPr>
          <w:rFonts w:hint="eastAsia" w:ascii="宋体" w:hAnsi="宋体" w:cs="宋体"/>
          <w:sz w:val="24"/>
        </w:rPr>
        <w:t>（1）重大故障指设施故障导致系统大面积瘫痪，严重影响系统使用的情况。对于重大故障，一线驻场人员应在故障发生后的10分钟内响应，并通知二线技术人员立即赶赴事故现场响应，原则上1小时内定位故障，12小时内排除故障； </w:t>
      </w:r>
    </w:p>
    <w:p>
      <w:pPr>
        <w:spacing w:line="360" w:lineRule="auto"/>
        <w:ind w:firstLine="480"/>
        <w:rPr>
          <w:rFonts w:ascii="宋体" w:hAnsi="宋体" w:cs="宋体"/>
          <w:sz w:val="24"/>
        </w:rPr>
      </w:pPr>
      <w:r>
        <w:rPr>
          <w:rFonts w:hint="eastAsia" w:ascii="宋体" w:hAnsi="宋体" w:cs="宋体"/>
          <w:sz w:val="24"/>
        </w:rPr>
        <w:t>（2）紧急故障指设施故障导致系统部分功能不能使用，影响系统使用情况。对于紧急故障，一线驻场人员应在故障发生后的30分钟内向采购人报告，并立即响应，原则上2小时内定位故障，8小时内排除故障。维护单位视具体情况合理安排二线支持人员至现场进行处理； </w:t>
      </w:r>
    </w:p>
    <w:p>
      <w:pPr>
        <w:spacing w:line="360" w:lineRule="auto"/>
        <w:ind w:firstLine="480"/>
        <w:rPr>
          <w:rFonts w:ascii="宋体" w:hAnsi="宋体" w:cs="宋体"/>
          <w:sz w:val="24"/>
        </w:rPr>
      </w:pPr>
      <w:r>
        <w:rPr>
          <w:rFonts w:hint="eastAsia" w:ascii="宋体" w:hAnsi="宋体" w:cs="宋体"/>
          <w:sz w:val="24"/>
        </w:rPr>
        <w:t>（3）一般性故障指除重大故障和紧急故障之外的其他故障。对于一般故障，一线驻场人员应在故障发生后的0.5小时内向采购人报告，并立即响应，原则上4小时内定位故障，8小时内排除故障。维护单位视具体情况合理安排二线支持人员至现场进行处理； </w:t>
      </w:r>
    </w:p>
    <w:p>
      <w:pPr>
        <w:spacing w:line="360" w:lineRule="auto"/>
        <w:ind w:firstLine="480"/>
        <w:rPr>
          <w:rFonts w:ascii="宋体" w:hAnsi="宋体" w:cs="宋体"/>
          <w:sz w:val="24"/>
        </w:rPr>
      </w:pPr>
      <w:r>
        <w:rPr>
          <w:rFonts w:hint="eastAsia" w:ascii="宋体" w:hAnsi="宋体" w:cs="宋体"/>
          <w:sz w:val="24"/>
        </w:rPr>
        <w:t>（4）设备维修。指不影响系统运行的设备故障，一线驻场人员应在故障发生后的0.5小时内立即响应，原则上4小时内定位故障，24小时内排除故障； </w:t>
      </w:r>
    </w:p>
    <w:p>
      <w:pPr>
        <w:pStyle w:val="7"/>
        <w:spacing w:line="360" w:lineRule="auto"/>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注：1、如果备件损坏，需要寄回原厂维修，由维护方提供其他备品备件让系统运行，在配件维修正常后，再切换到正常的系统使用模式。</w:t>
      </w:r>
    </w:p>
    <w:p>
      <w:pPr>
        <w:spacing w:line="360" w:lineRule="auto"/>
        <w:ind w:firstLine="480"/>
        <w:rPr>
          <w:rFonts w:ascii="宋体" w:hAnsi="宋体" w:cs="宋体"/>
          <w:sz w:val="24"/>
        </w:rPr>
      </w:pPr>
      <w:r>
        <w:rPr>
          <w:rFonts w:hint="eastAsia" w:ascii="宋体" w:hAnsi="宋体" w:cs="宋体"/>
          <w:sz w:val="24"/>
        </w:rPr>
        <w:t>维修工期要求：维修设备自用户确认维修方案起，境内维修、更换处理的， 应在十个工作日内完成，境外维修、处理的在二十个工作日内完成（服务器需送 原厂维修的，三十个工作日内完成,特殊情况需延长工期的，并征求用户方的认 可同意）。维修设备保证按时送修及返回交付使用，逾期不能修复返回的，免费提供同级备件供采购人使用。</w:t>
      </w:r>
    </w:p>
    <w:p>
      <w:pPr>
        <w:spacing w:line="360" w:lineRule="auto"/>
        <w:ind w:firstLine="480"/>
        <w:rPr>
          <w:rFonts w:ascii="宋体" w:hAnsi="宋体" w:cs="宋体"/>
          <w:sz w:val="24"/>
        </w:rPr>
      </w:pPr>
      <w:r>
        <w:rPr>
          <w:rFonts w:hint="eastAsia" w:ascii="宋体" w:hAnsi="宋体" w:cs="宋体"/>
          <w:sz w:val="24"/>
        </w:rPr>
        <w:t>对各系统作定期检修和维护工作，不少于每月一次。</w:t>
      </w:r>
    </w:p>
    <w:p>
      <w:pPr>
        <w:spacing w:line="360" w:lineRule="auto"/>
        <w:ind w:firstLine="480"/>
        <w:rPr>
          <w:rFonts w:ascii="宋体" w:hAnsi="宋体" w:cs="宋体"/>
          <w:sz w:val="24"/>
        </w:rPr>
      </w:pPr>
      <w:bookmarkStart w:id="81" w:name="_Toc17143394"/>
      <w:bookmarkStart w:id="82" w:name="_Toc495671677"/>
      <w:bookmarkStart w:id="83" w:name="_Toc490556090"/>
      <w:r>
        <w:rPr>
          <w:rFonts w:hint="eastAsia" w:ascii="宋体" w:hAnsi="宋体" w:cs="宋体"/>
          <w:sz w:val="24"/>
        </w:rPr>
        <w:t>如遇重要会议、重大活动或其他紧急情况，提供24小时现场值班以及现场技术支持服务。</w:t>
      </w:r>
    </w:p>
    <w:p>
      <w:pPr>
        <w:pStyle w:val="2"/>
        <w:spacing w:line="360" w:lineRule="auto"/>
        <w:rPr>
          <w:rFonts w:ascii="宋体" w:hAnsi="宋体"/>
          <w:sz w:val="28"/>
          <w:szCs w:val="28"/>
          <w:lang w:eastAsia="zh-CN"/>
        </w:rPr>
      </w:pPr>
      <w:bookmarkStart w:id="84" w:name="_Toc23256257"/>
      <w:bookmarkStart w:id="85" w:name="_Toc7983"/>
      <w:bookmarkStart w:id="86" w:name="_Toc1900"/>
      <w:r>
        <w:rPr>
          <w:rFonts w:hint="eastAsia" w:ascii="宋体" w:hAnsi="宋体"/>
          <w:sz w:val="28"/>
          <w:szCs w:val="28"/>
          <w:lang w:eastAsia="zh-CN"/>
        </w:rPr>
        <w:t>4.1其他服务</w:t>
      </w:r>
      <w:bookmarkEnd w:id="81"/>
      <w:bookmarkEnd w:id="82"/>
      <w:bookmarkEnd w:id="83"/>
      <w:bookmarkEnd w:id="84"/>
      <w:r>
        <w:rPr>
          <w:rFonts w:hint="eastAsia" w:ascii="宋体" w:hAnsi="宋体"/>
          <w:sz w:val="28"/>
          <w:szCs w:val="28"/>
          <w:lang w:eastAsia="zh-CN"/>
        </w:rPr>
        <w:t> </w:t>
      </w:r>
      <w:bookmarkEnd w:id="85"/>
      <w:bookmarkEnd w:id="86"/>
    </w:p>
    <w:p>
      <w:pPr>
        <w:spacing w:line="360" w:lineRule="auto"/>
        <w:ind w:firstLine="480"/>
        <w:rPr>
          <w:rFonts w:ascii="宋体" w:hAnsi="宋体" w:cs="宋体"/>
          <w:sz w:val="24"/>
        </w:rPr>
      </w:pPr>
      <w:r>
        <w:rPr>
          <w:rFonts w:hint="eastAsia" w:ascii="宋体" w:hAnsi="宋体" w:cs="宋体"/>
          <w:sz w:val="24"/>
        </w:rPr>
        <w:t>（1）在服务期内，根据甲方要求，对信息化系统实施必要的优化调整。协助甲方对设备内容进行维护，包括记录和更新设备维修、维护和变更信息等。 </w:t>
      </w:r>
    </w:p>
    <w:p>
      <w:pPr>
        <w:spacing w:line="360" w:lineRule="auto"/>
        <w:ind w:firstLine="480"/>
        <w:rPr>
          <w:rFonts w:ascii="宋体" w:hAnsi="宋体" w:cs="宋体"/>
          <w:sz w:val="24"/>
        </w:rPr>
      </w:pPr>
      <w:r>
        <w:rPr>
          <w:rFonts w:hint="eastAsia" w:ascii="宋体" w:hAnsi="宋体" w:cs="宋体"/>
          <w:sz w:val="24"/>
        </w:rPr>
        <w:t>（2）根据甲方需要，配合进行各类应急演练，协助制定应急预案，协助节假日值班等。 </w:t>
      </w:r>
    </w:p>
    <w:p>
      <w:pPr>
        <w:spacing w:line="360" w:lineRule="auto"/>
        <w:ind w:firstLine="480"/>
        <w:rPr>
          <w:rFonts w:ascii="宋体" w:hAnsi="宋体" w:cs="宋体"/>
          <w:sz w:val="24"/>
        </w:rPr>
      </w:pPr>
      <w:r>
        <w:rPr>
          <w:rFonts w:hint="eastAsia" w:ascii="宋体" w:hAnsi="宋体" w:cs="宋体"/>
          <w:sz w:val="24"/>
        </w:rPr>
        <w:t>（3）维护方在合同签订后，15个工作日内应组织项目人员，对所维保的设备进行一次全面现场健康性检查，及时发现故障隐患，并提交相关检查报告及整改建议。</w:t>
      </w:r>
    </w:p>
    <w:p>
      <w:pPr>
        <w:pStyle w:val="2"/>
        <w:spacing w:line="360" w:lineRule="auto"/>
        <w:rPr>
          <w:rFonts w:ascii="宋体" w:hAnsi="宋体"/>
          <w:sz w:val="28"/>
          <w:szCs w:val="28"/>
          <w:lang w:eastAsia="zh-CN"/>
        </w:rPr>
      </w:pPr>
      <w:bookmarkStart w:id="87" w:name="_Toc667"/>
      <w:bookmarkStart w:id="88" w:name="_Toc17143395"/>
      <w:bookmarkStart w:id="89" w:name="_Toc23256258"/>
      <w:bookmarkStart w:id="90" w:name="_Toc14485"/>
      <w:bookmarkStart w:id="91" w:name="_Toc495671678"/>
      <w:r>
        <w:rPr>
          <w:rFonts w:hint="eastAsia" w:ascii="宋体" w:hAnsi="宋体"/>
          <w:sz w:val="28"/>
          <w:szCs w:val="28"/>
          <w:lang w:eastAsia="zh-CN"/>
        </w:rPr>
        <w:t>4.2责任义务</w:t>
      </w:r>
      <w:bookmarkEnd w:id="87"/>
      <w:bookmarkEnd w:id="88"/>
      <w:bookmarkEnd w:id="89"/>
      <w:bookmarkEnd w:id="90"/>
      <w:bookmarkEnd w:id="91"/>
    </w:p>
    <w:p>
      <w:pPr>
        <w:spacing w:line="360" w:lineRule="auto"/>
        <w:ind w:firstLine="480"/>
        <w:rPr>
          <w:rFonts w:ascii="宋体" w:hAnsi="宋体" w:cs="宋体"/>
          <w:sz w:val="24"/>
        </w:rPr>
      </w:pPr>
      <w:r>
        <w:rPr>
          <w:rFonts w:hint="eastAsia" w:ascii="宋体" w:hAnsi="宋体" w:cs="宋体"/>
          <w:sz w:val="24"/>
        </w:rPr>
        <w:t>维护维修工作要求：</w:t>
      </w:r>
    </w:p>
    <w:p>
      <w:pPr>
        <w:spacing w:line="360" w:lineRule="auto"/>
        <w:ind w:firstLine="480"/>
        <w:rPr>
          <w:rFonts w:ascii="宋体" w:hAnsi="宋体" w:cs="宋体"/>
          <w:sz w:val="24"/>
        </w:rPr>
      </w:pPr>
      <w:r>
        <w:rPr>
          <w:rFonts w:hint="eastAsia" w:ascii="宋体" w:hAnsi="宋体" w:cs="宋体"/>
          <w:sz w:val="24"/>
        </w:rPr>
        <w:t>（1）负责信息化系统相关软硬件的各种报修业务，做好详细报修记录，对报修业务做到及时响应。</w:t>
      </w:r>
    </w:p>
    <w:p>
      <w:pPr>
        <w:spacing w:line="360" w:lineRule="auto"/>
        <w:ind w:firstLine="480"/>
        <w:rPr>
          <w:rFonts w:ascii="宋体" w:hAnsi="宋体" w:cs="宋体"/>
          <w:sz w:val="24"/>
        </w:rPr>
      </w:pPr>
      <w:r>
        <w:rPr>
          <w:rFonts w:hint="eastAsia" w:ascii="宋体" w:hAnsi="宋体" w:cs="宋体"/>
          <w:sz w:val="24"/>
        </w:rPr>
        <w:t>（2）大问题（硬件电路板的损坏、传输线路的破坏等）在三日内解除，小问题（设备线路接触不良、设备死机、软件问题、数据错误、电源跳闸等）在一日内解除。</w:t>
      </w:r>
    </w:p>
    <w:p>
      <w:pPr>
        <w:spacing w:line="360" w:lineRule="auto"/>
        <w:ind w:firstLine="480"/>
        <w:rPr>
          <w:rFonts w:ascii="宋体" w:hAnsi="宋体" w:cs="宋体"/>
          <w:sz w:val="24"/>
        </w:rPr>
      </w:pPr>
      <w:r>
        <w:rPr>
          <w:rFonts w:hint="eastAsia" w:ascii="宋体" w:hAnsi="宋体" w:cs="宋体"/>
          <w:sz w:val="24"/>
        </w:rPr>
        <w:t>（3）认真做好维护记录，并归档存放。</w:t>
      </w:r>
    </w:p>
    <w:p>
      <w:pPr>
        <w:spacing w:line="360" w:lineRule="auto"/>
        <w:ind w:firstLine="480"/>
        <w:rPr>
          <w:rFonts w:ascii="宋体" w:hAnsi="宋体" w:cs="宋体"/>
          <w:sz w:val="24"/>
        </w:rPr>
      </w:pPr>
      <w:r>
        <w:rPr>
          <w:rFonts w:hint="eastAsia" w:ascii="宋体" w:hAnsi="宋体" w:cs="宋体"/>
          <w:sz w:val="24"/>
        </w:rPr>
        <w:t>（4）每月安排专人进行日常的维护巡查工作，并向甲方单位汇报相应系统运行情况记录。</w:t>
      </w:r>
    </w:p>
    <w:p>
      <w:pPr>
        <w:spacing w:line="360" w:lineRule="auto"/>
        <w:ind w:firstLine="480"/>
        <w:rPr>
          <w:rFonts w:ascii="宋体" w:hAnsi="宋体" w:cs="宋体"/>
          <w:sz w:val="24"/>
        </w:rPr>
      </w:pPr>
      <w:r>
        <w:rPr>
          <w:rFonts w:hint="eastAsia" w:ascii="宋体" w:hAnsi="宋体" w:cs="宋体"/>
          <w:sz w:val="24"/>
        </w:rPr>
        <w:t>（5）如有甲方采购的设备需维修更换时，待甲方单位采购到位后及时进行更换。如更换，要有更换记录及更换原因。</w:t>
      </w:r>
    </w:p>
    <w:p>
      <w:pPr>
        <w:spacing w:line="360" w:lineRule="auto"/>
        <w:ind w:firstLine="480"/>
        <w:rPr>
          <w:rFonts w:ascii="宋体" w:hAnsi="宋体" w:cs="宋体"/>
          <w:sz w:val="24"/>
        </w:rPr>
      </w:pPr>
      <w:r>
        <w:rPr>
          <w:rFonts w:hint="eastAsia" w:ascii="宋体" w:hAnsi="宋体" w:cs="宋体"/>
          <w:sz w:val="24"/>
        </w:rPr>
        <w:t>（6）提供24小时昼夜技术服务，做到随时可派技术人员完成系统维护、维修工作。</w:t>
      </w:r>
    </w:p>
    <w:p>
      <w:pPr>
        <w:spacing w:line="360" w:lineRule="auto"/>
        <w:ind w:firstLine="480"/>
        <w:rPr>
          <w:rFonts w:ascii="宋体" w:hAnsi="宋体" w:cs="宋体"/>
          <w:sz w:val="24"/>
        </w:rPr>
      </w:pPr>
      <w:r>
        <w:rPr>
          <w:rFonts w:hint="eastAsia" w:ascii="宋体" w:hAnsi="宋体" w:cs="宋体"/>
          <w:sz w:val="24"/>
        </w:rPr>
        <w:t>（7）维护方应熟悉各系统拓扑结构及现场环境,及时对出现的线路故障进行排查、处理。对不能或无法处理的问题迅速报告相关负责人并提出自己的处理意见。</w:t>
      </w:r>
    </w:p>
    <w:p>
      <w:pPr>
        <w:spacing w:line="360" w:lineRule="auto"/>
        <w:ind w:firstLine="480"/>
        <w:rPr>
          <w:rFonts w:ascii="宋体" w:hAnsi="宋体" w:cs="宋体"/>
          <w:sz w:val="24"/>
        </w:rPr>
      </w:pPr>
      <w:r>
        <w:rPr>
          <w:rFonts w:hint="eastAsia" w:ascii="宋体" w:hAnsi="宋体" w:cs="宋体"/>
          <w:sz w:val="24"/>
        </w:rPr>
        <w:t>（8）对信息化系统中出现的重大问题，应及时派出相关技术人员进行排障工作。</w:t>
      </w:r>
    </w:p>
    <w:p>
      <w:pPr>
        <w:spacing w:line="360" w:lineRule="auto"/>
        <w:ind w:firstLine="480"/>
        <w:rPr>
          <w:rFonts w:ascii="宋体" w:hAnsi="宋体" w:cs="宋体"/>
          <w:sz w:val="24"/>
        </w:rPr>
      </w:pPr>
      <w:r>
        <w:rPr>
          <w:rFonts w:hint="eastAsia" w:ascii="宋体" w:hAnsi="宋体" w:cs="宋体"/>
          <w:sz w:val="24"/>
        </w:rPr>
        <w:t>（9）如遇重大突出应急事件，应安排专人进行专项系统巡查维护。</w:t>
      </w:r>
    </w:p>
    <w:p>
      <w:pPr>
        <w:spacing w:line="360" w:lineRule="auto"/>
        <w:ind w:firstLine="480"/>
        <w:rPr>
          <w:rFonts w:ascii="宋体" w:hAnsi="宋体" w:cs="宋体"/>
          <w:sz w:val="24"/>
        </w:rPr>
      </w:pPr>
      <w:r>
        <w:rPr>
          <w:rFonts w:hint="eastAsia" w:ascii="宋体" w:hAnsi="宋体" w:cs="宋体"/>
          <w:sz w:val="24"/>
        </w:rPr>
        <w:t>（10）切实加强现场管理确保安全生产。</w:t>
      </w:r>
    </w:p>
    <w:p>
      <w:pPr>
        <w:pStyle w:val="2"/>
        <w:spacing w:line="360" w:lineRule="auto"/>
        <w:rPr>
          <w:rFonts w:ascii="宋体" w:hAnsi="宋体"/>
          <w:sz w:val="28"/>
          <w:szCs w:val="28"/>
          <w:lang w:eastAsia="zh-CN"/>
        </w:rPr>
      </w:pPr>
      <w:bookmarkStart w:id="92" w:name="_Toc23256259"/>
      <w:bookmarkStart w:id="93" w:name="_Toc17143396"/>
      <w:bookmarkStart w:id="94" w:name="_Toc8977"/>
      <w:bookmarkStart w:id="95" w:name="_Toc26841"/>
      <w:r>
        <w:rPr>
          <w:rFonts w:hint="eastAsia" w:ascii="宋体" w:hAnsi="宋体"/>
          <w:sz w:val="28"/>
          <w:szCs w:val="28"/>
          <w:lang w:eastAsia="zh-CN"/>
        </w:rPr>
        <w:t>4.3人员要求</w:t>
      </w:r>
      <w:bookmarkEnd w:id="92"/>
      <w:bookmarkEnd w:id="93"/>
      <w:bookmarkEnd w:id="94"/>
      <w:bookmarkEnd w:id="95"/>
    </w:p>
    <w:p>
      <w:pPr>
        <w:spacing w:line="360" w:lineRule="auto"/>
        <w:ind w:firstLine="480"/>
        <w:rPr>
          <w:rFonts w:hint="eastAsia" w:ascii="宋体" w:hAnsi="宋体" w:cs="宋体"/>
          <w:sz w:val="24"/>
        </w:rPr>
      </w:pPr>
      <w:r>
        <w:rPr>
          <w:rFonts w:hint="eastAsia" w:ascii="宋体" w:hAnsi="宋体" w:cs="宋体"/>
          <w:sz w:val="24"/>
        </w:rPr>
        <w:t>现场维护工程师3名，维修车辆1辆：主要工作有：设备日常维护；维护维护设备档案、程序库、说明书、标签体系；配合文档管理员建立系统维护所需的备品备件库；根据维护方案定时监控测试部分设备以及系统的运行情况，填写每日系统巡检表提交给文档管理员；对临时出现的设备和系统故障进行第一次检修，排除出现的故障做好相关记录或者提交不能解决的故障给文档管理员备案；根据远程其他工程师安排对设备和系统进行操作。每天实时监测设备和系统的运行状态，填写监测日志，及时发现事故隐患，发现异常情况，及时进行处理并与其他维护人员保持沟通。 会议期间，负责保障会议相关设备的正常运行，操作会议项目有关的软件系统和硬件设备。</w:t>
      </w:r>
      <w:bookmarkStart w:id="96" w:name="_Toc23256260"/>
      <w:bookmarkStart w:id="97" w:name="_Toc17143397"/>
    </w:p>
    <w:p>
      <w:pPr>
        <w:spacing w:line="360" w:lineRule="auto"/>
        <w:rPr>
          <w:rFonts w:hint="eastAsia" w:ascii="宋体" w:hAnsi="宋体"/>
          <w:b/>
          <w:bCs/>
          <w:kern w:val="2"/>
          <w:sz w:val="28"/>
          <w:szCs w:val="28"/>
          <w:lang w:val="en-US" w:eastAsia="zh-CN" w:bidi="ar-SA"/>
        </w:rPr>
      </w:pPr>
      <w:r>
        <w:rPr>
          <w:rFonts w:hint="eastAsia" w:ascii="宋体" w:hAnsi="宋体"/>
          <w:b/>
          <w:bCs/>
          <w:kern w:val="2"/>
          <w:sz w:val="28"/>
          <w:szCs w:val="28"/>
          <w:lang w:val="en-US" w:eastAsia="zh-CN" w:bidi="ar-SA"/>
        </w:rPr>
        <w:t>4.4建设工期及时间安排</w:t>
      </w:r>
      <w:bookmarkEnd w:id="96"/>
      <w:bookmarkEnd w:id="97"/>
    </w:p>
    <w:p>
      <w:pPr>
        <w:spacing w:line="360" w:lineRule="auto"/>
        <w:ind w:firstLine="480"/>
        <w:rPr>
          <w:rFonts w:ascii="宋体" w:hAnsi="宋体" w:cs="宋体"/>
          <w:sz w:val="24"/>
        </w:rPr>
      </w:pPr>
      <w:r>
        <w:rPr>
          <w:rFonts w:hint="eastAsia" w:ascii="宋体" w:hAnsi="宋体" w:cs="宋体"/>
          <w:sz w:val="24"/>
        </w:rPr>
        <w:t>按照项目总体规划，本项目计划用12个月完成项目整体运维工作。</w:t>
      </w:r>
    </w:p>
    <w:p>
      <w:pPr>
        <w:pStyle w:val="2"/>
        <w:spacing w:line="360" w:lineRule="auto"/>
        <w:rPr>
          <w:rFonts w:ascii="宋体" w:hAnsi="宋体"/>
          <w:sz w:val="28"/>
          <w:szCs w:val="28"/>
          <w:lang w:eastAsia="zh-CN"/>
        </w:rPr>
      </w:pPr>
      <w:bookmarkStart w:id="98" w:name="_Toc10505"/>
      <w:bookmarkStart w:id="99" w:name="_Toc23256261"/>
      <w:bookmarkStart w:id="100" w:name="_Toc10218"/>
      <w:r>
        <w:rPr>
          <w:rFonts w:hint="eastAsia" w:ascii="宋体" w:hAnsi="宋体"/>
          <w:sz w:val="28"/>
          <w:szCs w:val="28"/>
          <w:lang w:eastAsia="zh-CN"/>
        </w:rPr>
        <w:t>4.5需求清单</w:t>
      </w:r>
      <w:bookmarkEnd w:id="98"/>
      <w:bookmarkEnd w:id="99"/>
      <w:bookmarkEnd w:id="100"/>
    </w:p>
    <w:p>
      <w:pPr>
        <w:spacing w:line="360" w:lineRule="auto"/>
        <w:ind w:firstLine="480"/>
        <w:rPr>
          <w:rFonts w:ascii="宋体" w:hAnsi="宋体" w:cs="宋体"/>
          <w:sz w:val="24"/>
        </w:rPr>
      </w:pPr>
      <w:r>
        <w:rPr>
          <w:rFonts w:hint="eastAsia" w:ascii="宋体" w:hAnsi="宋体" w:cs="宋体"/>
          <w:sz w:val="24"/>
        </w:rPr>
        <w:t>保亭县公安局信息化系统项目内容包括了：平安城市一期、二期和三期的视频监控，12个派出所的视频督查督办系统，公安局大楼信息化系统，省厅道路卡口监控系统；公安局大楼二楼指挥中心系统含拼接屏显示系统和会议系统。</w:t>
      </w:r>
    </w:p>
    <w:p>
      <w:pPr>
        <w:spacing w:line="360" w:lineRule="auto"/>
        <w:ind w:firstLine="480"/>
        <w:rPr>
          <w:rFonts w:ascii="宋体" w:hAnsi="宋体" w:cs="宋体"/>
          <w:sz w:val="24"/>
        </w:rPr>
      </w:pPr>
      <w:r>
        <w:rPr>
          <w:rFonts w:hint="eastAsia" w:ascii="宋体" w:hAnsi="宋体" w:cs="宋体"/>
          <w:sz w:val="24"/>
        </w:rPr>
        <w:t>运维的范围包括：1、硬件设备的日常维护保养；2、硬件设备损坏维修；3、系统及设备的日常检修；4、向客户现场派驻3名经验丰富的运维工程师，7*24小时及时响应客户，节假日期间至少安排2名人员值班随时应对生产环境下的突发情况；5、提供维修车辆1辆。</w:t>
      </w:r>
    </w:p>
    <w:p>
      <w:pPr>
        <w:spacing w:line="360" w:lineRule="auto"/>
        <w:ind w:firstLine="480"/>
        <w:rPr>
          <w:rFonts w:ascii="宋体" w:hAnsi="宋体" w:cs="宋体"/>
          <w:sz w:val="24"/>
        </w:rPr>
      </w:pPr>
      <w:r>
        <w:rPr>
          <w:rFonts w:hint="eastAsia" w:ascii="宋体" w:hAnsi="宋体" w:cs="宋体"/>
          <w:sz w:val="24"/>
        </w:rPr>
        <w:t>详细清单如下：</w:t>
      </w:r>
    </w:p>
    <w:tbl>
      <w:tblPr>
        <w:tblStyle w:val="5"/>
        <w:tblW w:w="10037"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7"/>
        <w:gridCol w:w="2875"/>
        <w:gridCol w:w="2719"/>
        <w:gridCol w:w="517"/>
        <w:gridCol w:w="517"/>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17" w:type="dxa"/>
            <w:noWrap/>
            <w:tcMar>
              <w:top w:w="15" w:type="dxa"/>
              <w:left w:w="15" w:type="dxa"/>
              <w:bottom w:w="0" w:type="dxa"/>
              <w:right w:w="15" w:type="dxa"/>
            </w:tcMar>
            <w:vAlign w:val="center"/>
          </w:tcPr>
          <w:p>
            <w:pPr>
              <w:spacing w:line="360" w:lineRule="auto"/>
              <w:jc w:val="center"/>
              <w:rPr>
                <w:rFonts w:ascii="宋体" w:hAnsi="宋体"/>
                <w:b/>
                <w:bCs/>
                <w:color w:val="000000"/>
                <w:sz w:val="22"/>
              </w:rPr>
            </w:pPr>
            <w:r>
              <w:rPr>
                <w:rFonts w:hint="eastAsia"/>
                <w:b/>
                <w:bCs/>
                <w:color w:val="000000"/>
                <w:sz w:val="22"/>
              </w:rPr>
              <w:t>序号</w:t>
            </w:r>
          </w:p>
        </w:tc>
        <w:tc>
          <w:tcPr>
            <w:tcW w:w="2875" w:type="dxa"/>
            <w:noWrap/>
            <w:tcMar>
              <w:top w:w="15" w:type="dxa"/>
              <w:left w:w="15" w:type="dxa"/>
              <w:bottom w:w="0" w:type="dxa"/>
              <w:right w:w="15" w:type="dxa"/>
            </w:tcMar>
            <w:vAlign w:val="center"/>
          </w:tcPr>
          <w:p>
            <w:pPr>
              <w:spacing w:line="360" w:lineRule="auto"/>
              <w:jc w:val="center"/>
              <w:rPr>
                <w:rFonts w:ascii="宋体" w:hAnsi="宋体"/>
                <w:b/>
                <w:bCs/>
                <w:color w:val="000000"/>
                <w:sz w:val="22"/>
              </w:rPr>
            </w:pPr>
            <w:r>
              <w:rPr>
                <w:rFonts w:hint="eastAsia"/>
                <w:b/>
                <w:bCs/>
                <w:color w:val="000000"/>
                <w:sz w:val="22"/>
              </w:rPr>
              <w:t>系统名称</w:t>
            </w:r>
          </w:p>
        </w:tc>
        <w:tc>
          <w:tcPr>
            <w:tcW w:w="2719" w:type="dxa"/>
            <w:noWrap/>
            <w:tcMar>
              <w:top w:w="15" w:type="dxa"/>
              <w:left w:w="15" w:type="dxa"/>
              <w:bottom w:w="0" w:type="dxa"/>
              <w:right w:w="15" w:type="dxa"/>
            </w:tcMar>
            <w:vAlign w:val="center"/>
          </w:tcPr>
          <w:p>
            <w:pPr>
              <w:spacing w:line="360" w:lineRule="auto"/>
              <w:jc w:val="center"/>
              <w:rPr>
                <w:rFonts w:ascii="宋体" w:hAnsi="宋体"/>
                <w:b/>
                <w:bCs/>
                <w:color w:val="000000"/>
                <w:sz w:val="22"/>
              </w:rPr>
            </w:pPr>
            <w:r>
              <w:rPr>
                <w:rFonts w:hint="eastAsia"/>
                <w:b/>
                <w:bCs/>
                <w:color w:val="000000"/>
                <w:sz w:val="22"/>
              </w:rPr>
              <w:t>描述</w:t>
            </w:r>
          </w:p>
        </w:tc>
        <w:tc>
          <w:tcPr>
            <w:tcW w:w="517" w:type="dxa"/>
            <w:noWrap/>
            <w:tcMar>
              <w:top w:w="15" w:type="dxa"/>
              <w:left w:w="15" w:type="dxa"/>
              <w:bottom w:w="0" w:type="dxa"/>
              <w:right w:w="15" w:type="dxa"/>
            </w:tcMar>
            <w:vAlign w:val="center"/>
          </w:tcPr>
          <w:p>
            <w:pPr>
              <w:spacing w:line="360" w:lineRule="auto"/>
              <w:jc w:val="center"/>
              <w:rPr>
                <w:rFonts w:ascii="宋体" w:hAnsi="宋体"/>
                <w:b/>
                <w:bCs/>
                <w:color w:val="000000"/>
                <w:sz w:val="22"/>
              </w:rPr>
            </w:pPr>
            <w:r>
              <w:rPr>
                <w:rFonts w:hint="eastAsia"/>
                <w:b/>
                <w:bCs/>
                <w:color w:val="000000"/>
                <w:sz w:val="22"/>
              </w:rPr>
              <w:t>单位</w:t>
            </w:r>
          </w:p>
        </w:tc>
        <w:tc>
          <w:tcPr>
            <w:tcW w:w="517" w:type="dxa"/>
            <w:noWrap/>
            <w:tcMar>
              <w:top w:w="15" w:type="dxa"/>
              <w:left w:w="15" w:type="dxa"/>
              <w:bottom w:w="0" w:type="dxa"/>
              <w:right w:w="15" w:type="dxa"/>
            </w:tcMar>
            <w:vAlign w:val="center"/>
          </w:tcPr>
          <w:p>
            <w:pPr>
              <w:spacing w:line="360" w:lineRule="auto"/>
              <w:jc w:val="center"/>
              <w:rPr>
                <w:rFonts w:ascii="宋体" w:hAnsi="宋体"/>
                <w:b/>
                <w:bCs/>
                <w:color w:val="000000"/>
                <w:sz w:val="22"/>
              </w:rPr>
            </w:pPr>
            <w:r>
              <w:rPr>
                <w:rFonts w:hint="eastAsia"/>
                <w:b/>
                <w:bCs/>
                <w:color w:val="000000"/>
                <w:sz w:val="22"/>
              </w:rPr>
              <w:t>数量</w:t>
            </w:r>
          </w:p>
        </w:tc>
        <w:tc>
          <w:tcPr>
            <w:tcW w:w="2892" w:type="dxa"/>
            <w:noWrap/>
            <w:tcMar>
              <w:top w:w="15" w:type="dxa"/>
              <w:left w:w="15" w:type="dxa"/>
              <w:bottom w:w="0" w:type="dxa"/>
              <w:right w:w="15" w:type="dxa"/>
            </w:tcMar>
            <w:vAlign w:val="center"/>
          </w:tcPr>
          <w:p>
            <w:pPr>
              <w:spacing w:line="360" w:lineRule="auto"/>
              <w:jc w:val="center"/>
              <w:rPr>
                <w:rFonts w:ascii="宋体" w:hAnsi="宋体"/>
                <w:b/>
                <w:bCs/>
                <w:sz w:val="22"/>
              </w:rPr>
            </w:pPr>
            <w:r>
              <w:rPr>
                <w:rFonts w:hint="eastAsia"/>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一期平安城市监控系统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维护设备范围以一期项目合同中设备清单为准</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路</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132</w:t>
            </w:r>
          </w:p>
        </w:tc>
        <w:tc>
          <w:tcPr>
            <w:tcW w:w="2892" w:type="dxa"/>
            <w:noWrap/>
            <w:tcMar>
              <w:top w:w="15" w:type="dxa"/>
              <w:left w:w="15" w:type="dxa"/>
              <w:bottom w:w="0" w:type="dxa"/>
              <w:right w:w="15" w:type="dxa"/>
            </w:tcMar>
            <w:vAlign w:val="center"/>
          </w:tcPr>
          <w:p>
            <w:pPr>
              <w:spacing w:line="360" w:lineRule="auto"/>
              <w:rPr>
                <w:rFonts w:ascii="宋体" w:hAnsi="宋体"/>
                <w:b/>
                <w:sz w:val="22"/>
              </w:rPr>
            </w:pPr>
            <w:r>
              <w:rPr>
                <w:rFonts w:hint="eastAsia" w:ascii="宋体" w:hAnsi="宋体"/>
                <w:b/>
                <w:sz w:val="22"/>
              </w:rPr>
              <w:t>提供原设备厂家售后服务承诺函（海康威视、浙江大华、H3C）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2</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二期平安城市监控系统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维护设备范围以二期项目合同中设备清单为准</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路</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127</w:t>
            </w:r>
          </w:p>
        </w:tc>
        <w:tc>
          <w:tcPr>
            <w:tcW w:w="2892" w:type="dxa"/>
            <w:noWrap/>
            <w:tcMar>
              <w:top w:w="15" w:type="dxa"/>
              <w:left w:w="15" w:type="dxa"/>
              <w:bottom w:w="0" w:type="dxa"/>
              <w:right w:w="15" w:type="dxa"/>
            </w:tcMar>
            <w:vAlign w:val="center"/>
          </w:tcPr>
          <w:p>
            <w:pPr>
              <w:spacing w:line="360" w:lineRule="auto"/>
              <w:rPr>
                <w:rFonts w:ascii="宋体" w:hAnsi="宋体"/>
                <w:b/>
                <w:sz w:val="22"/>
              </w:rPr>
            </w:pPr>
            <w:r>
              <w:rPr>
                <w:rFonts w:hint="eastAsia" w:ascii="宋体" w:hAnsi="宋体"/>
                <w:b/>
                <w:sz w:val="22"/>
              </w:rPr>
              <w:t>提供原设备厂家售后服务承诺函（海康威视、浙江大华、H3C）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color w:val="000000"/>
                <w:sz w:val="22"/>
              </w:rPr>
            </w:pPr>
            <w:r>
              <w:rPr>
                <w:rFonts w:hint="eastAsia"/>
                <w:color w:val="000000"/>
                <w:sz w:val="22"/>
              </w:rPr>
              <w:t>3</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三期平安城市监控系统</w:t>
            </w:r>
          </w:p>
        </w:tc>
        <w:tc>
          <w:tcPr>
            <w:tcW w:w="2719" w:type="dxa"/>
            <w:noWrap/>
            <w:tcMar>
              <w:top w:w="15" w:type="dxa"/>
              <w:left w:w="15" w:type="dxa"/>
              <w:bottom w:w="0" w:type="dxa"/>
              <w:right w:w="15" w:type="dxa"/>
            </w:tcMar>
            <w:vAlign w:val="center"/>
          </w:tcPr>
          <w:p>
            <w:pPr>
              <w:spacing w:line="360" w:lineRule="auto"/>
              <w:rPr>
                <w:color w:val="000000"/>
                <w:sz w:val="22"/>
              </w:rPr>
            </w:pPr>
            <w:r>
              <w:rPr>
                <w:rFonts w:hint="eastAsia"/>
                <w:color w:val="000000"/>
                <w:sz w:val="22"/>
              </w:rPr>
              <w:t>维护设备范围以三期项目合同中设备清单为准</w:t>
            </w:r>
          </w:p>
        </w:tc>
        <w:tc>
          <w:tcPr>
            <w:tcW w:w="517" w:type="dxa"/>
            <w:noWrap/>
            <w:tcMar>
              <w:top w:w="15" w:type="dxa"/>
              <w:left w:w="15" w:type="dxa"/>
              <w:bottom w:w="0" w:type="dxa"/>
              <w:right w:w="15" w:type="dxa"/>
            </w:tcMar>
            <w:vAlign w:val="center"/>
          </w:tcPr>
          <w:p>
            <w:pPr>
              <w:spacing w:line="360" w:lineRule="auto"/>
              <w:rPr>
                <w:color w:val="000000"/>
                <w:sz w:val="22"/>
              </w:rPr>
            </w:pPr>
            <w:r>
              <w:rPr>
                <w:rFonts w:hint="eastAsia"/>
                <w:color w:val="000000"/>
                <w:sz w:val="22"/>
              </w:rPr>
              <w:t>路</w:t>
            </w:r>
          </w:p>
        </w:tc>
        <w:tc>
          <w:tcPr>
            <w:tcW w:w="517" w:type="dxa"/>
            <w:noWrap/>
            <w:tcMar>
              <w:top w:w="15" w:type="dxa"/>
              <w:left w:w="15" w:type="dxa"/>
              <w:bottom w:w="0" w:type="dxa"/>
              <w:right w:w="15" w:type="dxa"/>
            </w:tcMar>
            <w:vAlign w:val="center"/>
          </w:tcPr>
          <w:p>
            <w:pPr>
              <w:spacing w:line="360" w:lineRule="auto"/>
              <w:jc w:val="center"/>
              <w:rPr>
                <w:color w:val="000000"/>
                <w:sz w:val="22"/>
              </w:rPr>
            </w:pPr>
            <w:r>
              <w:rPr>
                <w:rFonts w:hint="eastAsia"/>
                <w:color w:val="000000"/>
                <w:sz w:val="22"/>
              </w:rPr>
              <w:t>135</w:t>
            </w:r>
          </w:p>
        </w:tc>
        <w:tc>
          <w:tcPr>
            <w:tcW w:w="2892" w:type="dxa"/>
            <w:noWrap/>
            <w:tcMar>
              <w:top w:w="15" w:type="dxa"/>
              <w:left w:w="15" w:type="dxa"/>
              <w:bottom w:w="0" w:type="dxa"/>
              <w:right w:w="15" w:type="dxa"/>
            </w:tcMar>
            <w:vAlign w:val="center"/>
          </w:tcPr>
          <w:p>
            <w:pPr>
              <w:spacing w:line="360" w:lineRule="auto"/>
              <w:rPr>
                <w:b/>
                <w:sz w:val="22"/>
              </w:rPr>
            </w:pPr>
            <w:r>
              <w:rPr>
                <w:rFonts w:hint="eastAsia" w:ascii="宋体" w:hAnsi="宋体"/>
                <w:b/>
                <w:sz w:val="22"/>
              </w:rPr>
              <w:t>提供原设备厂家售后服务承诺函（海康威视、浙江大华、H3C）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4</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视频督查督办系统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城镇、城北、保城、新星、什玲、加茂、三道、响水、新政、南林、毛感、六弓（12个派出所）</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路</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192</w:t>
            </w:r>
          </w:p>
        </w:tc>
        <w:tc>
          <w:tcPr>
            <w:tcW w:w="2892" w:type="dxa"/>
            <w:noWrap/>
            <w:tcMar>
              <w:top w:w="15" w:type="dxa"/>
              <w:left w:w="15" w:type="dxa"/>
              <w:bottom w:w="0" w:type="dxa"/>
              <w:right w:w="15" w:type="dxa"/>
            </w:tcMar>
            <w:vAlign w:val="center"/>
          </w:tcPr>
          <w:p>
            <w:pPr>
              <w:spacing w:line="360" w:lineRule="auto"/>
              <w:rPr>
                <w:rFonts w:ascii="宋体" w:hAnsi="宋体"/>
                <w:b/>
                <w:sz w:val="22"/>
              </w:rPr>
            </w:pPr>
            <w:r>
              <w:rPr>
                <w:rFonts w:hint="eastAsia" w:ascii="宋体" w:hAnsi="宋体"/>
                <w:b/>
                <w:sz w:val="22"/>
              </w:rPr>
              <w:t>提供原设备厂家售后服务承诺函（海康威视、浙江大华、H3C）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5</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公安局办公大楼视频监控系统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公安局新大楼监控系统</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套</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w:t>
            </w:r>
          </w:p>
        </w:tc>
        <w:tc>
          <w:tcPr>
            <w:tcW w:w="2892" w:type="dxa"/>
            <w:noWrap/>
            <w:tcMar>
              <w:top w:w="15" w:type="dxa"/>
              <w:left w:w="15" w:type="dxa"/>
              <w:bottom w:w="0" w:type="dxa"/>
              <w:right w:w="15" w:type="dxa"/>
            </w:tcMar>
            <w:vAlign w:val="center"/>
          </w:tcPr>
          <w:p>
            <w:pPr>
              <w:spacing w:line="360" w:lineRule="auto"/>
              <w:rPr>
                <w:rFonts w:ascii="宋体" w:hAnsi="宋体"/>
                <w:b/>
                <w:sz w:val="22"/>
              </w:rPr>
            </w:pPr>
            <w:r>
              <w:rPr>
                <w:rFonts w:hint="eastAsia" w:ascii="宋体" w:hAnsi="宋体"/>
                <w:b/>
                <w:sz w:val="22"/>
              </w:rPr>
              <w:t>提供原设备厂家售后服务承诺函（海康威视、浙江大华、H3C）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6</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ascii="宋体" w:hAnsi="宋体"/>
                <w:b/>
                <w:bCs/>
                <w:color w:val="000000"/>
                <w:kern w:val="0"/>
                <w:sz w:val="22"/>
                <w:szCs w:val="22"/>
              </w:rPr>
              <w:t>省厅道路卡口2期、3期监控系统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ascii="宋体" w:hAnsi="宋体"/>
                <w:color w:val="000000"/>
                <w:kern w:val="0"/>
                <w:sz w:val="22"/>
                <w:szCs w:val="22"/>
              </w:rPr>
              <w:t>省厅建设，在保亭辖区使用的</w:t>
            </w:r>
            <w:r>
              <w:rPr>
                <w:rFonts w:hint="eastAsia"/>
                <w:color w:val="000000"/>
                <w:kern w:val="0"/>
                <w:sz w:val="22"/>
                <w:szCs w:val="22"/>
              </w:rPr>
              <w:t>25</w:t>
            </w:r>
            <w:r>
              <w:rPr>
                <w:rFonts w:hint="eastAsia" w:ascii="宋体" w:hAnsi="宋体"/>
                <w:color w:val="000000"/>
                <w:kern w:val="0"/>
                <w:sz w:val="22"/>
                <w:szCs w:val="22"/>
              </w:rPr>
              <w:t>个卡口监控系统</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套</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w:t>
            </w:r>
          </w:p>
        </w:tc>
        <w:tc>
          <w:tcPr>
            <w:tcW w:w="2892" w:type="dxa"/>
            <w:noWrap/>
            <w:tcMar>
              <w:top w:w="15" w:type="dxa"/>
              <w:left w:w="15" w:type="dxa"/>
              <w:bottom w:w="0" w:type="dxa"/>
              <w:right w:w="15" w:type="dxa"/>
            </w:tcMar>
            <w:vAlign w:val="center"/>
          </w:tcPr>
          <w:p>
            <w:pPr>
              <w:spacing w:line="360" w:lineRule="auto"/>
              <w:rPr>
                <w:rFonts w:ascii="宋体" w:hAnsi="宋体"/>
                <w:b/>
                <w:sz w:val="22"/>
              </w:rPr>
            </w:pPr>
            <w:r>
              <w:rPr>
                <w:rFonts w:hint="eastAsia" w:ascii="宋体" w:hAnsi="宋体"/>
                <w:b/>
                <w:sz w:val="22"/>
              </w:rPr>
              <w:t>提供原设备厂家售后服务承诺函（浙江宇视、浙江大华、H3C）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7</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会议系统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二楼指挥中心、三楼、四楼、五楼会议室</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套</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w:t>
            </w:r>
          </w:p>
        </w:tc>
        <w:tc>
          <w:tcPr>
            <w:tcW w:w="2892" w:type="dxa"/>
            <w:noWrap/>
            <w:tcMar>
              <w:top w:w="15" w:type="dxa"/>
              <w:left w:w="15" w:type="dxa"/>
              <w:bottom w:w="0" w:type="dxa"/>
              <w:right w:w="15" w:type="dxa"/>
            </w:tcMar>
            <w:vAlign w:val="center"/>
          </w:tcPr>
          <w:p>
            <w:pPr>
              <w:spacing w:line="360" w:lineRule="auto"/>
              <w:rPr>
                <w:rFonts w:ascii="宋体" w:hAnsi="宋体"/>
                <w:b/>
                <w:color w:val="FF0000"/>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8</w:t>
            </w:r>
          </w:p>
        </w:tc>
        <w:tc>
          <w:tcPr>
            <w:tcW w:w="2875" w:type="dxa"/>
            <w:noWrap/>
            <w:tcMar>
              <w:top w:w="15" w:type="dxa"/>
              <w:left w:w="15" w:type="dxa"/>
              <w:bottom w:w="0" w:type="dxa"/>
              <w:right w:w="15" w:type="dxa"/>
            </w:tcMar>
            <w:vAlign w:val="center"/>
          </w:tcPr>
          <w:p>
            <w:pPr>
              <w:spacing w:line="360" w:lineRule="auto"/>
              <w:rPr>
                <w:rFonts w:ascii="宋体" w:hAnsi="宋体"/>
                <w:b/>
                <w:bCs/>
                <w:color w:val="000000"/>
                <w:sz w:val="22"/>
              </w:rPr>
            </w:pPr>
            <w:r>
              <w:rPr>
                <w:rFonts w:hint="eastAsia"/>
                <w:b/>
                <w:bCs/>
                <w:color w:val="000000"/>
                <w:sz w:val="22"/>
              </w:rPr>
              <w:t>LED信息发布系统</w:t>
            </w:r>
          </w:p>
        </w:tc>
        <w:tc>
          <w:tcPr>
            <w:tcW w:w="2719"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一楼大厅、大楼入口LED</w:t>
            </w:r>
          </w:p>
        </w:tc>
        <w:tc>
          <w:tcPr>
            <w:tcW w:w="517" w:type="dxa"/>
            <w:noWrap/>
            <w:tcMar>
              <w:top w:w="15" w:type="dxa"/>
              <w:left w:w="15" w:type="dxa"/>
              <w:bottom w:w="0" w:type="dxa"/>
              <w:right w:w="15" w:type="dxa"/>
            </w:tcMar>
            <w:vAlign w:val="center"/>
          </w:tcPr>
          <w:p>
            <w:pPr>
              <w:spacing w:line="360" w:lineRule="auto"/>
              <w:rPr>
                <w:rFonts w:ascii="宋体" w:hAnsi="宋体"/>
                <w:color w:val="000000"/>
                <w:sz w:val="22"/>
              </w:rPr>
            </w:pPr>
            <w:r>
              <w:rPr>
                <w:rFonts w:hint="eastAsia"/>
                <w:color w:val="000000"/>
                <w:sz w:val="22"/>
              </w:rPr>
              <w:t>套</w:t>
            </w:r>
          </w:p>
        </w:tc>
        <w:tc>
          <w:tcPr>
            <w:tcW w:w="517" w:type="dxa"/>
            <w:noWrap/>
            <w:tcMar>
              <w:top w:w="15" w:type="dxa"/>
              <w:left w:w="15" w:type="dxa"/>
              <w:bottom w:w="0" w:type="dxa"/>
              <w:right w:w="15" w:type="dxa"/>
            </w:tcMar>
            <w:vAlign w:val="center"/>
          </w:tcPr>
          <w:p>
            <w:pPr>
              <w:spacing w:line="360" w:lineRule="auto"/>
              <w:jc w:val="center"/>
              <w:rPr>
                <w:rFonts w:ascii="宋体" w:hAnsi="宋体"/>
                <w:color w:val="000000"/>
                <w:sz w:val="22"/>
              </w:rPr>
            </w:pPr>
            <w:r>
              <w:rPr>
                <w:rFonts w:hint="eastAsia"/>
                <w:color w:val="000000"/>
                <w:sz w:val="22"/>
              </w:rPr>
              <w:t>1</w:t>
            </w:r>
          </w:p>
        </w:tc>
        <w:tc>
          <w:tcPr>
            <w:tcW w:w="2892" w:type="dxa"/>
            <w:noWrap/>
            <w:tcMar>
              <w:top w:w="15" w:type="dxa"/>
              <w:left w:w="15" w:type="dxa"/>
              <w:bottom w:w="0" w:type="dxa"/>
              <w:right w:w="15" w:type="dxa"/>
            </w:tcMar>
            <w:vAlign w:val="center"/>
          </w:tcPr>
          <w:p>
            <w:pPr>
              <w:spacing w:line="360" w:lineRule="auto"/>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517" w:type="dxa"/>
            <w:noWrap/>
            <w:tcMar>
              <w:top w:w="15" w:type="dxa"/>
              <w:left w:w="15" w:type="dxa"/>
              <w:bottom w:w="0" w:type="dxa"/>
              <w:right w:w="15" w:type="dxa"/>
            </w:tcMar>
            <w:vAlign w:val="center"/>
          </w:tcPr>
          <w:p>
            <w:pPr>
              <w:spacing w:line="360" w:lineRule="auto"/>
              <w:jc w:val="center"/>
              <w:rPr>
                <w:color w:val="000000"/>
                <w:sz w:val="22"/>
              </w:rPr>
            </w:pPr>
            <w:r>
              <w:rPr>
                <w:rFonts w:hint="eastAsia"/>
                <w:color w:val="000000"/>
                <w:sz w:val="22"/>
              </w:rPr>
              <w:t>9</w:t>
            </w:r>
          </w:p>
        </w:tc>
        <w:tc>
          <w:tcPr>
            <w:tcW w:w="2875" w:type="dxa"/>
            <w:noWrap/>
            <w:tcMar>
              <w:top w:w="15" w:type="dxa"/>
              <w:left w:w="15" w:type="dxa"/>
              <w:bottom w:w="0" w:type="dxa"/>
              <w:right w:w="15" w:type="dxa"/>
            </w:tcMar>
            <w:vAlign w:val="center"/>
          </w:tcPr>
          <w:p>
            <w:pPr>
              <w:spacing w:line="360" w:lineRule="auto"/>
              <w:rPr>
                <w:rFonts w:ascii="宋体" w:hAnsi="宋体"/>
                <w:b/>
                <w:bCs/>
                <w:color w:val="000000"/>
                <w:kern w:val="0"/>
                <w:sz w:val="22"/>
              </w:rPr>
            </w:pPr>
            <w:r>
              <w:rPr>
                <w:rFonts w:hint="eastAsia" w:ascii="宋体" w:hAnsi="宋体"/>
                <w:b/>
                <w:bCs/>
                <w:color w:val="000000"/>
                <w:kern w:val="0"/>
                <w:sz w:val="22"/>
                <w:szCs w:val="22"/>
              </w:rPr>
              <w:t>运维派驻工程师</w:t>
            </w:r>
          </w:p>
        </w:tc>
        <w:tc>
          <w:tcPr>
            <w:tcW w:w="2719" w:type="dxa"/>
            <w:noWrap/>
            <w:tcMar>
              <w:top w:w="15" w:type="dxa"/>
              <w:left w:w="15" w:type="dxa"/>
              <w:bottom w:w="0" w:type="dxa"/>
              <w:right w:w="15" w:type="dxa"/>
            </w:tcMar>
            <w:vAlign w:val="center"/>
          </w:tcPr>
          <w:p>
            <w:pPr>
              <w:spacing w:line="360" w:lineRule="auto"/>
              <w:rPr>
                <w:rFonts w:ascii="宋体" w:hAnsi="宋体"/>
                <w:color w:val="000000"/>
                <w:kern w:val="0"/>
                <w:sz w:val="22"/>
              </w:rPr>
            </w:pPr>
            <w:r>
              <w:rPr>
                <w:rFonts w:hint="eastAsia" w:ascii="宋体" w:hAnsi="宋体"/>
                <w:color w:val="000000"/>
                <w:kern w:val="0"/>
                <w:sz w:val="22"/>
                <w:szCs w:val="22"/>
              </w:rPr>
              <w:t>在客户现场办公，提供</w:t>
            </w:r>
            <w:r>
              <w:rPr>
                <w:color w:val="000000"/>
                <w:kern w:val="0"/>
                <w:sz w:val="22"/>
                <w:szCs w:val="22"/>
              </w:rPr>
              <w:t>7*24</w:t>
            </w:r>
            <w:r>
              <w:rPr>
                <w:rFonts w:hint="eastAsia" w:ascii="宋体" w:hAnsi="宋体"/>
                <w:color w:val="000000"/>
                <w:kern w:val="0"/>
                <w:sz w:val="22"/>
                <w:szCs w:val="22"/>
              </w:rPr>
              <w:t>小时现场技术服务</w:t>
            </w:r>
          </w:p>
        </w:tc>
        <w:tc>
          <w:tcPr>
            <w:tcW w:w="517" w:type="dxa"/>
            <w:noWrap/>
            <w:tcMar>
              <w:top w:w="15" w:type="dxa"/>
              <w:left w:w="15" w:type="dxa"/>
              <w:bottom w:w="0" w:type="dxa"/>
              <w:right w:w="15" w:type="dxa"/>
            </w:tcMar>
            <w:vAlign w:val="center"/>
          </w:tcPr>
          <w:p>
            <w:pPr>
              <w:spacing w:line="360" w:lineRule="auto"/>
              <w:rPr>
                <w:rFonts w:ascii="宋体" w:hAnsi="宋体"/>
                <w:color w:val="000000"/>
                <w:kern w:val="0"/>
                <w:sz w:val="22"/>
              </w:rPr>
            </w:pPr>
            <w:r>
              <w:rPr>
                <w:rFonts w:hint="eastAsia" w:ascii="宋体" w:hAnsi="宋体"/>
                <w:color w:val="000000"/>
                <w:kern w:val="0"/>
                <w:sz w:val="22"/>
                <w:szCs w:val="22"/>
              </w:rPr>
              <w:t>名</w:t>
            </w:r>
          </w:p>
        </w:tc>
        <w:tc>
          <w:tcPr>
            <w:tcW w:w="517" w:type="dxa"/>
            <w:noWrap/>
            <w:tcMar>
              <w:top w:w="15" w:type="dxa"/>
              <w:left w:w="15" w:type="dxa"/>
              <w:bottom w:w="0" w:type="dxa"/>
              <w:right w:w="15" w:type="dxa"/>
            </w:tcMar>
            <w:vAlign w:val="center"/>
          </w:tcPr>
          <w:p>
            <w:pPr>
              <w:spacing w:line="360" w:lineRule="auto"/>
              <w:jc w:val="center"/>
              <w:rPr>
                <w:color w:val="000000"/>
                <w:kern w:val="0"/>
                <w:sz w:val="22"/>
              </w:rPr>
            </w:pPr>
            <w:r>
              <w:rPr>
                <w:rFonts w:hint="eastAsia"/>
                <w:color w:val="000000"/>
                <w:kern w:val="0"/>
                <w:sz w:val="22"/>
                <w:szCs w:val="22"/>
              </w:rPr>
              <w:t>3</w:t>
            </w:r>
          </w:p>
        </w:tc>
        <w:tc>
          <w:tcPr>
            <w:tcW w:w="2892" w:type="dxa"/>
            <w:noWrap/>
            <w:tcMar>
              <w:top w:w="15" w:type="dxa"/>
              <w:left w:w="15" w:type="dxa"/>
              <w:bottom w:w="0" w:type="dxa"/>
              <w:right w:w="15" w:type="dxa"/>
            </w:tcMar>
            <w:vAlign w:val="center"/>
          </w:tcPr>
          <w:p>
            <w:pPr>
              <w:spacing w:line="360" w:lineRule="auto"/>
              <w:rPr>
                <w:rFonts w:ascii="宋体" w:hAnsi="宋体"/>
                <w:color w:val="000000"/>
                <w:sz w:val="22"/>
              </w:rPr>
            </w:pPr>
          </w:p>
        </w:tc>
      </w:tr>
    </w:tbl>
    <w:p>
      <w:pPr>
        <w:spacing w:line="360" w:lineRule="auto"/>
        <w:ind w:firstLine="480"/>
      </w:pPr>
    </w:p>
    <w:p>
      <w:pPr>
        <w:spacing w:line="360" w:lineRule="auto"/>
        <w:ind w:firstLine="480"/>
      </w:pPr>
    </w:p>
    <w:p>
      <w:pPr>
        <w:spacing w:line="360" w:lineRule="auto"/>
        <w:ind w:firstLine="480"/>
        <w:rPr>
          <w:rStyle w:val="8"/>
          <w:rFonts w:hint="eastAsia" w:ascii="宋体" w:hAnsi="宋体" w:cs="宋体"/>
          <w:lang w:eastAsia="zh-CN"/>
        </w:rPr>
      </w:pPr>
      <w:r>
        <w:rPr>
          <w:rFonts w:hint="eastAsia"/>
        </w:rPr>
        <w:t>上述所列各系统均属维护需求范围，系统内容除上已列出系统的主要部件外还应包括其附属配件、连接线缆、桥架，机柜、软件和布线等部署材料。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F27EA"/>
    <w:multiLevelType w:val="multilevel"/>
    <w:tmpl w:val="793F27EA"/>
    <w:lvl w:ilvl="0" w:tentative="0">
      <w:start w:val="1"/>
      <w:numFmt w:val="none"/>
      <w:suff w:val="space"/>
      <w:lvlText w:val=""/>
      <w:lvlJc w:val="left"/>
      <w:pPr>
        <w:ind w:left="0" w:firstLine="0"/>
      </w:pPr>
      <w:rPr>
        <w:rFonts w:hint="eastAsia" w:eastAsia="宋体"/>
        <w:color w:val="000000"/>
        <w:sz w:val="44"/>
      </w:rPr>
    </w:lvl>
    <w:lvl w:ilvl="1" w:tentative="0">
      <w:start w:val="1"/>
      <w:numFmt w:val="none"/>
      <w:isLgl/>
      <w:suff w:val="space"/>
      <w:lvlText w:val=""/>
      <w:lvlJc w:val="left"/>
      <w:pPr>
        <w:ind w:left="0" w:firstLine="0"/>
      </w:pPr>
      <w:rPr>
        <w:rFonts w:hint="eastAsia" w:eastAsia="宋体"/>
        <w:sz w:val="30"/>
      </w:rPr>
    </w:lvl>
    <w:lvl w:ilvl="2" w:tentative="0">
      <w:start w:val="1"/>
      <w:numFmt w:val="none"/>
      <w:isLgl/>
      <w:suff w:val="space"/>
      <w:lvlText w:val=""/>
      <w:lvlJc w:val="left"/>
      <w:pPr>
        <w:ind w:left="0" w:firstLine="0"/>
      </w:pPr>
      <w:rPr>
        <w:rFonts w:hint="eastAsia" w:eastAsia="宋体"/>
        <w:color w:val="auto"/>
        <w:sz w:val="28"/>
      </w:rPr>
    </w:lvl>
    <w:lvl w:ilvl="3" w:tentative="0">
      <w:start w:val="1"/>
      <w:numFmt w:val="none"/>
      <w:isLgl/>
      <w:suff w:val="space"/>
      <w:lvlText w:val=""/>
      <w:lvlJc w:val="left"/>
      <w:pPr>
        <w:ind w:left="0" w:firstLine="0"/>
      </w:pPr>
      <w:rPr>
        <w:rFonts w:hint="eastAsia" w:eastAsia="宋体"/>
        <w:sz w:val="24"/>
      </w:rPr>
    </w:lvl>
    <w:lvl w:ilvl="4" w:tentative="0">
      <w:start w:val="1"/>
      <w:numFmt w:val="none"/>
      <w:isLgl/>
      <w:suff w:val="space"/>
      <w:lvlText w:val=""/>
      <w:lvlJc w:val="left"/>
      <w:pPr>
        <w:ind w:left="0" w:firstLine="0"/>
      </w:pPr>
      <w:rPr>
        <w:rFonts w:hint="eastAsia" w:eastAsia="宋体"/>
        <w:sz w:val="24"/>
      </w:rPr>
    </w:lvl>
    <w:lvl w:ilvl="5" w:tentative="0">
      <w:start w:val="1"/>
      <w:numFmt w:val="none"/>
      <w:isLgl/>
      <w:suff w:val="space"/>
      <w:lvlText w:val=""/>
      <w:lvlJc w:val="left"/>
      <w:pPr>
        <w:ind w:left="0" w:firstLine="0"/>
      </w:pPr>
      <w:rPr>
        <w:rFonts w:hint="eastAsia" w:eastAsia="宋体"/>
        <w:sz w:val="24"/>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0"/>
    <w:lvlOverride w:ilvl="0">
      <w:lvl w:ilvl="0" w:tentative="1">
        <w:start w:val="1"/>
        <w:numFmt w:val="none"/>
        <w:suff w:val="space"/>
        <w:lvlText w:val=""/>
        <w:lvlJc w:val="left"/>
        <w:pPr>
          <w:ind w:left="0" w:firstLine="0"/>
        </w:pPr>
        <w:rPr>
          <w:rFonts w:hint="eastAsia" w:eastAsia="宋体"/>
          <w:color w:val="000000"/>
          <w:sz w:val="44"/>
        </w:rPr>
      </w:lvl>
    </w:lvlOverride>
    <w:lvlOverride w:ilvl="1">
      <w:lvl w:ilvl="1" w:tentative="1">
        <w:start w:val="1"/>
        <w:numFmt w:val="none"/>
        <w:isLgl/>
        <w:suff w:val="space"/>
        <w:lvlText w:val=""/>
        <w:lvlJc w:val="left"/>
        <w:pPr>
          <w:ind w:left="0" w:firstLine="0"/>
        </w:pPr>
        <w:rPr>
          <w:rFonts w:hint="eastAsia" w:eastAsia="宋体"/>
          <w:sz w:val="30"/>
        </w:rPr>
      </w:lvl>
    </w:lvlOverride>
    <w:lvlOverride w:ilvl="2">
      <w:lvl w:ilvl="2" w:tentative="1">
        <w:start w:val="1"/>
        <w:numFmt w:val="none"/>
        <w:isLgl/>
        <w:suff w:val="space"/>
        <w:lvlText w:val=""/>
        <w:lvlJc w:val="left"/>
        <w:pPr>
          <w:ind w:left="0" w:firstLine="0"/>
        </w:pPr>
        <w:rPr>
          <w:rFonts w:hint="eastAsia" w:eastAsia="宋体"/>
          <w:color w:val="auto"/>
          <w:sz w:val="28"/>
        </w:rPr>
      </w:lvl>
    </w:lvlOverride>
    <w:lvlOverride w:ilvl="3">
      <w:lvl w:ilvl="3" w:tentative="1">
        <w:start w:val="1"/>
        <w:numFmt w:val="none"/>
        <w:isLgl/>
        <w:suff w:val="space"/>
        <w:lvlText w:val=""/>
        <w:lvlJc w:val="left"/>
        <w:pPr>
          <w:ind w:left="0" w:firstLine="0"/>
        </w:pPr>
        <w:rPr>
          <w:rFonts w:hint="eastAsia" w:eastAsia="宋体"/>
          <w:sz w:val="24"/>
        </w:rPr>
      </w:lvl>
    </w:lvlOverride>
    <w:lvlOverride w:ilvl="4">
      <w:lvl w:ilvl="4" w:tentative="1">
        <w:start w:val="1"/>
        <w:numFmt w:val="none"/>
        <w:isLgl/>
        <w:suff w:val="space"/>
        <w:lvlText w:val=""/>
        <w:lvlJc w:val="left"/>
        <w:pPr>
          <w:ind w:left="0" w:firstLine="0"/>
        </w:pPr>
        <w:rPr>
          <w:rFonts w:hint="eastAsia" w:eastAsia="宋体"/>
          <w:sz w:val="24"/>
        </w:rPr>
      </w:lvl>
    </w:lvlOverride>
    <w:lvlOverride w:ilvl="5">
      <w:lvl w:ilvl="5" w:tentative="1">
        <w:start w:val="1"/>
        <w:numFmt w:val="none"/>
        <w:isLgl/>
        <w:suff w:val="space"/>
        <w:lvlText w:val=""/>
        <w:lvlJc w:val="left"/>
        <w:pPr>
          <w:ind w:left="0" w:firstLine="0"/>
        </w:pPr>
        <w:rPr>
          <w:rFonts w:hint="eastAsia" w:eastAsia="宋体"/>
          <w:sz w:val="24"/>
        </w:rPr>
      </w:lvl>
    </w:lvlOverride>
    <w:lvlOverride w:ilvl="6">
      <w:lvl w:ilvl="6" w:tentative="1">
        <w:start w:val="1"/>
        <w:numFmt w:val="decimal"/>
        <w:isLgl/>
        <w:suff w:val="space"/>
        <w:lvlText w:val="%1.%2.%3.%4.%5.%6.%7"/>
        <w:lvlJc w:val="left"/>
        <w:pPr>
          <w:ind w:left="0" w:firstLine="0"/>
        </w:pPr>
        <w:rPr>
          <w:rFonts w:hint="eastAsia"/>
        </w:rPr>
      </w:lvl>
    </w:lvlOverride>
    <w:lvlOverride w:ilvl="7">
      <w:lvl w:ilvl="7" w:tentative="1">
        <w:start w:val="1"/>
        <w:numFmt w:val="decimal"/>
        <w:isLgl/>
        <w:suff w:val="space"/>
        <w:lvlText w:val="%1.%2.%3.%4.%5.%6.%7.%8"/>
        <w:lvlJc w:val="left"/>
        <w:pPr>
          <w:ind w:left="0" w:firstLine="0"/>
        </w:pPr>
        <w:rPr>
          <w:rFonts w:hint="eastAsia"/>
        </w:rPr>
      </w:lvl>
    </w:lvlOverride>
    <w:lvlOverride w:ilvl="8">
      <w:lvl w:ilvl="8" w:tentative="1">
        <w:start w:val="1"/>
        <w:numFmt w:val="decimal"/>
        <w:isLgl/>
        <w:suff w:val="space"/>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65FE0"/>
    <w:rsid w:val="6F46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paragraph" w:styleId="4">
    <w:name w:val="heading 3"/>
    <w:basedOn w:val="1"/>
    <w:next w:val="1"/>
    <w:qFormat/>
    <w:uiPriority w:val="9"/>
    <w:pPr>
      <w:keepNext/>
      <w:keepLines/>
      <w:spacing w:before="260" w:after="260" w:line="416" w:lineRule="auto"/>
      <w:outlineLvl w:val="2"/>
    </w:pPr>
    <w:rPr>
      <w:rFonts w:ascii="Verdana" w:hAnsi="Verdana"/>
      <w:b/>
      <w:bCs/>
      <w:sz w:val="32"/>
      <w:szCs w:val="32"/>
      <w:lang w:eastAsia="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7">
    <w:name w:val="Char Char Char Char Char Char Char"/>
    <w:basedOn w:val="1"/>
    <w:qFormat/>
    <w:uiPriority w:val="0"/>
    <w:rPr>
      <w:szCs w:val="24"/>
    </w:rPr>
  </w:style>
  <w:style w:type="character" w:customStyle="1" w:styleId="8">
    <w:name w:val="标题 1 Char"/>
    <w:link w:val="3"/>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2020-07-09T08:11:00Z</dcterms:created>
  <dc:creator>政辉</dc:creator>
  <cp:lastModifiedBy>政辉</cp:lastModifiedBy>
  <dcterms:modified xsi:type="dcterms:W3CDTF">2020-07-09T08:12:23Z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