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hAnsi="宋体" w:eastAsia="仿宋_GB2312" w:cs="宋体"/>
          <w:b/>
          <w:bCs/>
          <w:color w:val="auto"/>
          <w:sz w:val="36"/>
          <w:szCs w:val="36"/>
        </w:rPr>
      </w:pPr>
      <w:r>
        <w:rPr>
          <w:rFonts w:hint="eastAsia" w:ascii="仿宋_GB2312" w:hAnsi="宋体" w:eastAsia="仿宋_GB2312" w:cs="宋体"/>
          <w:b/>
          <w:bCs/>
          <w:color w:val="auto"/>
          <w:sz w:val="36"/>
          <w:szCs w:val="36"/>
        </w:rPr>
        <w:t>用户需求书</w:t>
      </w:r>
    </w:p>
    <w:p>
      <w:pPr>
        <w:spacing w:line="600" w:lineRule="exact"/>
        <w:outlineLvl w:val="0"/>
        <w:rPr>
          <w:rFonts w:hint="eastAsia" w:ascii="仿宋" w:hAnsi="仿宋" w:eastAsia="仿宋" w:cs="仿宋"/>
          <w:b/>
          <w:color w:val="auto"/>
          <w:sz w:val="30"/>
          <w:szCs w:val="30"/>
        </w:rPr>
      </w:pPr>
      <w:r>
        <w:rPr>
          <w:rFonts w:hint="eastAsia" w:ascii="仿宋" w:hAnsi="仿宋" w:eastAsia="仿宋" w:cs="仿宋"/>
          <w:b/>
          <w:color w:val="auto"/>
          <w:sz w:val="30"/>
          <w:szCs w:val="30"/>
        </w:rPr>
        <w:t>一、项目概况</w:t>
      </w:r>
    </w:p>
    <w:p>
      <w:pPr>
        <w:spacing w:before="72" w:beforeLines="30" w:after="72" w:afterLines="30"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1、名称：</w:t>
      </w:r>
      <w:r>
        <w:rPr>
          <w:rFonts w:hint="eastAsia" w:ascii="仿宋" w:hAnsi="仿宋" w:eastAsia="仿宋" w:cs="仿宋"/>
          <w:color w:val="auto"/>
          <w:sz w:val="28"/>
          <w:szCs w:val="28"/>
          <w:lang w:eastAsia="zh-CN"/>
        </w:rPr>
        <w:t>澄迈县公安局各办案区视频监控故障点位修复和监控盲区补点的设备</w:t>
      </w:r>
    </w:p>
    <w:p>
      <w:pPr>
        <w:spacing w:before="72" w:beforeLines="30" w:after="72" w:afterLines="30"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2、预算：</w:t>
      </w:r>
      <w:r>
        <w:rPr>
          <w:rFonts w:hint="eastAsia" w:ascii="仿宋" w:hAnsi="仿宋" w:eastAsia="仿宋" w:cs="仿宋"/>
          <w:color w:val="auto"/>
          <w:sz w:val="28"/>
          <w:szCs w:val="28"/>
          <w:lang w:eastAsia="zh-CN"/>
        </w:rPr>
        <w:t>674550</w:t>
      </w:r>
      <w:r>
        <w:rPr>
          <w:rFonts w:hint="eastAsia" w:ascii="仿宋" w:hAnsi="仿宋" w:eastAsia="仿宋" w:cs="仿宋"/>
          <w:color w:val="auto"/>
          <w:sz w:val="28"/>
          <w:szCs w:val="28"/>
        </w:rPr>
        <w:t>元人民币；</w:t>
      </w:r>
    </w:p>
    <w:p>
      <w:pPr>
        <w:spacing w:before="72" w:beforeLines="30" w:after="72" w:afterLines="30" w:line="460" w:lineRule="exac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、付款方式：按照合同约定的付款方式付款</w:t>
      </w:r>
      <w:r>
        <w:rPr>
          <w:rFonts w:hint="eastAsia" w:ascii="仿宋" w:hAnsi="仿宋" w:eastAsia="仿宋" w:cs="仿宋"/>
          <w:color w:val="auto"/>
          <w:sz w:val="28"/>
          <w:szCs w:val="28"/>
          <w:lang w:eastAsia="zh-CN"/>
        </w:rPr>
        <w:t>。</w:t>
      </w: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outlineLvl w:val="1"/>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4、工期：签订合同之日起30天内</w:t>
      </w:r>
    </w:p>
    <w:p>
      <w:pPr>
        <w:spacing w:line="600" w:lineRule="exact"/>
        <w:outlineLvl w:val="0"/>
        <w:rPr>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lang w:val="en-US" w:eastAsia="zh-CN"/>
        </w:rPr>
        <w:t>二、采购清单</w:t>
      </w:r>
    </w:p>
    <w:tbl>
      <w:tblPr>
        <w:tblStyle w:val="4"/>
        <w:tblW w:w="9537" w:type="dxa"/>
        <w:tblInd w:w="0" w:type="dxa"/>
        <w:tblLayout w:type="fixed"/>
        <w:tblCellMar>
          <w:top w:w="0" w:type="dxa"/>
          <w:left w:w="0" w:type="dxa"/>
          <w:bottom w:w="0" w:type="dxa"/>
          <w:right w:w="0" w:type="dxa"/>
        </w:tblCellMar>
      </w:tblPr>
      <w:tblGrid>
        <w:gridCol w:w="509"/>
        <w:gridCol w:w="1599"/>
        <w:gridCol w:w="5647"/>
        <w:gridCol w:w="891"/>
        <w:gridCol w:w="891"/>
      </w:tblGrid>
      <w:tr>
        <w:tblPrEx>
          <w:tblCellMar>
            <w:top w:w="0" w:type="dxa"/>
            <w:left w:w="0" w:type="dxa"/>
            <w:bottom w:w="0" w:type="dxa"/>
            <w:right w:w="0" w:type="dxa"/>
          </w:tblCellMar>
        </w:tblPrEx>
        <w:trPr>
          <w:trHeight w:val="330" w:hRule="atLeast"/>
        </w:trPr>
        <w:tc>
          <w:tcPr>
            <w:tcW w:w="509"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599"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商品名称</w:t>
            </w:r>
          </w:p>
        </w:tc>
        <w:tc>
          <w:tcPr>
            <w:tcW w:w="5647"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参数</w:t>
            </w:r>
          </w:p>
        </w:tc>
        <w:tc>
          <w:tcPr>
            <w:tcW w:w="891"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数量</w:t>
            </w:r>
          </w:p>
        </w:tc>
        <w:tc>
          <w:tcPr>
            <w:tcW w:w="891"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r>
      <w:tr>
        <w:tblPrEx>
          <w:tblCellMar>
            <w:top w:w="0" w:type="dxa"/>
            <w:left w:w="0" w:type="dxa"/>
            <w:bottom w:w="0" w:type="dxa"/>
            <w:right w:w="0" w:type="dxa"/>
          </w:tblCellMar>
        </w:tblPrEx>
        <w:trPr>
          <w:trHeight w:val="8578" w:hRule="atLeast"/>
        </w:trPr>
        <w:tc>
          <w:tcPr>
            <w:tcW w:w="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6"/>
                <w:rFonts w:hint="eastAsia" w:ascii="仿宋" w:hAnsi="仿宋" w:eastAsia="仿宋" w:cs="仿宋"/>
                <w:sz w:val="24"/>
                <w:szCs w:val="24"/>
                <w:lang w:val="en-US" w:eastAsia="zh-CN" w:bidi="ar"/>
              </w:rPr>
              <w:t xml:space="preserve"> </w:t>
            </w:r>
            <w:r>
              <w:rPr>
                <w:rStyle w:val="7"/>
                <w:rFonts w:hint="eastAsia" w:ascii="仿宋" w:hAnsi="仿宋" w:eastAsia="仿宋" w:cs="仿宋"/>
                <w:sz w:val="24"/>
                <w:szCs w:val="24"/>
                <w:lang w:val="en-US" w:eastAsia="zh-CN" w:bidi="ar"/>
              </w:rPr>
              <w:t>筒型网络摄像机</w:t>
            </w:r>
          </w:p>
        </w:tc>
        <w:tc>
          <w:tcPr>
            <w:tcW w:w="5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具有400万像素 CMOS传感器。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具有不小于1/1.8"靶面尺寸。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内置GPU芯片。</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最低照度彩色不大于0.0002 lx，黑白不大于0.0001 lx。</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宽动态能力不小于120dB。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设备水平中心分辨力不小于1500TVL。</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★在分辨率1920x1080 @ 25fps，延时不大于70ms。（以公安部检测报告为准，复印件加盖厂家公章或者投标专用章）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需支持四码流技术，主码流分辨率不小于2560x1440@25fps，子码流不小于704x576@25fps，第三码流不小于1920x1080@25fps，第四码流不小于704x576@25fps。</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支持单场景同时检出不少于30张人脸图片，并支持面部跟踪。</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人脸检出率不小于99%。</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★支持侧脸过滤功能，可过滤上下、左右角度达到预设值的人脸。（以公安部检测报告为准，复印件加盖厂家公章或者投标专用章）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支持人脸区域自动曝光功能，可根据外部不同场景和光照变化自动调节人脸区域曝光参数。</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★车型识别白天准确率不小于99%，晚上准确率不小于95%。（以公安部检测报告为准，复印件加盖厂家公章或者投标专用章）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支持捕获、识别新能源汽车专用号牌。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需具有1个RJ45网络接口、1路CVBS视频输出、1路报警输入、1路报警输出接口、1个音频输入、1个音频输出接口。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需支持IP67防尘防水。</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需同时支持DC12V和POE供电，且在不小于DC12V±30%范围内变化时可以正常工作。</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需支持本地SD卡存储，最大支持256G，并支持存储卡可使用时长显示。</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8272" w:hRule="atLeast"/>
        </w:trPr>
        <w:tc>
          <w:tcPr>
            <w:tcW w:w="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6"/>
                <w:rFonts w:hint="eastAsia" w:ascii="仿宋" w:hAnsi="仿宋" w:eastAsia="仿宋" w:cs="仿宋"/>
                <w:sz w:val="24"/>
                <w:szCs w:val="24"/>
                <w:lang w:val="en-US" w:eastAsia="zh-CN" w:bidi="ar"/>
              </w:rPr>
              <w:t xml:space="preserve"> </w:t>
            </w:r>
            <w:r>
              <w:rPr>
                <w:rStyle w:val="7"/>
                <w:rFonts w:hint="eastAsia" w:ascii="仿宋" w:hAnsi="仿宋" w:eastAsia="仿宋" w:cs="仿宋"/>
                <w:sz w:val="24"/>
                <w:szCs w:val="24"/>
                <w:lang w:val="en-US" w:eastAsia="zh-CN" w:bidi="ar"/>
              </w:rPr>
              <w:t>半球型网络摄像机</w:t>
            </w:r>
          </w:p>
        </w:tc>
        <w:tc>
          <w:tcPr>
            <w:tcW w:w="5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具有400万像素CMOS传感器。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具有不小于1/1.8"靶面尺寸。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像元尺寸不小于2.9um×2.9um。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最低照度彩色不大于0.0002 lx，黑白不大于0.0001 lx。</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宽动态能力不小于120dB。</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红外补光距离不小于50米。</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需支持三码流技术，主码流最高2560x1440@25fps，子码流704x576@25fps，第三码流最大分辨率为1920x1080@25fps。</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在2688x1520 @ 25fps下，清晰度不小于1500TVL。</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★在分辨率1920x1080 @ 25fps，延时不大于70ms。（以公安部检测报告为准，复印件加盖厂家公章或者投标专用章）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支持自动变焦、自动调节光圈。</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支持检出两眼瞳距40像素点以上的人脸图片。</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支持单场景同时检出不少于30张人脸图片，并支持面部跟踪。</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★支持侧脸过滤功能，可过滤上下、左右角度达到预设值的人脸。（以公安部检测报告为准，复印件加盖厂家公章或者投标专用章）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需具有1个RJ-45 10M/100M/1000M自适应网络接口。</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需同时支持DC12V、AC24V和POE供电，且在不小于DC12V±50%、AC24V±50%范围内变化时可以正常工作。</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需支持本地SD卡存储，最大支持128G。</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★射频电磁场辐射抗扰度应符合GB/T 17626.3-2006中试验等级3的规定。（以公安部检测报告为准，复印件加盖厂家公章或者投标专用章）</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3690" w:hRule="atLeast"/>
        </w:trPr>
        <w:tc>
          <w:tcPr>
            <w:tcW w:w="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硬盘录像机</w:t>
            </w:r>
          </w:p>
        </w:tc>
        <w:tc>
          <w:tcPr>
            <w:tcW w:w="5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可支持最大接入总带宽640Mbps的16路视频图像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可接入H.265、H.264、MPEG4、SVAC、smart265、smart264视频编码格式的IPC</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支持10T容量的SATA接口硬盘；支持硬盘热插拔和休眠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周界报警过滤功能，对IPC上报的越界侦测报警和区域入侵报警进行去误报，可去除由树叶、灯光、车辆、阴影以及小动物引起的误报，支持设置检查目标为人体或车辆（以公安部检测报告为准，复印件加盖厂家公章或者投标专用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对重要的数据能够进行备份，备份格式MP4和AVI可选，支持实时监测并显示系统正在进行的录像备份任务，可查看剩余录像大小、剩余时间、备份进度百分比和进度条（以公安部检测报告为准，复印件加盖厂家公章或者投标专用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支持多屏输出，可设置2组4屏显示输出，每组包含HDMI和VGA接口各一个，同一组内为同源输出，两组之间可以异源输出视频图像。支持64/36/32/25/16/9/8/6/4/1分屏预览；</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支持同时输出4路 H.264编码、15fps、4000×3000格式的视频图像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支持1/8、1/4、1/2、1、2、4、8、16、32、64、128、256等倍速回放录像，支持录像文件剪辑和回放截图功能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支持即时回放功能，在预览状态下可回放任一通道5-120分钟内的录像文件</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可同时正放或倒放16路H.265编码的视频图像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★支持报警事件、异常事件实时计算提醒，并以图标形式在监控界面上提醒用户，当有新事件发生时计数自动累加，当用户查看后计数自动清零（以公安部检测报告为准，复印件加盖厂家公章或者投标专用章）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★支持报警输入触发一键撤防功能，撤防的报警类型可选（弹出报警画面、声音警告、上传中心、发送邮件、触发报警输出）（以公安部检测报告为准，复印件加盖厂家公章或者投标专用章）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★支持缩略图,录像回放中，当鼠标在进度条上移动时，可自动显示该事件点附近的视频画面图片（以公安部检测报告为准，复印件加盖厂家公章或者投标专用章）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支持通过客户端/IE远程配置视频预览权限功能，可设置登录密码查看相关通道视频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支持设置图案密码，用户通过绘制图案来解锁并登录；具有密码定时提示修改、删除功能，支持密码复杂度登记显示功能；新出厂设备需激活</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支持POS功能，可接入POS机，叠加POS信息到录像中，可按关键字搜索录像，可修改POS信息的字体大小和颜色，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支持接入ONVIF协议、RTSP协议、GB/T28181协议的设备，可一键激活并添加局域网内IPC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支持对鱼眼IPC进行矫正，可设置180度全景、360度全景、PTZ展开、经纬度展开、3D半球展开、3D 180度柱形展开、3D 360度柱形展开七种模式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支持8个SATA接口，1个eSATA接口，支持2个USB2.0，1个USB3.0接口；支持16路报警输入，8路报警输出接口</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330" w:hRule="atLeast"/>
        </w:trPr>
        <w:tc>
          <w:tcPr>
            <w:tcW w:w="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监控专用硬盘</w:t>
            </w:r>
          </w:p>
        </w:tc>
        <w:tc>
          <w:tcPr>
            <w:tcW w:w="5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4TB,SATA 6Gb/s,3.5英寸,5900转</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340" w:hRule="atLeast"/>
        </w:trPr>
        <w:tc>
          <w:tcPr>
            <w:tcW w:w="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辅材</w:t>
            </w:r>
          </w:p>
        </w:tc>
        <w:tc>
          <w:tcPr>
            <w:tcW w:w="5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网线、电源线、PVC管等</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w:t>
            </w:r>
          </w:p>
        </w:tc>
      </w:tr>
    </w:tbl>
    <w:p>
      <w:pPr>
        <w:spacing w:before="120" w:beforeLines="50" w:after="120" w:afterLines="50" w:line="360" w:lineRule="auto"/>
        <w:jc w:val="center"/>
        <w:outlineLvl w:val="0"/>
        <w:rPr>
          <w:rStyle w:val="8"/>
          <w:rFonts w:hint="eastAsia" w:ascii="仿宋_GB2312" w:hAnsi="宋体" w:eastAsia="仿宋_GB2312" w:cs="宋体"/>
          <w:color w:val="auto"/>
          <w:sz w:val="36"/>
          <w:szCs w:val="36"/>
          <w:lang w:eastAsia="zh-CN"/>
        </w:rPr>
      </w:pPr>
      <w:bookmarkStart w:id="0" w:name="_GoBack"/>
      <w:bookmarkEnd w:id="0"/>
    </w:p>
    <w:p>
      <w:pPr>
        <w:spacing w:before="120" w:beforeLines="50" w:after="120" w:afterLines="50" w:line="360" w:lineRule="auto"/>
        <w:jc w:val="center"/>
        <w:outlineLvl w:val="0"/>
        <w:rPr>
          <w:rStyle w:val="8"/>
          <w:rFonts w:hint="eastAsia" w:ascii="仿宋_GB2312" w:hAnsi="宋体" w:eastAsia="仿宋_GB2312" w:cs="宋体"/>
          <w:color w:val="auto"/>
          <w:sz w:val="36"/>
          <w:szCs w:val="36"/>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A3780"/>
    <w:rsid w:val="600A3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340" w:after="330" w:line="578" w:lineRule="auto"/>
      <w:outlineLvl w:val="0"/>
    </w:pPr>
    <w:rPr>
      <w:rFonts w:ascii="Verdana" w:hAnsi="Verdana"/>
      <w:b/>
      <w:bCs/>
      <w:kern w:val="44"/>
      <w:sz w:val="44"/>
      <w:szCs w:val="44"/>
      <w:lang w:eastAsia="en-US"/>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6">
    <w:name w:val="font41"/>
    <w:basedOn w:val="5"/>
    <w:uiPriority w:val="0"/>
    <w:rPr>
      <w:rFonts w:ascii="Calibri" w:hAnsi="Calibri" w:cs="Calibri"/>
      <w:color w:val="000000"/>
      <w:sz w:val="16"/>
      <w:szCs w:val="16"/>
      <w:u w:val="none"/>
    </w:rPr>
  </w:style>
  <w:style w:type="character" w:customStyle="1" w:styleId="7">
    <w:name w:val="font71"/>
    <w:basedOn w:val="5"/>
    <w:qFormat/>
    <w:uiPriority w:val="0"/>
    <w:rPr>
      <w:rFonts w:hint="eastAsia" w:ascii="宋体" w:hAnsi="宋体" w:eastAsia="宋体" w:cs="宋体"/>
      <w:color w:val="000000"/>
      <w:sz w:val="16"/>
      <w:szCs w:val="16"/>
      <w:u w:val="none"/>
    </w:rPr>
  </w:style>
  <w:style w:type="character" w:customStyle="1" w:styleId="8">
    <w:name w:val="标题 1 字符"/>
    <w:link w:val="3"/>
    <w:qFormat/>
    <w:uiPriority w:val="0"/>
    <w:rPr>
      <w:rFonts w:ascii="Verdana" w:hAnsi="Verdana"/>
      <w:b/>
      <w:bCs/>
      <w:kern w:val="44"/>
      <w:sz w:val="44"/>
      <w:szCs w:val="4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2020-07-09T09:10:00Z</dcterms:created>
  <dc:creator>政辉</dc:creator>
  <cp:lastModifiedBy>政辉</cp:lastModifiedBy>
  <dcterms:modified xsi:type="dcterms:W3CDTF">2020-07-09T09:11:13Z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