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采购</w:t>
      </w:r>
      <w:r>
        <w:rPr>
          <w:rFonts w:hint="eastAsia" w:ascii="宋体" w:hAnsi="宋体" w:eastAsia="宋体" w:cs="宋体"/>
          <w:b/>
          <w:sz w:val="32"/>
          <w:szCs w:val="32"/>
        </w:rPr>
        <w:t>需求</w:t>
      </w:r>
    </w:p>
    <w:p>
      <w:pPr>
        <w:pStyle w:val="2"/>
        <w:rPr>
          <w:rFonts w:hint="eastAsia"/>
          <w:b w:val="0"/>
          <w:bCs w:val="0"/>
          <w:sz w:val="22"/>
          <w:szCs w:val="22"/>
          <w:lang w:val="en-GB"/>
        </w:rPr>
      </w:pPr>
      <w:r>
        <w:rPr>
          <w:rFonts w:hint="eastAsia"/>
          <w:b w:val="0"/>
          <w:bCs w:val="0"/>
          <w:sz w:val="22"/>
          <w:szCs w:val="22"/>
        </w:rPr>
        <w:t>1. 项目编号：ZX2019-137</w:t>
      </w:r>
    </w:p>
    <w:p>
      <w:pPr>
        <w:pStyle w:val="2"/>
        <w:rPr>
          <w:rFonts w:hint="eastAsia"/>
          <w:b w:val="0"/>
          <w:bCs w:val="0"/>
          <w:sz w:val="22"/>
          <w:szCs w:val="22"/>
        </w:rPr>
      </w:pPr>
      <w:r>
        <w:rPr>
          <w:rFonts w:hint="eastAsia"/>
          <w:b w:val="0"/>
          <w:bCs w:val="0"/>
          <w:sz w:val="22"/>
          <w:szCs w:val="22"/>
        </w:rPr>
        <w:t xml:space="preserve">2. </w:t>
      </w:r>
      <w:r>
        <w:rPr>
          <w:rFonts w:hint="eastAsia"/>
          <w:b w:val="0"/>
          <w:bCs w:val="0"/>
          <w:sz w:val="22"/>
          <w:szCs w:val="22"/>
          <w:lang w:val="zh-CN"/>
        </w:rPr>
        <w:t>项目名称：</w:t>
      </w:r>
      <w:r>
        <w:rPr>
          <w:rFonts w:hint="eastAsia"/>
          <w:b w:val="0"/>
          <w:bCs w:val="0"/>
          <w:sz w:val="22"/>
          <w:szCs w:val="22"/>
          <w:lang w:val="en-GB"/>
        </w:rPr>
        <w:t xml:space="preserve">医疗设备 </w:t>
      </w:r>
    </w:p>
    <w:p>
      <w:pPr>
        <w:pStyle w:val="2"/>
        <w:rPr>
          <w:rFonts w:hint="eastAsia"/>
          <w:b w:val="0"/>
          <w:bCs w:val="0"/>
          <w:sz w:val="22"/>
          <w:szCs w:val="22"/>
          <w:lang w:val="en-GB"/>
        </w:rPr>
      </w:pPr>
      <w:r>
        <w:rPr>
          <w:rFonts w:hint="eastAsia"/>
          <w:b w:val="0"/>
          <w:bCs w:val="0"/>
          <w:sz w:val="22"/>
          <w:szCs w:val="22"/>
        </w:rPr>
        <w:t>3. 用    途：工作</w:t>
      </w:r>
      <w:r>
        <w:rPr>
          <w:rFonts w:hint="eastAsia"/>
          <w:b w:val="0"/>
          <w:bCs w:val="0"/>
          <w:sz w:val="22"/>
          <w:szCs w:val="22"/>
          <w:lang w:val="en-GB"/>
        </w:rPr>
        <w:t>需要</w:t>
      </w:r>
    </w:p>
    <w:p>
      <w:pPr>
        <w:pStyle w:val="2"/>
        <w:rPr>
          <w:rFonts w:hint="eastAsia"/>
          <w:b w:val="0"/>
          <w:bCs w:val="0"/>
          <w:sz w:val="22"/>
          <w:szCs w:val="22"/>
        </w:rPr>
      </w:pPr>
      <w:r>
        <w:rPr>
          <w:rFonts w:hint="eastAsia"/>
          <w:b w:val="0"/>
          <w:bCs w:val="0"/>
          <w:sz w:val="22"/>
          <w:szCs w:val="22"/>
        </w:rPr>
        <w:t>4. 数    量：一批</w:t>
      </w:r>
    </w:p>
    <w:p>
      <w:pPr>
        <w:pStyle w:val="2"/>
        <w:rPr>
          <w:rFonts w:hint="eastAsia"/>
        </w:rPr>
      </w:pPr>
      <w:r>
        <w:rPr>
          <w:rFonts w:hint="eastAsia"/>
          <w:b w:val="0"/>
          <w:bCs w:val="0"/>
          <w:sz w:val="22"/>
          <w:szCs w:val="22"/>
        </w:rPr>
        <w:t>5. 采购预算：165万元，超过采购预算的响应文件将视作无效响应。</w:t>
      </w:r>
      <w:bookmarkStart w:id="1" w:name="_GoBack"/>
      <w:bookmarkEnd w:id="1"/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  <w:lang w:val="en-GB"/>
        </w:rPr>
        <w:t>一、</w:t>
      </w:r>
      <w:r>
        <w:rPr>
          <w:rFonts w:hint="eastAsia" w:ascii="宋体" w:hAnsi="宋体" w:eastAsia="宋体" w:cs="宋体"/>
          <w:b/>
          <w:sz w:val="28"/>
          <w:szCs w:val="28"/>
        </w:rPr>
        <w:t>采购清单表</w:t>
      </w:r>
    </w:p>
    <w:tbl>
      <w:tblPr>
        <w:tblStyle w:val="3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675"/>
        <w:gridCol w:w="1703"/>
        <w:gridCol w:w="1486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7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3675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名    称</w:t>
            </w:r>
          </w:p>
        </w:tc>
        <w:tc>
          <w:tcPr>
            <w:tcW w:w="1703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数 量</w:t>
            </w:r>
          </w:p>
        </w:tc>
        <w:tc>
          <w:tcPr>
            <w:tcW w:w="1486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 位</w:t>
            </w:r>
          </w:p>
        </w:tc>
        <w:tc>
          <w:tcPr>
            <w:tcW w:w="206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1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中医综合诊断系统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套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2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中医体质辨识系统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套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3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中医经络诊断系统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套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4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医用纯水机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5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Hlk24978607"/>
            <w:r>
              <w:rPr>
                <w:rFonts w:hint="eastAsia" w:ascii="宋体" w:hAnsi="宋体" w:eastAsia="宋体" w:cs="宋体"/>
                <w:sz w:val="24"/>
              </w:rPr>
              <w:t>气压弹道式体外冲击波治疗机</w:t>
            </w:r>
            <w:bookmarkEnd w:id="0"/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b/>
          <w:sz w:val="28"/>
          <w:szCs w:val="28"/>
          <w:lang w:val="en-GB"/>
        </w:rPr>
      </w:pPr>
      <w:r>
        <w:rPr>
          <w:rFonts w:hint="eastAsia" w:ascii="宋体" w:hAnsi="宋体" w:eastAsia="宋体" w:cs="宋体"/>
          <w:b/>
          <w:sz w:val="28"/>
          <w:szCs w:val="28"/>
          <w:lang w:val="en-GB"/>
        </w:rPr>
        <w:t>二、技术参数和采购要求</w:t>
      </w:r>
    </w:p>
    <w:p>
      <w:pPr>
        <w:jc w:val="center"/>
        <w:rPr>
          <w:rFonts w:hint="eastAsia" w:ascii="Times New Roman" w:hAnsi="Times New Roman" w:eastAsia="宋体" w:cs="Times New Roman"/>
          <w:sz w:val="28"/>
          <w:szCs w:val="28"/>
          <w:lang w:val="en-GB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GB"/>
        </w:rPr>
        <w:t>（一）中医综合诊断系统</w:t>
      </w:r>
    </w:p>
    <w:p>
      <w:pPr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1.中医舌面象诊断系统（望诊模块）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1.1、运用计算机标准化技术采集分析舌面象信息，并在产品注册证中体现，具备采集和分析功能。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对舌：可测得50种以上舌象信息；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对面：可测得30种以上面象信息。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1.2、计算机自动化操作；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1.3、舌面象自动拍照功能。</w:t>
      </w:r>
    </w:p>
    <w:p>
      <w:pPr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1.4、光照环境：</w:t>
      </w:r>
    </w:p>
    <w:p>
      <w:pPr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1.4</w:t>
      </w:r>
      <w:r>
        <w:rPr>
          <w:rFonts w:ascii="宋体" w:hAnsi="宋体" w:eastAsia="宋体" w:cs="Times New Roman"/>
          <w:sz w:val="24"/>
        </w:rPr>
        <w:t>.1</w:t>
      </w:r>
      <w:r>
        <w:rPr>
          <w:rFonts w:hint="eastAsia" w:ascii="宋体" w:hAnsi="宋体" w:eastAsia="宋体" w:cs="Times New Roman"/>
          <w:sz w:val="24"/>
        </w:rPr>
        <w:t>、采用专业拍摄光源，高频无闪烁，光源特性接近自然光源；照射均匀无暗区，无反光，无阴影；暗箱采集环境，并有专用净化、通风装置；</w:t>
      </w:r>
    </w:p>
    <w:p>
      <w:pPr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1.4</w:t>
      </w:r>
      <w:r>
        <w:rPr>
          <w:rFonts w:ascii="宋体" w:hAnsi="宋体" w:eastAsia="宋体" w:cs="Times New Roman"/>
          <w:sz w:val="24"/>
        </w:rPr>
        <w:t>.2</w:t>
      </w:r>
      <w:r>
        <w:rPr>
          <w:rFonts w:hint="eastAsia" w:ascii="宋体" w:hAnsi="宋体" w:eastAsia="宋体" w:cs="Times New Roman"/>
          <w:sz w:val="24"/>
        </w:rPr>
        <w:t>、显色指数</w:t>
      </w:r>
      <w:r>
        <w:rPr>
          <w:rFonts w:ascii="宋体" w:hAnsi="宋体" w:eastAsia="宋体" w:cs="Times New Roman"/>
          <w:sz w:val="24"/>
        </w:rPr>
        <w:t>Ra</w:t>
      </w:r>
      <w:r>
        <w:rPr>
          <w:rFonts w:hint="eastAsia" w:ascii="宋体" w:hAnsi="宋体" w:eastAsia="宋体" w:cs="Times New Roman"/>
          <w:sz w:val="24"/>
        </w:rPr>
        <w:t>≥</w:t>
      </w:r>
      <w:r>
        <w:rPr>
          <w:rFonts w:ascii="宋体" w:hAnsi="宋体" w:eastAsia="宋体" w:cs="Times New Roman"/>
          <w:sz w:val="24"/>
        </w:rPr>
        <w:t>90</w:t>
      </w:r>
      <w:r>
        <w:rPr>
          <w:rFonts w:hint="eastAsia" w:ascii="宋体" w:hAnsi="宋体" w:eastAsia="宋体" w:cs="Times New Roman"/>
          <w:sz w:val="24"/>
        </w:rPr>
        <w:t>；</w:t>
      </w:r>
    </w:p>
    <w:p>
      <w:pPr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1.4</w:t>
      </w:r>
      <w:r>
        <w:rPr>
          <w:rFonts w:ascii="宋体" w:hAnsi="宋体" w:eastAsia="宋体" w:cs="Times New Roman"/>
          <w:sz w:val="24"/>
        </w:rPr>
        <w:t>.3</w:t>
      </w:r>
      <w:r>
        <w:rPr>
          <w:rFonts w:hint="eastAsia" w:ascii="宋体" w:hAnsi="宋体" w:eastAsia="宋体" w:cs="Times New Roman"/>
          <w:sz w:val="24"/>
        </w:rPr>
        <w:t>、色温在</w:t>
      </w:r>
      <w:r>
        <w:rPr>
          <w:rFonts w:ascii="宋体" w:hAnsi="宋体" w:eastAsia="宋体" w:cs="Times New Roman"/>
          <w:sz w:val="24"/>
        </w:rPr>
        <w:t>500</w:t>
      </w:r>
      <w:r>
        <w:rPr>
          <w:rFonts w:hint="eastAsia" w:ascii="宋体" w:hAnsi="宋体" w:eastAsia="宋体" w:cs="Times New Roman"/>
          <w:sz w:val="24"/>
        </w:rPr>
        <w:t>0</w:t>
      </w:r>
      <w:r>
        <w:rPr>
          <w:rFonts w:ascii="宋体" w:hAnsi="宋体" w:eastAsia="宋体" w:cs="Times New Roman"/>
          <w:sz w:val="24"/>
        </w:rPr>
        <w:t>K</w:t>
      </w:r>
      <w:r>
        <w:rPr>
          <w:rFonts w:hint="eastAsia" w:ascii="宋体" w:hAnsi="宋体" w:eastAsia="宋体" w:cs="Times New Roman"/>
          <w:sz w:val="24"/>
        </w:rPr>
        <w:t>～</w:t>
      </w:r>
      <w:r>
        <w:rPr>
          <w:rFonts w:ascii="宋体" w:hAnsi="宋体" w:eastAsia="宋体" w:cs="Times New Roman"/>
          <w:sz w:val="24"/>
        </w:rPr>
        <w:t>6</w:t>
      </w:r>
      <w:r>
        <w:rPr>
          <w:rFonts w:hint="eastAsia" w:ascii="宋体" w:hAnsi="宋体" w:eastAsia="宋体" w:cs="Times New Roman"/>
          <w:sz w:val="24"/>
        </w:rPr>
        <w:t>0</w:t>
      </w:r>
      <w:r>
        <w:rPr>
          <w:rFonts w:ascii="宋体" w:hAnsi="宋体" w:eastAsia="宋体" w:cs="Times New Roman"/>
          <w:sz w:val="24"/>
        </w:rPr>
        <w:t>00K</w:t>
      </w:r>
      <w:r>
        <w:rPr>
          <w:rFonts w:hint="eastAsia" w:ascii="宋体" w:hAnsi="宋体" w:eastAsia="宋体" w:cs="Times New Roman"/>
          <w:sz w:val="24"/>
        </w:rPr>
        <w:t>之间；</w:t>
      </w:r>
    </w:p>
    <w:p>
      <w:pPr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1.4</w:t>
      </w:r>
      <w:r>
        <w:rPr>
          <w:rFonts w:ascii="宋体" w:hAnsi="宋体" w:eastAsia="宋体" w:cs="Times New Roman"/>
          <w:sz w:val="24"/>
        </w:rPr>
        <w:t>.4</w:t>
      </w:r>
      <w:r>
        <w:rPr>
          <w:rFonts w:hint="eastAsia" w:ascii="宋体" w:hAnsi="宋体" w:eastAsia="宋体" w:cs="Times New Roman"/>
          <w:sz w:val="24"/>
        </w:rPr>
        <w:t>、照度与照度的均匀性：多点检测舌、面单元患者应用部分的照度值（</w:t>
      </w:r>
      <w:r>
        <w:rPr>
          <w:rFonts w:ascii="宋体" w:hAnsi="宋体" w:eastAsia="宋体" w:cs="Times New Roman"/>
          <w:sz w:val="24"/>
        </w:rPr>
        <w:t>Ec</w:t>
      </w:r>
      <w:r>
        <w:rPr>
          <w:rFonts w:hint="eastAsia" w:ascii="宋体" w:hAnsi="宋体" w:eastAsia="宋体" w:cs="Times New Roman"/>
          <w:sz w:val="24"/>
        </w:rPr>
        <w:t>）均为在拍摄窗口，照度大于2500lux。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1.5、工程专用定制相机：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1.5.1可以通过计算机程序远程控制相机拍摄；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1.5.2 采用专业相机，具备微距拍摄功能；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1.5.3 图像分辨率96dpi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1.5.4 USB3.0接口，使数据传输更具稳定性，效率更高。  </w:t>
      </w:r>
    </w:p>
    <w:p>
      <w:pPr>
        <w:rPr>
          <w:rFonts w:hint="eastAsia" w:ascii="宋体" w:hAnsi="宋体" w:eastAsia="宋体" w:cs="Times New Roman"/>
          <w:b/>
          <w:sz w:val="24"/>
        </w:rPr>
      </w:pPr>
    </w:p>
    <w:p>
      <w:pPr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2、中医闻诊诊断系统（闻诊模块）：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作为中医四诊的重要组成部分，闻诊有其独到之处，通过无痛、无损伤检查的方式达到客观的诊断的目的。通过声音诊断，气味诊断，对闻诊系统进行判别。</w:t>
      </w:r>
    </w:p>
    <w:p>
      <w:pPr>
        <w:rPr>
          <w:rFonts w:hint="eastAsia" w:ascii="宋体" w:hAnsi="宋体" w:eastAsia="宋体" w:cs="Times New Roman"/>
          <w:b/>
          <w:sz w:val="24"/>
        </w:rPr>
      </w:pPr>
    </w:p>
    <w:p>
      <w:pPr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3、中医望闻问切四诊系统（问诊模块）：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问诊共有60题，包括全部用于体质辨识的问诊内容，每项问题分为“无、很少、有时、经常和总是”五种选项，根据各人具体情况进行选择，问诊测试男女各59道题，且默认为无。</w:t>
      </w:r>
    </w:p>
    <w:p>
      <w:pPr>
        <w:rPr>
          <w:rFonts w:ascii="宋体" w:hAnsi="宋体" w:eastAsia="宋体" w:cs="Times New Roman"/>
          <w:sz w:val="24"/>
        </w:rPr>
      </w:pPr>
    </w:p>
    <w:p>
      <w:pPr>
        <w:rPr>
          <w:rFonts w:hint="eastAsia" w:ascii="宋体" w:hAnsi="宋体" w:eastAsia="宋体" w:cs="Times New Roman"/>
          <w:b/>
          <w:sz w:val="24"/>
          <w:u w:val="single"/>
        </w:rPr>
      </w:pPr>
      <w:r>
        <w:rPr>
          <w:rFonts w:hint="eastAsia" w:ascii="宋体" w:hAnsi="宋体" w:eastAsia="宋体" w:cs="Times New Roman"/>
          <w:b/>
          <w:sz w:val="24"/>
        </w:rPr>
        <w:t>4、中医脉象诊断系统（脉诊模块）：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4.1、通过袖带式传感器进行腕部固定以进行准确的脉象定位，通过传感器的双层袖带结构，进行方框定位校正；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4.2、采用全自动气体加压方式。自动确定最佳取脉压力：按照阶梯加压方式，自动进行分段加压，并确定最佳取脉压力；脉象采集器具有过压保护功能。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4.3、全自动气体加压传感器，自身重量小于50克；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4.4、脉搏传感器触力面为符合人体工程学并模仿中医指法的Φ8圆形触力面；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4.5、脉象传感器灵敏度为0.5mV/克力；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4.6、</w:t>
      </w:r>
      <w:r>
        <w:rPr>
          <w:rFonts w:ascii="宋体" w:hAnsi="宋体" w:eastAsia="宋体" w:cs="Times New Roman"/>
          <w:sz w:val="24"/>
        </w:rPr>
        <w:t>采样精度：</w:t>
      </w:r>
      <w:r>
        <w:rPr>
          <w:rFonts w:hint="eastAsia" w:ascii="宋体" w:hAnsi="宋体" w:eastAsia="宋体" w:cs="Times New Roman"/>
          <w:sz w:val="24"/>
        </w:rPr>
        <w:t xml:space="preserve"> 24</w:t>
      </w:r>
      <w:r>
        <w:rPr>
          <w:rFonts w:ascii="宋体" w:hAnsi="宋体" w:eastAsia="宋体" w:cs="Times New Roman"/>
          <w:sz w:val="24"/>
        </w:rPr>
        <w:t>位 BIT</w:t>
      </w:r>
      <w:r>
        <w:rPr>
          <w:rFonts w:hint="eastAsia" w:ascii="宋体" w:hAnsi="宋体" w:eastAsia="宋体" w:cs="Times New Roman"/>
          <w:sz w:val="24"/>
        </w:rPr>
        <w:t>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4.7、</w:t>
      </w:r>
      <w:r>
        <w:rPr>
          <w:rFonts w:ascii="宋体" w:hAnsi="宋体" w:eastAsia="宋体" w:cs="Times New Roman"/>
          <w:sz w:val="24"/>
        </w:rPr>
        <w:t>采样时间</w:t>
      </w:r>
      <w:r>
        <w:rPr>
          <w:rFonts w:hint="eastAsia" w:ascii="宋体" w:hAnsi="宋体" w:eastAsia="宋体" w:cs="Times New Roman"/>
          <w:sz w:val="24"/>
        </w:rPr>
        <w:t>：≥40秒；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4.8、脉象浮中沉自动阶梯加压；浮中沉静态取脉压：50g、 75g、100g、125g、150g、175g、200g、225g，各档误差±10%；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4.9、动态取脉压：在0-250g的静压范围内，对于脉宽为0.5s的标准动压测量，误差小于±10%；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4.10、加压测量：气泵加压，最大压力350mmHg；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4.11、气路测量：将300 mmHg的压力冲入气路，在1min内气路压力不得低于5%；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4.12、提供中医脉象图及相关测量参数，给出脉名判读结果。</w:t>
      </w:r>
    </w:p>
    <w:p>
      <w:pPr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 </w:t>
      </w:r>
    </w:p>
    <w:p>
      <w:pPr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5、个体化养生调理系统：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5.1、可提供体质成因解读，以及易发疾病的风险预警提示；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5.2、所提供的个体化养生调理方案，包含饮食调理、药物调理，运动调理，食疗食谱等内容，为被测试者提供个体化的健康养生指导建议；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5.3、可建立电子健康档案，进行长期中医健康管理服务。</w:t>
      </w:r>
    </w:p>
    <w:p>
      <w:pPr>
        <w:rPr>
          <w:rFonts w:hint="eastAsia" w:ascii="宋体" w:hAnsi="宋体" w:eastAsia="宋体" w:cs="Times New Roman"/>
          <w:b/>
          <w:sz w:val="24"/>
        </w:rPr>
      </w:pPr>
    </w:p>
    <w:p>
      <w:pPr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6、经典处方系统：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可依据四诊信息，得出病人的病名，证候名，由专家数据库开出相应的治疗方剂，包括中医药方，按摩，针灸穴位的选取，中成药等。</w:t>
      </w: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4"/>
        </w:rPr>
        <w:t>根据病名，系统自动得出治法及相关处方，并且中医师可手动调整剂量或追加药物。</w:t>
      </w:r>
    </w:p>
    <w:p>
      <w:pPr>
        <w:jc w:val="center"/>
        <w:rPr>
          <w:rFonts w:ascii="Times New Roman" w:hAnsi="Times New Roman" w:eastAsia="宋体" w:cs="Times New Roman"/>
          <w:sz w:val="28"/>
          <w:szCs w:val="28"/>
          <w:lang w:val="en-GB"/>
        </w:rPr>
      </w:pPr>
    </w:p>
    <w:p>
      <w:pPr>
        <w:jc w:val="center"/>
        <w:rPr>
          <w:rFonts w:hint="eastAsia" w:ascii="Times New Roman" w:hAnsi="Times New Roman" w:eastAsia="宋体" w:cs="Times New Roman"/>
          <w:sz w:val="28"/>
          <w:szCs w:val="28"/>
          <w:lang w:val="en-GB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GB"/>
        </w:rPr>
        <w:t>（二）中医体质辨识系统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1.1、体质辨识量表依据中华中医药学会标准ZYYXH/T 157--2009《中医体质分类与判定》、《中医药健康管理服务技术规范》老年人中医药健康管理服务的要求制定。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1.2、 得出检测者的体质类型，体质特征，发病倾向，环境适应力等。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1.3、 对9种基本体质及44种复合体质进行自动判别； 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1.4、 高血压病慢病人群中医养生指导方案：针对高血压慢病患者，系统提供中医饮食调养、中医起居养生、中医运动养生、中医情志养生；中医特色保健法及高血压病的科普知识问答篇等中医健康指导方案。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1.5、 Ⅱ型糖尿病慢病人群中医养生指导方案：针对Ⅱ型糖尿病慢病患者，系统提供中医饮食调养、中医起居养生、中医运动养生、中医情志养生、中医特色保健法及Ⅱ型糖尿病的科普知识问答篇等中医健康指导方案。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1.6、0-12个月婴儿健康管理、1-3岁幼儿健康管理、4-6岁学龄前儿童健康管理、7-14岁健康管理；及孕产妇健康管理。问诊、信息记录、进行健康指导，出具相应的调理报告。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1.7、 通过问诊模块的人机交互信息，软件自动分析，给出直观量化的体质辨识分析结果。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1.8、工作台车，仪器可自由移动，方便病人信息采集，符合人体工程学。</w:t>
      </w:r>
    </w:p>
    <w:p>
      <w:pPr>
        <w:jc w:val="center"/>
        <w:rPr>
          <w:rFonts w:ascii="Times New Roman" w:hAnsi="Times New Roman" w:eastAsia="宋体" w:cs="Times New Roman"/>
          <w:sz w:val="28"/>
          <w:szCs w:val="28"/>
          <w:lang w:val="en-GB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GB"/>
        </w:rPr>
        <w:t>（三）</w:t>
      </w:r>
      <w:r>
        <w:rPr>
          <w:rFonts w:hint="eastAsia" w:ascii="宋体" w:hAnsi="宋体" w:eastAsia="宋体" w:cs="宋体"/>
          <w:sz w:val="28"/>
          <w:szCs w:val="28"/>
        </w:rPr>
        <w:t>中医经络诊断系统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1、信号源输出电压：7.8±0.2V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2、检测仪检测值：0-192.95单位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3、检测精度：80±2标准单位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4、工作输入电压：DC5V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5、能量耦合片阻抗：R＜3Ω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6、探测极体阻抗：R＜100Ω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7、传导极体阻抗：R＜100Ω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8、探测极体尺寸：Φ8mm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9、传感器：输出灵敏度：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1）误差：≤2％/F.S.5V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2）≥3mV/F.S.V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3）动态范围：0Hz～50Hz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10、安全类别：1类BF型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11、主机功率：＜300W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12、主机输入电压：AC220V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可接驳与之匹配的“中医经络健康检测系统”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十二经络虚实、经络五行、阳性脏腑生理及相关美容的诊断分析。柱形量化图和五行图检测报告，直观反映十二经络虚实、脏腑表里问题。</w:t>
      </w:r>
    </w:p>
    <w:p>
      <w:pPr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13、工作台车，仪器可自由移动，方便病人信息采集，符合人体工程学。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宋体" w:cs="Times New Roman"/>
          <w:sz w:val="28"/>
          <w:szCs w:val="28"/>
          <w:lang w:val="en-GB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GB"/>
        </w:rPr>
        <w:t>（四）医用纯水机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1"/>
        <w:gridCol w:w="6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序号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项目</w:t>
            </w:r>
          </w:p>
        </w:tc>
        <w:tc>
          <w:tcPr>
            <w:tcW w:w="6524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适用范围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适医院消毒供应中心用水（可与各类清洗设备、高压灭菌设备配套使用）、药剂室制剂、手术室、口腔科、实验室及其他纯水使用科室。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工作电源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380V  50Hz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产水流量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≥500L/小时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进水压力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0.2～0.35Mpa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产水水质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脱盐率≥96％（约电导率≤5us/cm）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安全装置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具有高低压保护、无水保护、压力保护等各种安全装置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细菌去除率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细菌去除率≥99%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自动反渗透膜清洗以及膜消毒功能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具有自动膜清洗和膜消毒功能延长了反渗透膜使用寿命。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进口零部件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知名品牌自动头，知名品牌精密过滤器。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在线监测功能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水质在线监测报警功能，当产水水质高于设定值，设备自动运行水质调节功能，可直接与消毒清洗设备和取水点对接使用，提供实物图片盖公司鲜章。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11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水质要求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产水水质完全符合GB/T19249-2003《反渗透水处理设备》、GB/T6682-2008《分析室验水用水规格和试验方法》的要求。完全满足WS310.1-2009《消毒中心管理规范》中对清洗用水水质的要求。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12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全自动前处理装置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实行再生、反洗、冲洗等工作完全自动化运行，无需人工帮助。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13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耗材定时更换提醒功能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具有耗材更换自动提醒装置。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14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设计及选型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可根据客户要求和场地实际情况进行设计，与脉动真空灭菌器、清洗消毒器、低温等离子灭菌器、干燥柜为同一品牌，提供生产厂家公开发行彩页资料及第三方省级检查报告盖公司鲜章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15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控制系统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采用性能稳定单片机为核心，数码管显示电导率，该控制系统智能化程度极高，可自动控制整个设备进行自动化控制，真正实现再生、冲洗、反冲、过滤、反渗透、制水、对膜冲洗进行全自动完成。对程序运行中的每一个的膜冲洗时间、开机冲洗时间进行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16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管路系统</w:t>
            </w:r>
          </w:p>
        </w:tc>
        <w:tc>
          <w:tcPr>
            <w:tcW w:w="652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采用卫生级UPVC管路。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sz w:val="28"/>
          <w:szCs w:val="28"/>
          <w:lang w:val="en-GB"/>
        </w:rPr>
      </w:pPr>
    </w:p>
    <w:p>
      <w:pPr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GB"/>
        </w:rPr>
        <w:t>（五）</w:t>
      </w:r>
      <w:r>
        <w:rPr>
          <w:rFonts w:hint="eastAsia" w:ascii="Times New Roman" w:hAnsi="Times New Roman" w:eastAsia="宋体" w:cs="Times New Roman"/>
          <w:sz w:val="28"/>
          <w:szCs w:val="28"/>
        </w:rPr>
        <w:t>气压弹道式体外冲击波治疗机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气动弹道式放射状冲击波源，更适合骨骼肌肉系统冲击波治疗；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独立双通道输出，输出参数可独立调节，可同时治疗两个患者或部位；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立式一体机，避免拼装机倾倒的风险；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10.4</w:t>
      </w:r>
      <w:r>
        <w:rPr>
          <w:rFonts w:ascii="微软雅黑" w:hAnsi="微软雅黑" w:eastAsia="微软雅黑" w:cs="Times New Roman"/>
          <w:sz w:val="22"/>
        </w:rPr>
        <w:t>英寸彩色液晶触摸屏设计，</w:t>
      </w:r>
      <w:r>
        <w:rPr>
          <w:rFonts w:hint="eastAsia" w:ascii="微软雅黑" w:hAnsi="微软雅黑" w:eastAsia="微软雅黑" w:cs="Times New Roman"/>
          <w:sz w:val="22"/>
        </w:rPr>
        <w:t>支持显示直观</w:t>
      </w:r>
      <w:r>
        <w:rPr>
          <w:rFonts w:ascii="微软雅黑" w:hAnsi="微软雅黑" w:eastAsia="微软雅黑" w:cs="Times New Roman"/>
          <w:sz w:val="22"/>
        </w:rPr>
        <w:t>，操作简</w:t>
      </w:r>
      <w:r>
        <w:rPr>
          <w:rFonts w:hint="eastAsia" w:ascii="微软雅黑" w:hAnsi="微软雅黑" w:eastAsia="微软雅黑" w:cs="Times New Roman"/>
          <w:sz w:val="22"/>
        </w:rPr>
        <w:t>便；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支持中、英、德、法等六种语言界面；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内置治疗处方及治疗图示，提供专业治疗方案建议；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可自由编辑并储存自定义处方；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支持USB接口一键升级，并可导出PDF格式病历；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大容量病例库，可保存</w:t>
      </w:r>
      <w:r>
        <w:rPr>
          <w:rFonts w:ascii="微软雅黑" w:hAnsi="微软雅黑" w:eastAsia="微软雅黑" w:cs="Times New Roman"/>
          <w:sz w:val="22"/>
        </w:rPr>
        <w:t>10000个以上病例信息</w:t>
      </w:r>
      <w:r>
        <w:rPr>
          <w:rFonts w:hint="eastAsia" w:ascii="微软雅黑" w:hAnsi="微软雅黑" w:eastAsia="微软雅黑" w:cs="Times New Roman"/>
          <w:sz w:val="22"/>
        </w:rPr>
        <w:t>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内置治疗前后VAS疼痛评估系统，可记录病程中疼痛的变化，绘制曲线图，并可保存在患者个人病例库；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ascii="微软雅黑" w:hAnsi="微软雅黑" w:eastAsia="微软雅黑" w:cs="Times New Roman"/>
          <w:sz w:val="22"/>
        </w:rPr>
        <w:t>人体工程学手柄</w:t>
      </w:r>
      <w:r>
        <w:rPr>
          <w:rFonts w:hint="eastAsia" w:ascii="微软雅黑" w:hAnsi="微软雅黑" w:eastAsia="微软雅黑" w:cs="Times New Roman"/>
          <w:sz w:val="22"/>
        </w:rPr>
        <w:t>，开关具备保险装置，防止误操作；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治疗强度1~5bar可调，步长0.1bar；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治疗频率1~</w:t>
      </w:r>
      <w:r>
        <w:rPr>
          <w:rFonts w:ascii="微软雅黑" w:hAnsi="微软雅黑" w:eastAsia="微软雅黑" w:cs="Times New Roman"/>
          <w:sz w:val="22"/>
        </w:rPr>
        <w:t>22Hz</w:t>
      </w:r>
      <w:r>
        <w:rPr>
          <w:rFonts w:hint="eastAsia" w:ascii="微软雅黑" w:hAnsi="微软雅黑" w:eastAsia="微软雅黑" w:cs="Times New Roman"/>
          <w:sz w:val="22"/>
        </w:rPr>
        <w:t>连续可调，步长1Hz；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具备M1-M5五种自动变频输出；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治疗手柄子弹、枪管等易耗件拆卸简便，客户可自行维护更换；</w:t>
      </w:r>
    </w:p>
    <w:p>
      <w:pPr>
        <w:numPr>
          <w:ilvl w:val="1"/>
          <w:numId w:val="1"/>
        </w:numPr>
        <w:spacing w:line="440" w:lineRule="exact"/>
        <w:ind w:left="992" w:hanging="567"/>
        <w:rPr>
          <w:rFonts w:hint="eastAsia"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具有单次冲击模式，方便调试治疗强度及定位；</w:t>
      </w:r>
    </w:p>
    <w:p>
      <w:pPr>
        <w:tabs>
          <w:tab w:val="left" w:pos="2730"/>
          <w:tab w:val="left" w:pos="2835"/>
        </w:tabs>
        <w:adjustRightInd w:val="0"/>
        <w:snapToGrid w:val="0"/>
        <w:spacing w:line="440" w:lineRule="exac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三、</w:t>
      </w:r>
      <w:r>
        <w:rPr>
          <w:rFonts w:hint="eastAsia" w:ascii="宋体" w:hAnsi="宋体" w:eastAsia="宋体" w:cs="宋体"/>
          <w:b/>
          <w:sz w:val="24"/>
        </w:rPr>
        <w:t>验收标准和要求：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 交付时间：合同签订生效之日起30天内。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2. 交付地点：用户指定地点。 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 付款条件：双方协商。</w:t>
      </w:r>
    </w:p>
    <w:p>
      <w:r>
        <w:rPr>
          <w:rFonts w:hint="eastAsia" w:ascii="宋体" w:hAnsi="宋体" w:eastAsia="宋体" w:cs="宋体"/>
          <w:sz w:val="24"/>
        </w:rPr>
        <w:t>4. 验收要求：按用户要求进行验收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D80"/>
    <w:multiLevelType w:val="multilevel"/>
    <w:tmpl w:val="4B507D80"/>
    <w:lvl w:ilvl="0" w:tentative="0">
      <w:start w:val="1"/>
      <w:numFmt w:val="decimal"/>
      <w:lvlText w:val="%1"/>
      <w:lvlJc w:val="left"/>
      <w:pPr>
        <w:ind w:left="425" w:hanging="425"/>
      </w:pPr>
      <w:rPr>
        <w:b w:val="0"/>
      </w:rPr>
    </w:lvl>
    <w:lvl w:ilvl="1" w:tentative="0">
      <w:start w:val="1"/>
      <w:numFmt w:val="decimal"/>
      <w:lvlText w:val="%2)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87900"/>
    <w:rsid w:val="1ED87900"/>
    <w:rsid w:val="699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3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首行缩进两字符"/>
    <w:basedOn w:val="1"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2020-07-15T08:16:00Z</dcterms:created>
  <dc:creator>Jackson Cao</dc:creator>
  <cp:lastModifiedBy>Jackson Cao</cp:lastModifiedBy>
  <dcterms:modified xsi:type="dcterms:W3CDTF">2020-07-15T08:27:46Z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