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第五部分  用户需求书</w:t>
      </w:r>
    </w:p>
    <w:p>
      <w:pPr>
        <w:numPr>
          <w:ilvl w:val="0"/>
          <w:numId w:val="3"/>
        </w:numPr>
        <w:tabs>
          <w:tab w:val="left" w:pos="2730"/>
          <w:tab w:val="left" w:pos="2835"/>
        </w:tabs>
        <w:adjustRightInd w:val="0"/>
        <w:snapToGrid w:val="0"/>
        <w:spacing w:before="156" w:beforeLines="50" w:after="156" w:afterLines="50" w:line="440" w:lineRule="exact"/>
        <w:rPr>
          <w:rFonts w:hint="eastAsia" w:ascii="宋体" w:hAnsi="宋体" w:eastAsia="宋体" w:cs="宋体"/>
          <w:b/>
          <w:bCs/>
          <w:color w:val="auto"/>
          <w:sz w:val="28"/>
          <w:szCs w:val="28"/>
        </w:rPr>
      </w:pPr>
      <w:bookmarkStart w:id="0" w:name="_Toc275871431"/>
      <w:bookmarkStart w:id="1" w:name="_Toc275770743"/>
      <w:bookmarkStart w:id="2" w:name="_Toc275871495"/>
      <w:bookmarkStart w:id="3" w:name="_Toc275954509"/>
      <w:r>
        <w:rPr>
          <w:rFonts w:hint="eastAsia" w:ascii="宋体" w:hAnsi="宋体" w:eastAsia="宋体" w:cs="宋体"/>
          <w:b/>
          <w:bCs/>
          <w:color w:val="auto"/>
          <w:sz w:val="28"/>
          <w:szCs w:val="28"/>
        </w:rPr>
        <w:t>规划范围及深度</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海南省行政区划范围内的沿海市县陆域及管辖海域。</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规划期2020-2025年，展望到2035年。</w:t>
      </w:r>
    </w:p>
    <w:p>
      <w:pPr>
        <w:numPr>
          <w:ilvl w:val="0"/>
          <w:numId w:val="3"/>
        </w:numPr>
        <w:tabs>
          <w:tab w:val="left" w:pos="2730"/>
          <w:tab w:val="left" w:pos="2835"/>
        </w:tabs>
        <w:adjustRightInd w:val="0"/>
        <w:snapToGrid w:val="0"/>
        <w:spacing w:before="156" w:beforeLines="50" w:after="156" w:afterLines="50" w:line="44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规划主要内容与方向</w:t>
      </w:r>
    </w:p>
    <w:p>
      <w:pPr>
        <w:tabs>
          <w:tab w:val="left" w:pos="2730"/>
          <w:tab w:val="left" w:pos="2835"/>
        </w:tabs>
        <w:adjustRightInd w:val="0"/>
        <w:snapToGrid w:val="0"/>
        <w:spacing w:line="500" w:lineRule="exact"/>
        <w:ind w:firstLine="480"/>
        <w:rPr>
          <w:rFonts w:hint="eastAsia" w:ascii="宋体" w:hAnsi="宋体" w:eastAsia="宋体" w:cs="宋体"/>
          <w:b/>
          <w:color w:val="auto"/>
          <w:sz w:val="24"/>
        </w:rPr>
      </w:pPr>
      <w:r>
        <w:rPr>
          <w:rFonts w:hint="eastAsia" w:ascii="宋体" w:hAnsi="宋体" w:eastAsia="宋体" w:cs="宋体"/>
          <w:b/>
          <w:color w:val="auto"/>
          <w:sz w:val="24"/>
        </w:rPr>
        <w:t>（一）海南省海洋强省（经济）建设战略背景研究</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客观评价海南省海洋强省（经济）建设的发展基础，综合评估海南省海洋强省（经济）建设的发展情况与问题，深入分析海南省海洋强省（经济）建设面临的国内外形势，提出海南省海洋强省（经济）建设的面临的机遇与挑战。</w:t>
      </w:r>
    </w:p>
    <w:p>
      <w:pPr>
        <w:tabs>
          <w:tab w:val="left" w:pos="2730"/>
          <w:tab w:val="left" w:pos="2835"/>
        </w:tabs>
        <w:adjustRightInd w:val="0"/>
        <w:snapToGrid w:val="0"/>
        <w:spacing w:line="500" w:lineRule="exact"/>
        <w:ind w:firstLine="480"/>
        <w:rPr>
          <w:rFonts w:hint="eastAsia" w:ascii="宋体" w:hAnsi="宋体" w:eastAsia="宋体" w:cs="宋体"/>
          <w:b/>
          <w:color w:val="auto"/>
          <w:sz w:val="24"/>
        </w:rPr>
      </w:pPr>
      <w:r>
        <w:rPr>
          <w:rFonts w:hint="eastAsia" w:ascii="宋体" w:hAnsi="宋体" w:eastAsia="宋体" w:cs="宋体"/>
          <w:b/>
          <w:color w:val="auto"/>
          <w:sz w:val="24"/>
        </w:rPr>
        <w:t>（二）海南省海洋强省（经济）建设若干重大问题研究</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重点结合海南省海洋强省（经济）建设中涉及的重大战略问题，包括现代海洋经济体系、海洋创新驱动、海洋新兴产业发展、海洋现代服务业等问题开展专题研究，提出解决思路和建议，为谋划海南省海洋强省（经济）建设战略提供参考依据。</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b/>
          <w:color w:val="auto"/>
          <w:sz w:val="24"/>
        </w:rPr>
        <w:t>1．现代化海洋经济体系研究。</w:t>
      </w:r>
      <w:r>
        <w:rPr>
          <w:rFonts w:hint="eastAsia" w:ascii="宋体" w:hAnsi="宋体" w:eastAsia="宋体" w:cs="宋体"/>
          <w:color w:val="auto"/>
          <w:sz w:val="24"/>
        </w:rPr>
        <w:t>以推动海洋经济高质量发展为目标，进一步优化海洋产业结构和布局，研究加快建立开放型生态型服务型海洋产业体系。</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b/>
          <w:color w:val="auto"/>
          <w:sz w:val="24"/>
        </w:rPr>
        <w:t>2．海洋领域创新驱动发展战略的实施路径研究。</w:t>
      </w:r>
      <w:r>
        <w:rPr>
          <w:rFonts w:hint="eastAsia" w:ascii="宋体" w:hAnsi="宋体" w:eastAsia="宋体" w:cs="宋体"/>
          <w:color w:val="auto"/>
          <w:sz w:val="24"/>
        </w:rPr>
        <w:t>围绕海洋高新技术产业发展目标，在现有科研成果能力基础上，提出海南省自主创新及成果转化能力建设远景，制定海南省实施发展目标、路径及政策保障。</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b/>
          <w:color w:val="auto"/>
          <w:sz w:val="24"/>
        </w:rPr>
        <w:t>3．海洋经济现代服务业发展研究。</w:t>
      </w:r>
      <w:r>
        <w:rPr>
          <w:rFonts w:hint="eastAsia" w:ascii="宋体" w:hAnsi="宋体" w:eastAsia="宋体" w:cs="宋体"/>
          <w:color w:val="auto"/>
          <w:sz w:val="24"/>
        </w:rPr>
        <w:t>按照4.13重要讲话和中央12号文件精神，探索自由贸易区（港）全面对外开放新格局下海洋经济现代服务业的发展路径、保障措施及发展政策。</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b/>
          <w:color w:val="auto"/>
          <w:sz w:val="24"/>
        </w:rPr>
        <w:t>4．海洋新兴产业培育研究。</w:t>
      </w:r>
      <w:r>
        <w:rPr>
          <w:rFonts w:hint="eastAsia" w:ascii="宋体" w:hAnsi="宋体" w:eastAsia="宋体" w:cs="宋体"/>
          <w:color w:val="auto"/>
          <w:sz w:val="24"/>
        </w:rPr>
        <w:t>着重研究培育海洋生物、海水淡化与综合利用、海洋可再生能源等新兴产业发展。</w:t>
      </w:r>
    </w:p>
    <w:p>
      <w:pPr>
        <w:tabs>
          <w:tab w:val="left" w:pos="2730"/>
          <w:tab w:val="left" w:pos="2835"/>
        </w:tabs>
        <w:adjustRightInd w:val="0"/>
        <w:snapToGrid w:val="0"/>
        <w:spacing w:line="500" w:lineRule="exact"/>
        <w:ind w:firstLine="480"/>
        <w:rPr>
          <w:rFonts w:hint="eastAsia" w:ascii="宋体" w:hAnsi="宋体" w:eastAsia="宋体" w:cs="宋体"/>
          <w:color w:val="auto"/>
        </w:rPr>
      </w:pPr>
      <w:r>
        <w:rPr>
          <w:rFonts w:hint="eastAsia" w:ascii="宋体" w:hAnsi="宋体" w:eastAsia="宋体" w:cs="宋体"/>
          <w:b/>
          <w:color w:val="auto"/>
          <w:sz w:val="24"/>
        </w:rPr>
        <w:t>（三）海南省海洋强省（经济）建设的战略规划研究</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按照4.13重要讲话和中央12号文件精神，落实国家对海南省的战略定位和发展要求，立足海南省的自身基础和优势，提出海南省海洋强省（经济）建设的总体思路、战略定位与目标、战略任务和保障措施。</w:t>
      </w:r>
    </w:p>
    <w:p>
      <w:pPr>
        <w:numPr>
          <w:ilvl w:val="0"/>
          <w:numId w:val="3"/>
        </w:numPr>
        <w:tabs>
          <w:tab w:val="left" w:pos="2730"/>
          <w:tab w:val="left" w:pos="2835"/>
        </w:tabs>
        <w:adjustRightInd w:val="0"/>
        <w:snapToGrid w:val="0"/>
        <w:spacing w:before="156" w:beforeLines="50" w:after="156" w:afterLines="50" w:line="44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成果要求</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海洋强省战略发展规划(</w:t>
      </w:r>
      <w:r>
        <w:rPr>
          <w:rFonts w:hint="eastAsia" w:ascii="宋体" w:hAnsi="宋体" w:eastAsia="宋体" w:cs="宋体"/>
          <w:color w:val="auto"/>
          <w:sz w:val="24"/>
          <w:lang w:eastAsia="zh-CN"/>
        </w:rPr>
        <w:t>四次招标</w:t>
      </w:r>
      <w:r>
        <w:rPr>
          <w:rFonts w:hint="eastAsia" w:ascii="宋体" w:hAnsi="宋体" w:eastAsia="宋体" w:cs="宋体"/>
          <w:color w:val="auto"/>
          <w:sz w:val="24"/>
        </w:rPr>
        <w:t>)主要成果包括：</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1．《海洋强省（经济）战略规划》文本及编制说明；</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2.《海洋强省（经济）战略规划》规划图件；</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3.《海洋生物新兴产业发展规划》文本及编制说明；</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4.《海洋生物新兴产业发展规划》规划图件；</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5.《海水淡化与综合利用新兴产业规划》文本及编制说明；</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6.《海水淡化与综合利用新兴产业规划》规划图件；</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7.相应的专题研究报告；</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8.海洋强省（经济）实施方案；</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9. 基础资料汇编。</w:t>
      </w:r>
    </w:p>
    <w:p>
      <w:pPr>
        <w:tabs>
          <w:tab w:val="left" w:pos="2730"/>
          <w:tab w:val="left" w:pos="2835"/>
        </w:tabs>
        <w:adjustRightInd w:val="0"/>
        <w:snapToGrid w:val="0"/>
        <w:spacing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编制完成海洋强省战略发展规划(</w:t>
      </w:r>
      <w:r>
        <w:rPr>
          <w:rFonts w:hint="eastAsia" w:ascii="宋体" w:hAnsi="宋体" w:eastAsia="宋体" w:cs="宋体"/>
          <w:color w:val="auto"/>
          <w:sz w:val="24"/>
          <w:lang w:eastAsia="zh-CN"/>
        </w:rPr>
        <w:t>四次招标</w:t>
      </w:r>
      <w:r>
        <w:rPr>
          <w:rFonts w:hint="eastAsia" w:ascii="宋体" w:hAnsi="宋体" w:eastAsia="宋体" w:cs="宋体"/>
          <w:color w:val="auto"/>
          <w:sz w:val="24"/>
        </w:rPr>
        <w:t>)及相关专题研究报告，形成文本、图件等规划成果。成果需通过专家论证审核。</w:t>
      </w:r>
    </w:p>
    <w:p>
      <w:pPr>
        <w:tabs>
          <w:tab w:val="left" w:pos="2730"/>
          <w:tab w:val="left" w:pos="2835"/>
        </w:tabs>
        <w:adjustRightInd w:val="0"/>
        <w:snapToGrid w:val="0"/>
        <w:spacing w:line="500" w:lineRule="exact"/>
        <w:rPr>
          <w:rFonts w:hint="eastAsia" w:ascii="宋体" w:hAnsi="宋体" w:eastAsia="宋体" w:cs="宋体"/>
          <w:b/>
          <w:bCs/>
          <w:color w:val="auto"/>
          <w:sz w:val="24"/>
        </w:rPr>
      </w:pPr>
      <w:r>
        <w:rPr>
          <w:rFonts w:hint="eastAsia" w:ascii="宋体" w:hAnsi="宋体" w:eastAsia="宋体" w:cs="宋体"/>
          <w:b/>
          <w:bCs/>
          <w:color w:val="auto"/>
          <w:sz w:val="24"/>
        </w:rPr>
        <w:t>五、服务及要求</w:t>
      </w:r>
    </w:p>
    <w:p>
      <w:pPr>
        <w:tabs>
          <w:tab w:val="left" w:pos="2730"/>
          <w:tab w:val="left" w:pos="2835"/>
        </w:tabs>
        <w:adjustRightInd w:val="0"/>
        <w:snapToGrid w:val="0"/>
        <w:spacing w:line="500" w:lineRule="exact"/>
        <w:rPr>
          <w:rFonts w:hint="eastAsia" w:ascii="宋体" w:hAnsi="宋体" w:eastAsia="宋体" w:cs="宋体"/>
          <w:b/>
          <w:bCs/>
          <w:color w:val="auto"/>
          <w:sz w:val="24"/>
        </w:rPr>
      </w:pPr>
      <w:r>
        <w:rPr>
          <w:rFonts w:hint="eastAsia" w:ascii="宋体" w:hAnsi="宋体" w:eastAsia="宋体" w:cs="宋体"/>
          <w:color w:val="auto"/>
          <w:sz w:val="24"/>
        </w:rPr>
        <w:t xml:space="preserve">    1、成果交付时间：</w:t>
      </w:r>
      <w:r>
        <w:rPr>
          <w:rFonts w:hint="eastAsia" w:ascii="宋体" w:hAnsi="宋体" w:eastAsia="宋体" w:cs="宋体"/>
          <w:color w:val="auto"/>
          <w:sz w:val="24"/>
          <w:lang w:val="en-GB"/>
        </w:rPr>
        <w:t>合同签订生效之日起</w:t>
      </w:r>
      <w:r>
        <w:rPr>
          <w:rFonts w:hint="eastAsia" w:ascii="宋体" w:hAnsi="宋体" w:eastAsia="宋体" w:cs="宋体"/>
          <w:color w:val="auto"/>
          <w:sz w:val="24"/>
          <w:u w:val="single"/>
        </w:rPr>
        <w:t xml:space="preserve"> 至2020年9月底 </w:t>
      </w:r>
      <w:r>
        <w:rPr>
          <w:rFonts w:hint="eastAsia" w:ascii="宋体" w:hAnsi="宋体" w:eastAsia="宋体" w:cs="宋体"/>
          <w:color w:val="auto"/>
          <w:sz w:val="24"/>
          <w:lang w:val="en-GB"/>
        </w:rPr>
        <w:t>。</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2、交付地点：采购人指定地点</w:t>
      </w:r>
    </w:p>
    <w:p>
      <w:pPr>
        <w:numPr>
          <w:ilvl w:val="0"/>
          <w:numId w:val="4"/>
        </w:num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 xml:space="preserve">后期服务：供应商负责免费对项目成果错误进行及时更正。 </w:t>
      </w:r>
    </w:p>
    <w:p>
      <w:pPr>
        <w:tabs>
          <w:tab w:val="left" w:pos="2730"/>
          <w:tab w:val="left" w:pos="2835"/>
        </w:tabs>
        <w:adjustRightInd w:val="0"/>
        <w:snapToGrid w:val="0"/>
        <w:spacing w:before="156" w:beforeLines="50" w:after="156" w:afterLines="50" w:line="440" w:lineRule="exact"/>
        <w:ind w:firstLine="480" w:firstLineChars="200"/>
        <w:rPr>
          <w:rFonts w:hint="eastAsia" w:ascii="宋体" w:hAnsi="宋体" w:eastAsia="宋体" w:cs="宋体"/>
          <w:b/>
          <w:bCs/>
          <w:color w:val="auto"/>
          <w:sz w:val="28"/>
          <w:szCs w:val="28"/>
        </w:rPr>
      </w:pPr>
      <w:r>
        <w:rPr>
          <w:rFonts w:hint="eastAsia" w:ascii="宋体" w:hAnsi="宋体" w:eastAsia="宋体" w:cs="宋体"/>
          <w:color w:val="auto"/>
          <w:sz w:val="24"/>
        </w:rPr>
        <w:t xml:space="preserve">4、付款条件：采购双方签订合同时另行约定。     </w:t>
      </w:r>
      <w:bookmarkEnd w:id="0"/>
      <w:bookmarkEnd w:id="1"/>
      <w:bookmarkEnd w:id="2"/>
      <w:bookmarkEnd w:id="3"/>
    </w:p>
    <w:p>
      <w:pPr>
        <w:tabs>
          <w:tab w:val="left" w:pos="2730"/>
          <w:tab w:val="left" w:pos="2835"/>
        </w:tabs>
        <w:adjustRightInd w:val="0"/>
        <w:snapToGrid w:val="0"/>
        <w:spacing w:line="500" w:lineRule="exact"/>
        <w:rPr>
          <w:rFonts w:hint="eastAsia" w:ascii="宋体" w:hAnsi="宋体" w:eastAsia="宋体" w:cs="宋体"/>
          <w:b/>
          <w:bCs/>
          <w:color w:val="auto"/>
          <w:sz w:val="24"/>
        </w:rPr>
      </w:pPr>
      <w:r>
        <w:rPr>
          <w:rFonts w:hint="eastAsia" w:ascii="宋体" w:hAnsi="宋体" w:eastAsia="宋体" w:cs="宋体"/>
          <w:b/>
          <w:bCs/>
          <w:color w:val="auto"/>
          <w:sz w:val="24"/>
        </w:rPr>
        <w:t>六、商务要求</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1、付款方式：本项目分</w:t>
      </w:r>
      <w:r>
        <w:rPr>
          <w:rFonts w:hint="eastAsia" w:ascii="宋体" w:hAnsi="宋体" w:eastAsia="宋体" w:cs="宋体"/>
          <w:color w:val="auto"/>
          <w:sz w:val="24"/>
          <w:u w:val="single"/>
        </w:rPr>
        <w:t xml:space="preserve"> 3</w:t>
      </w:r>
      <w:r>
        <w:rPr>
          <w:rFonts w:hint="eastAsia" w:ascii="宋体" w:hAnsi="宋体" w:eastAsia="宋体" w:cs="宋体"/>
          <w:color w:val="auto"/>
          <w:sz w:val="24"/>
        </w:rPr>
        <w:t>个阶段进行付款。</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1.1 初稿阶段：</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项目入场付项目中标金额的</w:t>
      </w:r>
      <w:r>
        <w:rPr>
          <w:rFonts w:hint="eastAsia" w:ascii="宋体" w:hAnsi="宋体" w:eastAsia="宋体" w:cs="宋体"/>
          <w:color w:val="auto"/>
          <w:sz w:val="24"/>
          <w:u w:val="single"/>
        </w:rPr>
        <w:t xml:space="preserve"> 40  </w:t>
      </w:r>
      <w:r>
        <w:rPr>
          <w:rFonts w:hint="eastAsia" w:ascii="宋体" w:hAnsi="宋体" w:eastAsia="宋体" w:cs="宋体"/>
          <w:color w:val="auto"/>
          <w:sz w:val="24"/>
        </w:rPr>
        <w:t>%。初稿提交的工作内容为规划的整体思路，供双方沟通明确的发展方向、总体定位、战略思路等大方向问题，同时落实涉及所有工作内容的初步方案。</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1.2 送审稿阶段：</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初稿阶段向甲方提交的成果内容获得甲方认可后，支付第二阶段费用</w:t>
      </w:r>
      <w:r>
        <w:rPr>
          <w:rFonts w:hint="eastAsia" w:ascii="宋体" w:hAnsi="宋体" w:eastAsia="宋体" w:cs="宋体"/>
          <w:color w:val="auto"/>
          <w:sz w:val="24"/>
          <w:u w:val="single"/>
        </w:rPr>
        <w:t xml:space="preserve"> 45 </w:t>
      </w:r>
      <w:r>
        <w:rPr>
          <w:rFonts w:hint="eastAsia" w:ascii="宋体" w:hAnsi="宋体" w:eastAsia="宋体" w:cs="宋体"/>
          <w:color w:val="auto"/>
          <w:sz w:val="24"/>
        </w:rPr>
        <w:t>%。内容包括标书内所列及的所有工作内容，按照甲方及政府相关部门对初稿提出修改完善意见进行修改后的成果，作为规划成果上专家评审会，经甲方和相关专家审定，并获得甲方认可。</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1.3 终稿阶段：</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终稿提交内容是在送审稿基础上，按照甲方及专家评审意见进行修改完善后的成果，具体内容与初稿相同，作为本合同工作结束的最终成果。甲方支付尾款</w:t>
      </w:r>
      <w:r>
        <w:rPr>
          <w:rFonts w:hint="eastAsia" w:ascii="宋体" w:hAnsi="宋体" w:eastAsia="宋体" w:cs="宋体"/>
          <w:color w:val="auto"/>
          <w:sz w:val="24"/>
          <w:u w:val="single"/>
        </w:rPr>
        <w:t xml:space="preserve"> 15  </w:t>
      </w:r>
      <w:r>
        <w:rPr>
          <w:rFonts w:hint="eastAsia" w:ascii="宋体" w:hAnsi="宋体" w:eastAsia="宋体" w:cs="宋体"/>
          <w:color w:val="auto"/>
          <w:sz w:val="24"/>
        </w:rPr>
        <w:t>%。</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2、报价要求</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按招标项目的技术要求，供应商根据项目特点和供应商自身条件确定投标报价。供应商的投标报价为本项目的总报价，包括人工费、材料费和税金等所有费用。如有漏项，视同已包含在其他项目中，合同总价不做调整。</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3、保密要求</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采购人及供应商分别为对方在招标文件和投标文件中涉及的商业和技术等秘密保密，违者应对由此造成的后果承担责任。</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4、合同签订</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供应商在收到《成交通知书》后七日内与采购人签订合同。</w:t>
      </w:r>
    </w:p>
    <w:p>
      <w:pPr>
        <w:tabs>
          <w:tab w:val="left" w:pos="2730"/>
          <w:tab w:val="left" w:pos="2835"/>
        </w:tabs>
        <w:adjustRightInd w:val="0"/>
        <w:snapToGrid w:val="0"/>
        <w:spacing w:line="500" w:lineRule="exact"/>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注：本项目是战略规划性研究项目，是论证今后中长期海洋经济的发展路线。但研究论证方法无固定的技术路线和模式，不同的技术路线会有不同指标要求和规范。为此只能以现场问答形式判定方案（技术路线）可行性及判断竞标方案的优劣。故项目在谈判环节会设置现场问答，现场问答的内容属于提供最终设计方案或解决方案的一部分。</w:t>
      </w:r>
    </w:p>
    <w:p>
      <w:pPr>
        <w:rPr>
          <w:rFonts w:hint="eastAsia"/>
          <w:lang w:val="en-US" w:eastAsia="zh-CN"/>
        </w:rPr>
      </w:pPr>
      <w:bookmarkStart w:id="4" w:name="_GoBack"/>
      <w:bookmarkEnd w:id="4"/>
    </w:p>
    <w:sectPr>
      <w:footerReference r:id="rId3"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215390" cy="173990"/>
              <wp:effectExtent l="0" t="0" r="0" b="0"/>
              <wp:wrapNone/>
              <wp:docPr id="1" name="矩形 1"/>
              <wp:cNvGraphicFramePr/>
              <a:graphic xmlns:a="http://schemas.openxmlformats.org/drawingml/2006/main">
                <a:graphicData uri="http://schemas.microsoft.com/office/word/2010/wordprocessingShape">
                  <wps:wsp>
                    <wps:cNvSpPr/>
                    <wps:spPr>
                      <a:xfrm>
                        <a:off x="0" y="0"/>
                        <a:ext cx="1215390" cy="173990"/>
                      </a:xfrm>
                      <a:prstGeom prst="rect">
                        <a:avLst/>
                      </a:prstGeom>
                      <a:noFill/>
                      <a:ln>
                        <a:noFill/>
                      </a:ln>
                    </wps:spPr>
                    <wps:txbx>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wps:txbx>
                    <wps:bodyPr lIns="0" tIns="0" rIns="0" bIns="0" upright="0"/>
                  </wps:wsp>
                </a:graphicData>
              </a:graphic>
            </wp:anchor>
          </w:drawing>
        </mc:Choice>
        <mc:Fallback>
          <w:pict>
            <v:rect id="_x0000_s1026" o:spid="_x0000_s1026" o:spt="1" style="position:absolute;left:0pt;height:13.7pt;width:95.7pt;mso-position-horizontal:center;mso-position-horizontal-relative:margin;mso-position-vertical:top;z-index:251658240;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TgCzxNYAAAAEAQAADwAAAAAAAAABACAAAAAiAAAAZHJz&#10;L2Rvd25yZXYueG1sUEsBAhQAFAAAAAgAh07iQFnEPfyUAQAAFwMAAA4AAAAAAAAAAQAgAAAAJQEA&#10;AGRycy9lMm9Eb2MueG1sUEsFBgAAAAAGAAYAWQEAACsFAAAAAA==&#10;">
              <v:fill on="f" focussize="0,0"/>
              <v:stroke on="f"/>
              <v:imagedata o:title=""/>
              <o:lock v:ext="edit" aspectratio="f"/>
              <v:textbox inset="0mm,0mm,0mm,0mm">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v:textbox>
            </v:rect>
          </w:pict>
        </mc:Fallback>
      </mc:AlternateContent>
    </w:r>
    <w:r>
      <w:drawing>
        <wp:inline distT="0" distB="0" distL="114300" distR="114300">
          <wp:extent cx="1524635" cy="532130"/>
          <wp:effectExtent l="0" t="0" r="18415" b="1270"/>
          <wp:docPr id="2" name="图片 1"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和信源"/>
                  <pic:cNvPicPr>
                    <a:picLocks noChangeAspect="1"/>
                  </pic:cNvPicPr>
                </pic:nvPicPr>
                <pic:blipFill>
                  <a:blip r:embed="rId1"/>
                  <a:stretch>
                    <a:fillRect/>
                  </a:stretch>
                </pic:blipFill>
                <pic:spPr>
                  <a:xfrm>
                    <a:off x="0" y="0"/>
                    <a:ext cx="1524635" cy="532130"/>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pStyle w:val="28"/>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3F5BF3"/>
    <w:multiLevelType w:val="singleLevel"/>
    <w:tmpl w:val="593F5BF3"/>
    <w:lvl w:ilvl="0" w:tentative="0">
      <w:start w:val="3"/>
      <w:numFmt w:val="decimal"/>
      <w:suff w:val="nothing"/>
      <w:lvlText w:val="%1、"/>
      <w:lvlJc w:val="left"/>
    </w:lvl>
  </w:abstractNum>
  <w:abstractNum w:abstractNumId="2">
    <w:nsid w:val="5992B75C"/>
    <w:multiLevelType w:val="singleLevel"/>
    <w:tmpl w:val="5992B75C"/>
    <w:lvl w:ilvl="0" w:tentative="0">
      <w:start w:val="1"/>
      <w:numFmt w:val="chineseCounting"/>
      <w:suff w:val="nothing"/>
      <w:lvlText w:val="%1、"/>
      <w:lvlJc w:val="left"/>
    </w:lvl>
  </w:abstractNum>
  <w:abstractNum w:abstractNumId="3">
    <w:nsid w:val="77EE3B3D"/>
    <w:multiLevelType w:val="multilevel"/>
    <w:tmpl w:val="77EE3B3D"/>
    <w:lvl w:ilvl="0" w:tentative="0">
      <w:start w:val="1"/>
      <w:numFmt w:val="decimal"/>
      <w:pStyle w:val="3"/>
      <w:lvlText w:val="%1."/>
      <w:lvlJc w:val="left"/>
      <w:pPr>
        <w:tabs>
          <w:tab w:val="left" w:pos="709"/>
        </w:tabs>
        <w:ind w:left="709" w:hanging="425"/>
      </w:pPr>
      <w:rPr>
        <w:rFonts w:hint="default"/>
      </w:rPr>
    </w:lvl>
    <w:lvl w:ilvl="1" w:tentative="0">
      <w:start w:val="1"/>
      <w:numFmt w:val="decimal"/>
      <w:lvlText w:val="%1.%2."/>
      <w:lvlJc w:val="left"/>
      <w:pPr>
        <w:tabs>
          <w:tab w:val="left" w:pos="567"/>
        </w:tabs>
        <w:ind w:left="567" w:hanging="567"/>
      </w:pPr>
      <w:rPr>
        <w:rFonts w:hint="default"/>
        <w:b/>
        <w:lang w:val="en-US"/>
      </w:rPr>
    </w:lvl>
    <w:lvl w:ilvl="2" w:tentative="0">
      <w:start w:val="1"/>
      <w:numFmt w:val="decimal"/>
      <w:lvlText w:val="%1.%2.%3."/>
      <w:lvlJc w:val="left"/>
      <w:pPr>
        <w:tabs>
          <w:tab w:val="left" w:pos="709"/>
        </w:tabs>
        <w:ind w:left="709" w:hanging="709"/>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lang w:val="en-US"/>
      </w:rPr>
    </w:lvl>
    <w:lvl w:ilvl="3" w:tentative="0">
      <w:start w:val="1"/>
      <w:numFmt w:val="decimal"/>
      <w:pStyle w:val="5"/>
      <w:lvlText w:val="%1.%2.%3.%4."/>
      <w:lvlJc w:val="left"/>
      <w:pPr>
        <w:tabs>
          <w:tab w:val="left" w:pos="1844"/>
        </w:tabs>
        <w:ind w:left="1844" w:hanging="851"/>
      </w:pPr>
      <w:rPr>
        <w:rFonts w:hint="default"/>
        <w:lang w:val="en-US"/>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C3E7F"/>
    <w:rsid w:val="07B53275"/>
    <w:rsid w:val="0D6E58F2"/>
    <w:rsid w:val="0DB67A58"/>
    <w:rsid w:val="13046498"/>
    <w:rsid w:val="13A72D06"/>
    <w:rsid w:val="196E6D15"/>
    <w:rsid w:val="19F05C7C"/>
    <w:rsid w:val="25FC16A5"/>
    <w:rsid w:val="26F26FCC"/>
    <w:rsid w:val="324D44D4"/>
    <w:rsid w:val="361B2518"/>
    <w:rsid w:val="382A28EE"/>
    <w:rsid w:val="390D176B"/>
    <w:rsid w:val="391C1126"/>
    <w:rsid w:val="422678D0"/>
    <w:rsid w:val="50240D13"/>
    <w:rsid w:val="5AC14DFF"/>
    <w:rsid w:val="5CA53E18"/>
    <w:rsid w:val="60144222"/>
    <w:rsid w:val="6FCB7C0D"/>
    <w:rsid w:val="71BD53E5"/>
    <w:rsid w:val="740322A3"/>
    <w:rsid w:val="7B92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4"/>
    <w:qFormat/>
    <w:uiPriority w:val="0"/>
    <w:pPr>
      <w:keepNext/>
      <w:keepLines/>
      <w:numPr>
        <w:ilvl w:val="0"/>
        <w:numId w:val="1"/>
      </w:numPr>
      <w:tabs>
        <w:tab w:val="left" w:pos="142"/>
        <w:tab w:val="left" w:pos="5670"/>
      </w:tabs>
      <w:spacing w:before="0" w:after="0"/>
      <w:outlineLvl w:val="0"/>
    </w:pPr>
    <w:rPr>
      <w:rFonts w:ascii="仿宋" w:hAnsi="仿宋" w:cs="Times New Roman"/>
      <w:bCs w:val="0"/>
      <w:iCs/>
      <w:smallCaps/>
      <w:kern w:val="44"/>
      <w:sz w:val="32"/>
      <w:szCs w:val="28"/>
      <w:lang w:val="zh-CN"/>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5">
    <w:name w:val="heading 4"/>
    <w:basedOn w:val="1"/>
    <w:next w:val="1"/>
    <w:qFormat/>
    <w:uiPriority w:val="0"/>
    <w:pPr>
      <w:keepNext/>
      <w:keepLines/>
      <w:numPr>
        <w:ilvl w:val="3"/>
        <w:numId w:val="1"/>
      </w:numPr>
      <w:kinsoku w:val="0"/>
      <w:spacing w:line="360" w:lineRule="auto"/>
      <w:ind w:leftChars="0"/>
      <w:jc w:val="left"/>
      <w:outlineLvl w:val="3"/>
    </w:pPr>
    <w:rPr>
      <w:rFonts w:ascii="黑体" w:hAnsi="黑体" w:eastAsia="仿宋" w:cs="Times New Roman"/>
      <w:bCs/>
      <w:sz w:val="28"/>
      <w:szCs w:val="28"/>
      <w:lang w:val="zh-CN" w:eastAsia="zh-CN"/>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toc 1"/>
    <w:basedOn w:val="1"/>
    <w:next w:val="1"/>
    <w:qFormat/>
    <w:uiPriority w:val="39"/>
    <w:pPr>
      <w:spacing w:before="120" w:after="120" w:line="360" w:lineRule="auto"/>
      <w:ind w:firstLine="420"/>
      <w:jc w:val="left"/>
    </w:pPr>
    <w:rPr>
      <w:rFonts w:ascii="Calibri" w:hAnsi="Calibri" w:eastAsia="仿宋" w:cs="Calibri"/>
      <w:b/>
      <w:bCs/>
      <w:caps/>
      <w:sz w:val="20"/>
      <w:szCs w:val="20"/>
    </w:rPr>
  </w:style>
  <w:style w:type="paragraph" w:styleId="6">
    <w:name w:val="Body Text"/>
    <w:basedOn w:val="1"/>
    <w:next w:val="1"/>
    <w:qFormat/>
    <w:uiPriority w:val="0"/>
    <w:pPr>
      <w:spacing w:after="120" w:afterLines="0"/>
    </w:pPr>
  </w:style>
  <w:style w:type="paragraph" w:styleId="7">
    <w:name w:val="Plain Text"/>
    <w:basedOn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4"/>
    <w:basedOn w:val="1"/>
    <w:next w:val="1"/>
    <w:unhideWhenUsed/>
    <w:qFormat/>
    <w:uiPriority w:val="39"/>
    <w:pPr>
      <w:ind w:left="1260" w:leftChars="600"/>
    </w:pPr>
  </w:style>
  <w:style w:type="paragraph" w:styleId="11">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table" w:styleId="13">
    <w:name w:val="Table Grid"/>
    <w:basedOn w:val="1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列出段落1"/>
    <w:basedOn w:val="1"/>
    <w:qFormat/>
    <w:uiPriority w:val="0"/>
    <w:pPr>
      <w:ind w:firstLine="420" w:firstLineChars="200"/>
      <w:contextualSpacing/>
    </w:pPr>
    <w:rPr>
      <w:rFonts w:eastAsia="仿宋"/>
      <w:szCs w:val="22"/>
    </w:rPr>
  </w:style>
  <w:style w:type="paragraph" w:customStyle="1" w:styleId="16">
    <w:name w:val="List Paragraph1"/>
    <w:basedOn w:val="1"/>
    <w:qFormat/>
    <w:uiPriority w:val="99"/>
    <w:pPr>
      <w:ind w:firstLine="420" w:firstLineChars="200"/>
    </w:pPr>
  </w:style>
  <w:style w:type="paragraph" w:styleId="17">
    <w:name w:val="List Paragraph"/>
    <w:basedOn w:val="1"/>
    <w:qFormat/>
    <w:uiPriority w:val="99"/>
    <w:pPr>
      <w:ind w:firstLine="420" w:firstLineChars="200"/>
    </w:pPr>
    <w:rPr>
      <w:rFonts w:ascii="Calibri" w:hAnsi="Calibri"/>
      <w:szCs w:val="22"/>
    </w:rPr>
  </w:style>
  <w:style w:type="paragraph" w:customStyle="1" w:styleId="18">
    <w:name w:val="my正文"/>
    <w:basedOn w:val="1"/>
    <w:qFormat/>
    <w:uiPriority w:val="0"/>
    <w:pPr>
      <w:spacing w:line="360" w:lineRule="auto"/>
      <w:ind w:firstLine="480" w:firstLineChars="200"/>
    </w:pPr>
    <w:rPr>
      <w:sz w:val="24"/>
    </w:rPr>
  </w:style>
  <w:style w:type="character" w:customStyle="1" w:styleId="19">
    <w:name w:val="font01"/>
    <w:basedOn w:val="14"/>
    <w:qFormat/>
    <w:uiPriority w:val="0"/>
    <w:rPr>
      <w:rFonts w:ascii="微软雅黑" w:hAnsi="微软雅黑" w:eastAsia="微软雅黑" w:cs="微软雅黑"/>
      <w:color w:val="000000"/>
      <w:sz w:val="24"/>
      <w:szCs w:val="24"/>
      <w:u w:val="none"/>
    </w:rPr>
  </w:style>
  <w:style w:type="character" w:customStyle="1" w:styleId="20">
    <w:name w:val="font31"/>
    <w:basedOn w:val="14"/>
    <w:qFormat/>
    <w:uiPriority w:val="0"/>
    <w:rPr>
      <w:rFonts w:hint="eastAsia" w:ascii="宋体" w:hAnsi="宋体" w:eastAsia="宋体" w:cs="宋体"/>
      <w:color w:val="000000"/>
      <w:sz w:val="24"/>
      <w:szCs w:val="24"/>
      <w:u w:val="none"/>
    </w:rPr>
  </w:style>
  <w:style w:type="character" w:customStyle="1" w:styleId="21">
    <w:name w:val="font11"/>
    <w:basedOn w:val="14"/>
    <w:qFormat/>
    <w:uiPriority w:val="0"/>
    <w:rPr>
      <w:rFonts w:ascii="微软雅黑" w:hAnsi="微软雅黑" w:eastAsia="微软雅黑" w:cs="微软雅黑"/>
      <w:color w:val="000000"/>
      <w:sz w:val="24"/>
      <w:szCs w:val="24"/>
      <w:u w:val="none"/>
    </w:rPr>
  </w:style>
  <w:style w:type="character" w:customStyle="1" w:styleId="22">
    <w:name w:val="font21"/>
    <w:basedOn w:val="14"/>
    <w:qFormat/>
    <w:uiPriority w:val="0"/>
    <w:rPr>
      <w:rFonts w:hint="eastAsia" w:ascii="宋体" w:hAnsi="宋体" w:eastAsia="宋体" w:cs="宋体"/>
      <w:color w:val="000000"/>
      <w:sz w:val="24"/>
      <w:szCs w:val="24"/>
      <w:u w:val="none"/>
    </w:rPr>
  </w:style>
  <w:style w:type="paragraph" w:customStyle="1" w:styleId="23">
    <w:name w:val="newstyle16"/>
    <w:basedOn w:val="1"/>
    <w:qFormat/>
    <w:uiPriority w:val="0"/>
    <w:pPr>
      <w:widowControl/>
      <w:jc w:val="left"/>
    </w:pPr>
    <w:rPr>
      <w:rFonts w:ascii="宋体" w:hAnsi="宋体" w:cs="宋体"/>
      <w:kern w:val="0"/>
      <w:sz w:val="24"/>
    </w:rPr>
  </w:style>
  <w:style w:type="character" w:customStyle="1" w:styleId="24">
    <w:name w:val="标题 1 字符"/>
    <w:qFormat/>
    <w:uiPriority w:val="0"/>
    <w:rPr>
      <w:rFonts w:ascii="宋体" w:hAnsi="宋体" w:eastAsia="黑体"/>
      <w:b/>
      <w:bCs/>
      <w:iCs/>
      <w:kern w:val="44"/>
      <w:sz w:val="36"/>
    </w:rPr>
  </w:style>
  <w:style w:type="paragraph" w:customStyle="1" w:styleId="25">
    <w:name w:val="GW-正文"/>
    <w:basedOn w:val="1"/>
    <w:qFormat/>
    <w:uiPriority w:val="0"/>
    <w:pPr>
      <w:spacing w:line="360" w:lineRule="auto"/>
      <w:ind w:firstLine="200" w:firstLineChars="200"/>
      <w:contextualSpacing/>
    </w:pPr>
    <w:rPr>
      <w:rFonts w:ascii="Times New Roman" w:hAnsi="Times New Roman" w:eastAsia="仿宋" w:cs="Times New Roman"/>
      <w:sz w:val="28"/>
      <w:szCs w:val="24"/>
      <w:lang w:val="zh-CN" w:eastAsia="zh-CN"/>
    </w:rPr>
  </w:style>
  <w:style w:type="paragraph" w:customStyle="1" w:styleId="26">
    <w:name w:val="*正文"/>
    <w:basedOn w:val="1"/>
    <w:qFormat/>
    <w:uiPriority w:val="0"/>
    <w:pPr>
      <w:spacing w:line="360" w:lineRule="auto"/>
      <w:ind w:firstLine="560" w:firstLineChars="200"/>
      <w:jc w:val="left"/>
    </w:pPr>
    <w:rPr>
      <w:rFonts w:ascii="仿宋_GB2312" w:hAnsi="宋体" w:eastAsia="仿宋" w:cs="宋体"/>
      <w:color w:val="000000"/>
      <w:kern w:val="0"/>
      <w:sz w:val="28"/>
      <w:szCs w:val="28"/>
    </w:rPr>
  </w:style>
  <w:style w:type="paragraph" w:customStyle="1" w:styleId="27">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8">
    <w:name w:val="注："/>
    <w:next w:val="29"/>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2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2020-07-15T07:06:00Z</dcterms:created>
  <dc:creator>Administrator</dc:creator>
  <cp:lastModifiedBy>Administrator</cp:lastModifiedBy>
  <dcterms:modified xsi:type="dcterms:W3CDTF">2020-07-16T01:49:16Z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