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jc w:val="center"/>
        <w:rPr>
          <w:rFonts w:hint="eastAsia"/>
          <w:color w:val="auto"/>
        </w:rPr>
      </w:pPr>
      <w:bookmarkStart w:id="0" w:name="_Toc31666"/>
      <w:r>
        <w:rPr>
          <w:rFonts w:hint="eastAsia"/>
          <w:color w:val="auto"/>
        </w:rPr>
        <w:t>采购需求</w:t>
      </w:r>
      <w:bookmarkEnd w:id="0"/>
    </w:p>
    <w:p>
      <w:pPr>
        <w:pStyle w:val="10"/>
        <w:numPr>
          <w:ilvl w:val="0"/>
          <w:numId w:val="0"/>
        </w:numPr>
        <w:tabs>
          <w:tab w:val="clear" w:pos="567"/>
        </w:tabs>
        <w:spacing w:before="312" w:after="156"/>
        <w:jc w:val="both"/>
        <w:rPr>
          <w:rFonts w:hint="eastAsia" w:ascii="宋体" w:hAnsi="宋体" w:eastAsia="宋体" w:cs="宋体"/>
          <w:color w:val="auto"/>
          <w:sz w:val="24"/>
          <w:szCs w:val="24"/>
        </w:rPr>
      </w:pPr>
      <w:bookmarkStart w:id="1" w:name="_Toc43717397"/>
      <w:bookmarkStart w:id="2" w:name="_Toc19465"/>
      <w:r>
        <w:rPr>
          <w:rFonts w:hint="eastAsia" w:ascii="宋体" w:hAnsi="宋体" w:eastAsia="宋体" w:cs="宋体"/>
          <w:color w:val="auto"/>
          <w:sz w:val="24"/>
          <w:szCs w:val="24"/>
        </w:rPr>
        <w:t>一、项目背景</w:t>
      </w:r>
      <w:bookmarkEnd w:id="1"/>
      <w:bookmarkEnd w:id="2"/>
      <w:bookmarkStart w:id="16" w:name="_GoBack"/>
      <w:bookmarkEnd w:id="16"/>
    </w:p>
    <w:p>
      <w:pPr>
        <w:pStyle w:val="15"/>
        <w:ind w:firstLine="480"/>
        <w:rPr>
          <w:rFonts w:hint="eastAsia" w:ascii="宋体" w:hAnsi="宋体" w:cs="宋体"/>
          <w:color w:val="auto"/>
          <w:sz w:val="24"/>
          <w:szCs w:val="24"/>
        </w:rPr>
      </w:pPr>
      <w:r>
        <w:rPr>
          <w:rFonts w:hint="eastAsia" w:ascii="宋体" w:hAnsi="宋体" w:cs="宋体"/>
          <w:color w:val="auto"/>
          <w:sz w:val="24"/>
          <w:szCs w:val="24"/>
        </w:rPr>
        <w:t>为全面贯彻党的十八大和十八届三中、四中、五中、六中全会及中央城镇化工作会议、中央城市工作会议精神，深入贯彻习近平总书记系列重要讲话精神，按照“五位一体”总体布局和“四个全面”战略布局，牢固树立和贯彻落实创新、协调、绿色、开放、共享的发展理念，认识、尊重、顺应城市发展规律，更好发挥法治的引领和规范作用，依法规划、建设和管理城市，以节约资源、保护环境为目的，建设和完善了包括生活垃圾、餐厨、粪便、建筑垃圾、渗滤液等多种垃圾处置终端。</w:t>
      </w:r>
    </w:p>
    <w:p>
      <w:pPr>
        <w:pStyle w:val="15"/>
        <w:ind w:firstLine="480"/>
        <w:rPr>
          <w:rFonts w:hint="eastAsia" w:ascii="宋体" w:hAnsi="宋体" w:cs="宋体"/>
          <w:color w:val="auto"/>
          <w:sz w:val="24"/>
          <w:szCs w:val="24"/>
        </w:rPr>
      </w:pPr>
      <w:r>
        <w:rPr>
          <w:rFonts w:hint="eastAsia" w:ascii="宋体" w:hAnsi="宋体" w:cs="宋体"/>
          <w:color w:val="auto"/>
          <w:sz w:val="24"/>
          <w:szCs w:val="24"/>
        </w:rPr>
        <w:t>2020年海口市各大垃圾处置终端即将全部投入运营，国家相关法律法规明确要求运营企业应与当地主管部门联网，并保证数据传输稳定可靠，以便及时准确地了解垃圾处理中的垃圾进场量、实时工况、环保控制指标等情况；另外生活垃圾焚烧发电厂、餐厨和粪便厂、渗滤液处理站等垃圾处置终端企业都是连续生产，对运行过程的处理数量、处理质量、环境保护、安全生产、工况数据等方面的监督管理工作量多、面广、专业性强。</w:t>
      </w:r>
    </w:p>
    <w:p>
      <w:pPr>
        <w:pStyle w:val="15"/>
        <w:ind w:firstLine="480"/>
        <w:rPr>
          <w:rFonts w:hint="eastAsia" w:ascii="宋体" w:hAnsi="宋体" w:cs="宋体"/>
          <w:color w:val="auto"/>
          <w:sz w:val="24"/>
          <w:szCs w:val="24"/>
        </w:rPr>
      </w:pPr>
      <w:r>
        <w:rPr>
          <w:rFonts w:hint="eastAsia" w:ascii="宋体" w:hAnsi="宋体" w:cs="宋体"/>
          <w:color w:val="auto"/>
          <w:sz w:val="24"/>
          <w:szCs w:val="24"/>
        </w:rPr>
        <w:t>为实现对海口垃圾处置终端全体系、全过程的可持续性实时监管，利用大数据等信息技术、各类数据的融合、引入第三方监管的理念建设数字化园区式管理。利用智能信息平台+人工驻场等监管方式推动各处置终端管理、监控、服务的提档升级，促进垃圾处理减量化、资源化、无害化，提升海口各处置终端企业运行水平。</w:t>
      </w:r>
    </w:p>
    <w:p>
      <w:pPr>
        <w:pStyle w:val="10"/>
        <w:numPr>
          <w:ilvl w:val="0"/>
          <w:numId w:val="0"/>
        </w:numPr>
        <w:spacing w:before="312" w:after="156"/>
        <w:rPr>
          <w:rFonts w:hint="eastAsia" w:ascii="宋体" w:hAnsi="宋体" w:eastAsia="宋体" w:cs="宋体"/>
          <w:color w:val="auto"/>
          <w:sz w:val="24"/>
          <w:szCs w:val="24"/>
        </w:rPr>
      </w:pPr>
      <w:bookmarkStart w:id="3" w:name="_Toc43717398"/>
      <w:bookmarkStart w:id="4" w:name="_Toc8609"/>
      <w:r>
        <w:rPr>
          <w:rFonts w:hint="eastAsia" w:ascii="宋体" w:hAnsi="宋体" w:eastAsia="宋体" w:cs="宋体"/>
          <w:color w:val="auto"/>
          <w:sz w:val="24"/>
          <w:szCs w:val="24"/>
        </w:rPr>
        <w:t>二、监管设施介绍</w:t>
      </w:r>
      <w:bookmarkEnd w:id="3"/>
      <w:bookmarkEnd w:id="4"/>
    </w:p>
    <w:p>
      <w:pPr>
        <w:pStyle w:val="16"/>
        <w:numPr>
          <w:ilvl w:val="0"/>
          <w:numId w:val="0"/>
        </w:numPr>
        <w:rPr>
          <w:rFonts w:hint="eastAsia" w:ascii="宋体" w:hAnsi="宋体" w:eastAsia="宋体" w:cs="宋体"/>
          <w:color w:val="auto"/>
          <w:sz w:val="24"/>
        </w:rPr>
      </w:pPr>
      <w:r>
        <w:rPr>
          <w:rFonts w:hint="eastAsia" w:ascii="宋体" w:hAnsi="宋体" w:eastAsia="宋体" w:cs="宋体"/>
          <w:color w:val="auto"/>
          <w:sz w:val="24"/>
        </w:rPr>
        <w:t>2.1颜春岭生活垃圾填埋场</w:t>
      </w:r>
    </w:p>
    <w:p>
      <w:pPr>
        <w:pStyle w:val="15"/>
        <w:ind w:firstLine="480"/>
        <w:rPr>
          <w:rFonts w:hint="eastAsia" w:ascii="宋体" w:hAnsi="宋体" w:cs="宋体"/>
          <w:b/>
          <w:color w:val="auto"/>
          <w:sz w:val="24"/>
          <w:szCs w:val="24"/>
        </w:rPr>
      </w:pPr>
      <w:r>
        <w:rPr>
          <w:rFonts w:hint="eastAsia" w:ascii="宋体" w:hAnsi="宋体" w:cs="宋体"/>
          <w:color w:val="auto"/>
          <w:sz w:val="24"/>
          <w:szCs w:val="24"/>
        </w:rPr>
        <w:t>位于澄迈县老城经济开发区颜春岭，距海口市区约33公里。1998年4月开工建设，2001年4月建成投入使用。颜春岭垃圾填埋场由建设部城市建设研究院按照填埋场设计规范进行设计，填埋区总占地面积21.3公顷，设计总库容303.74万立方米，设计处理能力1000吨/日，设计使用年限为11年，总投资1.37亿元。其工程内容包括填埋区工程、污水处理工程和辅助工程，其中填埋区工程包含了防渗工程、雨水导排工程、渗滤液收集导排工程、填埋气体收集导排系统、污水调节池、填埋区垃圾坝和填埋区围堤等。</w:t>
      </w:r>
    </w:p>
    <w:p>
      <w:pPr>
        <w:pStyle w:val="15"/>
        <w:ind w:firstLine="480"/>
        <w:rPr>
          <w:rFonts w:hint="eastAsia" w:ascii="宋体" w:hAnsi="宋体" w:cs="宋体"/>
          <w:color w:val="auto"/>
          <w:sz w:val="24"/>
          <w:szCs w:val="24"/>
        </w:rPr>
      </w:pPr>
      <w:r>
        <w:rPr>
          <w:rFonts w:hint="eastAsia" w:ascii="宋体" w:hAnsi="宋体" w:cs="宋体"/>
          <w:color w:val="auto"/>
          <w:sz w:val="24"/>
          <w:szCs w:val="24"/>
        </w:rPr>
        <w:t>颜春岭垃圾填埋场建成后由海口市垃圾处理场负责日常运营管理，该场使用至今已18年，填埋总量已达650万吨，处于超设计规模运行状态。</w:t>
      </w:r>
    </w:p>
    <w:p>
      <w:pPr>
        <w:pStyle w:val="16"/>
        <w:numPr>
          <w:ilvl w:val="0"/>
          <w:numId w:val="0"/>
        </w:numPr>
        <w:rPr>
          <w:rFonts w:hint="eastAsia" w:ascii="宋体" w:hAnsi="宋体" w:eastAsia="宋体" w:cs="宋体"/>
          <w:color w:val="auto"/>
          <w:sz w:val="24"/>
        </w:rPr>
      </w:pPr>
      <w:r>
        <w:rPr>
          <w:rFonts w:hint="eastAsia" w:ascii="宋体" w:hAnsi="宋体" w:eastAsia="宋体" w:cs="宋体"/>
          <w:color w:val="auto"/>
          <w:sz w:val="24"/>
        </w:rPr>
        <w:t>2.2海口生活垃圾焚烧发电厂</w:t>
      </w:r>
    </w:p>
    <w:p>
      <w:pPr>
        <w:pStyle w:val="15"/>
        <w:ind w:firstLine="482"/>
        <w:rPr>
          <w:rFonts w:hint="eastAsia" w:ascii="宋体" w:hAnsi="宋体" w:cs="宋体"/>
          <w:color w:val="auto"/>
          <w:sz w:val="24"/>
          <w:szCs w:val="24"/>
        </w:rPr>
      </w:pPr>
      <w:r>
        <w:rPr>
          <w:rFonts w:hint="eastAsia" w:ascii="宋体" w:hAnsi="宋体" w:cs="宋体"/>
          <w:b/>
          <w:color w:val="auto"/>
          <w:sz w:val="24"/>
          <w:szCs w:val="24"/>
        </w:rPr>
        <w:t>2.2.1、垃圾焚烧发电厂一期。</w:t>
      </w:r>
      <w:r>
        <w:rPr>
          <w:rFonts w:hint="eastAsia" w:ascii="宋体" w:hAnsi="宋体" w:cs="宋体"/>
          <w:color w:val="auto"/>
          <w:sz w:val="24"/>
          <w:szCs w:val="24"/>
        </w:rPr>
        <w:t>位于颜春岭生活垃圾填埋场西侧， 2010年1月开工建设，#1、#2机组分别于2011年5月28日和6月30日投入运行。一期占地约90亩，总投资人民币4.66亿元。采用机械焚烧炉排炉生产工艺，设计处理能力1200吨/日，配套2台12兆瓦凝汽式汽轮发电机组、2台54吨/时的中温中压余热锅炉、2套烟气净经处理装置。主要建设内容包括主厂房、烟囱、上料坡道、综合水泵房、地泵房、综合办公楼等。</w:t>
      </w:r>
    </w:p>
    <w:p>
      <w:pPr>
        <w:pStyle w:val="15"/>
        <w:ind w:firstLine="480"/>
        <w:rPr>
          <w:rFonts w:hint="eastAsia" w:ascii="宋体" w:hAnsi="宋体" w:cs="宋体"/>
          <w:color w:val="auto"/>
          <w:sz w:val="24"/>
          <w:szCs w:val="24"/>
        </w:rPr>
      </w:pPr>
      <w:r>
        <w:rPr>
          <w:rFonts w:hint="eastAsia" w:ascii="宋体" w:hAnsi="宋体" w:cs="宋体"/>
          <w:color w:val="auto"/>
          <w:sz w:val="24"/>
          <w:szCs w:val="24"/>
        </w:rPr>
        <w:t>根据《海口市城市生活垃圾焚烧发电项目特许经营协议》，该项目由海口中电新能源环保电力有限公司负责运营，特许经营期27年（含建设期），自2009年9月24日起生效。</w:t>
      </w:r>
    </w:p>
    <w:p>
      <w:pPr>
        <w:pStyle w:val="15"/>
        <w:ind w:firstLine="482"/>
        <w:rPr>
          <w:rFonts w:hint="eastAsia" w:ascii="宋体" w:hAnsi="宋体" w:cs="宋体"/>
          <w:color w:val="auto"/>
          <w:sz w:val="24"/>
          <w:szCs w:val="24"/>
        </w:rPr>
      </w:pPr>
      <w:r>
        <w:rPr>
          <w:rFonts w:hint="eastAsia" w:ascii="宋体" w:hAnsi="宋体" w:cs="宋体"/>
          <w:b/>
          <w:color w:val="auto"/>
          <w:sz w:val="24"/>
          <w:szCs w:val="24"/>
        </w:rPr>
        <w:t>2.2.2、垃圾焚烧发电厂二期工程。</w:t>
      </w:r>
      <w:r>
        <w:rPr>
          <w:rFonts w:hint="eastAsia" w:ascii="宋体" w:hAnsi="宋体" w:cs="宋体"/>
          <w:color w:val="auto"/>
          <w:sz w:val="24"/>
          <w:szCs w:val="24"/>
        </w:rPr>
        <w:t>位于垃圾焚烧发电厂一期南侧，于2014年12月开工建设，#3、#4机组分别于2016年3月30日和4月9日投入运营。二期占地面积约76亩，总投资5.3亿元，采用机械焚烧炉排炉生产工艺，设计日处理生活垃圾1200吨，配套2台12兆瓦凝汽式汽轮发电机组、2台59.1吨/时的中温中压余热锅炉、2套烟气净经处理装置。主要建设内容包括垃圾接受及贮存设施、垃圾焚烧系统、余热锅炉系统、烟气净化系统、汽轮发电系统、灰渣处理系统、给排水系统及相关电力、电气、生产生活配套设施等。在环保设计方面采用“半干法＋干法＋活性炭吸附＋SNCR”组合工艺。</w:t>
      </w:r>
    </w:p>
    <w:p>
      <w:pPr>
        <w:pStyle w:val="15"/>
        <w:ind w:firstLine="480"/>
        <w:rPr>
          <w:rFonts w:hint="eastAsia" w:ascii="宋体" w:hAnsi="宋体" w:cs="宋体"/>
          <w:color w:val="auto"/>
          <w:sz w:val="24"/>
          <w:szCs w:val="24"/>
        </w:rPr>
      </w:pPr>
      <w:r>
        <w:rPr>
          <w:rFonts w:hint="eastAsia" w:ascii="宋体" w:hAnsi="宋体" w:cs="宋体"/>
          <w:color w:val="auto"/>
          <w:sz w:val="24"/>
          <w:szCs w:val="24"/>
        </w:rPr>
        <w:t>根据《海口市生活垃圾焚烧发电厂二期扩建工程特许经营协议》，该项目由中电国际新能源海南有限公司负责运营，特许经营期27年（含建设期），自2014年6月10日起生效。</w:t>
      </w:r>
    </w:p>
    <w:p>
      <w:pPr>
        <w:pStyle w:val="15"/>
        <w:ind w:firstLine="482"/>
        <w:rPr>
          <w:rFonts w:hint="eastAsia" w:ascii="宋体" w:hAnsi="宋体" w:cs="宋体"/>
          <w:color w:val="auto"/>
          <w:sz w:val="24"/>
          <w:szCs w:val="24"/>
        </w:rPr>
      </w:pPr>
      <w:r>
        <w:rPr>
          <w:rFonts w:hint="eastAsia" w:ascii="宋体" w:hAnsi="宋体" w:cs="宋体"/>
          <w:b/>
          <w:color w:val="auto"/>
          <w:sz w:val="24"/>
          <w:szCs w:val="24"/>
        </w:rPr>
        <w:t>2.2.3、垃圾焚烧发电厂三期工程。</w:t>
      </w:r>
      <w:r>
        <w:rPr>
          <w:rFonts w:hint="eastAsia" w:ascii="宋体" w:hAnsi="宋体" w:cs="宋体"/>
          <w:color w:val="auto"/>
          <w:sz w:val="24"/>
          <w:szCs w:val="24"/>
        </w:rPr>
        <w:t>位于垃圾焚烧发电厂二期南侧，正在施工建设，计划2020年底点火投产。垃圾焚烧发电厂三期项目占地约103亩，估算总投资7.73亿元，设计处理能力1800吨/日，建成后垃圾焚烧处理能力将达到4200吨/日。</w:t>
      </w:r>
    </w:p>
    <w:p>
      <w:pPr>
        <w:pStyle w:val="16"/>
        <w:numPr>
          <w:ilvl w:val="0"/>
          <w:numId w:val="0"/>
        </w:numPr>
        <w:rPr>
          <w:rFonts w:hint="eastAsia" w:ascii="宋体" w:hAnsi="宋体" w:eastAsia="宋体" w:cs="宋体"/>
          <w:color w:val="auto"/>
          <w:sz w:val="24"/>
        </w:rPr>
      </w:pPr>
      <w:r>
        <w:rPr>
          <w:rFonts w:hint="eastAsia" w:ascii="宋体" w:hAnsi="宋体" w:eastAsia="宋体" w:cs="宋体"/>
          <w:color w:val="auto"/>
          <w:sz w:val="24"/>
        </w:rPr>
        <w:t>2.3颜春岭垃圾渗滤液处理厂</w:t>
      </w:r>
    </w:p>
    <w:p>
      <w:pPr>
        <w:pStyle w:val="15"/>
        <w:ind w:firstLine="482"/>
        <w:rPr>
          <w:rFonts w:hint="eastAsia" w:ascii="宋体" w:hAnsi="宋体" w:cs="宋体"/>
          <w:color w:val="auto"/>
          <w:sz w:val="24"/>
          <w:szCs w:val="24"/>
        </w:rPr>
      </w:pPr>
      <w:r>
        <w:rPr>
          <w:rFonts w:hint="eastAsia" w:ascii="宋体" w:hAnsi="宋体" w:cs="宋体"/>
          <w:b/>
          <w:color w:val="auto"/>
          <w:sz w:val="24"/>
          <w:szCs w:val="24"/>
        </w:rPr>
        <w:t>2.3.1、垃圾渗滤液处理厂一期。</w:t>
      </w:r>
      <w:r>
        <w:rPr>
          <w:rFonts w:hint="eastAsia" w:ascii="宋体" w:hAnsi="宋体" w:cs="宋体"/>
          <w:color w:val="auto"/>
          <w:sz w:val="24"/>
          <w:szCs w:val="24"/>
        </w:rPr>
        <w:t>位于澄迈县老城经济开发区颜春岭，</w:t>
      </w:r>
      <w:r>
        <w:rPr>
          <w:rFonts w:hint="eastAsia" w:ascii="宋体" w:hAnsi="宋体" w:cs="宋体"/>
          <w:bCs/>
          <w:color w:val="auto"/>
          <w:sz w:val="24"/>
          <w:szCs w:val="24"/>
        </w:rPr>
        <w:t>2002年12月，垃圾渗滤液处理厂建成投入使用，设计处理能力300吨/日，处理出水达到《国家生活垃圾填埋污染控制标准》（GB16889-1997）中二级排放标准。</w:t>
      </w:r>
      <w:r>
        <w:rPr>
          <w:rFonts w:hint="eastAsia" w:ascii="宋体" w:hAnsi="宋体" w:cs="宋体"/>
          <w:color w:val="auto"/>
          <w:sz w:val="24"/>
          <w:szCs w:val="24"/>
        </w:rPr>
        <w:t>为提升渗滤液处理技术工艺，2006年11月，渗滤液处理厂进行工艺提标改造，采取“生化+物化+膜处理”工艺，处理规模300吨/日。2014年6月，渗滤液处理厂再次进行提标扩容改造，</w:t>
      </w:r>
      <w:r>
        <w:rPr>
          <w:rFonts w:hint="eastAsia" w:ascii="宋体" w:hAnsi="宋体" w:cs="宋体"/>
          <w:bCs/>
          <w:color w:val="auto"/>
          <w:sz w:val="24"/>
          <w:szCs w:val="24"/>
        </w:rPr>
        <w:t>由海</w:t>
      </w:r>
      <w:r>
        <w:rPr>
          <w:rFonts w:hint="eastAsia" w:ascii="宋体" w:hAnsi="宋体" w:cs="宋体"/>
          <w:color w:val="auto"/>
          <w:sz w:val="24"/>
          <w:szCs w:val="24"/>
        </w:rPr>
        <w:t>口神维环境服务有限公司中标，采用预处理+生化处理+膜深度分离处理组合工艺，按新增渗滤液处理能力200吨/日的规模进行改扩建，使改扩建后的渗滤液处理规模为500吨/日，出水水质执行《生活垃圾卫生填埋场污染控制标准》（GB16889-2008）的国家最新排放标准。该项目于2014年6月动工建设，2015年9月开始试运行。2018年7月澄迈县生态环境保护局批复同意项目噪声和固体废弃物污染防治设施通过验收。</w:t>
      </w:r>
    </w:p>
    <w:p>
      <w:pPr>
        <w:pStyle w:val="15"/>
        <w:ind w:firstLine="482"/>
        <w:rPr>
          <w:rFonts w:hint="eastAsia" w:ascii="宋体" w:hAnsi="宋体" w:cs="宋体"/>
          <w:color w:val="auto"/>
          <w:sz w:val="24"/>
          <w:szCs w:val="24"/>
        </w:rPr>
      </w:pPr>
      <w:r>
        <w:rPr>
          <w:rFonts w:hint="eastAsia" w:ascii="宋体" w:hAnsi="宋体" w:cs="宋体"/>
          <w:b/>
          <w:color w:val="auto"/>
          <w:sz w:val="24"/>
          <w:szCs w:val="24"/>
        </w:rPr>
        <w:t>2.3.2、垃圾渗滤液处理厂二期。</w:t>
      </w:r>
      <w:r>
        <w:rPr>
          <w:rFonts w:hint="eastAsia" w:ascii="宋体" w:hAnsi="宋体" w:cs="宋体"/>
          <w:color w:val="auto"/>
          <w:sz w:val="24"/>
          <w:szCs w:val="24"/>
        </w:rPr>
        <w:t>位于</w:t>
      </w:r>
      <w:r>
        <w:rPr>
          <w:rFonts w:hint="eastAsia" w:ascii="宋体" w:hAnsi="宋体" w:cs="宋体"/>
          <w:bCs/>
          <w:color w:val="auto"/>
          <w:sz w:val="24"/>
          <w:szCs w:val="24"/>
        </w:rPr>
        <w:t>渗滤液处理厂一期东侧，</w:t>
      </w:r>
      <w:r>
        <w:rPr>
          <w:rFonts w:hint="eastAsia" w:ascii="宋体" w:hAnsi="宋体" w:cs="宋体"/>
          <w:color w:val="auto"/>
          <w:sz w:val="24"/>
          <w:szCs w:val="24"/>
        </w:rPr>
        <w:t>2015年10月海口市发展和改革委员会批复立项，建设规模为800立方米/日，2016年2月澄迈县生态环境保护局批复项目环评。该项目于2017年8月竣工投产，并通过环保竣工验收。至此，颜春岭垃圾渗滤液处理厂的处理能力达1300立方米/日。</w:t>
      </w:r>
    </w:p>
    <w:p>
      <w:pPr>
        <w:pStyle w:val="15"/>
        <w:ind w:firstLine="480"/>
        <w:rPr>
          <w:rFonts w:hint="eastAsia" w:ascii="宋体" w:hAnsi="宋体" w:cs="宋体"/>
          <w:color w:val="auto"/>
          <w:sz w:val="24"/>
          <w:szCs w:val="24"/>
        </w:rPr>
      </w:pPr>
      <w:r>
        <w:rPr>
          <w:rFonts w:hint="eastAsia" w:ascii="宋体" w:hAnsi="宋体" w:cs="宋体"/>
          <w:color w:val="auto"/>
          <w:sz w:val="24"/>
          <w:szCs w:val="24"/>
        </w:rPr>
        <w:t>根据《海口市颜春岭垃圾渗滤液处理站PPP项目协议》，垃圾渗滤液处理厂由海口神维环境服务有限公司负责运营，经营期21年（含建设期），自2016年11月17日起生效。</w:t>
      </w:r>
    </w:p>
    <w:p>
      <w:pPr>
        <w:pStyle w:val="15"/>
        <w:ind w:firstLine="482"/>
        <w:rPr>
          <w:rFonts w:hint="eastAsia" w:ascii="宋体" w:hAnsi="宋体" w:cs="宋体"/>
          <w:color w:val="auto"/>
          <w:sz w:val="24"/>
          <w:szCs w:val="24"/>
        </w:rPr>
      </w:pPr>
      <w:r>
        <w:rPr>
          <w:rFonts w:hint="eastAsia" w:ascii="宋体" w:hAnsi="宋体" w:cs="宋体"/>
          <w:b/>
          <w:color w:val="auto"/>
          <w:sz w:val="24"/>
          <w:szCs w:val="24"/>
        </w:rPr>
        <w:t>2.3.3、</w:t>
      </w:r>
      <w:r>
        <w:rPr>
          <w:rFonts w:hint="eastAsia" w:ascii="宋体" w:hAnsi="宋体" w:cs="宋体"/>
          <w:b/>
          <w:bCs/>
          <w:color w:val="auto"/>
          <w:sz w:val="24"/>
          <w:szCs w:val="24"/>
        </w:rPr>
        <w:t>渗滤液处理厂二期扩容工程。</w:t>
      </w:r>
      <w:r>
        <w:rPr>
          <w:rFonts w:hint="eastAsia" w:ascii="宋体" w:hAnsi="宋体" w:cs="宋体"/>
          <w:color w:val="auto"/>
          <w:sz w:val="24"/>
          <w:szCs w:val="24"/>
        </w:rPr>
        <w:t>位于</w:t>
      </w:r>
      <w:r>
        <w:rPr>
          <w:rFonts w:hint="eastAsia" w:ascii="宋体" w:hAnsi="宋体" w:cs="宋体"/>
          <w:bCs/>
          <w:color w:val="auto"/>
          <w:sz w:val="24"/>
          <w:szCs w:val="24"/>
        </w:rPr>
        <w:t>渗滤液处理厂二期北侧</w:t>
      </w:r>
      <w:r>
        <w:rPr>
          <w:rFonts w:hint="eastAsia" w:ascii="宋体" w:hAnsi="宋体" w:cs="宋体"/>
          <w:color w:val="auto"/>
          <w:sz w:val="24"/>
          <w:szCs w:val="24"/>
        </w:rPr>
        <w:t>，主要接收处理垃圾焚烧发电厂三期产生的渗滤液及餐厨垃圾、粪便处理扩建项目产生的沼液，处理规模1200立方/日。建设生化反应池、综合处理车间、组合水池、综合管理楼，设置安装渗滤液处理系统相对应的各种设备、设施等，用地面积14亩，总投资约1.8亿元。该项目于2019年4月开工建设，2020年5月开始试运行。</w:t>
      </w:r>
    </w:p>
    <w:p>
      <w:pPr>
        <w:pStyle w:val="15"/>
        <w:ind w:firstLine="0" w:firstLineChars="0"/>
        <w:rPr>
          <w:rFonts w:hint="eastAsia" w:ascii="宋体" w:hAnsi="宋体" w:cs="宋体"/>
          <w:b/>
          <w:bCs/>
          <w:color w:val="auto"/>
          <w:sz w:val="24"/>
          <w:szCs w:val="24"/>
        </w:rPr>
      </w:pPr>
      <w:r>
        <w:rPr>
          <w:rFonts w:hint="eastAsia" w:ascii="宋体" w:hAnsi="宋体" w:cs="宋体"/>
          <w:b/>
          <w:bCs/>
          <w:color w:val="auto"/>
          <w:sz w:val="24"/>
          <w:szCs w:val="24"/>
        </w:rPr>
        <w:t>2.4颜春岭餐厨废弃物和粪渣无害化处理厂</w:t>
      </w:r>
    </w:p>
    <w:p>
      <w:pPr>
        <w:pStyle w:val="15"/>
        <w:ind w:firstLine="480"/>
        <w:rPr>
          <w:rFonts w:hint="eastAsia" w:ascii="宋体" w:hAnsi="宋体" w:cs="宋体"/>
          <w:color w:val="auto"/>
          <w:sz w:val="24"/>
          <w:szCs w:val="24"/>
        </w:rPr>
      </w:pPr>
      <w:r>
        <w:rPr>
          <w:rFonts w:hint="eastAsia" w:ascii="宋体" w:hAnsi="宋体" w:cs="宋体"/>
          <w:color w:val="auto"/>
          <w:sz w:val="24"/>
          <w:szCs w:val="24"/>
        </w:rPr>
        <w:t>位于澄迈县老城开发区颜春岭，餐厨废弃物设计处理能力为200吨/日，市政粪渣设计处理能力100吨/日。配套有12000立方厌氧发酵罐，沼液离心脱水系统，沼气生物脱硫系统和沼气提纯系统。该厂2016年5月开工建设，2016年11月项目建成投入试运行， 2017年2月装置通过了初步验收，之后进入正常生产运行。根据《海口市餐厨垃圾和粪渣无害化处理PPP服务项目特许经营协议》，餐厨废弃物和粪渣无害化处理厂由海南澄迈神州车用沼气有限公司负责运营管理，项目特许期15年。</w:t>
      </w:r>
    </w:p>
    <w:p>
      <w:pPr>
        <w:pStyle w:val="16"/>
        <w:numPr>
          <w:ilvl w:val="0"/>
          <w:numId w:val="0"/>
        </w:numPr>
        <w:rPr>
          <w:rFonts w:hint="eastAsia" w:ascii="宋体" w:hAnsi="宋体" w:eastAsia="宋体" w:cs="宋体"/>
          <w:color w:val="auto"/>
          <w:sz w:val="24"/>
        </w:rPr>
      </w:pPr>
      <w:r>
        <w:rPr>
          <w:rFonts w:hint="eastAsia" w:ascii="宋体" w:hAnsi="宋体" w:eastAsia="宋体" w:cs="宋体"/>
          <w:color w:val="auto"/>
          <w:sz w:val="24"/>
        </w:rPr>
        <w:t>2.5西秀建筑垃圾资源化利用厂</w:t>
      </w:r>
    </w:p>
    <w:p>
      <w:pPr>
        <w:pStyle w:val="15"/>
        <w:ind w:firstLine="480"/>
        <w:rPr>
          <w:rFonts w:hint="eastAsia" w:ascii="宋体" w:hAnsi="宋体" w:cs="宋体"/>
          <w:color w:val="auto"/>
          <w:sz w:val="24"/>
          <w:szCs w:val="24"/>
        </w:rPr>
      </w:pPr>
      <w:r>
        <w:rPr>
          <w:rFonts w:hint="eastAsia" w:ascii="宋体" w:hAnsi="宋体" w:cs="宋体"/>
          <w:color w:val="auto"/>
          <w:sz w:val="24"/>
          <w:szCs w:val="24"/>
        </w:rPr>
        <w:t>位于海口市秀英区西秀镇，2018年3月8日开工建设，占地面积79.06亩，总投资1.19亿元，设计处理能力50-300万吨/年，2018年12月30日开始试运行。根据《海口市西秀建筑资源再生利用PPP项目合作协议》和《海口市西秀建筑资源再生利用PPP项目承继合同》，现由海南拓达环保科技有限公司负责该厂运营管理，项目特许期15年，自2017年10月31日起生效。</w:t>
      </w:r>
    </w:p>
    <w:p>
      <w:pPr>
        <w:pStyle w:val="10"/>
        <w:numPr>
          <w:ilvl w:val="0"/>
          <w:numId w:val="0"/>
        </w:numPr>
        <w:spacing w:before="312" w:after="156"/>
        <w:rPr>
          <w:rFonts w:hint="eastAsia" w:ascii="宋体" w:hAnsi="宋体" w:eastAsia="宋体" w:cs="宋体"/>
          <w:color w:val="auto"/>
          <w:sz w:val="24"/>
          <w:szCs w:val="24"/>
        </w:rPr>
      </w:pPr>
      <w:bookmarkStart w:id="5" w:name="_Toc26352"/>
      <w:bookmarkStart w:id="6" w:name="_Toc43717399"/>
      <w:r>
        <w:rPr>
          <w:rFonts w:hint="eastAsia" w:ascii="宋体" w:hAnsi="宋体" w:eastAsia="宋体" w:cs="宋体"/>
          <w:color w:val="auto"/>
          <w:sz w:val="24"/>
          <w:szCs w:val="24"/>
        </w:rPr>
        <w:t>三、监管工作内容</w:t>
      </w:r>
      <w:bookmarkEnd w:id="5"/>
      <w:bookmarkEnd w:id="6"/>
    </w:p>
    <w:p>
      <w:pPr>
        <w:pStyle w:val="14"/>
        <w:rPr>
          <w:rFonts w:hint="eastAsia" w:ascii="宋体" w:hAnsi="宋体" w:cs="宋体"/>
          <w:bCs/>
          <w:color w:val="auto"/>
        </w:rPr>
      </w:pPr>
      <w:r>
        <w:rPr>
          <w:rFonts w:hint="eastAsia" w:ascii="宋体" w:hAnsi="宋体" w:cs="宋体"/>
          <w:bCs/>
          <w:color w:val="auto"/>
        </w:rPr>
        <w:t>3.1负责对海口市垃圾处理设施的运营进行监督管理。负责在日常时间对海口市垃圾处理设施进行监督管理，且在非工作时间，遇紧急情况时能够在1小时内到岗查看。通过分析与评估，向政府和监管对象提供整改意见与方案，并对其实施过程进行必要的监督。</w:t>
      </w:r>
    </w:p>
    <w:p>
      <w:pPr>
        <w:pStyle w:val="14"/>
        <w:rPr>
          <w:rFonts w:hint="eastAsia" w:ascii="宋体" w:hAnsi="宋体" w:cs="宋体"/>
          <w:bCs/>
          <w:color w:val="auto"/>
        </w:rPr>
      </w:pPr>
      <w:r>
        <w:rPr>
          <w:rFonts w:hint="eastAsia" w:ascii="宋体" w:hAnsi="宋体" w:cs="宋体"/>
          <w:bCs/>
          <w:color w:val="auto"/>
        </w:rPr>
        <w:t>3.2负责为政府监管部门提供相关的技术方面的咨询服务。</w:t>
      </w:r>
    </w:p>
    <w:p>
      <w:pPr>
        <w:pStyle w:val="14"/>
        <w:rPr>
          <w:rFonts w:hint="eastAsia" w:ascii="宋体" w:hAnsi="宋体" w:cs="宋体"/>
          <w:bCs/>
          <w:color w:val="auto"/>
        </w:rPr>
      </w:pPr>
      <w:r>
        <w:rPr>
          <w:rFonts w:hint="eastAsia" w:ascii="宋体" w:hAnsi="宋体" w:cs="宋体"/>
          <w:bCs/>
          <w:color w:val="auto"/>
        </w:rPr>
        <w:t>3.3协助就海口市垃圾处理设施的相关运行情况组织召开相关工作会议，负责陪同必要的参观接待工作。</w:t>
      </w:r>
    </w:p>
    <w:p>
      <w:pPr>
        <w:pStyle w:val="14"/>
        <w:rPr>
          <w:rFonts w:hint="eastAsia" w:ascii="宋体" w:hAnsi="宋体" w:cs="宋体"/>
          <w:bCs/>
          <w:color w:val="auto"/>
        </w:rPr>
      </w:pPr>
      <w:r>
        <w:rPr>
          <w:rFonts w:hint="eastAsia" w:ascii="宋体" w:hAnsi="宋体" w:cs="宋体"/>
          <w:bCs/>
          <w:color w:val="auto"/>
        </w:rPr>
        <w:t>3.4安全隐患排查并提交报告。</w:t>
      </w:r>
    </w:p>
    <w:p>
      <w:pPr>
        <w:pStyle w:val="6"/>
        <w:jc w:val="both"/>
        <w:rPr>
          <w:rFonts w:hint="eastAsia" w:ascii="宋体" w:hAnsi="宋体" w:eastAsia="宋体" w:cs="宋体"/>
          <w:color w:val="auto"/>
          <w:sz w:val="24"/>
          <w:szCs w:val="24"/>
        </w:rPr>
      </w:pPr>
      <w:bookmarkStart w:id="7" w:name="_Toc14064"/>
      <w:r>
        <w:rPr>
          <w:rFonts w:hint="eastAsia" w:ascii="宋体" w:hAnsi="宋体" w:eastAsia="宋体" w:cs="宋体"/>
          <w:color w:val="auto"/>
          <w:sz w:val="24"/>
          <w:szCs w:val="24"/>
        </w:rPr>
        <w:t>四、智慧监管平台</w:t>
      </w:r>
      <w:bookmarkEnd w:id="7"/>
    </w:p>
    <w:p>
      <w:pPr>
        <w:pStyle w:val="15"/>
        <w:adjustRightInd w:val="0"/>
        <w:snapToGrid w:val="0"/>
        <w:ind w:firstLine="480"/>
        <w:rPr>
          <w:rFonts w:hint="eastAsia" w:ascii="宋体" w:hAnsi="宋体" w:cs="宋体"/>
          <w:color w:val="auto"/>
          <w:sz w:val="24"/>
          <w:szCs w:val="24"/>
        </w:rPr>
      </w:pPr>
      <w:r>
        <w:rPr>
          <w:rFonts w:hint="eastAsia" w:ascii="宋体" w:hAnsi="宋体" w:cs="宋体"/>
          <w:color w:val="auto"/>
          <w:sz w:val="24"/>
          <w:szCs w:val="24"/>
        </w:rPr>
        <w:t>实现智慧化监管平台的建设及运行维护，保障监管平台系统及监管考核数据、终端运行数据等信息的安全可靠。保证驻场监管人员综合利用智慧化监管平台及现场巡检APP实现垃圾处理终端的全方面在线监管与风险预警预控，全面保障垃圾处理终端的安全、达标与稳定运行。</w:t>
      </w:r>
    </w:p>
    <w:p>
      <w:pPr>
        <w:pStyle w:val="15"/>
        <w:adjustRightInd w:val="0"/>
        <w:snapToGrid w:val="0"/>
        <w:ind w:firstLine="480"/>
        <w:rPr>
          <w:rFonts w:hint="eastAsia"/>
          <w:color w:val="auto"/>
          <w:sz w:val="24"/>
          <w:szCs w:val="18"/>
        </w:rPr>
      </w:pPr>
      <w:r>
        <w:rPr>
          <w:rFonts w:hint="eastAsia"/>
          <w:color w:val="auto"/>
          <w:sz w:val="24"/>
          <w:szCs w:val="18"/>
        </w:rPr>
        <w:t>智慧化监管平台应能够对接与充分应用各垃圾处理终端已建设的称重计量监管与视频监控系统，相应功能需求如下表所示：</w:t>
      </w:r>
    </w:p>
    <w:p>
      <w:pPr>
        <w:pStyle w:val="17"/>
        <w:ind w:firstLine="480"/>
        <w:rPr>
          <w:rFonts w:hint="eastAsia" w:ascii="宋体" w:hAnsi="宋体" w:eastAsia="宋体" w:cs="宋体"/>
          <w:color w:val="auto"/>
          <w:sz w:val="24"/>
          <w:szCs w:val="18"/>
        </w:rPr>
      </w:pPr>
      <w:r>
        <w:rPr>
          <w:rFonts w:hint="eastAsia" w:ascii="宋体" w:hAnsi="宋体" w:eastAsia="宋体" w:cs="宋体"/>
          <w:color w:val="auto"/>
          <w:sz w:val="24"/>
          <w:szCs w:val="18"/>
        </w:rPr>
        <w:t>智慧化监管平台功能需求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843"/>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序号</w:t>
            </w:r>
          </w:p>
        </w:tc>
        <w:tc>
          <w:tcPr>
            <w:tcW w:w="1418" w:type="dxa"/>
            <w:noWrap w:val="0"/>
            <w:vAlign w:val="top"/>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功能划分</w:t>
            </w:r>
          </w:p>
        </w:tc>
        <w:tc>
          <w:tcPr>
            <w:tcW w:w="1843" w:type="dxa"/>
            <w:noWrap w:val="0"/>
            <w:vAlign w:val="top"/>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功能需求</w:t>
            </w:r>
          </w:p>
        </w:tc>
        <w:tc>
          <w:tcPr>
            <w:tcW w:w="4586" w:type="dxa"/>
            <w:noWrap w:val="0"/>
            <w:vAlign w:val="top"/>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1</w:t>
            </w:r>
          </w:p>
        </w:tc>
        <w:tc>
          <w:tcPr>
            <w:tcW w:w="1418" w:type="dxa"/>
            <w:vMerge w:val="restart"/>
            <w:noWrap w:val="0"/>
            <w:vAlign w:val="center"/>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垃圾焚烧发电厂数字驱动监管系统</w:t>
            </w: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监管信息综合展示</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综合展示各垃圾处理终端计量统计、安全生产、运行工况、环保排放、第三方监管履约等多类型监管数据。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运行工况监管</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实现实时炉温、风机风量、烟气参数、布袋压强等工况运行参数的监管。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环保排放监管</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实现对烟气与渗滤液排放数据的实时监测，对炉渣和飞灰产生与排放进行监管，有效控制污染物超标排放风险。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环保耗材监管</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实现对氨水、石灰、活性炭以及螯合物等环保耗材投加计量实时监测，通过数据智能关联分析，提出环保耗材建议投加量，保证烟气经过处理达标排放。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信息上报</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 xml:space="preserve">支持焚烧厂运营单位相关信息的手工填报及数据文件上报，包括焚烧运行数据上报、设备故障维修上报、设备养护计划上报、启停炉登记、安全事件上报与整改记录上报等。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焚烧监管智库</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根据智能预警告警信息，智能提出与发生问题相关联的可能存在的多种原因及解决办法，辅助相关人员高效核实解决问题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平衡分析与关联分析</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对焚烧厂物料、水等进行平衡分析，通过焚烧处理全过程相关指标的动态关联分析，实现对焚烧厂正常运行的联动管理。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垃圾调度决策</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通过数据关联智能计算评价垃圾坑剩余库容，建立智能调度机制；并结合垃圾产量预测与相关规划要求，计算焚烧处理缺口，提供终端建设规划依据。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现场巡检APP（监管考核用）</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实现现场巡检任务派发与路线智能规划、巡检现场评分与照片（或视频）取证、巡检问题上报与巡检进度的管理。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监管履约管理</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联动现场巡检APP，对各垃圾处理终端日常现场巡检人员工作进度与质量、问题上报与事件处理等情况进行管理。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综合考核评价</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结合监管平台实施监管预警、现场巡检评价与公众投诉等数据进行综合考评，支持3A动态等级预评价。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定制监管报告</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自动生成相应的定制化的监管报告进行推送，支持通过手机扫码方式实时查看。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2</w:t>
            </w:r>
          </w:p>
        </w:tc>
        <w:tc>
          <w:tcPr>
            <w:tcW w:w="1418" w:type="dxa"/>
            <w:vMerge w:val="restart"/>
            <w:noWrap w:val="0"/>
            <w:vAlign w:val="top"/>
          </w:tcPr>
          <w:p>
            <w:pPr>
              <w:pStyle w:val="15"/>
              <w:adjustRightInd w:val="0"/>
              <w:snapToGrid w:val="0"/>
              <w:ind w:firstLine="0" w:firstLineChars="0"/>
              <w:rPr>
                <w:rFonts w:ascii="宋体" w:hAnsi="宋体" w:cs="宋体"/>
                <w:color w:val="auto"/>
                <w:sz w:val="24"/>
                <w:szCs w:val="24"/>
              </w:rPr>
            </w:pPr>
            <w:r>
              <w:rPr>
                <w:rFonts w:hint="eastAsia" w:ascii="宋体" w:hAnsi="宋体" w:cs="宋体"/>
                <w:color w:val="auto"/>
                <w:sz w:val="24"/>
                <w:szCs w:val="24"/>
              </w:rPr>
              <w:t>垃圾填埋场数字驱动监管系统</w:t>
            </w: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监管信息综合展示</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综合展示垃圾填埋场地磅称重计量数据与统计信息、安全生产、运行工况、环保排放、第三方监管履约等多类型监管数据。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渗滤液、沼气、臭气控制</w:t>
            </w:r>
          </w:p>
        </w:tc>
        <w:tc>
          <w:tcPr>
            <w:tcW w:w="4586" w:type="dxa"/>
            <w:noWrap w:val="0"/>
            <w:vAlign w:val="top"/>
          </w:tcPr>
          <w:p>
            <w:pPr>
              <w:pStyle w:val="15"/>
              <w:adjustRightInd w:val="0"/>
              <w:snapToGrid w:val="0"/>
              <w:ind w:firstLine="0" w:firstLineChars="0"/>
              <w:rPr>
                <w:rFonts w:ascii="宋体" w:hAnsi="宋体" w:cs="宋体"/>
                <w:color w:val="auto"/>
                <w:sz w:val="24"/>
                <w:szCs w:val="24"/>
              </w:rPr>
            </w:pPr>
            <w:r>
              <w:rPr>
                <w:rFonts w:hint="eastAsia" w:ascii="宋体" w:hAnsi="宋体" w:cs="宋体"/>
                <w:color w:val="auto"/>
                <w:sz w:val="24"/>
                <w:szCs w:val="24"/>
              </w:rPr>
              <w:t>通过与现场相关仪器仪表或数据采集系统对接或人工抄表方式（仅在前一种方式无法实现时采用），记录渗滤液、沼气、臭气的相关数据（如渗滤液水量、水质等），并可形成统计分析、告警数据等。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安全管理</w:t>
            </w:r>
          </w:p>
        </w:tc>
        <w:tc>
          <w:tcPr>
            <w:tcW w:w="4586" w:type="dxa"/>
            <w:noWrap w:val="0"/>
            <w:vAlign w:val="top"/>
          </w:tcPr>
          <w:p>
            <w:pPr>
              <w:pStyle w:val="15"/>
              <w:adjustRightInd w:val="0"/>
              <w:snapToGrid w:val="0"/>
              <w:ind w:firstLine="0" w:firstLineChars="0"/>
              <w:rPr>
                <w:rFonts w:ascii="宋体" w:hAnsi="宋体" w:cs="宋体"/>
                <w:color w:val="auto"/>
                <w:sz w:val="24"/>
                <w:szCs w:val="24"/>
              </w:rPr>
            </w:pPr>
            <w:r>
              <w:rPr>
                <w:rFonts w:hint="eastAsia" w:ascii="宋体" w:hAnsi="宋体" w:cs="宋体"/>
                <w:color w:val="auto"/>
                <w:sz w:val="24"/>
                <w:szCs w:val="24"/>
              </w:rPr>
              <w:t>就填埋场运行过程中的主要安全隐患、安全风险等因素，针对性记录安全监管记录、安全防范措施、整改措施等，发生安全事故的，应详细记录安全事故分析报告等。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现场巡检APP</w:t>
            </w:r>
          </w:p>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（监管考核用）</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实现现场巡检任务派发与路线智能规划、巡检现场评分与照片（或视频）取证、巡检问题上报与巡检进度的管理。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pStyle w:val="15"/>
              <w:adjustRightInd w:val="0"/>
              <w:snapToGrid w:val="0"/>
              <w:ind w:firstLine="0" w:firstLineChars="0"/>
              <w:jc w:val="center"/>
              <w:rPr>
                <w:rFonts w:ascii="宋体" w:hAnsi="宋体" w:cs="宋体"/>
                <w:color w:val="auto"/>
                <w:sz w:val="24"/>
                <w:szCs w:val="24"/>
              </w:rPr>
            </w:pPr>
            <w:r>
              <w:rPr>
                <w:rFonts w:hint="eastAsia" w:ascii="宋体" w:hAnsi="宋体" w:cs="宋体"/>
                <w:color w:val="auto"/>
                <w:sz w:val="24"/>
                <w:szCs w:val="24"/>
              </w:rPr>
              <w:t>3</w:t>
            </w:r>
          </w:p>
        </w:tc>
        <w:tc>
          <w:tcPr>
            <w:tcW w:w="1418" w:type="dxa"/>
            <w:vMerge w:val="restart"/>
            <w:noWrap w:val="0"/>
            <w:vAlign w:val="center"/>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餐厨废弃物与粪渣无害化处理厂数字驱动监管系统</w:t>
            </w: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产物监管</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实现对厂区沼气产量及检测数据的管理。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环保排放监管</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实现对沼液排放的实时监测与沼渣产生及处置的有效监管。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信息上报</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支持运营单位相关信息的手工填报及数据文件上报，包括运行数据上报、设备故障维修上报、设备养护计划上报、安全事件上报与整改记录上报等。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现场巡检APP</w:t>
            </w:r>
          </w:p>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（监管考核用）</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实现现场巡检任务派发与路线智能规划、巡检现场评分与照片（或视频）取证、巡检问题上报与巡检进度的管理。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4</w:t>
            </w:r>
          </w:p>
        </w:tc>
        <w:tc>
          <w:tcPr>
            <w:tcW w:w="1418" w:type="dxa"/>
            <w:vMerge w:val="restart"/>
            <w:noWrap w:val="0"/>
            <w:vAlign w:val="center"/>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垃圾渗滤液处理厂数字驱动监管平台</w:t>
            </w: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运行工况监管</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实现对水质均衡系统、生物处理系统、超滤系统、纳滤系统、污泥处理系统、浓缩液处理系统等运行参数的监管。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center"/>
          </w:tcPr>
          <w:p>
            <w:pPr>
              <w:pStyle w:val="15"/>
              <w:adjustRightInd w:val="0"/>
              <w:snapToGrid w:val="0"/>
              <w:ind w:firstLine="0" w:firstLineChars="0"/>
              <w:jc w:val="center"/>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信息上报</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支持运营单位相关信息的手工填报及数据文件上报，包括运行数据上报、设备故障维修上报、设备养护计划上报、安全事件上报与整改记录上报等。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center"/>
          </w:tcPr>
          <w:p>
            <w:pPr>
              <w:pStyle w:val="15"/>
              <w:adjustRightInd w:val="0"/>
              <w:snapToGrid w:val="0"/>
              <w:ind w:firstLine="0" w:firstLineChars="0"/>
              <w:jc w:val="center"/>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现场巡检APP</w:t>
            </w:r>
          </w:p>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（监管考核用）</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实现现场巡检任务派发与路线智能规划、巡检现场评分与照片（或视频）取证、巡检问题上报与巡检进度的管理。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5</w:t>
            </w:r>
          </w:p>
        </w:tc>
        <w:tc>
          <w:tcPr>
            <w:tcW w:w="1418" w:type="dxa"/>
            <w:vMerge w:val="restart"/>
            <w:noWrap w:val="0"/>
            <w:vAlign w:val="center"/>
          </w:tcPr>
          <w:p>
            <w:pPr>
              <w:pStyle w:val="15"/>
              <w:adjustRightInd w:val="0"/>
              <w:snapToGrid w:val="0"/>
              <w:ind w:firstLine="0" w:firstLineChars="0"/>
              <w:jc w:val="center"/>
              <w:rPr>
                <w:rFonts w:hint="eastAsia" w:ascii="宋体" w:hAnsi="宋体" w:cs="宋体"/>
                <w:color w:val="auto"/>
                <w:sz w:val="24"/>
                <w:szCs w:val="24"/>
              </w:rPr>
            </w:pPr>
            <w:r>
              <w:rPr>
                <w:rFonts w:hint="eastAsia" w:ascii="宋体" w:hAnsi="宋体" w:cs="宋体"/>
                <w:color w:val="auto"/>
                <w:sz w:val="24"/>
                <w:szCs w:val="24"/>
              </w:rPr>
              <w:t>建筑垃圾资源化利用厂</w:t>
            </w: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产物管理</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实现对再生砖、再生砂浆、再生混凝土等再生建材产量的实时监测管理。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信息上报</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支持运营单位相关信息的手工填报及数据文件上报，包括运行数据上报、设备故障维修上报、设备养护计划上报、安全事件上报与整改记录上报等。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418" w:type="dxa"/>
            <w:vMerge w:val="continue"/>
            <w:noWrap w:val="0"/>
            <w:vAlign w:val="top"/>
          </w:tcPr>
          <w:p>
            <w:pPr>
              <w:pStyle w:val="15"/>
              <w:adjustRightInd w:val="0"/>
              <w:snapToGrid w:val="0"/>
              <w:ind w:firstLine="0" w:firstLineChars="0"/>
              <w:rPr>
                <w:rFonts w:hint="eastAsia" w:ascii="宋体" w:hAnsi="宋体" w:cs="宋体"/>
                <w:color w:val="auto"/>
                <w:sz w:val="24"/>
                <w:szCs w:val="24"/>
              </w:rPr>
            </w:pPr>
          </w:p>
        </w:tc>
        <w:tc>
          <w:tcPr>
            <w:tcW w:w="1843"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现场巡检APP</w:t>
            </w:r>
          </w:p>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（监管考核用）</w:t>
            </w:r>
          </w:p>
        </w:tc>
        <w:tc>
          <w:tcPr>
            <w:tcW w:w="4586" w:type="dxa"/>
            <w:noWrap w:val="0"/>
            <w:vAlign w:val="top"/>
          </w:tcPr>
          <w:p>
            <w:pPr>
              <w:pStyle w:val="15"/>
              <w:adjustRightInd w:val="0"/>
              <w:snapToGrid w:val="0"/>
              <w:ind w:firstLine="0" w:firstLineChars="0"/>
              <w:rPr>
                <w:rFonts w:hint="eastAsia" w:ascii="宋体" w:hAnsi="宋体" w:cs="宋体"/>
                <w:color w:val="auto"/>
                <w:sz w:val="24"/>
                <w:szCs w:val="24"/>
              </w:rPr>
            </w:pPr>
            <w:r>
              <w:rPr>
                <w:rFonts w:hint="eastAsia" w:ascii="宋体" w:hAnsi="宋体" w:cs="宋体"/>
                <w:color w:val="auto"/>
                <w:sz w:val="24"/>
                <w:szCs w:val="24"/>
              </w:rPr>
              <w:t>实现现场巡检任务派发与路线智能规划、巡检现场评分与照片（或视频）取证、巡检问题上报与巡检进度的管理。</w:t>
            </w:r>
          </w:p>
        </w:tc>
      </w:tr>
    </w:tbl>
    <w:p>
      <w:pPr>
        <w:pStyle w:val="15"/>
        <w:adjustRightInd w:val="0"/>
        <w:snapToGrid w:val="0"/>
        <w:ind w:firstLine="0" w:firstLineChars="0"/>
        <w:rPr>
          <w:rFonts w:hint="eastAsia" w:ascii="宋体" w:hAnsi="宋体" w:cs="宋体"/>
          <w:color w:val="auto"/>
          <w:sz w:val="24"/>
          <w:szCs w:val="24"/>
        </w:rPr>
      </w:pPr>
    </w:p>
    <w:p>
      <w:pPr>
        <w:pStyle w:val="6"/>
        <w:jc w:val="both"/>
        <w:rPr>
          <w:rFonts w:hint="eastAsia" w:ascii="宋体" w:hAnsi="宋体" w:eastAsia="宋体" w:cs="宋体"/>
          <w:color w:val="auto"/>
          <w:sz w:val="24"/>
          <w:szCs w:val="24"/>
        </w:rPr>
      </w:pPr>
      <w:bookmarkStart w:id="8" w:name="_Toc20636"/>
      <w:r>
        <w:rPr>
          <w:rFonts w:hint="eastAsia" w:ascii="宋体" w:hAnsi="宋体" w:eastAsia="宋体" w:cs="宋体"/>
          <w:color w:val="auto"/>
          <w:sz w:val="24"/>
          <w:szCs w:val="24"/>
        </w:rPr>
        <w:t>五、监管考核体系</w:t>
      </w:r>
      <w:bookmarkEnd w:id="8"/>
    </w:p>
    <w:p>
      <w:pPr>
        <w:ind w:firstLine="480"/>
        <w:rPr>
          <w:rFonts w:hint="eastAsia" w:ascii="宋体" w:hAnsi="宋体" w:cs="宋体"/>
          <w:color w:val="auto"/>
          <w:kern w:val="0"/>
        </w:rPr>
      </w:pPr>
      <w:r>
        <w:rPr>
          <w:rFonts w:hint="eastAsia" w:ascii="宋体" w:hAnsi="宋体" w:cs="宋体"/>
          <w:color w:val="auto"/>
          <w:kern w:val="0"/>
        </w:rPr>
        <w:t>第三方监管机构完成监管考核体系的构建后，及时将相应材料提交至采购人申请组织评审，根据采购人的评审意见逐条进一步修改完善相应材料的内容并及时反馈修改结果与说明，经采购人最终评审通过后定稿作为监管工作实施与考核的依据，实现监管工作有据可依、有规可循。</w:t>
      </w:r>
    </w:p>
    <w:p>
      <w:pPr>
        <w:pStyle w:val="15"/>
        <w:ind w:firstLine="480"/>
        <w:rPr>
          <w:rFonts w:hint="eastAsia" w:ascii="宋体" w:hAnsi="宋体" w:cs="宋体"/>
          <w:color w:val="auto"/>
          <w:sz w:val="24"/>
          <w:szCs w:val="24"/>
        </w:rPr>
      </w:pPr>
      <w:r>
        <w:rPr>
          <w:rFonts w:hint="eastAsia" w:ascii="宋体" w:hAnsi="宋体" w:cs="宋体"/>
          <w:color w:val="auto"/>
          <w:sz w:val="24"/>
          <w:szCs w:val="24"/>
        </w:rPr>
        <w:t>现场监管工作完成后，按期提交监管工作报告，并由采购人对垃圾处理终端运营单位与第三方监管机构进行考核评价，以此作为费用结算的重要依据。</w:t>
      </w:r>
    </w:p>
    <w:p>
      <w:pPr>
        <w:pStyle w:val="15"/>
        <w:ind w:firstLine="480"/>
        <w:rPr>
          <w:rFonts w:hint="eastAsia" w:ascii="宋体" w:hAnsi="宋体" w:cs="宋体"/>
          <w:color w:val="auto"/>
          <w:sz w:val="24"/>
          <w:szCs w:val="24"/>
        </w:rPr>
      </w:pPr>
      <w:r>
        <w:rPr>
          <w:rFonts w:hint="eastAsia" w:ascii="宋体" w:hAnsi="宋体" w:cs="宋体"/>
          <w:color w:val="auto"/>
          <w:sz w:val="24"/>
          <w:szCs w:val="24"/>
        </w:rPr>
        <w:t>1、监管总结报告</w:t>
      </w:r>
    </w:p>
    <w:p>
      <w:pPr>
        <w:pStyle w:val="15"/>
        <w:ind w:firstLine="480"/>
        <w:rPr>
          <w:rFonts w:hint="eastAsia" w:ascii="宋体" w:hAnsi="宋体" w:cs="宋体"/>
          <w:color w:val="auto"/>
          <w:sz w:val="24"/>
          <w:szCs w:val="24"/>
        </w:rPr>
      </w:pPr>
      <w:r>
        <w:rPr>
          <w:rFonts w:hint="eastAsia" w:ascii="宋体" w:hAnsi="宋体" w:cs="宋体"/>
          <w:color w:val="auto"/>
          <w:sz w:val="24"/>
          <w:szCs w:val="24"/>
        </w:rPr>
        <w:t>第三方监管机构按照监管要求按时提交月度监管工作报告，由采购人验收并作为考核运营单位的重要依据。在执行监管工作每满1年时，总结年度监管成果，出具年度监管总结报告提交采购人，作为采购人第三方监管机构的依据。</w:t>
      </w:r>
    </w:p>
    <w:p>
      <w:pPr>
        <w:pStyle w:val="15"/>
        <w:ind w:firstLine="480"/>
        <w:rPr>
          <w:rFonts w:hint="eastAsia" w:ascii="宋体" w:hAnsi="宋体" w:cs="宋体"/>
          <w:color w:val="auto"/>
          <w:sz w:val="24"/>
          <w:szCs w:val="24"/>
        </w:rPr>
      </w:pPr>
      <w:r>
        <w:rPr>
          <w:rFonts w:hint="eastAsia" w:ascii="宋体" w:hAnsi="宋体" w:cs="宋体"/>
          <w:color w:val="auto"/>
          <w:sz w:val="24"/>
          <w:szCs w:val="24"/>
        </w:rPr>
        <w:t>2、对运营单位的考核</w:t>
      </w:r>
    </w:p>
    <w:p>
      <w:pPr>
        <w:pStyle w:val="15"/>
        <w:ind w:firstLine="480"/>
        <w:rPr>
          <w:rFonts w:hint="eastAsia" w:ascii="宋体" w:hAnsi="宋体" w:cs="宋体"/>
          <w:color w:val="auto"/>
          <w:sz w:val="24"/>
          <w:szCs w:val="24"/>
        </w:rPr>
      </w:pPr>
      <w:r>
        <w:rPr>
          <w:rFonts w:hint="eastAsia" w:ascii="宋体" w:hAnsi="宋体" w:cs="宋体"/>
          <w:color w:val="auto"/>
          <w:sz w:val="24"/>
          <w:szCs w:val="24"/>
        </w:rPr>
        <w:t>采购人依托监管平台综合考核系统以及第三方监管机构出具的监管工作报告对运营单位进行考核，考核结果作为月垃圾处理补贴费拨付的依据。</w:t>
      </w:r>
    </w:p>
    <w:p>
      <w:pPr>
        <w:pStyle w:val="15"/>
        <w:ind w:firstLine="480"/>
        <w:rPr>
          <w:rFonts w:hint="eastAsia" w:ascii="宋体" w:hAnsi="宋体" w:cs="宋体"/>
          <w:color w:val="auto"/>
          <w:sz w:val="24"/>
          <w:szCs w:val="24"/>
        </w:rPr>
      </w:pPr>
      <w:r>
        <w:rPr>
          <w:rFonts w:hint="eastAsia" w:ascii="宋体" w:hAnsi="宋体" w:cs="宋体"/>
          <w:color w:val="auto"/>
          <w:sz w:val="24"/>
          <w:szCs w:val="24"/>
        </w:rPr>
        <w:t>3、对第三方监管机构的考核</w:t>
      </w:r>
    </w:p>
    <w:p>
      <w:pPr>
        <w:pStyle w:val="15"/>
        <w:ind w:firstLine="480"/>
        <w:rPr>
          <w:rFonts w:hint="eastAsia" w:ascii="宋体" w:hAnsi="宋体" w:cs="宋体"/>
          <w:color w:val="auto"/>
          <w:sz w:val="24"/>
          <w:szCs w:val="24"/>
        </w:rPr>
      </w:pPr>
      <w:r>
        <w:rPr>
          <w:rFonts w:hint="eastAsia" w:ascii="宋体" w:hAnsi="宋体" w:cs="宋体"/>
          <w:color w:val="auto"/>
          <w:sz w:val="24"/>
          <w:szCs w:val="24"/>
        </w:rPr>
        <w:t>采购人根据监管考核体系中对第三方监管机构的考核标准，借助监管平台的监管履约管理系统，从人员管理、现场监管、成果提交和有关的行政配合等多方面对第三方监管机构的服务质量实行考核评价。</w:t>
      </w:r>
    </w:p>
    <w:p>
      <w:pPr>
        <w:pStyle w:val="15"/>
        <w:ind w:firstLine="480"/>
        <w:rPr>
          <w:rFonts w:ascii="宋体" w:hAnsi="宋体" w:cs="宋体"/>
          <w:color w:val="auto"/>
          <w:sz w:val="24"/>
          <w:szCs w:val="24"/>
        </w:rPr>
      </w:pPr>
      <w:r>
        <w:rPr>
          <w:rFonts w:hint="eastAsia" w:ascii="宋体" w:hAnsi="宋体" w:cs="宋体"/>
          <w:color w:val="auto"/>
          <w:sz w:val="24"/>
          <w:szCs w:val="24"/>
        </w:rPr>
        <w:t>采购人对第三方监管机构的考核结果与当期应付款项挂钩，具体考核标准及挂钩比例届时由中标人与采购人具体协商，但考核标准不得低于招标文件规定的监管服务要求。</w:t>
      </w:r>
    </w:p>
    <w:p>
      <w:pPr>
        <w:pStyle w:val="6"/>
        <w:jc w:val="both"/>
        <w:rPr>
          <w:rFonts w:hint="eastAsia" w:ascii="宋体" w:hAnsi="宋体" w:eastAsia="宋体" w:cs="宋体"/>
          <w:color w:val="auto"/>
          <w:sz w:val="24"/>
          <w:szCs w:val="24"/>
        </w:rPr>
      </w:pPr>
      <w:bookmarkStart w:id="9" w:name="_Toc27200"/>
      <w:r>
        <w:rPr>
          <w:rFonts w:hint="eastAsia" w:ascii="宋体" w:hAnsi="宋体" w:eastAsia="宋体" w:cs="宋体"/>
          <w:color w:val="auto"/>
          <w:sz w:val="24"/>
          <w:szCs w:val="24"/>
        </w:rPr>
        <w:t>六、监管报告要求</w:t>
      </w:r>
      <w:bookmarkEnd w:id="9"/>
    </w:p>
    <w:p>
      <w:pPr>
        <w:pStyle w:val="15"/>
        <w:adjustRightInd w:val="0"/>
        <w:snapToGrid w:val="0"/>
        <w:ind w:firstLine="482"/>
        <w:rPr>
          <w:rFonts w:hint="eastAsia" w:ascii="宋体" w:hAnsi="宋体" w:cs="宋体"/>
          <w:b/>
          <w:bCs/>
          <w:color w:val="auto"/>
          <w:sz w:val="24"/>
          <w:szCs w:val="24"/>
        </w:rPr>
      </w:pPr>
      <w:r>
        <w:rPr>
          <w:rFonts w:hint="eastAsia" w:ascii="宋体" w:hAnsi="宋体" w:cs="宋体"/>
          <w:b/>
          <w:bCs/>
          <w:color w:val="auto"/>
          <w:sz w:val="24"/>
          <w:szCs w:val="24"/>
        </w:rPr>
        <w:t>6.1、监管报告</w:t>
      </w:r>
    </w:p>
    <w:p>
      <w:pPr>
        <w:pStyle w:val="15"/>
        <w:adjustRightInd w:val="0"/>
        <w:snapToGrid w:val="0"/>
        <w:ind w:firstLine="480"/>
        <w:rPr>
          <w:rFonts w:hint="eastAsia" w:ascii="宋体" w:hAnsi="宋体" w:cs="宋体"/>
          <w:color w:val="auto"/>
          <w:sz w:val="24"/>
          <w:szCs w:val="24"/>
        </w:rPr>
      </w:pPr>
      <w:r>
        <w:rPr>
          <w:rFonts w:hint="eastAsia" w:ascii="宋体" w:hAnsi="宋体" w:cs="宋体"/>
          <w:color w:val="auto"/>
          <w:sz w:val="24"/>
          <w:szCs w:val="24"/>
        </w:rPr>
        <w:t>海口市5座垃圾处理终端第三方监管服务期间，专业监管队伍定期总结监管服务成果，提供全面前瞻的监管报告辅助政府主管部门科学决策。全面前瞻监管报告综合监管平台实时监管、预警诊断、整改反馈、环境检测、综合评价等数据，结合驻场监管上报数据与专家支持团队专业分析与针对性建议，由监管平台内置模型，生成对应的监管报告，在保证监管数据统计分析全面、客观公正的基础上，通过专家诊断与前瞻建议保障监管报告的专业性。</w:t>
      </w:r>
    </w:p>
    <w:p>
      <w:pPr>
        <w:pStyle w:val="15"/>
        <w:adjustRightInd w:val="0"/>
        <w:snapToGrid w:val="0"/>
        <w:ind w:firstLine="482"/>
        <w:rPr>
          <w:rFonts w:hint="eastAsia" w:ascii="宋体" w:hAnsi="宋体" w:cs="宋体"/>
          <w:b/>
          <w:bCs/>
          <w:color w:val="auto"/>
          <w:sz w:val="24"/>
          <w:szCs w:val="24"/>
        </w:rPr>
      </w:pPr>
      <w:r>
        <w:rPr>
          <w:rFonts w:hint="eastAsia" w:ascii="宋体" w:hAnsi="宋体" w:cs="宋体"/>
          <w:b/>
          <w:bCs/>
          <w:color w:val="auto"/>
          <w:sz w:val="24"/>
          <w:szCs w:val="24"/>
        </w:rPr>
        <w:t>6.2、定制监管报告</w:t>
      </w:r>
    </w:p>
    <w:p>
      <w:pPr>
        <w:ind w:firstLine="480"/>
        <w:rPr>
          <w:rFonts w:hint="eastAsia" w:ascii="宋体" w:hAnsi="宋体" w:cs="宋体"/>
          <w:color w:val="auto"/>
          <w:kern w:val="0"/>
        </w:rPr>
      </w:pPr>
      <w:r>
        <w:rPr>
          <w:rFonts w:hint="eastAsia" w:ascii="宋体" w:hAnsi="宋体" w:cs="宋体"/>
          <w:color w:val="auto"/>
          <w:kern w:val="0"/>
        </w:rPr>
        <w:t>为进一步提高监管服务质量，针对采购人工作实际与个性化需求，监管平台自动生成相应的定制化的监管报告进行推送，采购人可通过手机扫码方式实时查看，全面满足采购人掌握监管工作动态的需求，实现报告服务深度的延伸。</w:t>
      </w:r>
    </w:p>
    <w:p>
      <w:pPr>
        <w:pStyle w:val="6"/>
        <w:jc w:val="both"/>
        <w:rPr>
          <w:rFonts w:hint="eastAsia" w:ascii="宋体" w:hAnsi="宋体" w:eastAsia="宋体" w:cs="宋体"/>
          <w:color w:val="auto"/>
          <w:sz w:val="24"/>
          <w:szCs w:val="24"/>
        </w:rPr>
      </w:pPr>
      <w:bookmarkStart w:id="10" w:name="_Toc43717410"/>
      <w:bookmarkStart w:id="11" w:name="_Toc7755"/>
      <w:r>
        <w:rPr>
          <w:rFonts w:hint="eastAsia" w:ascii="宋体" w:hAnsi="宋体" w:eastAsia="宋体" w:cs="宋体"/>
          <w:color w:val="auto"/>
          <w:sz w:val="24"/>
          <w:szCs w:val="24"/>
        </w:rPr>
        <w:t>七、监管成果交付</w:t>
      </w:r>
      <w:bookmarkEnd w:id="10"/>
      <w:bookmarkEnd w:id="11"/>
    </w:p>
    <w:p>
      <w:pPr>
        <w:pStyle w:val="15"/>
        <w:ind w:firstLine="480"/>
        <w:rPr>
          <w:rFonts w:hint="eastAsia" w:ascii="宋体" w:hAnsi="宋体" w:cs="宋体"/>
          <w:color w:val="auto"/>
          <w:sz w:val="24"/>
          <w:szCs w:val="24"/>
        </w:rPr>
      </w:pPr>
      <w:r>
        <w:rPr>
          <w:rFonts w:hint="eastAsia" w:ascii="宋体" w:hAnsi="宋体" w:cs="宋体"/>
          <w:color w:val="auto"/>
          <w:sz w:val="24"/>
          <w:szCs w:val="24"/>
        </w:rPr>
        <w:t>监管工作报告主要包括监管工作月报和监管工作年报。</w:t>
      </w:r>
    </w:p>
    <w:p>
      <w:pPr>
        <w:pStyle w:val="15"/>
        <w:ind w:firstLine="482"/>
        <w:rPr>
          <w:rFonts w:hint="eastAsia" w:ascii="宋体" w:hAnsi="宋体" w:cs="宋体"/>
          <w:b/>
          <w:color w:val="auto"/>
          <w:sz w:val="24"/>
          <w:szCs w:val="24"/>
        </w:rPr>
      </w:pPr>
      <w:r>
        <w:rPr>
          <w:rFonts w:hint="eastAsia" w:ascii="宋体" w:hAnsi="宋体" w:cs="宋体"/>
          <w:b/>
          <w:color w:val="auto"/>
          <w:sz w:val="24"/>
          <w:szCs w:val="24"/>
        </w:rPr>
        <w:t>7.1、监管工作月报</w:t>
      </w:r>
    </w:p>
    <w:p>
      <w:pPr>
        <w:pStyle w:val="15"/>
        <w:ind w:firstLine="480"/>
        <w:rPr>
          <w:rFonts w:hint="eastAsia" w:ascii="宋体" w:hAnsi="宋体" w:cs="宋体"/>
          <w:color w:val="auto"/>
          <w:sz w:val="24"/>
          <w:szCs w:val="24"/>
        </w:rPr>
      </w:pPr>
      <w:r>
        <w:rPr>
          <w:rFonts w:hint="eastAsia" w:ascii="宋体" w:hAnsi="宋体" w:cs="宋体"/>
          <w:color w:val="auto"/>
          <w:sz w:val="24"/>
          <w:szCs w:val="24"/>
        </w:rPr>
        <w:t>第三方监管机构于每月第10个工作日前，向采购人提交前一个月的监管工作报告，报告中对相关专业指数分析进行说明。以垃圾焚烧厂监管工作月报为例，月报包括但不限于下列项目：</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重点摘要。</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背景说明。</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项目概况。</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监管工作概述。</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安全生产监管。</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运行工况监管。</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环保排放监管。</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称重计量监管。</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项目履约监管。</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信息公开监管。</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整改落实概况。</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监管工作总结。</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运营数据综合分析。</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问题总结。</w:t>
      </w:r>
    </w:p>
    <w:p>
      <w:pPr>
        <w:pStyle w:val="15"/>
        <w:numPr>
          <w:ilvl w:val="0"/>
          <w:numId w:val="4"/>
        </w:numPr>
        <w:ind w:firstLineChars="0"/>
        <w:rPr>
          <w:rFonts w:hint="eastAsia" w:ascii="宋体" w:hAnsi="宋体" w:cs="宋体"/>
          <w:color w:val="auto"/>
          <w:sz w:val="24"/>
          <w:szCs w:val="24"/>
        </w:rPr>
      </w:pPr>
      <w:r>
        <w:rPr>
          <w:rFonts w:hint="eastAsia" w:ascii="宋体" w:hAnsi="宋体" w:cs="宋体"/>
          <w:color w:val="auto"/>
          <w:sz w:val="24"/>
          <w:szCs w:val="24"/>
        </w:rPr>
        <w:t>工作建议。</w:t>
      </w:r>
    </w:p>
    <w:p>
      <w:pPr>
        <w:pStyle w:val="15"/>
        <w:ind w:firstLine="482"/>
        <w:rPr>
          <w:rFonts w:hint="eastAsia" w:ascii="宋体" w:hAnsi="宋体" w:cs="宋体"/>
          <w:b/>
          <w:color w:val="auto"/>
          <w:sz w:val="24"/>
          <w:szCs w:val="24"/>
        </w:rPr>
      </w:pPr>
      <w:r>
        <w:rPr>
          <w:rFonts w:hint="eastAsia" w:ascii="宋体" w:hAnsi="宋体" w:cs="宋体"/>
          <w:b/>
          <w:color w:val="auto"/>
          <w:sz w:val="24"/>
          <w:szCs w:val="24"/>
        </w:rPr>
        <w:t>7.2、监管工作年报</w:t>
      </w:r>
    </w:p>
    <w:p>
      <w:pPr>
        <w:pStyle w:val="15"/>
        <w:ind w:firstLine="480"/>
        <w:rPr>
          <w:rFonts w:hint="eastAsia" w:ascii="宋体" w:hAnsi="宋体" w:cs="宋体"/>
          <w:color w:val="auto"/>
          <w:sz w:val="24"/>
          <w:szCs w:val="24"/>
        </w:rPr>
      </w:pPr>
      <w:r>
        <w:rPr>
          <w:rFonts w:hint="eastAsia" w:ascii="宋体" w:hAnsi="宋体" w:cs="宋体"/>
          <w:color w:val="auto"/>
          <w:sz w:val="24"/>
          <w:szCs w:val="24"/>
        </w:rPr>
        <w:t>第三方监管机构在执行监管工作每满1年时，总结年度监管成果，按期出具监管工作年报并提交采购人。年报内容包括但不限于下列项目：</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重点摘要。</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背景说明。</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项目概况。</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年度监管工作概述。</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年度安全生产监管。</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年度运行工况监管。</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年度环保排放监管。</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年度称重计量监管。</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年度项目履约监管。</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年度信息公开监管。</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年度整改落实概况。</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年度监管工作总结。</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年度运营数据综合分析。</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年度问题总结。</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工作建议。</w:t>
      </w:r>
    </w:p>
    <w:p>
      <w:pPr>
        <w:pStyle w:val="15"/>
        <w:numPr>
          <w:ilvl w:val="0"/>
          <w:numId w:val="5"/>
        </w:numPr>
        <w:ind w:firstLineChars="0"/>
        <w:rPr>
          <w:rFonts w:hint="eastAsia" w:ascii="宋体" w:hAnsi="宋体" w:cs="宋体"/>
          <w:color w:val="auto"/>
          <w:sz w:val="24"/>
          <w:szCs w:val="24"/>
        </w:rPr>
      </w:pPr>
      <w:r>
        <w:rPr>
          <w:rFonts w:hint="eastAsia" w:ascii="宋体" w:hAnsi="宋体" w:cs="宋体"/>
          <w:color w:val="auto"/>
          <w:sz w:val="24"/>
          <w:szCs w:val="24"/>
        </w:rPr>
        <w:t>下一年度监管服务计划。</w:t>
      </w:r>
    </w:p>
    <w:p>
      <w:pPr>
        <w:pStyle w:val="6"/>
        <w:jc w:val="both"/>
        <w:rPr>
          <w:rFonts w:hint="eastAsia" w:ascii="宋体" w:hAnsi="宋体" w:eastAsia="宋体" w:cs="宋体"/>
          <w:color w:val="auto"/>
          <w:sz w:val="24"/>
          <w:szCs w:val="24"/>
        </w:rPr>
      </w:pPr>
      <w:bookmarkStart w:id="12" w:name="_Toc8310"/>
      <w:r>
        <w:rPr>
          <w:rFonts w:hint="eastAsia" w:ascii="宋体" w:hAnsi="宋体" w:eastAsia="宋体" w:cs="宋体"/>
          <w:color w:val="auto"/>
          <w:sz w:val="24"/>
          <w:szCs w:val="24"/>
          <w:lang w:eastAsia="zh-CN"/>
        </w:rPr>
        <w:t>八、</w:t>
      </w:r>
      <w:r>
        <w:rPr>
          <w:rFonts w:hint="eastAsia" w:ascii="宋体" w:hAnsi="宋体" w:eastAsia="宋体" w:cs="宋体"/>
          <w:color w:val="auto"/>
          <w:sz w:val="24"/>
          <w:szCs w:val="24"/>
        </w:rPr>
        <w:t>相关人员要求</w:t>
      </w:r>
      <w:bookmarkEnd w:id="12"/>
    </w:p>
    <w:p>
      <w:pPr>
        <w:numPr>
          <w:ilvl w:val="0"/>
          <w:numId w:val="6"/>
        </w:numPr>
        <w:ind w:firstLine="482"/>
        <w:rPr>
          <w:rFonts w:hint="eastAsia"/>
          <w:b/>
          <w:bCs/>
          <w:color w:val="auto"/>
        </w:rPr>
      </w:pPr>
      <w:r>
        <w:rPr>
          <w:rFonts w:hint="eastAsia"/>
          <w:b/>
          <w:bCs/>
          <w:color w:val="auto"/>
        </w:rPr>
        <w:t>现场监管团队人员要求</w:t>
      </w:r>
    </w:p>
    <w:p>
      <w:pPr>
        <w:shd w:val="clear" w:color="auto" w:fill="FFFFFF"/>
        <w:snapToGrid w:val="0"/>
        <w:ind w:firstLine="480"/>
        <w:rPr>
          <w:color w:val="auto"/>
        </w:rPr>
      </w:pPr>
      <w:r>
        <w:rPr>
          <w:color w:val="auto"/>
        </w:rPr>
        <w:t>受聘方成立</w:t>
      </w:r>
      <w:r>
        <w:rPr>
          <w:rFonts w:hint="eastAsia"/>
          <w:color w:val="auto"/>
        </w:rPr>
        <w:t>现场</w:t>
      </w:r>
      <w:r>
        <w:rPr>
          <w:color w:val="auto"/>
        </w:rPr>
        <w:t>监管项目部，共需配置</w:t>
      </w:r>
      <w:r>
        <w:rPr>
          <w:rFonts w:hint="eastAsia"/>
          <w:color w:val="auto"/>
        </w:rPr>
        <w:t>至少6</w:t>
      </w:r>
      <w:r>
        <w:rPr>
          <w:color w:val="auto"/>
        </w:rPr>
        <w:t>人</w:t>
      </w:r>
      <w:r>
        <w:rPr>
          <w:rFonts w:hint="eastAsia"/>
          <w:color w:val="auto"/>
        </w:rPr>
        <w:t>(含机动车驾驶人)</w:t>
      </w:r>
      <w:r>
        <w:rPr>
          <w:color w:val="auto"/>
        </w:rPr>
        <w:t>。具体配置要求如下：</w:t>
      </w:r>
    </w:p>
    <w:p>
      <w:pPr>
        <w:shd w:val="clear" w:color="auto" w:fill="FFFFFF"/>
        <w:snapToGrid w:val="0"/>
        <w:ind w:firstLine="480"/>
        <w:rPr>
          <w:rFonts w:hint="eastAsia" w:ascii="宋体" w:hAnsi="宋体"/>
          <w:color w:val="auto"/>
        </w:rPr>
      </w:pPr>
      <w:r>
        <w:rPr>
          <w:rFonts w:hint="eastAsia" w:ascii="宋体" w:hAnsi="宋体"/>
          <w:color w:val="auto"/>
        </w:rPr>
        <w:t>（1）项目负责人</w:t>
      </w:r>
    </w:p>
    <w:p>
      <w:pPr>
        <w:ind w:firstLine="480"/>
        <w:rPr>
          <w:rFonts w:hint="eastAsia" w:ascii="宋体" w:hAnsi="宋体" w:cs="宋体"/>
          <w:color w:val="auto"/>
        </w:rPr>
      </w:pPr>
      <w:r>
        <w:rPr>
          <w:rFonts w:hint="eastAsia" w:ascii="宋体" w:hAnsi="宋体"/>
          <w:color w:val="auto"/>
        </w:rPr>
        <w:t>受聘方需配备至少</w:t>
      </w:r>
      <w:r>
        <w:rPr>
          <w:rFonts w:ascii="宋体" w:hAnsi="宋体"/>
          <w:color w:val="auto"/>
        </w:rPr>
        <w:t>1</w:t>
      </w:r>
      <w:r>
        <w:rPr>
          <w:rFonts w:hint="eastAsia" w:ascii="宋体" w:hAnsi="宋体"/>
          <w:color w:val="auto"/>
        </w:rPr>
        <w:t>名项目负责人，</w:t>
      </w:r>
      <w:r>
        <w:rPr>
          <w:rFonts w:ascii="宋体" w:hAnsi="宋体"/>
          <w:color w:val="auto"/>
        </w:rPr>
        <w:t>负责掌握总体监管考核</w:t>
      </w:r>
      <w:r>
        <w:rPr>
          <w:rFonts w:hint="eastAsia" w:ascii="宋体" w:hAnsi="宋体"/>
          <w:color w:val="auto"/>
        </w:rPr>
        <w:t>、统筹</w:t>
      </w:r>
      <w:r>
        <w:rPr>
          <w:rFonts w:ascii="宋体" w:hAnsi="宋体"/>
          <w:color w:val="auto"/>
        </w:rPr>
        <w:t>组织及对外协调等工作。</w:t>
      </w:r>
      <w:r>
        <w:rPr>
          <w:rFonts w:hint="eastAsia" w:ascii="宋体" w:hAnsi="宋体" w:cs="宋体"/>
          <w:color w:val="auto"/>
        </w:rPr>
        <w:t>项目负责人1名（具有垃圾处置终端运行监管经验及5年以上同类垃圾处置终端相关咨询或运营管理经验，定期来现场检查协调）。</w:t>
      </w:r>
    </w:p>
    <w:p>
      <w:pPr>
        <w:shd w:val="clear" w:color="auto" w:fill="FFFFFF"/>
        <w:snapToGrid w:val="0"/>
        <w:ind w:firstLine="480"/>
        <w:rPr>
          <w:rFonts w:ascii="宋体" w:hAnsi="宋体"/>
          <w:color w:val="auto"/>
        </w:rPr>
      </w:pPr>
      <w:r>
        <w:rPr>
          <w:rFonts w:hint="eastAsia" w:ascii="宋体" w:hAnsi="宋体"/>
          <w:color w:val="auto"/>
        </w:rPr>
        <w:t>（2）驻场项目经理</w:t>
      </w:r>
    </w:p>
    <w:p>
      <w:pPr>
        <w:ind w:firstLine="480"/>
        <w:rPr>
          <w:rFonts w:hint="eastAsia" w:ascii="宋体" w:hAnsi="宋体" w:cs="宋体"/>
          <w:color w:val="auto"/>
        </w:rPr>
      </w:pPr>
      <w:r>
        <w:rPr>
          <w:rFonts w:hint="eastAsia" w:ascii="宋体" w:hAnsi="宋体"/>
          <w:color w:val="auto"/>
        </w:rPr>
        <w:t>受聘方需配备至少</w:t>
      </w:r>
      <w:r>
        <w:rPr>
          <w:rFonts w:ascii="宋体" w:hAnsi="宋体"/>
          <w:color w:val="auto"/>
        </w:rPr>
        <w:t>1</w:t>
      </w:r>
      <w:r>
        <w:rPr>
          <w:rFonts w:hint="eastAsia" w:ascii="宋体" w:hAnsi="宋体"/>
          <w:color w:val="auto"/>
        </w:rPr>
        <w:t>名驻场项目经理，向项目负责人汇报工作，</w:t>
      </w:r>
      <w:r>
        <w:rPr>
          <w:rFonts w:ascii="宋体" w:hAnsi="宋体"/>
          <w:color w:val="auto"/>
        </w:rPr>
        <w:t>负责项目</w:t>
      </w:r>
      <w:r>
        <w:rPr>
          <w:rFonts w:hint="eastAsia" w:ascii="宋体" w:hAnsi="宋体"/>
          <w:color w:val="auto"/>
        </w:rPr>
        <w:t>现场统筹</w:t>
      </w:r>
      <w:r>
        <w:rPr>
          <w:rFonts w:ascii="宋体" w:hAnsi="宋体"/>
          <w:color w:val="auto"/>
        </w:rPr>
        <w:t>组织及对外协调</w:t>
      </w:r>
      <w:r>
        <w:rPr>
          <w:rFonts w:hint="eastAsia" w:ascii="宋体" w:hAnsi="宋体"/>
          <w:color w:val="auto"/>
        </w:rPr>
        <w:t>、</w:t>
      </w:r>
      <w:r>
        <w:rPr>
          <w:rFonts w:ascii="宋体" w:hAnsi="宋体"/>
          <w:color w:val="auto"/>
        </w:rPr>
        <w:t>工作成果交付等工作。</w:t>
      </w:r>
      <w:r>
        <w:rPr>
          <w:rFonts w:hint="eastAsia" w:ascii="宋体" w:hAnsi="宋体" w:cs="宋体"/>
          <w:color w:val="auto"/>
        </w:rPr>
        <w:t>具有垃圾处置终端运行监管经验或2年以上同类垃圾处置终端实际运营经验。</w:t>
      </w:r>
    </w:p>
    <w:p>
      <w:pPr>
        <w:shd w:val="clear" w:color="auto" w:fill="FFFFFF"/>
        <w:snapToGrid w:val="0"/>
        <w:ind w:firstLine="480"/>
        <w:rPr>
          <w:rFonts w:ascii="宋体" w:hAnsi="宋体"/>
          <w:color w:val="auto"/>
        </w:rPr>
      </w:pPr>
      <w:r>
        <w:rPr>
          <w:rFonts w:hint="eastAsia" w:ascii="宋体" w:hAnsi="宋体"/>
          <w:color w:val="auto"/>
        </w:rPr>
        <w:t>（3）其他监管人员</w:t>
      </w:r>
    </w:p>
    <w:p>
      <w:pPr>
        <w:shd w:val="clear" w:color="auto" w:fill="FFFFFF"/>
        <w:snapToGrid w:val="0"/>
        <w:ind w:firstLine="480"/>
        <w:rPr>
          <w:color w:val="auto"/>
        </w:rPr>
      </w:pPr>
      <w:r>
        <w:rPr>
          <w:color w:val="auto"/>
        </w:rPr>
        <w:t>受聘方需另外配备</w:t>
      </w:r>
      <w:r>
        <w:rPr>
          <w:rFonts w:hint="eastAsia"/>
          <w:color w:val="auto"/>
        </w:rPr>
        <w:t>至少</w:t>
      </w:r>
      <w:r>
        <w:rPr>
          <w:color w:val="auto"/>
        </w:rPr>
        <w:t>4名驻厂监管人员，含项目经理共</w:t>
      </w:r>
      <w:r>
        <w:rPr>
          <w:rFonts w:hint="eastAsia"/>
          <w:color w:val="auto"/>
        </w:rPr>
        <w:t>至少5</w:t>
      </w:r>
      <w:r>
        <w:rPr>
          <w:color w:val="auto"/>
        </w:rPr>
        <w:t>人，对</w:t>
      </w:r>
      <w:r>
        <w:rPr>
          <w:rFonts w:hint="eastAsia"/>
          <w:color w:val="auto"/>
        </w:rPr>
        <w:t>焚烧、厂</w:t>
      </w:r>
      <w:r>
        <w:rPr>
          <w:color w:val="auto"/>
        </w:rPr>
        <w:t>垃圾填埋场、渗沥液处理厂、餐厨及粪渣厂、建筑废弃物资源化处理厂垃圾焚烧设施进行每周7天×8小时、全年365天不间断驻场监管，负责巡视现场作业，审核运营文件，监督整改情况，追踪监管意见，编写记录及考核等工作，每天编制监管日报</w:t>
      </w:r>
      <w:r>
        <w:rPr>
          <w:rFonts w:hint="eastAsia"/>
          <w:color w:val="auto"/>
        </w:rPr>
        <w:t>，</w:t>
      </w:r>
      <w:r>
        <w:rPr>
          <w:rFonts w:hint="eastAsia" w:ascii="宋体" w:hAnsi="宋体" w:cs="宋体"/>
          <w:color w:val="auto"/>
        </w:rPr>
        <w:t>具有1年及以上垃圾处置终端运行智能监管经验或同类垃圾处置终端实际运营经验，驻场</w:t>
      </w:r>
      <w:r>
        <w:rPr>
          <w:rFonts w:hint="eastAsia"/>
          <w:color w:val="auto"/>
        </w:rPr>
        <w:t>配置专用机动车至少1辆（驾驶人兼职），主要用于巡视</w:t>
      </w:r>
      <w:r>
        <w:rPr>
          <w:color w:val="auto"/>
        </w:rPr>
        <w:t>垃圾填埋场、渗沥液处理厂、餐厨及粪渣厂、建筑废弃物资源化处理厂等四处垃圾末端处理设施</w:t>
      </w:r>
      <w:r>
        <w:rPr>
          <w:rFonts w:hint="eastAsia"/>
          <w:color w:val="auto"/>
        </w:rPr>
        <w:t>。</w:t>
      </w:r>
    </w:p>
    <w:p>
      <w:pPr>
        <w:shd w:val="clear" w:color="auto" w:fill="FFFFFF"/>
        <w:snapToGrid w:val="0"/>
        <w:ind w:firstLine="480"/>
        <w:rPr>
          <w:rFonts w:hint="eastAsia"/>
          <w:color w:val="auto"/>
        </w:rPr>
      </w:pPr>
      <w:r>
        <w:rPr>
          <w:rFonts w:hint="eastAsia"/>
          <w:color w:val="auto"/>
        </w:rPr>
        <w:t>以上总共需配置至少6人(含机动车驾驶人)及专用机动车1辆，监管团队人员可兼任机动车驾驶人。</w:t>
      </w:r>
    </w:p>
    <w:p>
      <w:pPr>
        <w:pStyle w:val="2"/>
        <w:ind w:firstLine="480"/>
        <w:rPr>
          <w:rFonts w:ascii="宋体" w:hAnsi="宋体" w:cs="宋体"/>
          <w:color w:val="auto"/>
          <w:sz w:val="24"/>
          <w:szCs w:val="24"/>
        </w:rPr>
      </w:pPr>
      <w:r>
        <w:rPr>
          <w:rFonts w:hint="eastAsia" w:ascii="宋体" w:hAnsi="宋体" w:cs="宋体"/>
          <w:color w:val="auto"/>
          <w:sz w:val="24"/>
          <w:szCs w:val="24"/>
        </w:rPr>
        <w:t>项目负责人、现场项目经理、其他监管人员等应提供由垃圾处置终端单位或其政府监管部门出具的具有相应监管或运行管理、咨询经验的证明文件。</w:t>
      </w:r>
    </w:p>
    <w:p>
      <w:pPr>
        <w:pStyle w:val="15"/>
        <w:ind w:firstLine="482"/>
        <w:rPr>
          <w:rFonts w:hint="eastAsia" w:ascii="宋体" w:hAnsi="宋体" w:cs="宋体"/>
          <w:b/>
          <w:bCs/>
          <w:color w:val="auto"/>
          <w:sz w:val="24"/>
        </w:rPr>
      </w:pPr>
      <w:r>
        <w:rPr>
          <w:rFonts w:hint="eastAsia" w:ascii="宋体" w:hAnsi="宋体" w:cs="宋体"/>
          <w:b/>
          <w:bCs/>
          <w:color w:val="auto"/>
          <w:sz w:val="24"/>
        </w:rPr>
        <w:t>（二）综合咨询专家团队要求</w:t>
      </w:r>
    </w:p>
    <w:p>
      <w:pPr>
        <w:pStyle w:val="15"/>
        <w:ind w:firstLine="420" w:firstLineChars="0"/>
        <w:rPr>
          <w:rFonts w:hint="eastAsia" w:ascii="宋体" w:hAnsi="宋体" w:cs="宋体"/>
          <w:color w:val="auto"/>
          <w:sz w:val="24"/>
        </w:rPr>
      </w:pPr>
      <w:r>
        <w:rPr>
          <w:rFonts w:hint="eastAsia"/>
          <w:color w:val="auto"/>
          <w:sz w:val="24"/>
        </w:rPr>
        <w:t>投标人须承诺中标后配备的综合咨询专家团队不少于7人</w:t>
      </w:r>
      <w:r>
        <w:rPr>
          <w:color w:val="auto"/>
          <w:sz w:val="24"/>
        </w:rPr>
        <w:t>。负责协助生产运营、保养维护、污染控制、安全卫生、信息公开、法律咨询、运营财务等数据、文件的判别与分析</w:t>
      </w:r>
      <w:r>
        <w:rPr>
          <w:rFonts w:hint="eastAsia"/>
          <w:color w:val="auto"/>
          <w:sz w:val="24"/>
        </w:rPr>
        <w:t>，应采购方要求，及时提供垃圾焚烧电厂、餐厨垃圾处理、填埋、建筑垃圾处理等设施技改、运营期技术服务及国家、环卫环保行业政策咨询综合服务。</w:t>
      </w:r>
      <w:r>
        <w:rPr>
          <w:rFonts w:hint="eastAsia" w:ascii="宋体" w:hAnsi="宋体" w:cs="宋体"/>
          <w:color w:val="auto"/>
          <w:sz w:val="24"/>
        </w:rPr>
        <w:t>（投标文件中提供承诺书，格式自拟）</w:t>
      </w:r>
    </w:p>
    <w:p>
      <w:pPr>
        <w:pStyle w:val="15"/>
        <w:ind w:firstLine="482"/>
        <w:rPr>
          <w:rFonts w:hint="eastAsia" w:ascii="宋体" w:hAnsi="宋体" w:cs="宋体"/>
          <w:b/>
          <w:bCs/>
          <w:color w:val="auto"/>
          <w:sz w:val="24"/>
        </w:rPr>
      </w:pPr>
      <w:r>
        <w:rPr>
          <w:rFonts w:hint="eastAsia" w:ascii="宋体" w:hAnsi="宋体" w:cs="宋体"/>
          <w:b/>
          <w:bCs/>
          <w:color w:val="auto"/>
          <w:sz w:val="24"/>
        </w:rPr>
        <w:t>（三）智慧监管平台服务团队要求</w:t>
      </w:r>
    </w:p>
    <w:p>
      <w:pPr>
        <w:pStyle w:val="15"/>
        <w:ind w:firstLine="420" w:firstLineChars="0"/>
        <w:rPr>
          <w:rFonts w:hint="eastAsia" w:ascii="宋体" w:hAnsi="宋体" w:cs="宋体"/>
          <w:color w:val="auto"/>
          <w:sz w:val="24"/>
        </w:rPr>
      </w:pPr>
      <w:r>
        <w:rPr>
          <w:rFonts w:hint="eastAsia" w:ascii="宋体" w:hAnsi="宋体" w:cs="宋体"/>
          <w:color w:val="auto"/>
          <w:sz w:val="24"/>
          <w:szCs w:val="24"/>
        </w:rPr>
        <w:t>投标人须承诺中标后成立远程监管项目部，至少配备</w:t>
      </w:r>
      <w:r>
        <w:rPr>
          <w:rFonts w:ascii="宋体" w:hAnsi="宋体" w:eastAsia="PMingLiU" w:cs="宋体"/>
          <w:color w:val="auto"/>
          <w:sz w:val="24"/>
          <w:szCs w:val="24"/>
        </w:rPr>
        <w:t>6</w:t>
      </w:r>
      <w:r>
        <w:rPr>
          <w:rFonts w:hint="eastAsia" w:ascii="宋体" w:hAnsi="宋体" w:cs="宋体"/>
          <w:color w:val="auto"/>
          <w:sz w:val="24"/>
          <w:szCs w:val="24"/>
        </w:rPr>
        <w:t>名远程智能监管人员，其中平台开发人员2人、2</w:t>
      </w:r>
      <w:r>
        <w:rPr>
          <w:rFonts w:ascii="宋体" w:hAnsi="宋体" w:eastAsia="PMingLiU" w:cs="宋体"/>
          <w:color w:val="auto"/>
          <w:sz w:val="24"/>
          <w:szCs w:val="24"/>
        </w:rPr>
        <w:t>4</w:t>
      </w:r>
      <w:r>
        <w:rPr>
          <w:rFonts w:hint="eastAsia" w:ascii="等线" w:hAnsi="等线" w:eastAsia="等线" w:cs="宋体"/>
          <w:color w:val="auto"/>
          <w:sz w:val="24"/>
          <w:szCs w:val="24"/>
        </w:rPr>
        <w:t>小时</w:t>
      </w:r>
      <w:r>
        <w:rPr>
          <w:rFonts w:hint="eastAsia" w:ascii="宋体" w:hAnsi="宋体" w:cs="宋体"/>
          <w:color w:val="auto"/>
          <w:sz w:val="24"/>
          <w:szCs w:val="24"/>
        </w:rPr>
        <w:t>远程监管分析人员</w:t>
      </w:r>
      <w:r>
        <w:rPr>
          <w:rFonts w:ascii="宋体" w:hAnsi="宋体" w:eastAsia="PMingLiU" w:cs="宋体"/>
          <w:color w:val="auto"/>
          <w:sz w:val="24"/>
          <w:szCs w:val="24"/>
        </w:rPr>
        <w:t>3</w:t>
      </w:r>
      <w:r>
        <w:rPr>
          <w:rFonts w:hint="eastAsia" w:ascii="宋体" w:hAnsi="宋体" w:cs="宋体"/>
          <w:color w:val="auto"/>
          <w:sz w:val="24"/>
          <w:szCs w:val="24"/>
        </w:rPr>
        <w:t>名，后台维护人员1名，需有生活垃圾处置终端1年以上远程智能监管经验。</w:t>
      </w:r>
    </w:p>
    <w:p>
      <w:pPr>
        <w:pStyle w:val="6"/>
        <w:jc w:val="left"/>
        <w:rPr>
          <w:rFonts w:hint="eastAsia" w:ascii="宋体" w:hAnsi="宋体" w:eastAsia="宋体" w:cs="宋体"/>
          <w:color w:val="auto"/>
          <w:sz w:val="24"/>
          <w:szCs w:val="24"/>
        </w:rPr>
      </w:pPr>
      <w:bookmarkStart w:id="13" w:name="_Toc7040"/>
      <w:r>
        <w:rPr>
          <w:rFonts w:hint="eastAsia" w:ascii="宋体" w:hAnsi="宋体" w:eastAsia="宋体" w:cs="宋体"/>
          <w:color w:val="auto"/>
          <w:sz w:val="24"/>
          <w:szCs w:val="24"/>
        </w:rPr>
        <w:t>九、服务期限、服务地点和服务方式（履约时间、地点和方式）：</w:t>
      </w:r>
      <w:bookmarkEnd w:id="13"/>
    </w:p>
    <w:p>
      <w:pPr>
        <w:ind w:firstLine="424" w:firstLineChars="177"/>
        <w:rPr>
          <w:rFonts w:hint="eastAsia" w:ascii="宋体" w:hAnsi="宋体" w:cs="宋体"/>
          <w:color w:val="auto"/>
        </w:rPr>
      </w:pPr>
      <w:r>
        <w:rPr>
          <w:rFonts w:hint="eastAsia" w:ascii="宋体" w:hAnsi="宋体" w:cs="宋体"/>
          <w:color w:val="auto"/>
        </w:rPr>
        <w:t>1.服务期限（履约时间）：自合同签订之日起一年</w:t>
      </w:r>
    </w:p>
    <w:p>
      <w:pPr>
        <w:ind w:firstLine="424" w:firstLineChars="177"/>
        <w:rPr>
          <w:rFonts w:hint="eastAsia" w:ascii="宋体" w:hAnsi="宋体" w:cs="宋体"/>
          <w:color w:val="auto"/>
        </w:rPr>
      </w:pPr>
      <w:r>
        <w:rPr>
          <w:rFonts w:hint="eastAsia" w:ascii="宋体" w:hAnsi="宋体" w:cs="宋体"/>
          <w:color w:val="auto"/>
        </w:rPr>
        <w:t>2.服务地点（履约地点）：采购人指定地点</w:t>
      </w:r>
    </w:p>
    <w:p>
      <w:pPr>
        <w:ind w:firstLine="424" w:firstLineChars="177"/>
        <w:rPr>
          <w:rFonts w:hint="eastAsia" w:ascii="宋体" w:hAnsi="宋体" w:cs="宋体"/>
          <w:color w:val="auto"/>
        </w:rPr>
      </w:pPr>
      <w:r>
        <w:rPr>
          <w:rFonts w:hint="eastAsia" w:ascii="宋体" w:hAnsi="宋体" w:cs="宋体"/>
          <w:color w:val="auto"/>
        </w:rPr>
        <w:t>3.服务方式（履约方式）：</w:t>
      </w:r>
      <w:r>
        <w:rPr>
          <w:rFonts w:hint="eastAsia" w:ascii="宋体" w:hAnsi="宋体" w:cs="宋体"/>
          <w:bCs/>
          <w:color w:val="auto"/>
          <w:kern w:val="0"/>
        </w:rPr>
        <w:t>按本招标文件和中标人投标文件的内容实施</w:t>
      </w:r>
      <w:r>
        <w:rPr>
          <w:rFonts w:hint="eastAsia" w:ascii="宋体" w:hAnsi="宋体" w:cs="宋体"/>
          <w:color w:val="auto"/>
        </w:rPr>
        <w:t>。</w:t>
      </w:r>
    </w:p>
    <w:p>
      <w:pPr>
        <w:pStyle w:val="6"/>
        <w:jc w:val="left"/>
        <w:rPr>
          <w:rFonts w:hint="eastAsia" w:ascii="宋体" w:hAnsi="宋体" w:eastAsia="宋体" w:cs="宋体"/>
          <w:b w:val="0"/>
          <w:bCs w:val="0"/>
          <w:color w:val="auto"/>
          <w:sz w:val="24"/>
          <w:szCs w:val="24"/>
        </w:rPr>
      </w:pPr>
      <w:bookmarkStart w:id="14" w:name="_Toc20595"/>
      <w:r>
        <w:rPr>
          <w:rFonts w:hint="eastAsia" w:ascii="宋体" w:hAnsi="宋体" w:eastAsia="宋体" w:cs="宋体"/>
          <w:color w:val="auto"/>
          <w:sz w:val="24"/>
          <w:szCs w:val="24"/>
        </w:rPr>
        <w:t>十、付款时间、方式及条件：</w:t>
      </w:r>
      <w:r>
        <w:rPr>
          <w:rFonts w:hint="eastAsia" w:ascii="宋体" w:hAnsi="宋体" w:eastAsia="宋体" w:cs="宋体"/>
          <w:b w:val="0"/>
          <w:bCs w:val="0"/>
          <w:color w:val="auto"/>
          <w:sz w:val="24"/>
          <w:szCs w:val="24"/>
        </w:rPr>
        <w:t>由中标人届时与采购人具体协商。</w:t>
      </w:r>
      <w:bookmarkEnd w:id="14"/>
    </w:p>
    <w:p>
      <w:pPr>
        <w:pStyle w:val="6"/>
        <w:jc w:val="left"/>
        <w:rPr>
          <w:rFonts w:hint="eastAsia" w:ascii="宋体" w:hAnsi="宋体" w:eastAsia="宋体" w:cs="宋体"/>
          <w:color w:val="auto"/>
          <w:sz w:val="24"/>
          <w:szCs w:val="24"/>
          <w:lang w:val="en-GB"/>
        </w:rPr>
      </w:pPr>
      <w:bookmarkStart w:id="15" w:name="_Toc32604"/>
      <w:r>
        <w:rPr>
          <w:rFonts w:hint="eastAsia" w:ascii="宋体" w:hAnsi="宋体" w:eastAsia="宋体" w:cs="宋体"/>
          <w:color w:val="auto"/>
          <w:sz w:val="24"/>
          <w:szCs w:val="24"/>
        </w:rPr>
        <w:t>十一、</w:t>
      </w:r>
      <w:r>
        <w:rPr>
          <w:rFonts w:hint="eastAsia" w:ascii="宋体" w:hAnsi="宋体" w:eastAsia="宋体" w:cs="宋体"/>
          <w:color w:val="auto"/>
          <w:sz w:val="24"/>
          <w:szCs w:val="24"/>
          <w:lang w:val="en-GB"/>
        </w:rPr>
        <w:t>其他：</w:t>
      </w:r>
      <w:bookmarkEnd w:id="15"/>
    </w:p>
    <w:p>
      <w:pPr>
        <w:numPr>
          <w:ilvl w:val="0"/>
          <w:numId w:val="7"/>
        </w:numPr>
        <w:ind w:firstLineChars="0"/>
        <w:rPr>
          <w:rFonts w:hint="eastAsia" w:ascii="宋体" w:hAnsi="宋体" w:cs="宋体"/>
          <w:bCs/>
          <w:color w:val="auto"/>
          <w:lang w:val="en-GB"/>
        </w:rPr>
      </w:pPr>
      <w:r>
        <w:rPr>
          <w:rFonts w:hint="eastAsia" w:ascii="宋体" w:hAnsi="宋体" w:cs="宋体"/>
          <w:bCs/>
          <w:color w:val="auto"/>
          <w:lang w:val="en-GB"/>
        </w:rPr>
        <w:t>项目的实质性要求：按本招标文件要求和中标方投标文件内容实施。</w:t>
      </w:r>
    </w:p>
    <w:p>
      <w:pPr>
        <w:numPr>
          <w:ilvl w:val="0"/>
          <w:numId w:val="7"/>
        </w:numPr>
        <w:ind w:firstLineChars="0"/>
        <w:rPr>
          <w:rFonts w:hint="eastAsia" w:ascii="宋体" w:hAnsi="宋体" w:cs="宋体"/>
          <w:bCs/>
          <w:color w:val="auto"/>
          <w:lang w:val="en-GB"/>
        </w:rPr>
      </w:pPr>
      <w:r>
        <w:rPr>
          <w:rFonts w:hint="eastAsia" w:ascii="宋体" w:hAnsi="宋体" w:cs="宋体"/>
          <w:bCs/>
          <w:color w:val="auto"/>
          <w:lang w:val="en-GB"/>
        </w:rPr>
        <w:t>合同的实质性条款：采购人与中标人的名称和住所、标的、数量、质量、价款或者报酬、履行期限及地点和方式、验收要求、违约责任、解决争议的方法等内容。</w:t>
      </w:r>
    </w:p>
    <w:p>
      <w:pPr>
        <w:numPr>
          <w:ilvl w:val="0"/>
          <w:numId w:val="7"/>
        </w:numPr>
        <w:ind w:firstLineChars="0"/>
        <w:rPr>
          <w:rFonts w:hint="eastAsia" w:ascii="宋体" w:hAnsi="宋体" w:cs="宋体"/>
          <w:bCs/>
          <w:color w:val="auto"/>
          <w:lang w:val="en-GB"/>
        </w:rPr>
      </w:pPr>
      <w:r>
        <w:rPr>
          <w:rFonts w:hint="eastAsia" w:ascii="宋体" w:hAnsi="宋体" w:cs="宋体"/>
          <w:bCs/>
          <w:color w:val="auto"/>
          <w:lang w:val="en-GB"/>
        </w:rPr>
        <w:t>安全标准：符合国家、地方和行业的相关政策、法规</w:t>
      </w:r>
    </w:p>
    <w:p>
      <w:pPr>
        <w:pStyle w:val="7"/>
        <w:numPr>
          <w:ilvl w:val="0"/>
          <w:numId w:val="7"/>
        </w:numPr>
        <w:ind w:firstLineChars="0"/>
        <w:rPr>
          <w:rFonts w:hint="eastAsia"/>
          <w:bCs/>
          <w:color w:val="auto"/>
          <w:lang w:val="en-GB"/>
        </w:rPr>
      </w:pPr>
      <w:r>
        <w:rPr>
          <w:rFonts w:hint="eastAsia"/>
          <w:bCs/>
          <w:color w:val="auto"/>
          <w:lang w:val="en-GB"/>
        </w:rPr>
        <w:t>验收方法及标准：按本招标文件和投标文件的内容及国家、地方和行业的相关政策、法规实施。</w:t>
      </w:r>
    </w:p>
    <w:p>
      <w:pPr>
        <w:numPr>
          <w:ilvl w:val="0"/>
          <w:numId w:val="7"/>
        </w:numPr>
        <w:ind w:firstLineChars="0"/>
        <w:rPr>
          <w:rFonts w:hint="eastAsia" w:ascii="宋体" w:hAnsi="宋体" w:cs="宋体"/>
          <w:bCs/>
          <w:color w:val="auto"/>
          <w:lang w:val="en-GB"/>
        </w:rPr>
      </w:pPr>
      <w:r>
        <w:rPr>
          <w:rFonts w:hint="eastAsia" w:ascii="宋体" w:hAnsi="宋体" w:cs="宋体"/>
          <w:bCs/>
          <w:color w:val="auto"/>
          <w:lang w:val="en-GB"/>
        </w:rPr>
        <w:t>法律法规规定的强制性标准：无</w:t>
      </w:r>
    </w:p>
    <w:p>
      <w:pPr>
        <w:numPr>
          <w:ilvl w:val="0"/>
          <w:numId w:val="7"/>
        </w:numPr>
        <w:ind w:firstLineChars="0"/>
        <w:rPr>
          <w:rFonts w:ascii="宋体" w:hAnsi="宋体" w:cs="宋体"/>
          <w:bCs/>
          <w:color w:val="auto"/>
        </w:rPr>
      </w:pPr>
      <w:r>
        <w:rPr>
          <w:rFonts w:hint="eastAsia" w:ascii="宋体" w:hAnsi="宋体" w:cs="宋体"/>
          <w:bCs/>
          <w:color w:val="auto"/>
        </w:rPr>
        <w:t>服务期满后，</w:t>
      </w:r>
      <w:r>
        <w:rPr>
          <w:rFonts w:hint="eastAsia" w:ascii="宋体" w:hAnsi="宋体" w:cs="宋体"/>
          <w:bCs/>
          <w:color w:val="auto"/>
          <w:lang w:val="en-GB"/>
        </w:rPr>
        <w:t>智慧监管平台</w:t>
      </w:r>
      <w:r>
        <w:rPr>
          <w:rFonts w:hint="eastAsia" w:ascii="宋体" w:hAnsi="宋体" w:cs="宋体"/>
          <w:bCs/>
          <w:color w:val="auto"/>
        </w:rPr>
        <w:t>软件使用权及配套设备所有权归采购人所有，中标人应配合完成相关设备、文档移交工作及软件平台使用培训工作。</w:t>
      </w:r>
    </w:p>
    <w:p>
      <w:pPr>
        <w:ind w:firstLine="482"/>
        <w:rPr>
          <w:rFonts w:hint="eastAsia" w:ascii="宋体" w:hAnsi="宋体" w:cs="宋体"/>
          <w:b/>
          <w:bCs/>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108C"/>
    <w:multiLevelType w:val="singleLevel"/>
    <w:tmpl w:val="15B2108C"/>
    <w:lvl w:ilvl="0" w:tentative="0">
      <w:start w:val="1"/>
      <w:numFmt w:val="decimal"/>
      <w:suff w:val="nothing"/>
      <w:lvlText w:val="%1．"/>
      <w:lvlJc w:val="left"/>
      <w:pPr>
        <w:ind w:left="0" w:firstLine="400"/>
      </w:pPr>
      <w:rPr>
        <w:rFonts w:hint="default"/>
      </w:rPr>
    </w:lvl>
  </w:abstractNum>
  <w:abstractNum w:abstractNumId="1">
    <w:nsid w:val="368F4DCA"/>
    <w:multiLevelType w:val="multilevel"/>
    <w:tmpl w:val="368F4DC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1403DDD"/>
    <w:multiLevelType w:val="singleLevel"/>
    <w:tmpl w:val="41403DDD"/>
    <w:lvl w:ilvl="0" w:tentative="0">
      <w:start w:val="1"/>
      <w:numFmt w:val="chineseCounting"/>
      <w:suff w:val="nothing"/>
      <w:lvlText w:val="（%1）"/>
      <w:lvlJc w:val="left"/>
      <w:rPr>
        <w:rFonts w:hint="eastAsia"/>
      </w:rPr>
    </w:lvl>
  </w:abstractNum>
  <w:abstractNum w:abstractNumId="3">
    <w:nsid w:val="42B83EB5"/>
    <w:multiLevelType w:val="multilevel"/>
    <w:tmpl w:val="42B83EB5"/>
    <w:lvl w:ilvl="0" w:tentative="0">
      <w:start w:val="1"/>
      <w:numFmt w:val="decimal"/>
      <w:suff w:val="space"/>
      <w:lvlText w:val="第%1章"/>
      <w:lvlJc w:val="left"/>
      <w:pPr>
        <w:ind w:left="425" w:hanging="425"/>
      </w:pPr>
      <w:rPr>
        <w:rFonts w:hint="eastAsia"/>
      </w:rPr>
    </w:lvl>
    <w:lvl w:ilvl="1" w:tentative="0">
      <w:start w:val="1"/>
      <w:numFmt w:val="decimal"/>
      <w:pStyle w:val="10"/>
      <w:suff w:val="space"/>
      <w:lvlText w:val="%1.%2"/>
      <w:lvlJc w:val="left"/>
      <w:pPr>
        <w:ind w:left="2978" w:firstLine="0"/>
      </w:pPr>
      <w:rPr>
        <w:rFonts w:hint="default" w:ascii="Times New Roman" w:hAnsi="Times New Roman" w:eastAsia="黑体"/>
        <w:b/>
        <w:i w:val="0"/>
        <w:sz w:val="30"/>
      </w:rPr>
    </w:lvl>
    <w:lvl w:ilvl="2" w:tentative="0">
      <w:start w:val="1"/>
      <w:numFmt w:val="decimal"/>
      <w:pStyle w:val="16"/>
      <w:isLgl/>
      <w:suff w:val="space"/>
      <w:lvlText w:val="%1.%2.%3"/>
      <w:lvlJc w:val="left"/>
      <w:pPr>
        <w:ind w:left="993" w:firstLine="0"/>
      </w:pPr>
      <w:rPr>
        <w:rFonts w:hint="default" w:ascii="Times New Roman" w:hAnsi="Times New Roman"/>
        <w:b/>
        <w:i w:val="0"/>
        <w:sz w:val="28"/>
      </w:rPr>
    </w:lvl>
    <w:lvl w:ilvl="3" w:tentative="0">
      <w:start w:val="1"/>
      <w:numFmt w:val="decimal"/>
      <w:suff w:val="space"/>
      <w:lvlText w:val="%1.%2.%3.%4"/>
      <w:lvlJc w:val="center"/>
      <w:pPr>
        <w:ind w:left="0" w:firstLine="0"/>
      </w:pPr>
      <w:rPr>
        <w:rFonts w:hint="eastAsia"/>
        <w:lang w:val="en-US"/>
      </w:rPr>
    </w:lvl>
    <w:lvl w:ilvl="4" w:tentative="0">
      <w:start w:val="1"/>
      <w:numFmt w:val="decimal"/>
      <w:lvlRestart w:val="1"/>
      <w:suff w:val="space"/>
      <w:lvlText w:val="图%1-%5"/>
      <w:lvlJc w:val="center"/>
      <w:pPr>
        <w:ind w:left="7372" w:firstLine="0"/>
      </w:pPr>
      <w:rPr>
        <w:rFonts w:hint="eastAsia"/>
        <w:b w:val="0"/>
        <w:bCs w:val="0"/>
        <w:i w:val="0"/>
        <w:iCs w:val="0"/>
        <w:caps w:val="0"/>
        <w:smallCaps w:val="0"/>
        <w:strike w:val="0"/>
        <w:dstrike w:val="0"/>
        <w:vanish w:val="0"/>
        <w:color w:val="000000"/>
        <w:spacing w:val="0"/>
        <w:position w:val="0"/>
        <w:u w:val="none"/>
        <w:vertAlign w:val="baseline"/>
      </w:rPr>
    </w:lvl>
    <w:lvl w:ilvl="5" w:tentative="0">
      <w:start w:val="1"/>
      <w:numFmt w:val="decimal"/>
      <w:lvlRestart w:val="1"/>
      <w:pStyle w:val="17"/>
      <w:suff w:val="space"/>
      <w:lvlText w:val="表%1-%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1FC93CA"/>
    <w:multiLevelType w:val="singleLevel"/>
    <w:tmpl w:val="51FC93CA"/>
    <w:lvl w:ilvl="0" w:tentative="0">
      <w:start w:val="1"/>
      <w:numFmt w:val="chineseCounting"/>
      <w:pStyle w:val="5"/>
      <w:lvlText w:val="第%1章"/>
      <w:lvlJc w:val="left"/>
      <w:pPr>
        <w:ind w:left="817" w:hanging="420"/>
      </w:pPr>
      <w:rPr>
        <w:rFonts w:hint="eastAsia"/>
      </w:rPr>
    </w:lvl>
  </w:abstractNum>
  <w:abstractNum w:abstractNumId="5">
    <w:nsid w:val="57133F65"/>
    <w:multiLevelType w:val="multilevel"/>
    <w:tmpl w:val="57133F65"/>
    <w:lvl w:ilvl="0" w:tentative="0">
      <w:start w:val="1"/>
      <w:numFmt w:val="decimal"/>
      <w:lvlText w:val="第%1章 "/>
      <w:lvlJc w:val="left"/>
      <w:pPr>
        <w:tabs>
          <w:tab w:val="left" w:pos="425"/>
        </w:tabs>
        <w:ind w:left="425" w:hanging="425"/>
      </w:pPr>
      <w:rPr>
        <w:rFonts w:hint="eastAsia"/>
      </w:rPr>
    </w:lvl>
    <w:lvl w:ilvl="1" w:tentative="0">
      <w:start w:val="1"/>
      <w:numFmt w:val="decimal"/>
      <w:pStyle w:val="11"/>
      <w:lvlText w:val="%1.%2 "/>
      <w:lvlJc w:val="left"/>
      <w:pPr>
        <w:tabs>
          <w:tab w:val="left" w:pos="567"/>
        </w:tabs>
        <w:ind w:left="567" w:hanging="567"/>
      </w:pPr>
      <w:rPr>
        <w:rFonts w:hint="eastAsia"/>
      </w:rPr>
    </w:lvl>
    <w:lvl w:ilvl="2" w:tentative="0">
      <w:start w:val="1"/>
      <w:numFmt w:val="decimal"/>
      <w:pStyle w:val="12"/>
      <w:lvlText w:val="%1.%2.%3 "/>
      <w:lvlJc w:val="left"/>
      <w:pPr>
        <w:tabs>
          <w:tab w:val="left" w:pos="709"/>
        </w:tabs>
        <w:ind w:left="709" w:hanging="709"/>
      </w:pPr>
      <w:rPr>
        <w:rFonts w:hint="eastAsia"/>
      </w:rPr>
    </w:lvl>
    <w:lvl w:ilvl="3" w:tentative="0">
      <w:start w:val="1"/>
      <w:numFmt w:val="decimal"/>
      <w:pStyle w:val="13"/>
      <w:lvlText w:val="%1.%2.%3.%4 "/>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6835147B"/>
    <w:multiLevelType w:val="multilevel"/>
    <w:tmpl w:val="6835147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4C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Times New Roman" w:hAnsi="Times New Roman" w:eastAsia="宋体" w:cs="Times New Roman"/>
      <w:kern w:val="2"/>
      <w:sz w:val="24"/>
      <w:szCs w:val="24"/>
      <w:lang w:val="en-US" w:eastAsia="zh-CN" w:bidi="ar-SA"/>
    </w:rPr>
  </w:style>
  <w:style w:type="paragraph" w:styleId="5">
    <w:name w:val="heading 1"/>
    <w:basedOn w:val="1"/>
    <w:next w:val="1"/>
    <w:qFormat/>
    <w:uiPriority w:val="0"/>
    <w:pPr>
      <w:keepNext/>
      <w:keepLines/>
      <w:numPr>
        <w:ilvl w:val="0"/>
        <w:numId w:val="1"/>
      </w:numPr>
      <w:tabs>
        <w:tab w:val="left" w:pos="420"/>
      </w:tabs>
      <w:spacing w:before="140" w:after="130"/>
      <w:ind w:left="816" w:firstLine="0" w:firstLineChars="0"/>
      <w:jc w:val="center"/>
      <w:outlineLvl w:val="0"/>
    </w:pPr>
    <w:rPr>
      <w:b/>
      <w:bCs/>
      <w:kern w:val="44"/>
      <w:sz w:val="32"/>
      <w:szCs w:val="44"/>
    </w:rPr>
  </w:style>
  <w:style w:type="paragraph" w:styleId="6">
    <w:name w:val="heading 2"/>
    <w:basedOn w:val="1"/>
    <w:next w:val="1"/>
    <w:qFormat/>
    <w:uiPriority w:val="0"/>
    <w:pPr>
      <w:keepNext/>
      <w:keepLines/>
      <w:spacing w:line="360" w:lineRule="auto"/>
      <w:ind w:firstLine="0" w:firstLineChars="0"/>
      <w:jc w:val="center"/>
      <w:outlineLvl w:val="1"/>
    </w:pPr>
    <w:rPr>
      <w:rFonts w:ascii="Arial" w:hAnsi="Arial" w:eastAsia="黑体"/>
      <w:b/>
      <w:bCs/>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sz w:val="21"/>
      <w:szCs w:val="22"/>
    </w:rPr>
  </w:style>
  <w:style w:type="paragraph" w:styleId="3">
    <w:name w:val="Body Text Indent"/>
    <w:basedOn w:val="1"/>
    <w:next w:val="4"/>
    <w:uiPriority w:val="0"/>
    <w:pPr>
      <w:spacing w:line="460" w:lineRule="exact"/>
      <w:ind w:firstLine="480" w:firstLineChars="200"/>
    </w:pPr>
    <w:rPr>
      <w:rFonts w:ascii="宋体" w:hAnsi="宋体"/>
      <w:sz w:val="24"/>
    </w:r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7">
    <w:name w:val="Body Text"/>
    <w:basedOn w:val="1"/>
    <w:uiPriority w:val="0"/>
    <w:pPr>
      <w:spacing w:after="120" w:afterLines="0"/>
    </w:pPr>
  </w:style>
  <w:style w:type="paragraph" w:customStyle="1" w:styleId="10">
    <w:name w:val="CR二级标题"/>
    <w:basedOn w:val="11"/>
    <w:next w:val="1"/>
    <w:qFormat/>
    <w:uiPriority w:val="0"/>
    <w:pPr>
      <w:numPr>
        <w:ilvl w:val="1"/>
        <w:numId w:val="2"/>
      </w:numPr>
      <w:tabs>
        <w:tab w:val="left" w:pos="567"/>
      </w:tabs>
      <w:spacing w:before="100" w:beforeLines="100" w:after="50" w:afterLines="50"/>
      <w:ind w:left="0"/>
    </w:pPr>
    <w:rPr>
      <w:kern w:val="0"/>
      <w:szCs w:val="28"/>
    </w:rPr>
  </w:style>
  <w:style w:type="paragraph" w:customStyle="1" w:styleId="11">
    <w:name w:val="cucd-2"/>
    <w:next w:val="12"/>
    <w:qFormat/>
    <w:uiPriority w:val="0"/>
    <w:pPr>
      <w:numPr>
        <w:ilvl w:val="1"/>
        <w:numId w:val="3"/>
      </w:numPr>
      <w:spacing w:line="360" w:lineRule="auto"/>
      <w:outlineLvl w:val="1"/>
    </w:pPr>
    <w:rPr>
      <w:rFonts w:ascii="Times New Roman" w:hAnsi="Times New Roman" w:eastAsia="黑体" w:cs="Times New Roman"/>
      <w:b/>
      <w:kern w:val="2"/>
      <w:sz w:val="30"/>
      <w:szCs w:val="24"/>
      <w:lang w:val="en-US" w:eastAsia="zh-CN" w:bidi="ar-SA"/>
    </w:rPr>
  </w:style>
  <w:style w:type="paragraph" w:customStyle="1" w:styleId="12">
    <w:name w:val="cucd-3"/>
    <w:next w:val="13"/>
    <w:qFormat/>
    <w:uiPriority w:val="0"/>
    <w:pPr>
      <w:numPr>
        <w:ilvl w:val="2"/>
        <w:numId w:val="3"/>
      </w:numPr>
      <w:spacing w:line="360" w:lineRule="auto"/>
      <w:outlineLvl w:val="2"/>
    </w:pPr>
    <w:rPr>
      <w:rFonts w:ascii="Times New Roman" w:hAnsi="Times New Roman" w:eastAsia="宋体" w:cs="Times New Roman"/>
      <w:b/>
      <w:sz w:val="28"/>
      <w:szCs w:val="24"/>
      <w:lang w:val="en-US" w:eastAsia="zh-CN" w:bidi="ar-SA"/>
    </w:rPr>
  </w:style>
  <w:style w:type="paragraph" w:customStyle="1" w:styleId="13">
    <w:name w:val="cucd-4"/>
    <w:next w:val="14"/>
    <w:qFormat/>
    <w:uiPriority w:val="0"/>
    <w:pPr>
      <w:numPr>
        <w:ilvl w:val="3"/>
        <w:numId w:val="3"/>
      </w:numPr>
      <w:spacing w:line="360" w:lineRule="auto"/>
      <w:outlineLvl w:val="3"/>
    </w:pPr>
    <w:rPr>
      <w:rFonts w:ascii="Times New Roman" w:hAnsi="Times New Roman" w:eastAsia="宋体" w:cs="Times New Roman"/>
      <w:b/>
      <w:sz w:val="24"/>
      <w:szCs w:val="24"/>
      <w:lang w:val="en-US" w:eastAsia="zh-CN" w:bidi="ar-SA"/>
    </w:rPr>
  </w:style>
  <w:style w:type="paragraph" w:customStyle="1" w:styleId="14">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5">
    <w:name w:val="CR-正文"/>
    <w:basedOn w:val="1"/>
    <w:qFormat/>
    <w:uiPriority w:val="0"/>
    <w:pPr>
      <w:widowControl/>
      <w:spacing w:line="360" w:lineRule="auto"/>
      <w:ind w:firstLine="200" w:firstLineChars="200"/>
    </w:pPr>
    <w:rPr>
      <w:kern w:val="0"/>
      <w:sz w:val="28"/>
      <w:szCs w:val="20"/>
    </w:rPr>
  </w:style>
  <w:style w:type="paragraph" w:customStyle="1" w:styleId="16">
    <w:name w:val="CR三级标题"/>
    <w:basedOn w:val="12"/>
    <w:next w:val="15"/>
    <w:qFormat/>
    <w:uiPriority w:val="0"/>
    <w:pPr>
      <w:numPr>
        <w:ilvl w:val="2"/>
        <w:numId w:val="2"/>
      </w:numPr>
      <w:ind w:left="0"/>
    </w:pPr>
    <w:rPr>
      <w:rFonts w:eastAsia="黑体"/>
    </w:rPr>
  </w:style>
  <w:style w:type="paragraph" w:customStyle="1" w:styleId="17">
    <w:name w:val="CR-表头"/>
    <w:basedOn w:val="1"/>
    <w:next w:val="15"/>
    <w:qFormat/>
    <w:uiPriority w:val="0"/>
    <w:pPr>
      <w:widowControl/>
      <w:numPr>
        <w:ilvl w:val="5"/>
        <w:numId w:val="2"/>
      </w:numPr>
      <w:ind w:left="0" w:firstLine="0"/>
      <w:jc w:val="center"/>
    </w:pPr>
    <w:rPr>
      <w:rFonts w:eastAsia="黑体"/>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2020-08-10T10:25:15Z</dcterms:created>
  <dc:creator>Administrator</dc:creator>
  <cp:lastModifiedBy>LH</cp:lastModifiedBy>
  <dcterms:modified xsi:type="dcterms:W3CDTF">2020-08-10T10:25:46Z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