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beforeLines="100" w:line="440" w:lineRule="exact"/>
        <w:ind w:firstLine="0" w:firstLineChars="0"/>
        <w:rPr>
          <w:rFonts w:ascii="Georgia" w:hAnsi="Georgia"/>
          <w:bCs/>
          <w:i/>
          <w:iCs/>
          <w:sz w:val="84"/>
          <w:szCs w:val="84"/>
        </w:rPr>
      </w:pPr>
    </w:p>
    <w:p>
      <w:pPr>
        <w:snapToGrid w:val="0"/>
        <w:spacing w:before="240" w:beforeLines="100" w:line="440" w:lineRule="exact"/>
        <w:ind w:firstLine="0" w:firstLineChars="0"/>
        <w:rPr>
          <w:rFonts w:ascii="楷体_GB2312" w:hAnsi="新宋体" w:eastAsia="楷体_GB2312"/>
          <w:b/>
          <w:color w:val="000000"/>
          <w:sz w:val="48"/>
          <w:szCs w:val="48"/>
        </w:rPr>
      </w:pPr>
      <w:r>
        <w:rPr>
          <w:rFonts w:ascii="Georgia" w:hAnsi="Georgia"/>
          <w:b/>
          <w:i/>
          <w:iCs/>
          <w:color w:val="FF0000"/>
          <w:sz w:val="84"/>
          <w:szCs w:val="84"/>
        </w:rPr>
        <w:t xml:space="preserve"> </w:t>
      </w:r>
      <w:r>
        <w:rPr>
          <w:rFonts w:hint="eastAsia" w:ascii="Georgia" w:hAnsi="Georgia"/>
          <w:b/>
          <w:i/>
          <w:iCs/>
          <w:color w:val="FF0000"/>
          <w:sz w:val="84"/>
          <w:szCs w:val="84"/>
        </w:rPr>
        <w:t xml:space="preserve"> </w:t>
      </w:r>
      <w:r>
        <w:rPr>
          <w:rFonts w:ascii="Georgia" w:hAnsi="Georgia" w:eastAsia="Dotum"/>
          <w:b/>
          <w:i/>
          <w:iCs/>
          <w:color w:val="FF0000"/>
          <w:sz w:val="84"/>
          <w:szCs w:val="84"/>
        </w:rPr>
        <w:t>ZD</w:t>
      </w:r>
      <w:r>
        <w:rPr>
          <w:rFonts w:hint="eastAsia" w:ascii="楷体_GB2312" w:hAnsi="新宋体" w:eastAsia="楷体_GB2312"/>
          <w:b/>
          <w:color w:val="000000"/>
          <w:sz w:val="48"/>
          <w:szCs w:val="48"/>
        </w:rPr>
        <w:t>海南政鼎招标代理有限公司</w:t>
      </w:r>
    </w:p>
    <w:p>
      <w:pPr>
        <w:spacing w:line="440" w:lineRule="exact"/>
        <w:ind w:firstLine="643"/>
        <w:jc w:val="center"/>
        <w:rPr>
          <w:rFonts w:hAnsi="宋体"/>
          <w:b/>
          <w:i/>
          <w:color w:val="000000"/>
          <w:sz w:val="32"/>
          <w:szCs w:val="32"/>
        </w:rPr>
      </w:pPr>
      <w:r>
        <w:rPr>
          <w:rFonts w:hint="eastAsia" w:hAnsi="宋体"/>
          <w:b/>
          <w:i/>
          <w:color w:val="000000"/>
          <w:sz w:val="32"/>
          <w:szCs w:val="32"/>
        </w:rPr>
        <w:t xml:space="preserve">  </w:t>
      </w:r>
      <w:r>
        <w:rPr>
          <w:rFonts w:hAnsi="宋体"/>
          <w:b/>
          <w:i/>
          <w:color w:val="000000"/>
          <w:sz w:val="32"/>
          <w:szCs w:val="32"/>
        </w:rPr>
        <w:t>HAINAN ZHENGDING ZHAOBIAODAILI CO.LTD</w:t>
      </w:r>
    </w:p>
    <w:p>
      <w:pPr>
        <w:ind w:firstLine="1044"/>
        <w:jc w:val="center"/>
        <w:rPr>
          <w:rFonts w:hAnsi="宋体"/>
          <w:b/>
          <w:bCs/>
          <w:color w:val="FF0000"/>
          <w:sz w:val="52"/>
          <w:szCs w:val="52"/>
        </w:rPr>
      </w:pPr>
    </w:p>
    <w:p>
      <w:pPr>
        <w:ind w:firstLine="2088" w:firstLineChars="400"/>
        <w:jc w:val="both"/>
        <w:rPr>
          <w:rFonts w:hAnsi="宋体"/>
          <w:b/>
          <w:bCs/>
          <w:color w:val="FF0000"/>
          <w:sz w:val="52"/>
          <w:szCs w:val="52"/>
        </w:rPr>
      </w:pPr>
      <w:r>
        <w:rPr>
          <w:rFonts w:hint="eastAsia" w:hAnsi="宋体"/>
          <w:b/>
          <w:bCs/>
          <w:color w:val="FF0000"/>
          <w:sz w:val="52"/>
          <w:szCs w:val="52"/>
        </w:rPr>
        <w:t>政府采购公开招标文件</w:t>
      </w:r>
    </w:p>
    <w:p>
      <w:pPr>
        <w:ind w:firstLine="1044"/>
        <w:jc w:val="center"/>
        <w:rPr>
          <w:rFonts w:hAnsi="宋体"/>
          <w:b/>
          <w:bCs/>
          <w:color w:val="FF0000"/>
          <w:sz w:val="52"/>
          <w:szCs w:val="52"/>
        </w:rPr>
      </w:pPr>
    </w:p>
    <w:p>
      <w:pPr>
        <w:ind w:firstLine="0" w:firstLineChars="0"/>
        <w:jc w:val="center"/>
        <w:rPr>
          <w:rFonts w:hAnsi="宋体"/>
          <w:b/>
          <w:bCs/>
          <w:sz w:val="44"/>
          <w:szCs w:val="44"/>
        </w:rPr>
      </w:pPr>
      <w:r>
        <w:rPr>
          <w:rFonts w:hint="eastAsia" w:hAnsi="宋体"/>
          <w:b/>
          <w:bCs/>
          <w:sz w:val="44"/>
          <w:szCs w:val="44"/>
        </w:rPr>
        <w:t>项目名称:化工学院“双一流”特色优势学科建设项目</w:t>
      </w:r>
    </w:p>
    <w:p>
      <w:pPr>
        <w:ind w:firstLine="0" w:firstLineChars="0"/>
        <w:jc w:val="center"/>
        <w:rPr>
          <w:rFonts w:hAnsi="宋体"/>
          <w:b/>
          <w:bCs/>
          <w:sz w:val="44"/>
          <w:szCs w:val="44"/>
        </w:rPr>
      </w:pPr>
    </w:p>
    <w:p>
      <w:pPr>
        <w:ind w:firstLine="0" w:firstLineChars="0"/>
        <w:jc w:val="center"/>
        <w:rPr>
          <w:rFonts w:hAnsi="宋体"/>
          <w:b/>
          <w:bCs/>
          <w:sz w:val="44"/>
          <w:szCs w:val="44"/>
        </w:rPr>
      </w:pPr>
      <w:r>
        <w:rPr>
          <w:rFonts w:hint="eastAsia" w:hAnsi="宋体"/>
          <w:b/>
          <w:bCs/>
          <w:sz w:val="44"/>
          <w:szCs w:val="44"/>
        </w:rPr>
        <w:t>项目编号：ZD2020-628</w:t>
      </w:r>
    </w:p>
    <w:p>
      <w:pPr>
        <w:ind w:firstLine="883"/>
        <w:jc w:val="center"/>
        <w:rPr>
          <w:rFonts w:hAnsi="宋体" w:cs="宋体"/>
          <w:b/>
          <w:bCs/>
          <w:color w:val="000000"/>
          <w:sz w:val="44"/>
          <w:szCs w:val="44"/>
        </w:rPr>
      </w:pPr>
    </w:p>
    <w:p>
      <w:pPr>
        <w:ind w:firstLine="2209" w:firstLineChars="500"/>
        <w:jc w:val="both"/>
        <w:rPr>
          <w:rFonts w:hAnsi="宋体"/>
          <w:b/>
          <w:bCs/>
          <w:sz w:val="44"/>
          <w:szCs w:val="44"/>
        </w:rPr>
      </w:pPr>
      <w:r>
        <w:rPr>
          <w:rFonts w:hint="eastAsia" w:hAnsi="宋体"/>
          <w:b/>
          <w:bCs/>
          <w:sz w:val="44"/>
          <w:szCs w:val="44"/>
        </w:rPr>
        <w:t>采购人:海南师范大学</w:t>
      </w:r>
    </w:p>
    <w:p>
      <w:pPr>
        <w:ind w:firstLine="1928" w:firstLineChars="400"/>
        <w:jc w:val="both"/>
        <w:rPr>
          <w:rFonts w:hAnsi="宋体"/>
          <w:b/>
          <w:bCs/>
          <w:sz w:val="48"/>
          <w:szCs w:val="48"/>
        </w:rPr>
      </w:pPr>
    </w:p>
    <w:p>
      <w:pPr>
        <w:pStyle w:val="30"/>
        <w:spacing w:line="480" w:lineRule="auto"/>
        <w:ind w:firstLine="3092" w:firstLineChars="700"/>
        <w:rPr>
          <w:rFonts w:hAnsi="宋体" w:cs="宋体"/>
          <w:b/>
          <w:bCs/>
          <w:color w:val="000000"/>
          <w:kern w:val="0"/>
          <w:sz w:val="44"/>
          <w:szCs w:val="44"/>
        </w:rPr>
      </w:pPr>
      <w:bookmarkStart w:id="0" w:name="OLE_LINK12"/>
      <w:r>
        <w:rPr>
          <w:rFonts w:hint="eastAsia" w:hAnsi="宋体" w:cs="宋体"/>
          <w:b/>
          <w:bCs/>
          <w:color w:val="000000"/>
          <w:kern w:val="0"/>
          <w:sz w:val="44"/>
          <w:szCs w:val="44"/>
        </w:rPr>
        <w:t>二</w:t>
      </w:r>
      <w:r>
        <w:rPr>
          <w:rFonts w:hAnsi="宋体" w:cs="宋体"/>
          <w:b/>
          <w:bCs/>
          <w:color w:val="000000"/>
          <w:kern w:val="0"/>
          <w:sz w:val="44"/>
          <w:szCs w:val="44"/>
        </w:rPr>
        <w:t>0</w:t>
      </w:r>
      <w:bookmarkEnd w:id="0"/>
      <w:r>
        <w:rPr>
          <w:rFonts w:hint="eastAsia" w:hAnsi="宋体" w:cs="宋体"/>
          <w:b/>
          <w:bCs/>
          <w:color w:val="000000"/>
          <w:kern w:val="0"/>
          <w:sz w:val="44"/>
          <w:szCs w:val="44"/>
        </w:rPr>
        <w:t>二</w:t>
      </w:r>
      <w:r>
        <w:rPr>
          <w:rFonts w:hAnsi="宋体" w:cs="宋体"/>
          <w:b/>
          <w:bCs/>
          <w:color w:val="000000"/>
          <w:kern w:val="0"/>
          <w:sz w:val="44"/>
          <w:szCs w:val="44"/>
        </w:rPr>
        <w:t>0</w:t>
      </w:r>
      <w:r>
        <w:rPr>
          <w:rFonts w:hint="eastAsia" w:hAnsi="宋体" w:cs="宋体"/>
          <w:b/>
          <w:bCs/>
          <w:color w:val="000000"/>
          <w:kern w:val="0"/>
          <w:sz w:val="44"/>
          <w:szCs w:val="44"/>
        </w:rPr>
        <w:t>年六月</w:t>
      </w:r>
    </w:p>
    <w:p>
      <w:pPr>
        <w:ind w:firstLine="1044"/>
        <w:jc w:val="both"/>
        <w:rPr>
          <w:rFonts w:hAnsi="宋体"/>
          <w:b/>
          <w:bCs/>
          <w:color w:val="FF0000"/>
          <w:sz w:val="52"/>
          <w:szCs w:val="52"/>
        </w:rPr>
      </w:pPr>
    </w:p>
    <w:p>
      <w:pPr>
        <w:pStyle w:val="2"/>
        <w:spacing w:line="360" w:lineRule="exact"/>
        <w:ind w:left="240" w:right="240"/>
        <w:rPr>
          <w:rFonts w:ascii="宋体" w:hAnsi="宋体" w:eastAsia="宋体"/>
          <w:bCs/>
          <w:sz w:val="44"/>
          <w:szCs w:val="44"/>
        </w:rPr>
      </w:pPr>
      <w:r>
        <w:rPr>
          <w:rFonts w:ascii="宋体" w:hAnsi="宋体" w:eastAsia="宋体"/>
          <w:bCs/>
          <w:sz w:val="44"/>
          <w:szCs w:val="44"/>
        </w:rPr>
        <w:t xml:space="preserve">                </w:t>
      </w:r>
    </w:p>
    <w:p>
      <w:pPr>
        <w:pStyle w:val="2"/>
        <w:spacing w:line="360" w:lineRule="exact"/>
        <w:ind w:left="240" w:right="240"/>
        <w:rPr>
          <w:rFonts w:ascii="宋体" w:hAnsi="宋体" w:eastAsia="宋体"/>
          <w:bCs/>
          <w:sz w:val="44"/>
          <w:szCs w:val="44"/>
        </w:rPr>
      </w:pPr>
      <w:r>
        <w:rPr>
          <w:rFonts w:ascii="宋体" w:hAnsi="宋体" w:eastAsia="宋体"/>
          <w:bCs/>
          <w:sz w:val="44"/>
          <w:szCs w:val="44"/>
        </w:rPr>
        <w:t xml:space="preserve">               </w:t>
      </w:r>
      <w:r>
        <w:rPr>
          <w:rFonts w:hint="eastAsia" w:ascii="宋体" w:hAnsi="宋体" w:eastAsia="宋体"/>
          <w:bCs/>
          <w:sz w:val="44"/>
          <w:szCs w:val="44"/>
        </w:rPr>
        <w:t>目</w:t>
      </w:r>
      <w:r>
        <w:rPr>
          <w:rFonts w:ascii="宋体" w:hAnsi="宋体" w:eastAsia="宋体"/>
          <w:bCs/>
          <w:sz w:val="44"/>
          <w:szCs w:val="44"/>
        </w:rPr>
        <w:t xml:space="preserve">    </w:t>
      </w:r>
      <w:r>
        <w:rPr>
          <w:rFonts w:hint="eastAsia" w:ascii="宋体" w:hAnsi="宋体" w:eastAsia="宋体"/>
          <w:bCs/>
          <w:sz w:val="44"/>
          <w:szCs w:val="44"/>
        </w:rPr>
        <w:t>录</w:t>
      </w:r>
    </w:p>
    <w:p>
      <w:pPr>
        <w:pStyle w:val="2"/>
        <w:spacing w:line="360" w:lineRule="exact"/>
        <w:ind w:left="240" w:right="240" w:firstLine="640" w:firstLineChars="200"/>
        <w:rPr>
          <w:rFonts w:ascii="宋体" w:hAnsi="宋体" w:eastAsia="宋体"/>
          <w:b w:val="0"/>
          <w:bCs/>
          <w:color w:val="000000"/>
          <w:szCs w:val="28"/>
        </w:rPr>
      </w:pPr>
    </w:p>
    <w:p>
      <w:pPr>
        <w:pStyle w:val="2"/>
        <w:spacing w:line="240" w:lineRule="auto"/>
        <w:ind w:left="240" w:right="240"/>
        <w:rPr>
          <w:rFonts w:ascii="宋体" w:hAnsi="宋体" w:eastAsia="宋体"/>
          <w:color w:val="000000"/>
          <w:szCs w:val="28"/>
        </w:rPr>
      </w:pPr>
      <w:r>
        <w:rPr>
          <w:rFonts w:ascii="宋体" w:hAnsi="宋体" w:eastAsia="宋体"/>
          <w:color w:val="000000"/>
          <w:szCs w:val="28"/>
        </w:rPr>
        <w:t xml:space="preserve">   </w:t>
      </w:r>
      <w:r>
        <w:rPr>
          <w:rFonts w:hint="eastAsia" w:ascii="宋体" w:hAnsi="宋体" w:eastAsia="宋体"/>
          <w:color w:val="000000"/>
          <w:szCs w:val="28"/>
        </w:rPr>
        <w:t>第一章</w:t>
      </w:r>
      <w:r>
        <w:rPr>
          <w:rFonts w:ascii="宋体" w:hAnsi="宋体" w:eastAsia="宋体"/>
          <w:color w:val="000000"/>
          <w:szCs w:val="28"/>
        </w:rPr>
        <w:t xml:space="preserve"> </w:t>
      </w:r>
      <w:r>
        <w:rPr>
          <w:rFonts w:hint="eastAsia" w:ascii="宋体" w:hAnsi="宋体" w:eastAsia="宋体"/>
          <w:color w:val="000000"/>
          <w:szCs w:val="28"/>
        </w:rPr>
        <w:t>投标邀请函………………………………………</w:t>
      </w:r>
      <w:r>
        <w:rPr>
          <w:rFonts w:ascii="宋体" w:hAnsi="宋体" w:eastAsia="宋体"/>
          <w:color w:val="000000"/>
          <w:szCs w:val="28"/>
        </w:rPr>
        <w:t>3</w:t>
      </w:r>
    </w:p>
    <w:p>
      <w:pPr>
        <w:pStyle w:val="2"/>
        <w:spacing w:line="240" w:lineRule="auto"/>
        <w:ind w:leftChars="0" w:right="240"/>
        <w:rPr>
          <w:rFonts w:ascii="宋体" w:hAnsi="宋体" w:eastAsia="宋体"/>
          <w:color w:val="000000"/>
          <w:szCs w:val="28"/>
        </w:rPr>
      </w:pPr>
      <w:r>
        <w:rPr>
          <w:rFonts w:ascii="宋体" w:hAnsi="宋体" w:eastAsia="宋体"/>
          <w:color w:val="000000"/>
          <w:szCs w:val="28"/>
        </w:rPr>
        <w:t xml:space="preserve">    </w:t>
      </w:r>
      <w:r>
        <w:rPr>
          <w:rFonts w:hint="eastAsia" w:ascii="宋体" w:hAnsi="宋体" w:eastAsia="宋体"/>
          <w:color w:val="000000"/>
          <w:szCs w:val="28"/>
        </w:rPr>
        <w:t>第二章</w:t>
      </w:r>
      <w:r>
        <w:rPr>
          <w:rFonts w:ascii="宋体" w:hAnsi="宋体" w:eastAsia="宋体"/>
          <w:color w:val="000000"/>
          <w:szCs w:val="28"/>
        </w:rPr>
        <w:t xml:space="preserve"> </w:t>
      </w:r>
      <w:r>
        <w:rPr>
          <w:rFonts w:hint="eastAsia" w:ascii="宋体" w:hAnsi="宋体" w:eastAsia="宋体"/>
          <w:color w:val="000000"/>
          <w:szCs w:val="28"/>
        </w:rPr>
        <w:t>投标人须知………………………………………5</w:t>
      </w:r>
    </w:p>
    <w:p>
      <w:pPr>
        <w:pStyle w:val="2"/>
        <w:spacing w:line="240" w:lineRule="auto"/>
        <w:ind w:leftChars="0" w:right="240"/>
        <w:rPr>
          <w:rFonts w:ascii="宋体" w:hAnsi="宋体" w:eastAsia="宋体"/>
          <w:color w:val="000000"/>
          <w:szCs w:val="28"/>
        </w:rPr>
      </w:pPr>
      <w:r>
        <w:rPr>
          <w:rFonts w:ascii="宋体" w:hAnsi="宋体" w:eastAsia="宋体"/>
          <w:color w:val="000000"/>
          <w:szCs w:val="28"/>
        </w:rPr>
        <w:t xml:space="preserve">    </w:t>
      </w:r>
      <w:r>
        <w:rPr>
          <w:rFonts w:hint="eastAsia" w:ascii="宋体" w:hAnsi="宋体" w:eastAsia="宋体"/>
          <w:color w:val="000000"/>
          <w:szCs w:val="28"/>
        </w:rPr>
        <w:t>第三章</w:t>
      </w:r>
      <w:r>
        <w:rPr>
          <w:rFonts w:ascii="宋体" w:hAnsi="宋体" w:eastAsia="宋体"/>
          <w:color w:val="000000"/>
          <w:szCs w:val="28"/>
        </w:rPr>
        <w:t xml:space="preserve"> </w:t>
      </w:r>
      <w:r>
        <w:rPr>
          <w:rFonts w:hint="eastAsia" w:ascii="宋体" w:hAnsi="宋体" w:eastAsia="宋体"/>
          <w:color w:val="000000"/>
          <w:szCs w:val="28"/>
        </w:rPr>
        <w:t>用户需求书 ……………………………………</w:t>
      </w:r>
      <w:r>
        <w:rPr>
          <w:rFonts w:ascii="宋体" w:hAnsi="宋体" w:eastAsia="宋体"/>
          <w:color w:val="000000"/>
          <w:szCs w:val="28"/>
        </w:rPr>
        <w:t>1</w:t>
      </w:r>
      <w:r>
        <w:rPr>
          <w:rFonts w:hint="eastAsia" w:ascii="宋体" w:hAnsi="宋体" w:eastAsia="宋体"/>
          <w:color w:val="000000"/>
          <w:szCs w:val="28"/>
        </w:rPr>
        <w:t>1</w:t>
      </w:r>
    </w:p>
    <w:p>
      <w:pPr>
        <w:pStyle w:val="2"/>
        <w:spacing w:line="240" w:lineRule="auto"/>
        <w:ind w:leftChars="0" w:right="240"/>
        <w:rPr>
          <w:rFonts w:ascii="宋体" w:hAnsi="宋体" w:eastAsia="宋体"/>
          <w:color w:val="FF0000"/>
          <w:szCs w:val="28"/>
        </w:rPr>
      </w:pPr>
      <w:r>
        <w:rPr>
          <w:rFonts w:ascii="宋体" w:hAnsi="宋体" w:eastAsia="宋体"/>
          <w:color w:val="000000"/>
          <w:szCs w:val="28"/>
        </w:rPr>
        <w:t xml:space="preserve">    </w:t>
      </w:r>
      <w:r>
        <w:rPr>
          <w:rFonts w:hint="eastAsia" w:ascii="宋体" w:hAnsi="宋体" w:eastAsia="宋体"/>
          <w:color w:val="000000"/>
          <w:szCs w:val="28"/>
        </w:rPr>
        <w:t>第四章</w:t>
      </w:r>
      <w:r>
        <w:rPr>
          <w:rFonts w:ascii="宋体" w:hAnsi="宋体" w:eastAsia="宋体"/>
          <w:color w:val="000000"/>
          <w:szCs w:val="28"/>
        </w:rPr>
        <w:t xml:space="preserve"> </w:t>
      </w:r>
      <w:r>
        <w:rPr>
          <w:rFonts w:hint="eastAsia" w:ascii="宋体" w:hAnsi="宋体" w:eastAsia="宋体"/>
          <w:color w:val="000000"/>
          <w:szCs w:val="28"/>
        </w:rPr>
        <w:t>合同条款 ………………………………………22</w:t>
      </w:r>
    </w:p>
    <w:p>
      <w:pPr>
        <w:pStyle w:val="2"/>
        <w:spacing w:line="240" w:lineRule="auto"/>
        <w:ind w:leftChars="0" w:right="240" w:firstLine="642"/>
        <w:rPr>
          <w:rFonts w:ascii="宋体" w:hAnsi="宋体" w:eastAsia="宋体"/>
          <w:color w:val="000000"/>
          <w:szCs w:val="28"/>
        </w:rPr>
      </w:pPr>
      <w:r>
        <w:rPr>
          <w:rFonts w:hint="eastAsia" w:ascii="宋体" w:hAnsi="宋体" w:eastAsia="宋体"/>
          <w:color w:val="000000"/>
          <w:szCs w:val="28"/>
        </w:rPr>
        <w:t>第五章</w:t>
      </w:r>
      <w:r>
        <w:rPr>
          <w:rFonts w:ascii="宋体" w:hAnsi="宋体" w:eastAsia="宋体"/>
          <w:color w:val="000000"/>
          <w:szCs w:val="28"/>
        </w:rPr>
        <w:t xml:space="preserve"> </w:t>
      </w:r>
      <w:r>
        <w:rPr>
          <w:rFonts w:hint="eastAsia" w:ascii="宋体" w:hAnsi="宋体" w:eastAsia="宋体" w:cs="宋体"/>
          <w:szCs w:val="32"/>
        </w:rPr>
        <w:t>投标文件内容和格式</w:t>
      </w:r>
      <w:r>
        <w:rPr>
          <w:rFonts w:ascii="宋体" w:hAnsi="宋体" w:eastAsia="宋体" w:cs="宋体"/>
          <w:szCs w:val="32"/>
        </w:rPr>
        <w:t xml:space="preserve"> </w:t>
      </w:r>
      <w:r>
        <w:rPr>
          <w:rFonts w:hint="eastAsia" w:ascii="宋体" w:hAnsi="宋体" w:eastAsia="宋体"/>
          <w:color w:val="000000"/>
          <w:szCs w:val="28"/>
        </w:rPr>
        <w:t>…………………………24</w:t>
      </w:r>
      <w:r>
        <w:rPr>
          <w:rFonts w:ascii="宋体" w:hAnsi="宋体" w:eastAsia="宋体"/>
          <w:color w:val="000000"/>
          <w:szCs w:val="28"/>
        </w:rPr>
        <w:t xml:space="preserve">    </w:t>
      </w:r>
    </w:p>
    <w:p>
      <w:pPr>
        <w:pStyle w:val="2"/>
        <w:spacing w:line="240" w:lineRule="auto"/>
        <w:ind w:leftChars="0" w:right="240" w:firstLine="642"/>
        <w:rPr>
          <w:rFonts w:ascii="宋体" w:hAnsi="宋体" w:eastAsia="宋体"/>
          <w:color w:val="000000"/>
          <w:szCs w:val="28"/>
        </w:rPr>
      </w:pPr>
      <w:r>
        <w:rPr>
          <w:rFonts w:hint="eastAsia" w:ascii="宋体" w:hAnsi="宋体" w:eastAsia="宋体"/>
          <w:color w:val="000000"/>
          <w:szCs w:val="28"/>
        </w:rPr>
        <w:t>第六章</w:t>
      </w:r>
      <w:r>
        <w:rPr>
          <w:rFonts w:ascii="宋体" w:hAnsi="宋体" w:eastAsia="宋体" w:cs="宋体"/>
          <w:color w:val="000000"/>
          <w:szCs w:val="28"/>
        </w:rPr>
        <w:t xml:space="preserve"> </w:t>
      </w:r>
      <w:r>
        <w:rPr>
          <w:rFonts w:hint="eastAsia" w:ascii="宋体" w:hAnsi="宋体" w:eastAsia="宋体" w:cs="宋体"/>
          <w:szCs w:val="32"/>
        </w:rPr>
        <w:t xml:space="preserve">评审方法和程序 </w:t>
      </w:r>
      <w:r>
        <w:rPr>
          <w:rFonts w:hint="eastAsia" w:ascii="宋体" w:hAnsi="宋体" w:eastAsia="宋体"/>
          <w:color w:val="000000"/>
          <w:szCs w:val="28"/>
        </w:rPr>
        <w:t>………………………………32</w:t>
      </w:r>
    </w:p>
    <w:p>
      <w:pPr>
        <w:pStyle w:val="2"/>
        <w:spacing w:line="240" w:lineRule="auto"/>
        <w:ind w:left="240" w:right="240"/>
        <w:rPr>
          <w:rFonts w:ascii="宋体" w:hAnsi="宋体" w:eastAsia="宋体"/>
          <w:color w:val="000000"/>
          <w:szCs w:val="28"/>
        </w:rPr>
      </w:pPr>
      <w:r>
        <w:rPr>
          <w:rFonts w:ascii="宋体" w:hAnsi="宋体" w:eastAsia="宋体" w:cs="宋体"/>
          <w:bCs/>
          <w:szCs w:val="32"/>
        </w:rPr>
        <w:t xml:space="preserve">          </w:t>
      </w:r>
      <w:r>
        <w:rPr>
          <w:rFonts w:hint="eastAsia" w:ascii="宋体" w:hAnsi="宋体" w:eastAsia="宋体" w:cs="宋体"/>
          <w:bCs/>
          <w:szCs w:val="32"/>
        </w:rPr>
        <w:t>附表</w:t>
      </w:r>
      <w:r>
        <w:rPr>
          <w:rFonts w:ascii="宋体" w:hAnsi="宋体" w:eastAsia="宋体" w:cs="宋体"/>
          <w:bCs/>
          <w:szCs w:val="32"/>
        </w:rPr>
        <w:t>1</w:t>
      </w:r>
      <w:r>
        <w:rPr>
          <w:rFonts w:hint="eastAsia" w:ascii="宋体" w:hAnsi="宋体" w:eastAsia="宋体" w:cs="宋体"/>
          <w:bCs/>
          <w:szCs w:val="32"/>
        </w:rPr>
        <w:t xml:space="preserve">资格审查表 </w:t>
      </w:r>
      <w:r>
        <w:rPr>
          <w:rFonts w:hint="eastAsia" w:ascii="宋体" w:hAnsi="宋体" w:eastAsia="宋体"/>
          <w:color w:val="000000"/>
          <w:szCs w:val="28"/>
        </w:rPr>
        <w:t>……………………………34</w:t>
      </w:r>
    </w:p>
    <w:p>
      <w:pPr>
        <w:pStyle w:val="2"/>
        <w:spacing w:line="240" w:lineRule="auto"/>
        <w:ind w:left="240" w:right="240" w:firstLine="1606" w:firstLineChars="500"/>
        <w:rPr>
          <w:rFonts w:ascii="宋体" w:hAnsi="宋体" w:eastAsia="宋体" w:cs="宋体"/>
          <w:bCs/>
          <w:szCs w:val="32"/>
        </w:rPr>
      </w:pPr>
      <w:r>
        <w:rPr>
          <w:rFonts w:hint="eastAsia" w:ascii="宋体" w:hAnsi="宋体" w:eastAsia="宋体" w:cs="宋体"/>
          <w:bCs/>
          <w:szCs w:val="32"/>
        </w:rPr>
        <w:t>附表</w:t>
      </w:r>
      <w:r>
        <w:rPr>
          <w:rFonts w:ascii="宋体" w:hAnsi="宋体" w:eastAsia="宋体" w:cs="宋体"/>
          <w:bCs/>
          <w:szCs w:val="32"/>
        </w:rPr>
        <w:t>2</w:t>
      </w:r>
      <w:r>
        <w:rPr>
          <w:rFonts w:hint="eastAsia" w:ascii="宋体" w:hAnsi="宋体" w:eastAsia="宋体" w:cs="宋体"/>
          <w:bCs/>
          <w:szCs w:val="32"/>
        </w:rPr>
        <w:t>符合性审查表 …………………………35</w:t>
      </w:r>
    </w:p>
    <w:p>
      <w:pPr>
        <w:pStyle w:val="2"/>
        <w:spacing w:line="240" w:lineRule="auto"/>
        <w:ind w:left="240" w:right="240"/>
        <w:rPr>
          <w:rFonts w:ascii="宋体" w:hAnsi="宋体" w:eastAsia="宋体"/>
          <w:color w:val="000000"/>
          <w:szCs w:val="28"/>
        </w:rPr>
      </w:pPr>
      <w:r>
        <w:rPr>
          <w:rFonts w:hAnsi="宋体" w:cs="宋体"/>
          <w:bCs/>
          <w:szCs w:val="32"/>
        </w:rPr>
        <w:t xml:space="preserve">         </w:t>
      </w:r>
      <w:r>
        <w:rPr>
          <w:rFonts w:ascii="宋体" w:hAnsi="宋体" w:eastAsia="宋体" w:cs="宋体"/>
          <w:bCs/>
          <w:szCs w:val="32"/>
        </w:rPr>
        <w:t xml:space="preserve"> </w:t>
      </w:r>
      <w:r>
        <w:rPr>
          <w:rFonts w:hint="eastAsia" w:ascii="宋体" w:hAnsi="宋体" w:eastAsia="宋体" w:cs="宋体"/>
          <w:bCs/>
          <w:szCs w:val="32"/>
        </w:rPr>
        <w:t>附表</w:t>
      </w:r>
      <w:r>
        <w:rPr>
          <w:rFonts w:ascii="宋体" w:hAnsi="宋体" w:eastAsia="宋体" w:cs="宋体"/>
          <w:bCs/>
          <w:szCs w:val="32"/>
        </w:rPr>
        <w:t>3</w:t>
      </w:r>
      <w:r>
        <w:rPr>
          <w:rFonts w:hint="eastAsia" w:ascii="宋体" w:hAnsi="宋体" w:eastAsia="宋体" w:cs="宋体"/>
          <w:bCs/>
          <w:szCs w:val="32"/>
        </w:rPr>
        <w:t xml:space="preserve">技术、商务评分表 </w:t>
      </w:r>
      <w:r>
        <w:rPr>
          <w:rFonts w:hint="eastAsia" w:ascii="宋体" w:hAnsi="宋体" w:eastAsia="宋体"/>
          <w:color w:val="000000"/>
          <w:szCs w:val="28"/>
        </w:rPr>
        <w:t>……………………36</w:t>
      </w:r>
    </w:p>
    <w:p>
      <w:pPr>
        <w:shd w:val="clear" w:color="auto" w:fill="FFFFFF"/>
        <w:spacing w:line="240" w:lineRule="auto"/>
        <w:ind w:firstLine="643"/>
        <w:rPr>
          <w:rFonts w:hAnsi="宋体" w:cs="宋体"/>
          <w:b/>
          <w:bCs/>
          <w:sz w:val="32"/>
          <w:szCs w:val="32"/>
        </w:rPr>
      </w:pPr>
    </w:p>
    <w:p>
      <w:pPr>
        <w:pStyle w:val="3"/>
        <w:ind w:firstLine="400"/>
      </w:pPr>
    </w:p>
    <w:p>
      <w:pPr>
        <w:pStyle w:val="8"/>
        <w:shd w:val="clear" w:color="auto" w:fill="FFFFFF"/>
        <w:snapToGrid w:val="0"/>
        <w:spacing w:after="0"/>
        <w:ind w:left="0" w:leftChars="0" w:firstLine="720"/>
        <w:rPr>
          <w:rFonts w:ascii="宋体" w:cs="宋体"/>
          <w:sz w:val="36"/>
          <w:szCs w:val="36"/>
        </w:rPr>
      </w:pPr>
      <w:r>
        <w:rPr>
          <w:rFonts w:ascii="宋体" w:hAnsi="宋体" w:cs="宋体"/>
          <w:sz w:val="36"/>
          <w:szCs w:val="36"/>
        </w:rPr>
        <w:t xml:space="preserve">              </w:t>
      </w:r>
    </w:p>
    <w:p>
      <w:pPr>
        <w:pStyle w:val="8"/>
        <w:shd w:val="clear" w:color="auto" w:fill="FFFFFF"/>
        <w:snapToGrid w:val="0"/>
        <w:spacing w:after="0"/>
        <w:ind w:left="0" w:leftChars="0" w:firstLine="720"/>
        <w:rPr>
          <w:rFonts w:ascii="宋体" w:cs="宋体"/>
          <w:sz w:val="36"/>
          <w:szCs w:val="36"/>
        </w:rPr>
      </w:pPr>
    </w:p>
    <w:p>
      <w:pPr>
        <w:pStyle w:val="8"/>
        <w:shd w:val="clear" w:color="auto" w:fill="FFFFFF"/>
        <w:snapToGrid w:val="0"/>
        <w:spacing w:after="0"/>
        <w:ind w:left="0" w:leftChars="0" w:firstLine="720"/>
      </w:pPr>
      <w:r>
        <w:rPr>
          <w:rFonts w:ascii="宋体" w:hAnsi="宋体" w:cs="宋体"/>
          <w:sz w:val="36"/>
          <w:szCs w:val="36"/>
        </w:rPr>
        <w:t xml:space="preserve">          </w:t>
      </w:r>
      <w:r>
        <w:rPr>
          <w:rFonts w:hint="eastAsia" w:ascii="宋体"/>
          <w:b/>
          <w:kern w:val="44"/>
          <w:sz w:val="44"/>
        </w:rPr>
        <w:t xml:space="preserve"> </w:t>
      </w:r>
      <w:bookmarkStart w:id="1" w:name="_Toc476667946"/>
      <w:bookmarkStart w:id="2" w:name="_Toc476664366"/>
      <w:bookmarkStart w:id="3" w:name="_Toc476643557"/>
      <w:r>
        <w:rPr>
          <w:rFonts w:hint="eastAsia" w:ascii="宋体"/>
          <w:b/>
          <w:kern w:val="44"/>
          <w:sz w:val="44"/>
        </w:rPr>
        <w:t>第一章投标邀请函</w:t>
      </w:r>
      <w:bookmarkEnd w:id="1"/>
      <w:bookmarkEnd w:id="2"/>
      <w:bookmarkEnd w:id="3"/>
    </w:p>
    <w:p>
      <w:pPr>
        <w:ind w:firstLine="0" w:firstLineChars="0"/>
        <w:rPr>
          <w:szCs w:val="24"/>
        </w:rPr>
      </w:pPr>
      <w:r>
        <w:rPr>
          <w:rFonts w:hint="eastAsia" w:hAnsi="宋体"/>
          <w:szCs w:val="24"/>
        </w:rPr>
        <w:t xml:space="preserve">    受</w:t>
      </w:r>
      <w:bookmarkStart w:id="4" w:name="OLE_LINK18"/>
      <w:r>
        <w:rPr>
          <w:rFonts w:hint="eastAsia" w:hAnsi="宋体"/>
          <w:szCs w:val="24"/>
        </w:rPr>
        <w:t>海南师范大学</w:t>
      </w:r>
      <w:bookmarkEnd w:id="4"/>
      <w:r>
        <w:rPr>
          <w:rFonts w:hint="eastAsia" w:hAnsi="宋体"/>
          <w:szCs w:val="24"/>
        </w:rPr>
        <w:t>的委托，海南政鼎招标代理有限公司就化工学院“双一流”特色优势学科建设项目（</w:t>
      </w:r>
      <w:bookmarkStart w:id="5" w:name="OLE_LINK6"/>
      <w:r>
        <w:rPr>
          <w:rFonts w:hint="eastAsia" w:hAnsi="宋体"/>
          <w:szCs w:val="24"/>
        </w:rPr>
        <w:t>项目编号：ZD2020-</w:t>
      </w:r>
      <w:bookmarkEnd w:id="5"/>
      <w:r>
        <w:rPr>
          <w:rFonts w:hint="eastAsia" w:hAnsi="宋体"/>
          <w:szCs w:val="24"/>
        </w:rPr>
        <w:t>628）所需的货物及相关服务组织</w:t>
      </w:r>
      <w:bookmarkStart w:id="6" w:name="OLE_LINK19"/>
      <w:r>
        <w:rPr>
          <w:rFonts w:hint="eastAsia" w:hAnsi="宋体"/>
          <w:szCs w:val="24"/>
        </w:rPr>
        <w:t>公开招标</w:t>
      </w:r>
      <w:bookmarkEnd w:id="6"/>
      <w:r>
        <w:rPr>
          <w:rFonts w:hint="eastAsia" w:hAnsi="宋体"/>
          <w:szCs w:val="24"/>
        </w:rPr>
        <w:t>，欢迎</w:t>
      </w:r>
      <w:r>
        <w:rPr>
          <w:rFonts w:hint="eastAsia" w:hAnsi="宋体"/>
          <w:kern w:val="28"/>
          <w:szCs w:val="24"/>
        </w:rPr>
        <w:t>合格的投标人前来投标。有关事项如下：</w:t>
      </w:r>
    </w:p>
    <w:p>
      <w:pPr>
        <w:shd w:val="clear" w:color="auto" w:fill="FFFFFF"/>
        <w:snapToGrid w:val="0"/>
        <w:ind w:firstLine="643"/>
        <w:rPr>
          <w:rFonts w:hAnsi="宋体"/>
          <w:b/>
          <w:sz w:val="32"/>
          <w:szCs w:val="32"/>
        </w:rPr>
      </w:pPr>
      <w:r>
        <w:rPr>
          <w:rFonts w:hint="eastAsia" w:hAnsi="宋体"/>
          <w:b/>
          <w:sz w:val="32"/>
          <w:szCs w:val="32"/>
        </w:rPr>
        <w:t>一、招标项目</w:t>
      </w:r>
    </w:p>
    <w:p>
      <w:pPr>
        <w:shd w:val="clear" w:color="auto" w:fill="FFFFFF"/>
        <w:snapToGrid w:val="0"/>
        <w:ind w:firstLine="480"/>
        <w:rPr>
          <w:rFonts w:hAnsi="宋体"/>
          <w:kern w:val="28"/>
          <w:szCs w:val="24"/>
        </w:rPr>
      </w:pPr>
      <w:r>
        <w:rPr>
          <w:rFonts w:hAnsi="宋体"/>
          <w:kern w:val="28"/>
          <w:szCs w:val="24"/>
        </w:rPr>
        <w:t>1</w:t>
      </w:r>
      <w:r>
        <w:rPr>
          <w:rFonts w:hint="eastAsia" w:hAnsi="宋体"/>
          <w:kern w:val="28"/>
          <w:szCs w:val="24"/>
        </w:rPr>
        <w:t>、名称：</w:t>
      </w:r>
      <w:r>
        <w:rPr>
          <w:rFonts w:hint="eastAsia" w:hAnsi="宋体"/>
          <w:szCs w:val="24"/>
        </w:rPr>
        <w:t>化工学院“双一流”特色优势学科建设项目</w:t>
      </w:r>
    </w:p>
    <w:p>
      <w:pPr>
        <w:shd w:val="clear" w:color="auto" w:fill="FFFFFF"/>
        <w:snapToGrid w:val="0"/>
        <w:ind w:firstLine="480"/>
        <w:rPr>
          <w:rFonts w:hAnsi="宋体"/>
          <w:szCs w:val="24"/>
        </w:rPr>
      </w:pPr>
      <w:r>
        <w:rPr>
          <w:rFonts w:hint="eastAsia" w:hAnsi="宋体"/>
          <w:kern w:val="28"/>
          <w:szCs w:val="24"/>
        </w:rPr>
        <w:t xml:space="preserve">         </w:t>
      </w:r>
      <w:r>
        <w:rPr>
          <w:rFonts w:hint="eastAsia" w:hAnsi="宋体"/>
          <w:szCs w:val="24"/>
        </w:rPr>
        <w:t>A包：热带药用资源化学和有机合成化学方向(216.48万</w:t>
      </w:r>
      <w:r>
        <w:rPr>
          <w:rFonts w:hint="eastAsia" w:hAnsi="宋体" w:cs="宋体"/>
          <w:color w:val="000000"/>
          <w:sz w:val="22"/>
          <w:lang w:bidi="ar"/>
        </w:rPr>
        <w:t>元</w:t>
      </w:r>
      <w:r>
        <w:rPr>
          <w:rFonts w:hint="eastAsia" w:hAnsi="宋体"/>
          <w:szCs w:val="24"/>
        </w:rPr>
        <w:t>)</w:t>
      </w:r>
    </w:p>
    <w:p>
      <w:pPr>
        <w:shd w:val="clear" w:color="auto" w:fill="FFFFFF"/>
        <w:snapToGrid w:val="0"/>
        <w:ind w:firstLine="480"/>
        <w:rPr>
          <w:rFonts w:hAnsi="宋体"/>
          <w:szCs w:val="24"/>
        </w:rPr>
      </w:pPr>
      <w:r>
        <w:rPr>
          <w:rFonts w:hint="eastAsia" w:hAnsi="宋体"/>
          <w:szCs w:val="24"/>
        </w:rPr>
        <w:t xml:space="preserve">         B包：材料物理化学方向（55.65万</w:t>
      </w:r>
      <w:r>
        <w:rPr>
          <w:rFonts w:hint="eastAsia" w:hAnsi="宋体" w:cs="宋体"/>
          <w:color w:val="000000"/>
          <w:sz w:val="22"/>
          <w:lang w:bidi="ar"/>
        </w:rPr>
        <w:t>元</w:t>
      </w:r>
      <w:r>
        <w:rPr>
          <w:rFonts w:hint="eastAsia" w:hAnsi="宋体"/>
          <w:szCs w:val="24"/>
        </w:rPr>
        <w:t>）</w:t>
      </w:r>
    </w:p>
    <w:p>
      <w:pPr>
        <w:shd w:val="clear" w:color="auto" w:fill="FFFFFF"/>
        <w:snapToGrid w:val="0"/>
        <w:ind w:firstLine="480"/>
        <w:rPr>
          <w:rFonts w:hAnsi="宋体"/>
          <w:szCs w:val="24"/>
        </w:rPr>
      </w:pPr>
      <w:r>
        <w:rPr>
          <w:rFonts w:hint="eastAsia" w:hAnsi="宋体"/>
          <w:szCs w:val="24"/>
        </w:rPr>
        <w:t xml:space="preserve">       </w:t>
      </w:r>
      <w:bookmarkStart w:id="7" w:name="OLE_LINK17"/>
      <w:r>
        <w:rPr>
          <w:rFonts w:hint="eastAsia" w:hAnsi="宋体"/>
          <w:szCs w:val="24"/>
        </w:rPr>
        <w:t xml:space="preserve">  C包：</w:t>
      </w:r>
      <w:bookmarkEnd w:id="7"/>
      <w:r>
        <w:rPr>
          <w:rFonts w:hint="eastAsia" w:hAnsi="宋体"/>
          <w:szCs w:val="24"/>
        </w:rPr>
        <w:t>无机合成与制备化学方向（56万</w:t>
      </w:r>
      <w:r>
        <w:rPr>
          <w:rFonts w:hint="eastAsia" w:hAnsi="宋体" w:cs="宋体"/>
          <w:color w:val="000000"/>
          <w:sz w:val="22"/>
          <w:lang w:bidi="ar"/>
        </w:rPr>
        <w:t>元</w:t>
      </w:r>
      <w:r>
        <w:rPr>
          <w:rFonts w:hint="eastAsia" w:hAnsi="宋体"/>
          <w:szCs w:val="24"/>
        </w:rPr>
        <w:t>）</w:t>
      </w:r>
    </w:p>
    <w:p>
      <w:pPr>
        <w:shd w:val="clear" w:color="auto" w:fill="FFFFFF"/>
        <w:snapToGrid w:val="0"/>
        <w:ind w:firstLine="480"/>
        <w:rPr>
          <w:rFonts w:hAnsi="宋体"/>
          <w:kern w:val="28"/>
          <w:szCs w:val="24"/>
        </w:rPr>
      </w:pPr>
      <w:r>
        <w:rPr>
          <w:rFonts w:hAnsi="宋体"/>
          <w:kern w:val="28"/>
          <w:szCs w:val="24"/>
        </w:rPr>
        <w:t>2</w:t>
      </w:r>
      <w:r>
        <w:rPr>
          <w:rFonts w:hint="eastAsia" w:hAnsi="宋体"/>
          <w:kern w:val="28"/>
          <w:szCs w:val="24"/>
        </w:rPr>
        <w:t>、用途：</w:t>
      </w:r>
      <w:r>
        <w:rPr>
          <w:rFonts w:hint="eastAsia" w:hAnsi="宋体"/>
          <w:szCs w:val="24"/>
        </w:rPr>
        <w:t>海南师范大学</w:t>
      </w:r>
      <w:r>
        <w:rPr>
          <w:rFonts w:hint="eastAsia" w:hAnsi="宋体" w:cs="Tahoma"/>
          <w:szCs w:val="24"/>
        </w:rPr>
        <w:t>工作需要</w:t>
      </w:r>
    </w:p>
    <w:p>
      <w:pPr>
        <w:shd w:val="clear" w:color="auto" w:fill="FFFFFF"/>
        <w:snapToGrid w:val="0"/>
        <w:ind w:firstLine="480"/>
        <w:rPr>
          <w:rFonts w:hAnsi="宋体"/>
          <w:kern w:val="28"/>
          <w:szCs w:val="24"/>
        </w:rPr>
      </w:pPr>
      <w:r>
        <w:rPr>
          <w:rFonts w:hAnsi="宋体"/>
          <w:kern w:val="28"/>
          <w:szCs w:val="24"/>
        </w:rPr>
        <w:t>3</w:t>
      </w:r>
      <w:r>
        <w:rPr>
          <w:rFonts w:hint="eastAsia" w:hAnsi="宋体"/>
          <w:kern w:val="28"/>
          <w:szCs w:val="24"/>
        </w:rPr>
        <w:t>、项目要求：见“用户需求书”</w:t>
      </w:r>
    </w:p>
    <w:p>
      <w:pPr>
        <w:shd w:val="clear" w:color="auto" w:fill="FFFFFF"/>
        <w:snapToGrid w:val="0"/>
        <w:ind w:firstLine="480"/>
        <w:rPr>
          <w:rFonts w:hAnsi="宋体"/>
          <w:kern w:val="28"/>
          <w:szCs w:val="24"/>
        </w:rPr>
      </w:pPr>
      <w:r>
        <w:rPr>
          <w:rFonts w:hAnsi="宋体"/>
          <w:kern w:val="28"/>
          <w:szCs w:val="24"/>
        </w:rPr>
        <w:t>4</w:t>
      </w:r>
      <w:r>
        <w:rPr>
          <w:rFonts w:hint="eastAsia" w:hAnsi="宋体"/>
          <w:kern w:val="28"/>
          <w:szCs w:val="24"/>
        </w:rPr>
        <w:t>、本项目预算为：328.13万元</w:t>
      </w:r>
    </w:p>
    <w:p>
      <w:pPr>
        <w:shd w:val="clear" w:color="auto" w:fill="FFFFFF"/>
        <w:snapToGrid w:val="0"/>
        <w:ind w:firstLine="643"/>
        <w:rPr>
          <w:rFonts w:hAnsi="宋体"/>
          <w:b/>
          <w:sz w:val="32"/>
          <w:szCs w:val="32"/>
        </w:rPr>
      </w:pPr>
      <w:r>
        <w:rPr>
          <w:rFonts w:hint="eastAsia" w:hAnsi="宋体"/>
          <w:b/>
          <w:sz w:val="32"/>
          <w:szCs w:val="32"/>
        </w:rPr>
        <w:t>二、投标人资格要求</w:t>
      </w:r>
    </w:p>
    <w:p>
      <w:pPr>
        <w:shd w:val="clear" w:color="auto" w:fill="FFFFFF"/>
        <w:snapToGrid w:val="0"/>
        <w:ind w:firstLine="964" w:firstLineChars="400"/>
        <w:rPr>
          <w:rStyle w:val="36"/>
          <w:rFonts w:hAnsi="宋体"/>
          <w:b/>
          <w:bCs/>
          <w:szCs w:val="24"/>
        </w:rPr>
      </w:pPr>
      <w:r>
        <w:rPr>
          <w:rStyle w:val="36"/>
          <w:rFonts w:hint="eastAsia" w:hAnsi="宋体"/>
          <w:b/>
          <w:bCs/>
          <w:szCs w:val="24"/>
        </w:rPr>
        <w:t xml:space="preserve"> A、B、C包</w:t>
      </w:r>
    </w:p>
    <w:p>
      <w:pPr>
        <w:shd w:val="clear" w:color="auto" w:fill="FFFFFF"/>
        <w:wordWrap w:val="0"/>
        <w:adjustRightInd w:val="0"/>
        <w:snapToGrid w:val="0"/>
        <w:spacing w:line="240" w:lineRule="auto"/>
        <w:ind w:firstLine="480"/>
        <w:rPr>
          <w:rFonts w:hAnsi="宋体" w:cs="宋体"/>
        </w:rPr>
      </w:pPr>
      <w:r>
        <w:rPr>
          <w:rFonts w:hint="eastAsia" w:hAnsi="宋体" w:cs="宋体"/>
        </w:rPr>
        <w:t>1、具有独立承担民事责任的能力（提交“统一社会信用代码的营业执照”副本等相关证明文件复印件，加盖公章）；</w:t>
      </w:r>
    </w:p>
    <w:p>
      <w:pPr>
        <w:shd w:val="clear" w:color="auto" w:fill="FFFFFF"/>
        <w:wordWrap w:val="0"/>
        <w:adjustRightInd w:val="0"/>
        <w:snapToGrid w:val="0"/>
        <w:spacing w:line="240" w:lineRule="auto"/>
        <w:ind w:firstLine="480"/>
        <w:rPr>
          <w:rFonts w:hAnsi="宋体" w:cs="宋体"/>
        </w:rPr>
      </w:pPr>
      <w:r>
        <w:rPr>
          <w:rFonts w:hint="eastAsia" w:hAnsi="宋体" w:cs="宋体"/>
        </w:rPr>
        <w:t>2、具有依法缴纳社会保障资金和纳税的良好记录（需提供2020年度的任意3个月的纳税证明或2019年度经会计事务所审计的财务报告以及2020年度的任意3个月的社保缴纳凭证并加盖公章）；</w:t>
      </w:r>
    </w:p>
    <w:p>
      <w:pPr>
        <w:pStyle w:val="13"/>
        <w:shd w:val="clear" w:color="auto" w:fill="FFFFFF"/>
        <w:spacing w:beforeAutospacing="0" w:afterAutospacing="0" w:line="240" w:lineRule="auto"/>
        <w:ind w:firstLine="480"/>
        <w:rPr>
          <w:rFonts w:hAnsi="宋体" w:cs="宋体"/>
        </w:rPr>
      </w:pPr>
      <w:r>
        <w:rPr>
          <w:rFonts w:hint="eastAsia" w:hAnsi="宋体" w:cs="宋体"/>
        </w:rPr>
        <w:t>3、具有履行合同所必需的设备和专业技术能力（提供承诺函原件）；</w:t>
      </w:r>
    </w:p>
    <w:p>
      <w:pPr>
        <w:pStyle w:val="13"/>
        <w:shd w:val="clear" w:color="auto" w:fill="FFFFFF"/>
        <w:spacing w:beforeAutospacing="0" w:afterAutospacing="0" w:line="375" w:lineRule="atLeast"/>
        <w:ind w:firstLine="480"/>
        <w:rPr>
          <w:rFonts w:hAnsi="宋体" w:cs="宋体"/>
        </w:rPr>
      </w:pPr>
      <w:r>
        <w:rPr>
          <w:rFonts w:hint="eastAsia" w:hAnsi="宋体" w:cs="宋体"/>
        </w:rPr>
        <w:t>4、参加政府采购活动前3年内在经营活动中没有重大事故、违法记录的声明函；</w:t>
      </w:r>
    </w:p>
    <w:p>
      <w:pPr>
        <w:spacing w:line="240" w:lineRule="auto"/>
        <w:ind w:firstLine="480"/>
        <w:rPr>
          <w:rFonts w:hAnsi="宋体" w:cs="宋体"/>
        </w:rPr>
      </w:pPr>
      <w:r>
        <w:rPr>
          <w:rFonts w:hint="eastAsia" w:hAnsi="宋体" w:cs="宋体"/>
        </w:rPr>
        <w:t>5、</w:t>
      </w:r>
      <w:bookmarkStart w:id="8" w:name="OLE_LINK15"/>
      <w:r>
        <w:rPr>
          <w:rFonts w:hint="eastAsia" w:hAnsi="宋体" w:cs="宋体"/>
        </w:rPr>
        <w:t>投标人投标时提供“国家企业信用信息公示系统”网站（http://www.gsxt.gov.cn/index.html）基础信息中的“股东及出资信息”和“主要人员信息”（提供信息查询结果界面截图，加盖投标人公章）；</w:t>
      </w:r>
    </w:p>
    <w:p>
      <w:pPr>
        <w:ind w:firstLine="480"/>
        <w:rPr>
          <w:rFonts w:hAnsi="宋体" w:cs="宋体"/>
        </w:rPr>
      </w:pPr>
      <w:r>
        <w:rPr>
          <w:rFonts w:hint="eastAsia" w:hAnsi="宋体" w:cs="宋体"/>
        </w:rPr>
        <w:t>6、投标时提供本项目投标被授权人</w:t>
      </w:r>
      <w:r>
        <w:rPr>
          <w:rFonts w:hint="eastAsia" w:hAnsi="宋体" w:cs="宋体"/>
          <w:color w:val="auto"/>
        </w:rPr>
        <w:t>2020年</w:t>
      </w:r>
      <w:r>
        <w:rPr>
          <w:rFonts w:hint="eastAsia" w:hAnsi="宋体" w:cs="宋体"/>
        </w:rPr>
        <w:t>任意一个月在投标人处缴纳的社保证明复印件；</w:t>
      </w:r>
    </w:p>
    <w:bookmarkEnd w:id="8"/>
    <w:p>
      <w:pPr>
        <w:pStyle w:val="13"/>
        <w:shd w:val="clear" w:color="auto" w:fill="FFFFFF"/>
        <w:spacing w:beforeAutospacing="0" w:afterAutospacing="0" w:line="375" w:lineRule="atLeast"/>
        <w:ind w:firstLine="480"/>
        <w:rPr>
          <w:rFonts w:hAnsi="宋体" w:cs="宋体"/>
        </w:rPr>
      </w:pPr>
      <w:r>
        <w:rPr>
          <w:rFonts w:hint="eastAsia" w:hAnsi="宋体" w:cs="宋体"/>
        </w:rPr>
        <w:t>7、采购响应保证金的缴纳凭证复印件（回执单或收据）；</w:t>
      </w:r>
    </w:p>
    <w:p>
      <w:pPr>
        <w:pStyle w:val="13"/>
        <w:shd w:val="clear" w:color="auto" w:fill="FFFFFF"/>
        <w:spacing w:beforeAutospacing="0" w:afterAutospacing="0" w:line="375" w:lineRule="atLeast"/>
        <w:ind w:firstLine="480"/>
        <w:rPr>
          <w:rFonts w:hAnsi="宋体" w:cs="宋体"/>
        </w:rPr>
      </w:pPr>
      <w:r>
        <w:rPr>
          <w:rFonts w:hint="eastAsia" w:hAnsi="宋体" w:cs="宋体"/>
        </w:rPr>
        <w:t>8、本项目不接受联合体投标 ；</w:t>
      </w:r>
    </w:p>
    <w:p>
      <w:pPr>
        <w:pStyle w:val="13"/>
        <w:shd w:val="clear" w:color="auto" w:fill="FFFFFF"/>
        <w:spacing w:beforeAutospacing="0" w:afterAutospacing="0" w:line="375" w:lineRule="atLeast"/>
        <w:ind w:firstLine="480"/>
        <w:rPr>
          <w:rFonts w:hAnsi="宋体" w:cs="宋体"/>
        </w:rPr>
      </w:pPr>
      <w:r>
        <w:rPr>
          <w:rFonts w:hint="eastAsia" w:hAnsi="宋体" w:cs="宋体"/>
        </w:rPr>
        <w:t xml:space="preserve">9、本项目不允许转包分包。 </w:t>
      </w:r>
    </w:p>
    <w:p>
      <w:pPr>
        <w:snapToGrid w:val="0"/>
        <w:ind w:firstLine="643"/>
        <w:rPr>
          <w:rFonts w:hAnsi="宋体"/>
          <w:b/>
          <w:sz w:val="32"/>
          <w:szCs w:val="32"/>
        </w:rPr>
      </w:pPr>
      <w:r>
        <w:rPr>
          <w:rFonts w:hint="eastAsia" w:hAnsi="宋体"/>
          <w:b/>
          <w:sz w:val="32"/>
          <w:szCs w:val="32"/>
        </w:rPr>
        <w:t>三、招标文件的获取</w:t>
      </w:r>
    </w:p>
    <w:p>
      <w:pPr>
        <w:tabs>
          <w:tab w:val="left" w:pos="4680"/>
        </w:tabs>
        <w:snapToGrid w:val="0"/>
        <w:spacing w:line="240" w:lineRule="auto"/>
        <w:ind w:firstLine="480"/>
        <w:rPr>
          <w:rFonts w:hAnsi="宋体"/>
          <w:szCs w:val="24"/>
        </w:rPr>
      </w:pPr>
      <w:r>
        <w:rPr>
          <w:rFonts w:hAnsi="宋体"/>
          <w:szCs w:val="24"/>
        </w:rPr>
        <w:t>1</w:t>
      </w:r>
      <w:r>
        <w:rPr>
          <w:rFonts w:hint="eastAsia" w:hAnsi="宋体"/>
          <w:szCs w:val="24"/>
        </w:rPr>
        <w:t>、时间：</w:t>
      </w:r>
      <w:r>
        <w:rPr>
          <w:rFonts w:hAnsi="宋体"/>
          <w:szCs w:val="24"/>
        </w:rPr>
        <w:t>20</w:t>
      </w:r>
      <w:r>
        <w:rPr>
          <w:rFonts w:hint="eastAsia" w:hAnsi="宋体"/>
          <w:szCs w:val="24"/>
        </w:rPr>
        <w:t>20年</w:t>
      </w:r>
      <w:r>
        <w:rPr>
          <w:rFonts w:hint="eastAsia" w:hAnsi="宋体"/>
          <w:szCs w:val="24"/>
          <w:lang w:val="en-US" w:eastAsia="zh-CN"/>
        </w:rPr>
        <w:t>7</w:t>
      </w:r>
      <w:r>
        <w:rPr>
          <w:rFonts w:hint="eastAsia" w:hAnsi="宋体"/>
          <w:szCs w:val="24"/>
        </w:rPr>
        <w:t xml:space="preserve"> 月</w:t>
      </w:r>
      <w:r>
        <w:rPr>
          <w:rFonts w:hint="eastAsia" w:hAnsi="宋体"/>
          <w:szCs w:val="24"/>
          <w:lang w:val="en-US" w:eastAsia="zh-CN"/>
        </w:rPr>
        <w:t>22</w:t>
      </w:r>
      <w:r>
        <w:rPr>
          <w:rFonts w:hint="eastAsia" w:hAnsi="宋体"/>
          <w:szCs w:val="24"/>
        </w:rPr>
        <w:t xml:space="preserve"> 日至</w:t>
      </w:r>
      <w:r>
        <w:rPr>
          <w:rFonts w:hAnsi="宋体"/>
          <w:szCs w:val="24"/>
        </w:rPr>
        <w:t>20</w:t>
      </w:r>
      <w:r>
        <w:rPr>
          <w:rFonts w:hint="eastAsia" w:hAnsi="宋体"/>
          <w:szCs w:val="24"/>
        </w:rPr>
        <w:t xml:space="preserve">20年 </w:t>
      </w:r>
      <w:r>
        <w:rPr>
          <w:rFonts w:hint="eastAsia" w:hAnsi="宋体"/>
          <w:szCs w:val="24"/>
          <w:lang w:val="en-US" w:eastAsia="zh-CN"/>
        </w:rPr>
        <w:t>7</w:t>
      </w:r>
      <w:r>
        <w:rPr>
          <w:rFonts w:hint="eastAsia" w:hAnsi="宋体"/>
          <w:szCs w:val="24"/>
        </w:rPr>
        <w:t xml:space="preserve">月 </w:t>
      </w:r>
      <w:r>
        <w:rPr>
          <w:rFonts w:hint="eastAsia" w:hAnsi="宋体"/>
          <w:szCs w:val="24"/>
          <w:lang w:val="en-US" w:eastAsia="zh-CN"/>
        </w:rPr>
        <w:t>29</w:t>
      </w:r>
      <w:r>
        <w:rPr>
          <w:rFonts w:hint="eastAsia" w:hAnsi="宋体"/>
          <w:szCs w:val="24"/>
        </w:rPr>
        <w:t>日</w:t>
      </w:r>
      <w:r>
        <w:rPr>
          <w:rFonts w:hAnsi="宋体"/>
          <w:szCs w:val="24"/>
        </w:rPr>
        <w:t>9</w:t>
      </w:r>
      <w:r>
        <w:rPr>
          <w:rFonts w:hint="eastAsia" w:hAnsi="宋体"/>
          <w:szCs w:val="24"/>
        </w:rPr>
        <w:t>：</w:t>
      </w:r>
      <w:r>
        <w:rPr>
          <w:rFonts w:hAnsi="宋体"/>
          <w:szCs w:val="24"/>
        </w:rPr>
        <w:t>00-1</w:t>
      </w:r>
      <w:r>
        <w:rPr>
          <w:rFonts w:hint="eastAsia" w:hAnsi="宋体"/>
          <w:szCs w:val="24"/>
        </w:rPr>
        <w:t>6：</w:t>
      </w:r>
      <w:r>
        <w:rPr>
          <w:rFonts w:hAnsi="宋体"/>
          <w:szCs w:val="24"/>
        </w:rPr>
        <w:t>00</w:t>
      </w:r>
      <w:r>
        <w:rPr>
          <w:rFonts w:hint="eastAsia" w:hAnsi="宋体"/>
          <w:szCs w:val="24"/>
        </w:rPr>
        <w:t>（北京时间，节假日除外）；</w:t>
      </w:r>
    </w:p>
    <w:p>
      <w:pPr>
        <w:pStyle w:val="13"/>
        <w:wordWrap w:val="0"/>
        <w:spacing w:beforeAutospacing="0" w:afterAutospacing="0" w:line="240" w:lineRule="auto"/>
        <w:ind w:firstLine="480"/>
        <w:rPr>
          <w:rFonts w:hAnsi="宋体" w:cs="Arial"/>
          <w:szCs w:val="24"/>
        </w:rPr>
      </w:pPr>
      <w:r>
        <w:rPr>
          <w:rFonts w:hAnsi="宋体" w:cs="Arial"/>
          <w:szCs w:val="24"/>
        </w:rPr>
        <w:t>2</w:t>
      </w:r>
      <w:r>
        <w:rPr>
          <w:rFonts w:hint="eastAsia" w:hAnsi="宋体" w:cs="Arial"/>
          <w:szCs w:val="24"/>
        </w:rPr>
        <w:t>、招标文件获取地址：在海南政鼎招标代理有限公司购买。</w:t>
      </w:r>
    </w:p>
    <w:p>
      <w:pPr>
        <w:shd w:val="clear" w:color="auto" w:fill="FFFFFF"/>
        <w:snapToGrid w:val="0"/>
        <w:spacing w:line="240" w:lineRule="auto"/>
        <w:ind w:firstLine="480"/>
        <w:rPr>
          <w:rFonts w:ascii="仿宋_GB2312" w:hAnsi="仿宋_GB2312" w:eastAsia="仿宋_GB2312" w:cs="仿宋_GB2312"/>
          <w:bCs/>
          <w:color w:val="000000"/>
          <w:szCs w:val="24"/>
        </w:rPr>
      </w:pPr>
      <w:r>
        <w:rPr>
          <w:rFonts w:hAnsi="宋体" w:cs="Arial"/>
          <w:szCs w:val="24"/>
        </w:rPr>
        <w:t>3</w:t>
      </w:r>
      <w:r>
        <w:rPr>
          <w:rFonts w:hint="eastAsia" w:hAnsi="宋体" w:cs="Arial"/>
          <w:szCs w:val="24"/>
        </w:rPr>
        <w:t>、招标</w:t>
      </w:r>
      <w:bookmarkStart w:id="9" w:name="OLE_LINK1"/>
      <w:r>
        <w:rPr>
          <w:rFonts w:hint="eastAsia" w:hAnsi="宋体" w:cs="Arial"/>
          <w:szCs w:val="24"/>
        </w:rPr>
        <w:t>文件售价</w:t>
      </w:r>
      <w:bookmarkEnd w:id="9"/>
      <w:r>
        <w:rPr>
          <w:rFonts w:hint="eastAsia" w:hAnsi="宋体" w:cs="Arial"/>
          <w:szCs w:val="24"/>
        </w:rPr>
        <w:t>：各包</w:t>
      </w:r>
      <w:r>
        <w:rPr>
          <w:rFonts w:hAnsi="宋体" w:cs="Arial"/>
          <w:szCs w:val="24"/>
        </w:rPr>
        <w:t>¥</w:t>
      </w:r>
      <w:r>
        <w:rPr>
          <w:rFonts w:hint="eastAsia" w:hAnsi="宋体" w:cs="Arial"/>
          <w:color w:val="auto"/>
          <w:szCs w:val="24"/>
        </w:rPr>
        <w:t>100</w:t>
      </w:r>
      <w:r>
        <w:rPr>
          <w:rFonts w:hint="eastAsia" w:hAnsi="宋体" w:cs="Arial"/>
          <w:szCs w:val="24"/>
        </w:rPr>
        <w:t>元</w:t>
      </w:r>
      <w:r>
        <w:rPr>
          <w:rFonts w:hAnsi="宋体" w:cs="Arial"/>
          <w:szCs w:val="24"/>
        </w:rPr>
        <w:t>/</w:t>
      </w:r>
      <w:r>
        <w:rPr>
          <w:rFonts w:hint="eastAsia" w:hAnsi="宋体" w:cs="Arial"/>
          <w:szCs w:val="24"/>
        </w:rPr>
        <w:t>本（采购文件售后不退, 投标资格不能转让）。</w:t>
      </w:r>
    </w:p>
    <w:p>
      <w:pPr>
        <w:adjustRightInd w:val="0"/>
        <w:snapToGrid w:val="0"/>
        <w:spacing w:line="240" w:lineRule="auto"/>
        <w:ind w:firstLine="0" w:firstLineChars="0"/>
        <w:rPr>
          <w:rFonts w:hAnsi="宋体"/>
          <w:szCs w:val="24"/>
        </w:rPr>
      </w:pPr>
      <w:r>
        <w:rPr>
          <w:rFonts w:hint="eastAsia" w:hAnsi="宋体"/>
          <w:szCs w:val="24"/>
        </w:rPr>
        <w:t>投标保证金为：包A：</w:t>
      </w:r>
      <w:r>
        <w:rPr>
          <w:rFonts w:hint="eastAsia" w:hAnsi="宋体" w:cs="Arial"/>
          <w:szCs w:val="24"/>
        </w:rPr>
        <w:t>¥ 20000.00</w:t>
      </w:r>
      <w:r>
        <w:rPr>
          <w:rFonts w:hAnsi="宋体"/>
          <w:szCs w:val="24"/>
        </w:rPr>
        <w:t>元</w:t>
      </w:r>
      <w:r>
        <w:rPr>
          <w:rFonts w:hint="eastAsia" w:hAnsi="宋体"/>
          <w:szCs w:val="24"/>
        </w:rPr>
        <w:t>；包B：</w:t>
      </w:r>
      <w:r>
        <w:rPr>
          <w:rFonts w:hint="eastAsia" w:hAnsi="宋体" w:cs="Arial"/>
          <w:szCs w:val="24"/>
        </w:rPr>
        <w:t>¥5000.00</w:t>
      </w:r>
      <w:r>
        <w:rPr>
          <w:rFonts w:hint="eastAsia" w:hAnsi="宋体"/>
          <w:szCs w:val="24"/>
        </w:rPr>
        <w:t>元;包C：</w:t>
      </w:r>
      <w:r>
        <w:rPr>
          <w:rFonts w:hint="eastAsia" w:hAnsi="宋体" w:cs="Arial"/>
          <w:szCs w:val="24"/>
        </w:rPr>
        <w:t>¥5000.00</w:t>
      </w:r>
      <w:r>
        <w:rPr>
          <w:rFonts w:hint="eastAsia" w:hAnsi="宋体"/>
          <w:szCs w:val="24"/>
        </w:rPr>
        <w:t>元。</w:t>
      </w:r>
    </w:p>
    <w:p>
      <w:pPr>
        <w:shd w:val="clear" w:color="auto" w:fill="FFFFFF"/>
        <w:snapToGrid w:val="0"/>
        <w:spacing w:line="240" w:lineRule="auto"/>
        <w:ind w:firstLine="480"/>
        <w:rPr>
          <w:rFonts w:hAnsi="宋体" w:cs="Arial"/>
          <w:szCs w:val="24"/>
          <w:lang w:bidi="ar"/>
        </w:rPr>
      </w:pPr>
      <w:r>
        <w:rPr>
          <w:rFonts w:hint="eastAsia" w:hAnsi="宋体" w:cs="Arial"/>
          <w:szCs w:val="24"/>
          <w:lang w:bidi="ar"/>
        </w:rPr>
        <w:t>购买招标文件时须提供（留复印件加盖公章，原件备验）：</w:t>
      </w:r>
    </w:p>
    <w:p>
      <w:pPr>
        <w:pStyle w:val="13"/>
        <w:shd w:val="clear" w:color="auto" w:fill="FFFFFF"/>
        <w:wordWrap w:val="0"/>
        <w:spacing w:beforeAutospacing="0" w:afterAutospacing="0" w:line="240" w:lineRule="auto"/>
        <w:ind w:firstLine="480"/>
        <w:rPr>
          <w:rFonts w:hAnsi="宋体" w:cs="Arial"/>
          <w:szCs w:val="24"/>
          <w:lang w:bidi="ar"/>
        </w:rPr>
      </w:pPr>
      <w:r>
        <w:rPr>
          <w:rFonts w:hint="eastAsia" w:hAnsi="宋体" w:cs="Arial"/>
          <w:szCs w:val="24"/>
          <w:lang w:bidi="ar"/>
        </w:rPr>
        <w:t>（1）经年审合格的营业执照、 组织机构代码证；</w:t>
      </w:r>
    </w:p>
    <w:p>
      <w:pPr>
        <w:pStyle w:val="13"/>
        <w:shd w:val="clear" w:color="auto" w:fill="FFFFFF"/>
        <w:wordWrap w:val="0"/>
        <w:spacing w:beforeAutospacing="0" w:afterAutospacing="0" w:line="240" w:lineRule="auto"/>
        <w:ind w:firstLine="480"/>
        <w:rPr>
          <w:rFonts w:hAnsi="宋体" w:cs="Arial"/>
          <w:szCs w:val="24"/>
          <w:lang w:bidi="ar"/>
        </w:rPr>
      </w:pPr>
      <w:r>
        <w:rPr>
          <w:rFonts w:hint="eastAsia" w:hAnsi="宋体" w:cs="Arial"/>
          <w:szCs w:val="24"/>
          <w:lang w:bidi="ar"/>
        </w:rPr>
        <w:t>（2）法人代表授权委托书原件及法人代表身份证、授权代表须提供现公司社保证明材料及身份证原件；</w:t>
      </w:r>
    </w:p>
    <w:p>
      <w:pPr>
        <w:pStyle w:val="13"/>
        <w:shd w:val="clear" w:color="auto" w:fill="FFFFFF"/>
        <w:wordWrap w:val="0"/>
        <w:spacing w:beforeAutospacing="0" w:afterAutospacing="0" w:line="240" w:lineRule="auto"/>
        <w:ind w:firstLine="480"/>
        <w:rPr>
          <w:rFonts w:hAnsi="宋体" w:cs="Arial"/>
          <w:szCs w:val="24"/>
          <w:lang w:bidi="ar"/>
        </w:rPr>
      </w:pPr>
      <w:r>
        <w:rPr>
          <w:rFonts w:hint="eastAsia" w:hAnsi="宋体" w:cs="Arial"/>
          <w:szCs w:val="24"/>
          <w:lang w:bidi="ar"/>
        </w:rPr>
        <w:t>（3）投标人资格要求的相关证明材料。</w:t>
      </w:r>
    </w:p>
    <w:p>
      <w:pPr>
        <w:tabs>
          <w:tab w:val="left" w:pos="4680"/>
        </w:tabs>
        <w:snapToGrid w:val="0"/>
        <w:spacing w:line="240" w:lineRule="auto"/>
        <w:ind w:firstLine="480"/>
        <w:rPr>
          <w:rFonts w:hAnsi="宋体" w:cs="Arial"/>
          <w:szCs w:val="24"/>
        </w:rPr>
      </w:pPr>
      <w:r>
        <w:rPr>
          <w:rFonts w:hAnsi="宋体" w:cs="Arial"/>
          <w:szCs w:val="24"/>
        </w:rPr>
        <w:t>4</w:t>
      </w:r>
      <w:r>
        <w:rPr>
          <w:rFonts w:hint="eastAsia" w:hAnsi="宋体" w:cs="Arial"/>
          <w:szCs w:val="24"/>
        </w:rPr>
        <w:t>、投标人提问截止时间：</w:t>
      </w:r>
      <w:r>
        <w:rPr>
          <w:rFonts w:hAnsi="宋体" w:cs="Arial"/>
          <w:szCs w:val="24"/>
        </w:rPr>
        <w:t>20</w:t>
      </w:r>
      <w:r>
        <w:rPr>
          <w:rFonts w:hint="eastAsia" w:hAnsi="宋体" w:cs="Arial"/>
          <w:szCs w:val="24"/>
        </w:rPr>
        <w:t xml:space="preserve">20年 </w:t>
      </w:r>
      <w:r>
        <w:rPr>
          <w:rFonts w:hint="eastAsia" w:hAnsi="宋体" w:cs="Arial"/>
          <w:szCs w:val="24"/>
          <w:lang w:val="en-US" w:eastAsia="zh-CN"/>
        </w:rPr>
        <w:t>7</w:t>
      </w:r>
      <w:r>
        <w:rPr>
          <w:rFonts w:hint="eastAsia" w:hAnsi="宋体" w:cs="Arial"/>
          <w:szCs w:val="24"/>
        </w:rPr>
        <w:t>月</w:t>
      </w:r>
      <w:r>
        <w:rPr>
          <w:rFonts w:hint="eastAsia" w:hAnsi="宋体" w:cs="Arial"/>
          <w:szCs w:val="24"/>
          <w:lang w:val="en-US" w:eastAsia="zh-CN"/>
        </w:rPr>
        <w:t>30</w:t>
      </w:r>
      <w:r>
        <w:rPr>
          <w:rFonts w:hint="eastAsia" w:hAnsi="宋体" w:cs="Arial"/>
          <w:szCs w:val="24"/>
        </w:rPr>
        <w:t xml:space="preserve"> 日</w:t>
      </w:r>
      <w:r>
        <w:rPr>
          <w:rFonts w:hAnsi="宋体" w:cs="Arial"/>
          <w:szCs w:val="24"/>
        </w:rPr>
        <w:t>1</w:t>
      </w:r>
      <w:r>
        <w:rPr>
          <w:rFonts w:hint="eastAsia" w:hAnsi="宋体" w:cs="Arial"/>
          <w:szCs w:val="24"/>
        </w:rPr>
        <w:t>6</w:t>
      </w:r>
      <w:r>
        <w:rPr>
          <w:rFonts w:hAnsi="宋体" w:cs="Arial"/>
          <w:szCs w:val="24"/>
        </w:rPr>
        <w:t>:00:00</w:t>
      </w:r>
      <w:r>
        <w:rPr>
          <w:rFonts w:hint="eastAsia" w:hAnsi="宋体" w:cs="Arial"/>
          <w:szCs w:val="24"/>
        </w:rPr>
        <w:t>（北京时间）。</w:t>
      </w:r>
    </w:p>
    <w:p>
      <w:pPr>
        <w:pStyle w:val="13"/>
        <w:wordWrap w:val="0"/>
        <w:spacing w:beforeAutospacing="0" w:afterAutospacing="0" w:line="240" w:lineRule="auto"/>
        <w:ind w:firstLine="480"/>
        <w:rPr>
          <w:rStyle w:val="18"/>
          <w:rFonts w:hAnsi="宋体"/>
          <w:color w:val="auto"/>
          <w:sz w:val="21"/>
          <w:szCs w:val="24"/>
        </w:rPr>
      </w:pPr>
      <w:r>
        <w:rPr>
          <w:rFonts w:hAnsi="宋体" w:cs="Arial"/>
          <w:szCs w:val="24"/>
        </w:rPr>
        <w:t>5</w:t>
      </w:r>
      <w:r>
        <w:rPr>
          <w:rFonts w:hint="eastAsia" w:hAnsi="宋体" w:cs="Arial"/>
          <w:szCs w:val="24"/>
        </w:rPr>
        <w:t>、投标</w:t>
      </w:r>
      <w:r>
        <w:rPr>
          <w:rFonts w:hint="eastAsia" w:hAnsi="宋体"/>
          <w:szCs w:val="24"/>
        </w:rPr>
        <w:t>保证金到账截止日期：</w:t>
      </w:r>
      <w:r>
        <w:rPr>
          <w:rStyle w:val="36"/>
          <w:rFonts w:hAnsi="宋体"/>
          <w:szCs w:val="24"/>
        </w:rPr>
        <w:t>20</w:t>
      </w:r>
      <w:r>
        <w:rPr>
          <w:rStyle w:val="36"/>
          <w:rFonts w:hint="eastAsia" w:hAnsi="宋体"/>
          <w:szCs w:val="24"/>
        </w:rPr>
        <w:t xml:space="preserve">20年 </w:t>
      </w:r>
      <w:r>
        <w:rPr>
          <w:rStyle w:val="36"/>
          <w:rFonts w:hint="eastAsia" w:hAnsi="宋体"/>
          <w:szCs w:val="24"/>
          <w:lang w:val="en-US" w:eastAsia="zh-CN"/>
        </w:rPr>
        <w:t>8</w:t>
      </w:r>
      <w:r>
        <w:rPr>
          <w:rStyle w:val="36"/>
          <w:rFonts w:hint="eastAsia" w:hAnsi="宋体"/>
          <w:szCs w:val="24"/>
        </w:rPr>
        <w:t xml:space="preserve">月 </w:t>
      </w:r>
      <w:r>
        <w:rPr>
          <w:rStyle w:val="36"/>
          <w:rFonts w:hint="eastAsia" w:hAnsi="宋体"/>
          <w:szCs w:val="24"/>
          <w:lang w:val="en-US" w:eastAsia="zh-CN"/>
        </w:rPr>
        <w:t>11</w:t>
      </w:r>
      <w:r>
        <w:rPr>
          <w:rStyle w:val="36"/>
          <w:rFonts w:hint="eastAsia" w:hAnsi="宋体"/>
          <w:szCs w:val="24"/>
        </w:rPr>
        <w:t xml:space="preserve"> 日 8</w:t>
      </w:r>
      <w:r>
        <w:rPr>
          <w:rFonts w:hint="eastAsia" w:hAnsi="宋体" w:cs="Arial"/>
          <w:szCs w:val="24"/>
        </w:rPr>
        <w:t>：</w:t>
      </w:r>
      <w:r>
        <w:rPr>
          <w:rFonts w:hAnsi="宋体" w:cs="Arial"/>
          <w:szCs w:val="24"/>
        </w:rPr>
        <w:t>30</w:t>
      </w:r>
      <w:r>
        <w:rPr>
          <w:rStyle w:val="36"/>
          <w:rFonts w:hAnsi="宋体"/>
          <w:szCs w:val="24"/>
        </w:rPr>
        <w:t>:00</w:t>
      </w:r>
      <w:r>
        <w:rPr>
          <w:rStyle w:val="36"/>
          <w:rFonts w:hint="eastAsia" w:hAnsi="宋体"/>
          <w:szCs w:val="24"/>
        </w:rPr>
        <w:t>前</w:t>
      </w:r>
      <w:r>
        <w:rPr>
          <w:rFonts w:hint="eastAsia" w:hAnsi="宋体"/>
          <w:szCs w:val="24"/>
        </w:rPr>
        <w:t>（北京时间），</w:t>
      </w:r>
    </w:p>
    <w:p>
      <w:pPr>
        <w:shd w:val="clear" w:color="auto" w:fill="FFFFFF"/>
        <w:snapToGrid w:val="0"/>
        <w:spacing w:line="240" w:lineRule="auto"/>
        <w:ind w:firstLine="960" w:firstLineChars="400"/>
        <w:rPr>
          <w:rFonts w:hAnsi="宋体" w:cs="Arial"/>
          <w:szCs w:val="24"/>
          <w:lang w:bidi="ar"/>
        </w:rPr>
      </w:pPr>
      <w:r>
        <w:rPr>
          <w:rFonts w:hint="eastAsia" w:hAnsi="宋体" w:cs="Arial"/>
          <w:szCs w:val="24"/>
          <w:lang w:bidi="ar"/>
        </w:rPr>
        <w:t>交款方式：银行转账或现金支付</w:t>
      </w:r>
    </w:p>
    <w:p>
      <w:pPr>
        <w:shd w:val="clear" w:color="auto" w:fill="FFFFFF"/>
        <w:snapToGrid w:val="0"/>
        <w:spacing w:line="240" w:lineRule="auto"/>
        <w:ind w:firstLine="480"/>
        <w:rPr>
          <w:rFonts w:hAnsi="宋体" w:cs="Arial"/>
          <w:szCs w:val="24"/>
          <w:lang w:bidi="ar"/>
        </w:rPr>
      </w:pPr>
      <w:r>
        <w:rPr>
          <w:rFonts w:hint="eastAsia" w:hAnsi="宋体" w:cs="Arial"/>
          <w:szCs w:val="24"/>
          <w:lang w:bidi="ar"/>
        </w:rPr>
        <w:t>〔1〕收款单位：</w:t>
      </w:r>
      <w:bookmarkStart w:id="10" w:name="OLE_LINK5"/>
      <w:r>
        <w:rPr>
          <w:rFonts w:hint="eastAsia" w:hAnsi="宋体" w:cs="Arial"/>
          <w:szCs w:val="24"/>
          <w:lang w:bidi="ar"/>
        </w:rPr>
        <w:t>海南政鼎招标代理有限公司</w:t>
      </w:r>
      <w:bookmarkEnd w:id="10"/>
      <w:r>
        <w:rPr>
          <w:rFonts w:hint="eastAsia" w:hAnsi="宋体" w:cs="Arial"/>
          <w:szCs w:val="24"/>
          <w:lang w:bidi="ar"/>
        </w:rPr>
        <w:t xml:space="preserve">；       </w:t>
      </w:r>
    </w:p>
    <w:p>
      <w:pPr>
        <w:shd w:val="clear" w:color="auto" w:fill="FFFFFF"/>
        <w:snapToGrid w:val="0"/>
        <w:spacing w:line="240" w:lineRule="auto"/>
        <w:ind w:firstLine="480"/>
        <w:rPr>
          <w:rFonts w:hAnsi="宋体" w:cs="Arial"/>
          <w:szCs w:val="24"/>
          <w:lang w:bidi="ar"/>
        </w:rPr>
      </w:pPr>
      <w:r>
        <w:rPr>
          <w:rFonts w:hint="eastAsia" w:hAnsi="宋体" w:cs="Arial"/>
          <w:szCs w:val="24"/>
          <w:lang w:bidi="ar"/>
        </w:rPr>
        <w:t xml:space="preserve">〔2〕开户行：中国建设银行海口金盘支行； </w:t>
      </w:r>
    </w:p>
    <w:p>
      <w:pPr>
        <w:shd w:val="clear" w:color="auto" w:fill="FFFFFF"/>
        <w:snapToGrid w:val="0"/>
        <w:spacing w:line="240" w:lineRule="auto"/>
        <w:ind w:firstLine="480"/>
        <w:rPr>
          <w:rFonts w:hAnsi="宋体" w:cs="Arial"/>
          <w:szCs w:val="24"/>
          <w:lang w:bidi="ar"/>
        </w:rPr>
      </w:pPr>
      <w:r>
        <w:rPr>
          <w:rFonts w:hint="eastAsia" w:hAnsi="宋体" w:cs="Arial"/>
          <w:szCs w:val="24"/>
          <w:lang w:bidi="ar"/>
        </w:rPr>
        <w:t>〔3〕银行账号：46001002336053009608</w:t>
      </w:r>
    </w:p>
    <w:p>
      <w:pPr>
        <w:tabs>
          <w:tab w:val="left" w:pos="4680"/>
        </w:tabs>
        <w:snapToGrid w:val="0"/>
        <w:ind w:firstLine="321" w:firstLineChars="100"/>
        <w:rPr>
          <w:rFonts w:hAnsi="宋体" w:cs="Tahoma"/>
          <w:b/>
          <w:sz w:val="32"/>
          <w:szCs w:val="32"/>
        </w:rPr>
      </w:pPr>
      <w:r>
        <w:rPr>
          <w:rFonts w:hint="eastAsia" w:hAnsi="宋体" w:cs="Tahoma"/>
          <w:b/>
          <w:sz w:val="32"/>
          <w:szCs w:val="32"/>
        </w:rPr>
        <w:t>四、投标截止时间、开标时间及地点</w:t>
      </w:r>
    </w:p>
    <w:p>
      <w:pPr>
        <w:adjustRightInd w:val="0"/>
        <w:snapToGrid w:val="0"/>
        <w:spacing w:line="240" w:lineRule="auto"/>
        <w:ind w:firstLine="720" w:firstLineChars="300"/>
        <w:rPr>
          <w:rFonts w:hAnsi="宋体" w:cs="Arial"/>
          <w:szCs w:val="24"/>
        </w:rPr>
      </w:pPr>
      <w:r>
        <w:rPr>
          <w:rFonts w:hAnsi="宋体" w:cs="Arial"/>
          <w:szCs w:val="24"/>
        </w:rPr>
        <w:t>1</w:t>
      </w:r>
      <w:r>
        <w:rPr>
          <w:rFonts w:hint="eastAsia" w:hAnsi="宋体" w:cs="Arial"/>
          <w:szCs w:val="24"/>
        </w:rPr>
        <w:t>、递交投标文件截止时间：</w:t>
      </w:r>
      <w:r>
        <w:rPr>
          <w:rFonts w:hAnsi="宋体" w:cs="Arial"/>
          <w:szCs w:val="24"/>
        </w:rPr>
        <w:t>20</w:t>
      </w:r>
      <w:r>
        <w:rPr>
          <w:rFonts w:hint="eastAsia" w:hAnsi="宋体" w:cs="Arial"/>
          <w:szCs w:val="24"/>
        </w:rPr>
        <w:t xml:space="preserve">20年 </w:t>
      </w:r>
      <w:r>
        <w:rPr>
          <w:rFonts w:hint="eastAsia" w:hAnsi="宋体" w:cs="Arial"/>
          <w:szCs w:val="24"/>
          <w:lang w:val="en-US" w:eastAsia="zh-CN"/>
        </w:rPr>
        <w:t>8</w:t>
      </w:r>
      <w:r>
        <w:rPr>
          <w:rFonts w:hint="eastAsia" w:hAnsi="宋体" w:cs="Arial"/>
          <w:szCs w:val="24"/>
        </w:rPr>
        <w:t xml:space="preserve">月 </w:t>
      </w:r>
      <w:r>
        <w:rPr>
          <w:rFonts w:hint="eastAsia" w:hAnsi="宋体" w:cs="Arial"/>
          <w:szCs w:val="24"/>
          <w:lang w:val="en-US" w:eastAsia="zh-CN"/>
        </w:rPr>
        <w:t>11</w:t>
      </w:r>
      <w:r>
        <w:rPr>
          <w:rFonts w:hint="eastAsia" w:hAnsi="宋体" w:cs="Arial"/>
          <w:szCs w:val="24"/>
        </w:rPr>
        <w:t xml:space="preserve"> 日上午 8 ：3</w:t>
      </w:r>
      <w:r>
        <w:rPr>
          <w:rFonts w:hAnsi="宋体" w:cs="Arial"/>
          <w:szCs w:val="24"/>
        </w:rPr>
        <w:t>0</w:t>
      </w:r>
      <w:r>
        <w:rPr>
          <w:rFonts w:hint="eastAsia" w:hAnsi="宋体" w:cs="Arial"/>
          <w:szCs w:val="24"/>
        </w:rPr>
        <w:t>（北京时间）；</w:t>
      </w:r>
    </w:p>
    <w:p>
      <w:pPr>
        <w:adjustRightInd w:val="0"/>
        <w:snapToGrid w:val="0"/>
        <w:spacing w:line="240" w:lineRule="auto"/>
        <w:ind w:firstLine="720" w:firstLineChars="300"/>
        <w:rPr>
          <w:rFonts w:hAnsi="宋体" w:cs="Arial"/>
          <w:szCs w:val="24"/>
        </w:rPr>
      </w:pPr>
      <w:r>
        <w:rPr>
          <w:rFonts w:hAnsi="宋体" w:cs="Arial"/>
          <w:szCs w:val="24"/>
        </w:rPr>
        <w:t>2</w:t>
      </w:r>
      <w:r>
        <w:rPr>
          <w:rFonts w:hint="eastAsia" w:hAnsi="宋体" w:cs="Arial"/>
          <w:szCs w:val="24"/>
        </w:rPr>
        <w:t>、开标时间：</w:t>
      </w:r>
      <w:r>
        <w:rPr>
          <w:rFonts w:hAnsi="宋体" w:cs="Arial"/>
          <w:szCs w:val="24"/>
        </w:rPr>
        <w:t>20</w:t>
      </w:r>
      <w:r>
        <w:rPr>
          <w:rFonts w:hint="eastAsia" w:hAnsi="宋体" w:cs="Arial"/>
          <w:szCs w:val="24"/>
        </w:rPr>
        <w:t xml:space="preserve">20年 </w:t>
      </w:r>
      <w:r>
        <w:rPr>
          <w:rFonts w:hint="eastAsia" w:hAnsi="宋体" w:cs="Arial"/>
          <w:szCs w:val="24"/>
          <w:lang w:val="en-US" w:eastAsia="zh-CN"/>
        </w:rPr>
        <w:t>8</w:t>
      </w:r>
      <w:r>
        <w:rPr>
          <w:rFonts w:hint="eastAsia" w:hAnsi="宋体" w:cs="Arial"/>
          <w:szCs w:val="24"/>
        </w:rPr>
        <w:t xml:space="preserve">月 </w:t>
      </w:r>
      <w:r>
        <w:rPr>
          <w:rFonts w:hint="eastAsia" w:hAnsi="宋体" w:cs="Arial"/>
          <w:szCs w:val="24"/>
          <w:lang w:val="en-US" w:eastAsia="zh-CN"/>
        </w:rPr>
        <w:t>11</w:t>
      </w:r>
      <w:r>
        <w:rPr>
          <w:rFonts w:hint="eastAsia" w:hAnsi="宋体" w:cs="Arial"/>
          <w:szCs w:val="24"/>
        </w:rPr>
        <w:t xml:space="preserve"> 日上午8：3</w:t>
      </w:r>
      <w:r>
        <w:rPr>
          <w:rFonts w:hAnsi="宋体" w:cs="Arial"/>
          <w:szCs w:val="24"/>
        </w:rPr>
        <w:t>0</w:t>
      </w:r>
      <w:r>
        <w:rPr>
          <w:rFonts w:hint="eastAsia" w:hAnsi="宋体" w:cs="Arial"/>
          <w:szCs w:val="24"/>
        </w:rPr>
        <w:t>（北京时间）；</w:t>
      </w:r>
    </w:p>
    <w:p>
      <w:pPr>
        <w:spacing w:line="240" w:lineRule="auto"/>
        <w:ind w:firstLine="720" w:firstLineChars="300"/>
        <w:rPr>
          <w:rFonts w:hAnsi="宋体"/>
          <w:bCs/>
          <w:color w:val="000000"/>
          <w:spacing w:val="10"/>
          <w:szCs w:val="24"/>
        </w:rPr>
      </w:pPr>
      <w:r>
        <w:rPr>
          <w:rFonts w:hAnsi="宋体" w:cs="Arial"/>
          <w:szCs w:val="24"/>
        </w:rPr>
        <w:t>3</w:t>
      </w:r>
      <w:r>
        <w:rPr>
          <w:rFonts w:hint="eastAsia" w:hAnsi="宋体" w:cs="Arial"/>
          <w:szCs w:val="24"/>
        </w:rPr>
        <w:t>、开标地点：</w:t>
      </w:r>
      <w:bookmarkStart w:id="11" w:name="OLE_LINK3"/>
      <w:r>
        <w:rPr>
          <w:rFonts w:hint="eastAsia" w:hAnsi="宋体" w:cs="Arial"/>
          <w:szCs w:val="24"/>
          <w:lang w:bidi="ar"/>
        </w:rPr>
        <w:t>海南政鼎招标代理有限公司开标室</w:t>
      </w:r>
      <w:r>
        <w:rPr>
          <w:rFonts w:hint="eastAsia" w:hAnsi="宋体"/>
          <w:bCs/>
          <w:color w:val="000000"/>
          <w:spacing w:val="10"/>
          <w:szCs w:val="24"/>
        </w:rPr>
        <w:t>。</w:t>
      </w:r>
      <w:bookmarkEnd w:id="11"/>
    </w:p>
    <w:p>
      <w:pPr>
        <w:spacing w:line="240" w:lineRule="auto"/>
        <w:ind w:firstLine="1440" w:firstLineChars="600"/>
        <w:rPr>
          <w:rFonts w:hAnsi="宋体" w:cs="Arial"/>
          <w:szCs w:val="24"/>
        </w:rPr>
      </w:pPr>
      <w:r>
        <w:rPr>
          <w:rFonts w:hint="eastAsia" w:hAnsi="宋体"/>
          <w:color w:val="000000"/>
          <w:szCs w:val="24"/>
        </w:rPr>
        <w:t>地 址：</w:t>
      </w:r>
      <w:r>
        <w:rPr>
          <w:rFonts w:hint="eastAsia" w:hAnsi="宋体" w:cs="宋体"/>
          <w:color w:val="000000"/>
        </w:rPr>
        <w:t>海口市大英山西二街</w:t>
      </w:r>
      <w:r>
        <w:rPr>
          <w:rFonts w:hAnsi="宋体" w:cs="宋体"/>
          <w:color w:val="000000"/>
        </w:rPr>
        <w:t>2</w:t>
      </w:r>
      <w:r>
        <w:rPr>
          <w:rFonts w:hint="eastAsia" w:hAnsi="宋体" w:cs="宋体"/>
          <w:color w:val="000000"/>
        </w:rPr>
        <w:t>号</w:t>
      </w:r>
      <w:r>
        <w:rPr>
          <w:rFonts w:hAnsi="宋体" w:cs="宋体"/>
          <w:color w:val="000000"/>
        </w:rPr>
        <w:t>1801</w:t>
      </w:r>
      <w:r>
        <w:rPr>
          <w:rFonts w:hint="eastAsia" w:hAnsi="宋体"/>
          <w:bCs/>
          <w:color w:val="000000"/>
          <w:spacing w:val="10"/>
          <w:szCs w:val="24"/>
        </w:rPr>
        <w:t>。</w:t>
      </w:r>
    </w:p>
    <w:p>
      <w:pPr>
        <w:pStyle w:val="32"/>
        <w:ind w:left="240" w:leftChars="100" w:firstLine="0" w:firstLineChars="0"/>
        <w:rPr>
          <w:rFonts w:ascii="宋体" w:hAnsi="宋体" w:cs="Arial"/>
          <w:szCs w:val="24"/>
        </w:rPr>
      </w:pPr>
      <w:r>
        <w:rPr>
          <w:rFonts w:hint="eastAsia" w:ascii="宋体" w:hAnsi="宋体" w:cs="Tahoma"/>
          <w:b/>
          <w:sz w:val="32"/>
          <w:szCs w:val="32"/>
        </w:rPr>
        <w:t>五、</w:t>
      </w:r>
      <w:r>
        <w:rPr>
          <w:rFonts w:hint="eastAsia" w:ascii="宋体" w:hAnsi="宋体" w:cs="Arial"/>
          <w:szCs w:val="24"/>
        </w:rPr>
        <w:t>本投标邀请在海南政府采购网或中国招标与采购网上以公告形式发布。</w:t>
      </w:r>
      <w:bookmarkStart w:id="12" w:name="OLE_LINK10"/>
    </w:p>
    <w:p>
      <w:pPr>
        <w:pStyle w:val="32"/>
        <w:ind w:left="240" w:leftChars="100" w:firstLine="0" w:firstLineChars="0"/>
        <w:rPr>
          <w:rFonts w:hAnsi="宋体"/>
          <w:b/>
          <w:sz w:val="32"/>
          <w:szCs w:val="32"/>
        </w:rPr>
      </w:pPr>
      <w:bookmarkStart w:id="13" w:name="OLE_LINK11"/>
      <w:r>
        <w:rPr>
          <w:rFonts w:hint="eastAsia" w:hAnsi="宋体"/>
          <w:b/>
          <w:sz w:val="32"/>
          <w:szCs w:val="32"/>
        </w:rPr>
        <w:t>六、</w:t>
      </w:r>
      <w:bookmarkEnd w:id="12"/>
      <w:bookmarkEnd w:id="13"/>
      <w:r>
        <w:rPr>
          <w:rFonts w:hint="eastAsia" w:hAnsi="宋体"/>
          <w:b/>
          <w:sz w:val="32"/>
          <w:szCs w:val="32"/>
        </w:rPr>
        <w:t>联系方式</w:t>
      </w:r>
    </w:p>
    <w:p>
      <w:pPr>
        <w:snapToGrid w:val="0"/>
        <w:spacing w:line="240" w:lineRule="auto"/>
        <w:ind w:firstLine="720" w:firstLineChars="300"/>
        <w:rPr>
          <w:rFonts w:hAnsi="宋体" w:cs="宋体"/>
          <w:color w:val="000000"/>
        </w:rPr>
      </w:pPr>
      <w:r>
        <w:rPr>
          <w:rFonts w:hint="eastAsia" w:hAnsi="宋体" w:cs="宋体"/>
          <w:color w:val="000000"/>
        </w:rPr>
        <w:t>采购人：</w:t>
      </w:r>
      <w:r>
        <w:rPr>
          <w:rFonts w:hint="eastAsia" w:hAnsi="宋体"/>
          <w:szCs w:val="24"/>
        </w:rPr>
        <w:t>海南师范大学</w:t>
      </w:r>
    </w:p>
    <w:p>
      <w:pPr>
        <w:snapToGrid w:val="0"/>
        <w:spacing w:line="240" w:lineRule="auto"/>
        <w:ind w:firstLine="720" w:firstLineChars="300"/>
        <w:rPr>
          <w:rFonts w:hAnsi="宋体" w:cs="宋体"/>
          <w:color w:val="000000"/>
        </w:rPr>
      </w:pPr>
      <w:r>
        <w:rPr>
          <w:rFonts w:hint="eastAsia" w:hAnsi="宋体" w:cs="宋体"/>
          <w:color w:val="000000"/>
        </w:rPr>
        <w:t>地址：海口市龙昆南路99号</w:t>
      </w:r>
    </w:p>
    <w:p>
      <w:pPr>
        <w:snapToGrid w:val="0"/>
        <w:spacing w:line="240" w:lineRule="auto"/>
        <w:ind w:firstLine="720" w:firstLineChars="300"/>
        <w:rPr>
          <w:rFonts w:hint="eastAsia" w:hAnsi="宋体" w:cs="宋体"/>
          <w:color w:val="000000"/>
        </w:rPr>
      </w:pPr>
      <w:r>
        <w:rPr>
          <w:rFonts w:hint="eastAsia" w:hAnsi="宋体" w:cs="宋体"/>
          <w:color w:val="000000"/>
        </w:rPr>
        <w:t>电话：0898-65880756</w:t>
      </w:r>
    </w:p>
    <w:p>
      <w:pPr>
        <w:snapToGrid w:val="0"/>
        <w:spacing w:line="240" w:lineRule="auto"/>
        <w:ind w:firstLine="720" w:firstLineChars="300"/>
        <w:rPr>
          <w:rFonts w:hAnsi="宋体" w:cs="宋体"/>
          <w:color w:val="000000"/>
        </w:rPr>
      </w:pPr>
      <w:r>
        <w:rPr>
          <w:rFonts w:hint="eastAsia" w:hAnsi="宋体" w:cs="宋体"/>
          <w:color w:val="000000"/>
        </w:rPr>
        <w:t>联系人：魏女士</w:t>
      </w:r>
    </w:p>
    <w:p>
      <w:pPr>
        <w:snapToGrid w:val="0"/>
        <w:spacing w:line="240" w:lineRule="auto"/>
        <w:ind w:firstLine="720" w:firstLineChars="300"/>
        <w:rPr>
          <w:rFonts w:hAnsi="宋体" w:cs="宋体"/>
          <w:color w:val="000000"/>
        </w:rPr>
      </w:pPr>
      <w:r>
        <w:rPr>
          <w:rFonts w:hint="eastAsia" w:hAnsi="宋体" w:cs="宋体"/>
          <w:color w:val="000000"/>
        </w:rPr>
        <w:t>招标代理机构：</w:t>
      </w:r>
      <w:r>
        <w:rPr>
          <w:rFonts w:hint="eastAsia" w:hAnsi="宋体"/>
        </w:rPr>
        <w:t>海南政鼎招标代理有限公司</w:t>
      </w:r>
    </w:p>
    <w:p>
      <w:pPr>
        <w:snapToGrid w:val="0"/>
        <w:spacing w:line="240" w:lineRule="auto"/>
        <w:ind w:firstLine="720" w:firstLineChars="300"/>
        <w:rPr>
          <w:rFonts w:hAnsi="宋体" w:cs="宋体"/>
          <w:color w:val="000000"/>
        </w:rPr>
      </w:pPr>
      <w:r>
        <w:rPr>
          <w:rFonts w:hint="eastAsia" w:hAnsi="宋体" w:cs="宋体"/>
          <w:color w:val="000000"/>
        </w:rPr>
        <w:t>地址：</w:t>
      </w:r>
      <w:bookmarkStart w:id="14" w:name="OLE_LINK20"/>
      <w:r>
        <w:rPr>
          <w:rFonts w:hint="eastAsia" w:hAnsi="宋体" w:cs="宋体"/>
          <w:color w:val="000000"/>
        </w:rPr>
        <w:t>海口市</w:t>
      </w:r>
      <w:bookmarkEnd w:id="14"/>
      <w:r>
        <w:rPr>
          <w:rFonts w:hint="eastAsia" w:hAnsi="宋体" w:cs="宋体"/>
          <w:color w:val="000000"/>
        </w:rPr>
        <w:t>大英山西二街</w:t>
      </w:r>
      <w:r>
        <w:rPr>
          <w:rFonts w:hAnsi="宋体" w:cs="宋体"/>
          <w:color w:val="000000"/>
        </w:rPr>
        <w:t>2</w:t>
      </w:r>
      <w:r>
        <w:rPr>
          <w:rFonts w:hint="eastAsia" w:hAnsi="宋体" w:cs="宋体"/>
          <w:color w:val="000000"/>
        </w:rPr>
        <w:t>号</w:t>
      </w:r>
      <w:r>
        <w:rPr>
          <w:rFonts w:hAnsi="宋体" w:cs="宋体"/>
          <w:color w:val="000000"/>
        </w:rPr>
        <w:t>1801</w:t>
      </w:r>
    </w:p>
    <w:p>
      <w:pPr>
        <w:pStyle w:val="32"/>
        <w:spacing w:line="240" w:lineRule="auto"/>
        <w:ind w:firstLine="720" w:firstLineChars="300"/>
        <w:rPr>
          <w:rFonts w:hAnsi="宋体" w:cs="宋体"/>
          <w:color w:val="000000"/>
        </w:rPr>
      </w:pPr>
      <w:r>
        <w:rPr>
          <w:rFonts w:hint="eastAsia" w:hAnsi="宋体" w:cs="宋体"/>
          <w:color w:val="000000"/>
        </w:rPr>
        <w:t>电话：</w:t>
      </w:r>
      <w:r>
        <w:rPr>
          <w:rFonts w:hAnsi="宋体" w:cs="宋体"/>
          <w:bCs/>
          <w:color w:val="000000"/>
          <w:szCs w:val="28"/>
        </w:rPr>
        <w:t>0898-</w:t>
      </w:r>
      <w:r>
        <w:rPr>
          <w:rFonts w:hAnsi="宋体" w:cs="宋体"/>
          <w:color w:val="000000"/>
        </w:rPr>
        <w:t>66757532</w:t>
      </w:r>
    </w:p>
    <w:p>
      <w:pPr>
        <w:pStyle w:val="32"/>
        <w:ind w:firstLine="720" w:firstLineChars="300"/>
        <w:rPr>
          <w:rFonts w:hAnsi="宋体" w:cs="宋体"/>
          <w:color w:val="000000"/>
        </w:rPr>
      </w:pPr>
      <w:r>
        <w:rPr>
          <w:rFonts w:hint="eastAsia" w:hAnsi="宋体" w:cs="宋体"/>
          <w:color w:val="000000"/>
        </w:rPr>
        <w:t>联系人：李先生</w:t>
      </w:r>
    </w:p>
    <w:p>
      <w:pPr>
        <w:pStyle w:val="32"/>
        <w:spacing w:line="240" w:lineRule="auto"/>
        <w:ind w:firstLine="4760" w:firstLineChars="1700"/>
        <w:rPr>
          <w:rFonts w:hAnsi="宋体"/>
          <w:sz w:val="28"/>
          <w:szCs w:val="28"/>
        </w:rPr>
      </w:pPr>
    </w:p>
    <w:p>
      <w:pPr>
        <w:pStyle w:val="32"/>
        <w:spacing w:line="240" w:lineRule="auto"/>
        <w:ind w:firstLine="4760" w:firstLineChars="1700"/>
        <w:rPr>
          <w:rFonts w:hAnsi="宋体"/>
          <w:sz w:val="28"/>
          <w:szCs w:val="28"/>
        </w:rPr>
      </w:pPr>
      <w:r>
        <w:rPr>
          <w:rFonts w:hint="eastAsia" w:hAnsi="宋体"/>
          <w:sz w:val="28"/>
          <w:szCs w:val="28"/>
        </w:rPr>
        <w:t>海南政鼎招标代理有限公司</w:t>
      </w:r>
    </w:p>
    <w:p>
      <w:pPr>
        <w:shd w:val="clear" w:color="auto" w:fill="FFFFFF"/>
        <w:snapToGrid w:val="0"/>
        <w:spacing w:line="240" w:lineRule="auto"/>
        <w:ind w:right="280" w:firstLine="4888" w:firstLineChars="1746"/>
        <w:jc w:val="center"/>
        <w:rPr>
          <w:rFonts w:hAnsi="宋体"/>
          <w:b/>
          <w:sz w:val="30"/>
        </w:rPr>
      </w:pPr>
      <w:bookmarkStart w:id="15" w:name="OLE_LINK4"/>
      <w:r>
        <w:rPr>
          <w:rFonts w:hint="eastAsia" w:hAnsi="宋体"/>
          <w:sz w:val="28"/>
          <w:szCs w:val="28"/>
        </w:rPr>
        <w:t>二〇</w:t>
      </w:r>
      <w:bookmarkEnd w:id="15"/>
      <w:r>
        <w:rPr>
          <w:rFonts w:hint="eastAsia" w:hAnsi="宋体"/>
          <w:sz w:val="28"/>
          <w:szCs w:val="28"/>
        </w:rPr>
        <w:t>二〇年六月</w:t>
      </w:r>
    </w:p>
    <w:p>
      <w:pPr>
        <w:ind w:firstLine="480"/>
        <w:rPr>
          <w:rFonts w:hAnsi="宋体"/>
          <w:b/>
          <w:sz w:val="32"/>
          <w:szCs w:val="32"/>
        </w:rPr>
      </w:pPr>
      <w:r>
        <w:br w:type="page"/>
      </w:r>
    </w:p>
    <w:p>
      <w:pPr>
        <w:pStyle w:val="4"/>
        <w:ind w:firstLine="2650" w:firstLineChars="600"/>
        <w:jc w:val="both"/>
        <w:rPr>
          <w:rFonts w:hAnsi="宋体"/>
        </w:rPr>
      </w:pPr>
      <w:bookmarkStart w:id="16" w:name="_Toc476664367"/>
      <w:bookmarkStart w:id="17" w:name="_Toc476667947"/>
      <w:bookmarkStart w:id="18" w:name="_Toc476643558"/>
      <w:r>
        <w:rPr>
          <w:rFonts w:hint="eastAsia"/>
        </w:rPr>
        <w:t>第二章投标人须知</w:t>
      </w:r>
      <w:bookmarkEnd w:id="16"/>
      <w:bookmarkEnd w:id="17"/>
      <w:bookmarkEnd w:id="18"/>
    </w:p>
    <w:p>
      <w:pPr>
        <w:shd w:val="clear" w:color="auto" w:fill="FFFFFF"/>
        <w:snapToGrid w:val="0"/>
        <w:ind w:firstLine="643"/>
        <w:rPr>
          <w:rFonts w:hAnsi="宋体"/>
          <w:b/>
          <w:sz w:val="32"/>
          <w:szCs w:val="32"/>
        </w:rPr>
      </w:pPr>
      <w:r>
        <w:rPr>
          <w:rFonts w:hint="eastAsia" w:hAnsi="宋体"/>
          <w:b/>
          <w:sz w:val="32"/>
          <w:szCs w:val="32"/>
        </w:rPr>
        <w:t>一、总则</w:t>
      </w:r>
    </w:p>
    <w:p>
      <w:pPr>
        <w:shd w:val="clear" w:color="auto" w:fill="FFFFFF"/>
        <w:snapToGrid w:val="0"/>
        <w:ind w:firstLine="480"/>
        <w:rPr>
          <w:rFonts w:hAnsi="宋体"/>
        </w:rPr>
      </w:pPr>
      <w:r>
        <w:rPr>
          <w:rFonts w:hAnsi="宋体"/>
        </w:rPr>
        <w:t>1.</w:t>
      </w:r>
      <w:r>
        <w:rPr>
          <w:rFonts w:hint="eastAsia" w:hAnsi="宋体"/>
        </w:rPr>
        <w:t>名词解释</w:t>
      </w:r>
    </w:p>
    <w:p>
      <w:pPr>
        <w:snapToGrid w:val="0"/>
        <w:ind w:firstLine="480"/>
        <w:rPr>
          <w:rFonts w:hAnsi="宋体"/>
        </w:rPr>
      </w:pPr>
      <w:r>
        <w:rPr>
          <w:rFonts w:hAnsi="宋体"/>
        </w:rPr>
        <w:t>1.1</w:t>
      </w:r>
      <w:r>
        <w:rPr>
          <w:rFonts w:hint="eastAsia" w:hAnsi="宋体"/>
        </w:rPr>
        <w:t>采</w:t>
      </w:r>
      <w:r>
        <w:rPr>
          <w:rFonts w:hint="eastAsia" w:hAnsi="宋体"/>
          <w:szCs w:val="24"/>
        </w:rPr>
        <w:t>购人</w:t>
      </w:r>
      <w:r>
        <w:rPr>
          <w:rFonts w:hint="eastAsia" w:hAnsi="宋体"/>
        </w:rPr>
        <w:t>：</w:t>
      </w:r>
      <w:r>
        <w:rPr>
          <w:rFonts w:hint="eastAsia" w:hAnsi="宋体"/>
          <w:szCs w:val="24"/>
        </w:rPr>
        <w:t>海南师范大学</w:t>
      </w:r>
    </w:p>
    <w:p>
      <w:pPr>
        <w:shd w:val="clear" w:color="auto" w:fill="FFFFFF"/>
        <w:snapToGrid w:val="0"/>
        <w:ind w:firstLine="480"/>
        <w:rPr>
          <w:rFonts w:hAnsi="宋体"/>
        </w:rPr>
      </w:pPr>
      <w:r>
        <w:rPr>
          <w:rFonts w:hAnsi="宋体"/>
        </w:rPr>
        <w:t>1.2</w:t>
      </w:r>
      <w:r>
        <w:rPr>
          <w:rFonts w:hint="eastAsia" w:hAnsi="宋体"/>
        </w:rPr>
        <w:t>招标代理机构：海南政鼎招标代理有限公司</w:t>
      </w:r>
    </w:p>
    <w:p>
      <w:pPr>
        <w:shd w:val="clear" w:color="auto" w:fill="FFFFFF"/>
        <w:snapToGrid w:val="0"/>
        <w:ind w:firstLine="480"/>
        <w:rPr>
          <w:rFonts w:hAnsi="宋体"/>
        </w:rPr>
      </w:pPr>
      <w:r>
        <w:rPr>
          <w:rFonts w:hAnsi="宋体"/>
        </w:rPr>
        <w:t>1.3</w:t>
      </w:r>
      <w:r>
        <w:rPr>
          <w:rFonts w:hint="eastAsia" w:hAnsi="宋体"/>
        </w:rPr>
        <w:t>投标人：已从招标代理机构购买招标文件并向招标代理机构提交投标文件的投标人。</w:t>
      </w:r>
    </w:p>
    <w:p>
      <w:pPr>
        <w:shd w:val="clear" w:color="auto" w:fill="FFFFFF"/>
        <w:snapToGrid w:val="0"/>
        <w:ind w:firstLine="480"/>
        <w:rPr>
          <w:rFonts w:hAnsi="宋体"/>
        </w:rPr>
      </w:pPr>
      <w:r>
        <w:rPr>
          <w:rFonts w:hAnsi="宋体"/>
        </w:rPr>
        <w:t>2</w:t>
      </w:r>
      <w:r>
        <w:rPr>
          <w:rFonts w:hint="eastAsia" w:hAnsi="宋体"/>
        </w:rPr>
        <w:t>．适用范围</w:t>
      </w:r>
    </w:p>
    <w:p>
      <w:pPr>
        <w:shd w:val="clear" w:color="auto" w:fill="FFFFFF"/>
        <w:snapToGrid w:val="0"/>
        <w:ind w:firstLine="480"/>
        <w:rPr>
          <w:rFonts w:hAnsi="宋体"/>
        </w:rPr>
      </w:pPr>
      <w:r>
        <w:rPr>
          <w:rFonts w:hint="eastAsia" w:hAnsi="宋体"/>
        </w:rPr>
        <w:t>本招标文件仅适用于招标代理机构组织的本次投标活动。</w:t>
      </w:r>
    </w:p>
    <w:p>
      <w:pPr>
        <w:shd w:val="clear" w:color="auto" w:fill="FFFFFF"/>
        <w:snapToGrid w:val="0"/>
        <w:ind w:firstLine="480"/>
        <w:rPr>
          <w:rFonts w:hAnsi="宋体"/>
        </w:rPr>
      </w:pPr>
      <w:r>
        <w:rPr>
          <w:rFonts w:hAnsi="宋体"/>
        </w:rPr>
        <w:t>3</w:t>
      </w:r>
      <w:r>
        <w:rPr>
          <w:rFonts w:hint="eastAsia" w:hAnsi="宋体"/>
        </w:rPr>
        <w:t>．合格的投标人</w:t>
      </w:r>
    </w:p>
    <w:p>
      <w:pPr>
        <w:shd w:val="clear" w:color="auto" w:fill="FFFFFF"/>
        <w:snapToGrid w:val="0"/>
        <w:ind w:firstLine="480"/>
        <w:rPr>
          <w:rFonts w:hAnsi="宋体"/>
        </w:rPr>
      </w:pPr>
      <w:r>
        <w:rPr>
          <w:rFonts w:hAnsi="宋体"/>
        </w:rPr>
        <w:t>3.1</w:t>
      </w:r>
      <w:r>
        <w:rPr>
          <w:rFonts w:hint="eastAsia" w:hAnsi="宋体"/>
        </w:rPr>
        <w:t>凡有能力按照本招标文件规定的要求交付货物和服务的投标单位均为合格的投标人。</w:t>
      </w:r>
    </w:p>
    <w:p>
      <w:pPr>
        <w:shd w:val="clear" w:color="auto" w:fill="FFFFFF"/>
        <w:snapToGrid w:val="0"/>
        <w:ind w:firstLine="480"/>
        <w:rPr>
          <w:rFonts w:hAnsi="宋体"/>
        </w:rPr>
      </w:pPr>
      <w:r>
        <w:rPr>
          <w:rFonts w:hAnsi="宋体"/>
        </w:rPr>
        <w:t>3.2</w:t>
      </w:r>
      <w:r>
        <w:rPr>
          <w:rFonts w:hint="eastAsia" w:hAnsi="宋体"/>
        </w:rPr>
        <w:t>投标人参加本次招标活动应当符合《中华人民共和国政府采购法》第二十二条的规定，并具备本招标文件第一章的“投标人资格要求”规定的条件。</w:t>
      </w:r>
    </w:p>
    <w:p>
      <w:pPr>
        <w:shd w:val="clear" w:color="auto" w:fill="FFFFFF"/>
        <w:snapToGrid w:val="0"/>
        <w:ind w:firstLine="480"/>
        <w:rPr>
          <w:rFonts w:hAnsi="宋体"/>
        </w:rPr>
      </w:pPr>
      <w:r>
        <w:rPr>
          <w:rFonts w:hAnsi="宋体"/>
        </w:rPr>
        <w:t>3.3</w:t>
      </w:r>
      <w:r>
        <w:rPr>
          <w:rFonts w:hint="eastAsia" w:hAnsi="宋体"/>
          <w:b/>
        </w:rPr>
        <w:t>本项目不接受联合体投标</w:t>
      </w:r>
      <w:r>
        <w:rPr>
          <w:rFonts w:hint="eastAsia" w:hAnsi="宋体"/>
        </w:rPr>
        <w:t>。</w:t>
      </w:r>
    </w:p>
    <w:p>
      <w:pPr>
        <w:shd w:val="clear" w:color="auto" w:fill="FFFFFF"/>
        <w:snapToGrid w:val="0"/>
        <w:ind w:firstLine="480"/>
        <w:rPr>
          <w:rFonts w:hAnsi="宋体"/>
        </w:rPr>
      </w:pPr>
      <w:r>
        <w:rPr>
          <w:rFonts w:hAnsi="宋体"/>
        </w:rPr>
        <w:t>4</w:t>
      </w:r>
      <w:r>
        <w:rPr>
          <w:rFonts w:hint="eastAsia" w:hAnsi="宋体"/>
        </w:rPr>
        <w:t>．投标费用</w:t>
      </w:r>
    </w:p>
    <w:p>
      <w:pPr>
        <w:shd w:val="clear" w:color="auto" w:fill="FFFFFF"/>
        <w:snapToGrid w:val="0"/>
        <w:ind w:firstLine="480"/>
        <w:rPr>
          <w:rFonts w:hAnsi="宋体"/>
        </w:rPr>
      </w:pPr>
      <w:r>
        <w:rPr>
          <w:rFonts w:hint="eastAsia" w:hAnsi="宋体"/>
        </w:rPr>
        <w:t>无论招标投标过程中的做法和结果如何，供应商均自行承担所有与参加投标有关的全部费用。</w:t>
      </w:r>
    </w:p>
    <w:p>
      <w:pPr>
        <w:shd w:val="clear" w:color="auto" w:fill="FFFFFF"/>
        <w:snapToGrid w:val="0"/>
        <w:ind w:firstLine="480"/>
        <w:rPr>
          <w:rFonts w:hAnsi="宋体"/>
        </w:rPr>
      </w:pPr>
      <w:r>
        <w:rPr>
          <w:rFonts w:hAnsi="宋体"/>
        </w:rPr>
        <w:t>5</w:t>
      </w:r>
      <w:r>
        <w:rPr>
          <w:rFonts w:hint="eastAsia" w:hAnsi="宋体"/>
        </w:rPr>
        <w:t>．招标文件的约束力</w:t>
      </w:r>
    </w:p>
    <w:p>
      <w:pPr>
        <w:shd w:val="clear" w:color="auto" w:fill="FFFFFF"/>
        <w:snapToGrid w:val="0"/>
        <w:ind w:firstLine="480"/>
        <w:rPr>
          <w:rFonts w:hAnsi="宋体"/>
        </w:rPr>
      </w:pPr>
      <w:r>
        <w:rPr>
          <w:rFonts w:hAnsi="宋体"/>
        </w:rPr>
        <w:t>5.1</w:t>
      </w:r>
      <w:r>
        <w:rPr>
          <w:rFonts w:hint="eastAsia" w:hAnsi="宋体"/>
        </w:rPr>
        <w:t>本招标文件由招标代理机构负责解释。</w:t>
      </w:r>
    </w:p>
    <w:p>
      <w:pPr>
        <w:shd w:val="clear" w:color="auto" w:fill="FFFFFF"/>
        <w:snapToGrid w:val="0"/>
        <w:ind w:firstLine="643"/>
        <w:rPr>
          <w:rFonts w:hAnsi="宋体"/>
          <w:b/>
          <w:sz w:val="32"/>
          <w:szCs w:val="32"/>
        </w:rPr>
      </w:pPr>
      <w:r>
        <w:rPr>
          <w:rFonts w:hint="eastAsia" w:hAnsi="宋体"/>
          <w:b/>
          <w:sz w:val="32"/>
          <w:szCs w:val="32"/>
        </w:rPr>
        <w:t>二、招标文件</w:t>
      </w:r>
    </w:p>
    <w:p>
      <w:pPr>
        <w:shd w:val="clear" w:color="auto" w:fill="FFFFFF"/>
        <w:snapToGrid w:val="0"/>
        <w:ind w:firstLine="480"/>
        <w:rPr>
          <w:rFonts w:hAnsi="宋体"/>
        </w:rPr>
      </w:pPr>
      <w:r>
        <w:rPr>
          <w:rFonts w:hAnsi="宋体"/>
        </w:rPr>
        <w:t>6</w:t>
      </w:r>
      <w:r>
        <w:rPr>
          <w:rFonts w:hint="eastAsia" w:hAnsi="宋体"/>
        </w:rPr>
        <w:t>．招标文件的组成</w:t>
      </w:r>
    </w:p>
    <w:p>
      <w:pPr>
        <w:shd w:val="clear" w:color="auto" w:fill="FFFFFF"/>
        <w:snapToGrid w:val="0"/>
        <w:ind w:firstLine="480"/>
        <w:rPr>
          <w:rFonts w:hAnsi="宋体"/>
        </w:rPr>
      </w:pPr>
      <w:r>
        <w:rPr>
          <w:rFonts w:hAnsi="宋体"/>
        </w:rPr>
        <w:t>6.l</w:t>
      </w:r>
      <w:r>
        <w:rPr>
          <w:rFonts w:hint="eastAsia" w:hAnsi="宋体"/>
        </w:rPr>
        <w:t>招标文件由六部分组成，包括：</w:t>
      </w:r>
    </w:p>
    <w:p>
      <w:pPr>
        <w:shd w:val="clear" w:color="auto" w:fill="FFFFFF"/>
        <w:snapToGrid w:val="0"/>
        <w:ind w:firstLine="960" w:firstLineChars="400"/>
        <w:rPr>
          <w:rFonts w:hAnsi="宋体"/>
        </w:rPr>
      </w:pPr>
      <w:r>
        <w:rPr>
          <w:rFonts w:hint="eastAsia" w:hAnsi="宋体"/>
        </w:rPr>
        <w:t>第一章投标邀请书</w:t>
      </w:r>
    </w:p>
    <w:p>
      <w:pPr>
        <w:shd w:val="clear" w:color="auto" w:fill="FFFFFF"/>
        <w:snapToGrid w:val="0"/>
        <w:ind w:firstLine="960" w:firstLineChars="400"/>
        <w:rPr>
          <w:rFonts w:hAnsi="宋体"/>
        </w:rPr>
      </w:pPr>
      <w:r>
        <w:rPr>
          <w:rFonts w:hint="eastAsia" w:hAnsi="宋体"/>
        </w:rPr>
        <w:t>第二章投标人须知</w:t>
      </w:r>
    </w:p>
    <w:p>
      <w:pPr>
        <w:shd w:val="clear" w:color="auto" w:fill="FFFFFF"/>
        <w:snapToGrid w:val="0"/>
        <w:ind w:firstLine="960" w:firstLineChars="400"/>
        <w:rPr>
          <w:rFonts w:hAnsi="宋体"/>
        </w:rPr>
      </w:pPr>
      <w:r>
        <w:rPr>
          <w:rFonts w:hint="eastAsia" w:hAnsi="宋体"/>
        </w:rPr>
        <w:t>第三章用户需求书</w:t>
      </w:r>
    </w:p>
    <w:p>
      <w:pPr>
        <w:shd w:val="clear" w:color="auto" w:fill="FFFFFF"/>
        <w:snapToGrid w:val="0"/>
        <w:ind w:firstLine="960" w:firstLineChars="400"/>
        <w:rPr>
          <w:rFonts w:hAnsi="宋体"/>
        </w:rPr>
      </w:pPr>
      <w:r>
        <w:rPr>
          <w:rFonts w:hint="eastAsia" w:hAnsi="宋体"/>
        </w:rPr>
        <w:t>第四章合同条款</w:t>
      </w:r>
    </w:p>
    <w:p>
      <w:pPr>
        <w:shd w:val="clear" w:color="auto" w:fill="FFFFFF"/>
        <w:snapToGrid w:val="0"/>
        <w:ind w:firstLine="960" w:firstLineChars="400"/>
        <w:rPr>
          <w:rFonts w:hAnsi="宋体"/>
        </w:rPr>
      </w:pPr>
      <w:r>
        <w:rPr>
          <w:rFonts w:hint="eastAsia" w:hAnsi="宋体"/>
        </w:rPr>
        <w:t>第五章投标文件内容和格式</w:t>
      </w:r>
    </w:p>
    <w:p>
      <w:pPr>
        <w:shd w:val="clear" w:color="auto" w:fill="FFFFFF"/>
        <w:snapToGrid w:val="0"/>
        <w:ind w:firstLine="960" w:firstLineChars="400"/>
        <w:rPr>
          <w:rFonts w:hAnsi="宋体"/>
        </w:rPr>
      </w:pPr>
      <w:r>
        <w:rPr>
          <w:rFonts w:hint="eastAsia" w:hAnsi="宋体"/>
        </w:rPr>
        <w:t>第六章评审方法</w:t>
      </w:r>
    </w:p>
    <w:p>
      <w:pPr>
        <w:shd w:val="clear" w:color="auto" w:fill="FFFFFF"/>
        <w:snapToGrid w:val="0"/>
        <w:ind w:firstLine="480"/>
        <w:rPr>
          <w:rFonts w:hAnsi="宋体"/>
        </w:rPr>
      </w:pPr>
      <w:r>
        <w:rPr>
          <w:rFonts w:hint="eastAsia" w:hAnsi="宋体"/>
        </w:rPr>
        <w:t>请仔细检查招标文件是否齐全，如有缺漏，请立即与招标代理机构联系解决。</w:t>
      </w:r>
    </w:p>
    <w:p>
      <w:pPr>
        <w:shd w:val="clear" w:color="auto" w:fill="FFFFFF"/>
        <w:snapToGrid w:val="0"/>
        <w:ind w:firstLine="480"/>
        <w:rPr>
          <w:rFonts w:hAnsi="宋体"/>
        </w:rPr>
      </w:pPr>
      <w:r>
        <w:rPr>
          <w:rFonts w:hAnsi="宋体"/>
        </w:rPr>
        <w:t>6.2</w:t>
      </w:r>
      <w:r>
        <w:rPr>
          <w:rFonts w:hint="eastAsia" w:hAnsi="宋体"/>
        </w:rPr>
        <w:t>投标人必须详阅招标文件的所有条款、文件及表格格式。投标人若未按招标文件的要求和规范编制、提交招标文件，将有可能导致招标文件被拒绝接受，所造成的负面后果由投标人负责。</w:t>
      </w:r>
    </w:p>
    <w:p>
      <w:pPr>
        <w:shd w:val="clear" w:color="auto" w:fill="FFFFFF"/>
        <w:snapToGrid w:val="0"/>
        <w:ind w:firstLine="480"/>
        <w:rPr>
          <w:rFonts w:hAnsi="宋体"/>
        </w:rPr>
      </w:pPr>
      <w:r>
        <w:rPr>
          <w:rFonts w:hAnsi="宋体"/>
        </w:rPr>
        <w:t>7</w:t>
      </w:r>
      <w:r>
        <w:rPr>
          <w:rFonts w:hint="eastAsia" w:hAnsi="宋体"/>
        </w:rPr>
        <w:t>．招标文件的澄清</w:t>
      </w:r>
    </w:p>
    <w:p>
      <w:pPr>
        <w:shd w:val="clear" w:color="auto" w:fill="FFFFFF"/>
        <w:snapToGrid w:val="0"/>
        <w:ind w:firstLine="480"/>
        <w:rPr>
          <w:rFonts w:hAnsi="宋体"/>
        </w:rPr>
      </w:pPr>
      <w:r>
        <w:rPr>
          <w:rFonts w:hint="eastAsia" w:hAnsi="宋体"/>
        </w:rPr>
        <w:t>投标人在收到招标文件后，若有疑问需要澄清，应于投标截止时间十五天前以书面形式向招标代理机构提出，招标代理机构将以书面形式进行答复，同时招标代理机构有权将答复内容分发给所有购买了此招标文件的投标人。</w:t>
      </w:r>
    </w:p>
    <w:p>
      <w:pPr>
        <w:shd w:val="clear" w:color="auto" w:fill="FFFFFF"/>
        <w:snapToGrid w:val="0"/>
        <w:ind w:firstLine="0" w:firstLineChars="0"/>
        <w:rPr>
          <w:rFonts w:hAnsi="宋体"/>
          <w:b/>
          <w:sz w:val="32"/>
          <w:szCs w:val="32"/>
        </w:rPr>
      </w:pPr>
      <w:r>
        <w:rPr>
          <w:rFonts w:hAnsi="宋体"/>
          <w:b/>
          <w:sz w:val="32"/>
          <w:szCs w:val="32"/>
        </w:rPr>
        <w:t xml:space="preserve">   </w:t>
      </w:r>
      <w:r>
        <w:rPr>
          <w:rFonts w:hint="eastAsia" w:hAnsi="宋体"/>
          <w:b/>
          <w:sz w:val="32"/>
          <w:szCs w:val="32"/>
        </w:rPr>
        <w:t>三、投标文件</w:t>
      </w:r>
    </w:p>
    <w:p>
      <w:pPr>
        <w:shd w:val="clear" w:color="auto" w:fill="FFFFFF"/>
        <w:snapToGrid w:val="0"/>
        <w:ind w:firstLine="480"/>
        <w:rPr>
          <w:rFonts w:hAnsi="宋体"/>
        </w:rPr>
      </w:pPr>
      <w:r>
        <w:rPr>
          <w:rFonts w:hAnsi="宋体"/>
        </w:rPr>
        <w:t>8</w:t>
      </w:r>
      <w:r>
        <w:rPr>
          <w:rFonts w:hint="eastAsia" w:hAnsi="宋体"/>
        </w:rPr>
        <w:t>．投标文件的组成</w:t>
      </w:r>
    </w:p>
    <w:p>
      <w:pPr>
        <w:shd w:val="clear" w:color="auto" w:fill="FFFFFF"/>
        <w:snapToGrid w:val="0"/>
        <w:ind w:firstLine="480"/>
        <w:rPr>
          <w:rFonts w:hAnsi="宋体"/>
        </w:rPr>
      </w:pPr>
      <w:r>
        <w:rPr>
          <w:rFonts w:hAnsi="宋体"/>
        </w:rPr>
        <w:t>8.1</w:t>
      </w:r>
      <w:r>
        <w:rPr>
          <w:rFonts w:hint="eastAsia" w:hAnsi="宋体"/>
        </w:rPr>
        <w:t>投标文件应按“第五章投标文件内容和格式”要求编制。</w:t>
      </w:r>
    </w:p>
    <w:p>
      <w:pPr>
        <w:shd w:val="clear" w:color="auto" w:fill="FFFFFF"/>
        <w:snapToGrid w:val="0"/>
        <w:ind w:firstLine="480"/>
        <w:rPr>
          <w:rFonts w:ascii="华文宋体" w:eastAsia="华文宋体"/>
        </w:rPr>
      </w:pPr>
      <w:r>
        <w:rPr>
          <w:rFonts w:hAnsi="宋体"/>
        </w:rPr>
        <w:t>8.2</w:t>
      </w:r>
      <w:r>
        <w:rPr>
          <w:rFonts w:hint="eastAsia" w:ascii="华文宋体" w:hAnsi="华文宋体"/>
        </w:rPr>
        <w:t>若投标人未按招标文件的要求提供资料，或未对招标文件做出实质性响应，将可能导致投标文件被视为无效。</w:t>
      </w:r>
    </w:p>
    <w:p>
      <w:pPr>
        <w:shd w:val="clear" w:color="auto" w:fill="FFFFFF"/>
        <w:snapToGrid w:val="0"/>
        <w:ind w:firstLine="0" w:firstLineChars="0"/>
        <w:rPr>
          <w:rFonts w:hAnsi="宋体"/>
        </w:rPr>
      </w:pPr>
      <w:r>
        <w:rPr>
          <w:rFonts w:hAnsi="宋体"/>
        </w:rPr>
        <w:t xml:space="preserve">    9</w:t>
      </w:r>
      <w:r>
        <w:rPr>
          <w:rFonts w:hint="eastAsia" w:hAnsi="宋体"/>
        </w:rPr>
        <w:t>．投标报价</w:t>
      </w:r>
    </w:p>
    <w:p>
      <w:pPr>
        <w:shd w:val="clear" w:color="auto" w:fill="FFFFFF"/>
        <w:snapToGrid w:val="0"/>
        <w:ind w:firstLine="480"/>
        <w:rPr>
          <w:rFonts w:hAnsi="宋体"/>
        </w:rPr>
      </w:pPr>
      <w:r>
        <w:rPr>
          <w:rFonts w:hAnsi="宋体"/>
        </w:rPr>
        <w:t>9.1</w:t>
      </w:r>
      <w:r>
        <w:rPr>
          <w:rFonts w:hint="eastAsia" w:hAnsi="宋体"/>
        </w:rPr>
        <w:t>报价均须以人民币为计算单位。</w:t>
      </w:r>
    </w:p>
    <w:p>
      <w:pPr>
        <w:shd w:val="clear" w:color="auto" w:fill="FFFFFF"/>
        <w:snapToGrid w:val="0"/>
        <w:ind w:firstLine="480"/>
        <w:rPr>
          <w:rFonts w:hAnsi="宋体"/>
        </w:rPr>
      </w:pPr>
      <w:r>
        <w:rPr>
          <w:rFonts w:hAnsi="宋体"/>
        </w:rPr>
        <w:t>9.2</w:t>
      </w:r>
      <w:r>
        <w:rPr>
          <w:rFonts w:hint="eastAsia" w:hAnsi="宋体"/>
        </w:rPr>
        <w:t>报价应</w:t>
      </w:r>
      <w:r>
        <w:rPr>
          <w:rFonts w:hint="eastAsia" w:ascii="华文宋体" w:hAnsi="华文宋体"/>
        </w:rPr>
        <w:t>包括全部服务的价格及相关税费、运输到指定地点的装运费用（如有）、安装调试（如有）、培训（如有）、服务等其它有关的所有费用。</w:t>
      </w:r>
    </w:p>
    <w:p>
      <w:pPr>
        <w:shd w:val="clear" w:color="auto" w:fill="FFFFFF"/>
        <w:snapToGrid w:val="0"/>
        <w:ind w:firstLine="480"/>
        <w:rPr>
          <w:rFonts w:hAnsi="宋体"/>
        </w:rPr>
      </w:pPr>
      <w:r>
        <w:rPr>
          <w:rFonts w:hAnsi="宋体"/>
        </w:rPr>
        <w:t>9.3</w:t>
      </w:r>
      <w:r>
        <w:rPr>
          <w:rFonts w:hint="eastAsia" w:hAnsi="宋体"/>
        </w:rPr>
        <w:t>投标人应按开标一览表的要求报价，不能提供有选择的报价。</w:t>
      </w:r>
    </w:p>
    <w:p>
      <w:pPr>
        <w:shd w:val="clear" w:color="auto" w:fill="FFFFFF"/>
        <w:snapToGrid w:val="0"/>
        <w:ind w:firstLine="480"/>
        <w:rPr>
          <w:rFonts w:hAnsi="宋体"/>
        </w:rPr>
      </w:pPr>
      <w:r>
        <w:rPr>
          <w:rFonts w:hAnsi="宋体"/>
        </w:rPr>
        <w:t>9.4</w:t>
      </w:r>
      <w:r>
        <w:rPr>
          <w:rFonts w:hint="eastAsia" w:hAnsi="宋体"/>
        </w:rPr>
        <w:t>中标候选人的报价如超过预算且采购人不能支付的，采购人有权拒绝而递选下一个顺位的候选人。</w:t>
      </w:r>
    </w:p>
    <w:p>
      <w:pPr>
        <w:shd w:val="clear" w:color="auto" w:fill="FFFFFF"/>
        <w:snapToGrid w:val="0"/>
        <w:ind w:firstLine="480"/>
        <w:rPr>
          <w:rFonts w:hAnsi="宋体"/>
        </w:rPr>
      </w:pPr>
      <w:r>
        <w:rPr>
          <w:rFonts w:hAnsi="宋体"/>
        </w:rPr>
        <w:t>10</w:t>
      </w:r>
      <w:r>
        <w:rPr>
          <w:rFonts w:hint="eastAsia" w:hAnsi="宋体"/>
        </w:rPr>
        <w:t>．投标保证金</w:t>
      </w:r>
    </w:p>
    <w:p>
      <w:pPr>
        <w:adjustRightInd w:val="0"/>
        <w:snapToGrid w:val="0"/>
        <w:ind w:firstLine="480"/>
        <w:rPr>
          <w:rFonts w:hAnsi="宋体"/>
        </w:rPr>
      </w:pPr>
      <w:r>
        <w:rPr>
          <w:rFonts w:hAnsi="宋体"/>
        </w:rPr>
        <w:t>10.1</w:t>
      </w:r>
      <w:r>
        <w:rPr>
          <w:rFonts w:hint="eastAsia" w:hAnsi="宋体"/>
        </w:rPr>
        <w:t>投标保证金是参加本项目投标的必要条件，保证金金额见第一章要求。</w:t>
      </w:r>
    </w:p>
    <w:p>
      <w:pPr>
        <w:shd w:val="clear" w:color="auto" w:fill="FFFFFF"/>
        <w:adjustRightInd w:val="0"/>
        <w:snapToGrid w:val="0"/>
        <w:ind w:firstLine="480"/>
        <w:rPr>
          <w:rFonts w:hAnsi="宋体"/>
        </w:rPr>
      </w:pPr>
      <w:r>
        <w:rPr>
          <w:rFonts w:hAnsi="宋体"/>
        </w:rPr>
        <w:t>10.2</w:t>
      </w:r>
      <w:r>
        <w:rPr>
          <w:rFonts w:hint="eastAsia" w:hAnsi="宋体"/>
        </w:rPr>
        <w:t>投标保证金支付形式：网上支付，支付地址为在保证金单据上必须注明项目编号、项目名称。</w:t>
      </w:r>
    </w:p>
    <w:p>
      <w:pPr>
        <w:shd w:val="clear" w:color="auto" w:fill="FFFFFF"/>
        <w:snapToGrid w:val="0"/>
        <w:ind w:firstLine="480"/>
        <w:rPr>
          <w:rFonts w:hAnsi="宋体"/>
        </w:rPr>
      </w:pPr>
      <w:r>
        <w:rPr>
          <w:rFonts w:hAnsi="宋体"/>
        </w:rPr>
        <w:t>10.3</w:t>
      </w:r>
      <w:r>
        <w:rPr>
          <w:rFonts w:hint="eastAsia" w:hAnsi="宋体"/>
        </w:rPr>
        <w:t>若投标人不按规定提交投标保证金，其投标文件将被拒绝接受。</w:t>
      </w:r>
    </w:p>
    <w:p>
      <w:pPr>
        <w:shd w:val="clear" w:color="auto" w:fill="FFFFFF"/>
        <w:snapToGrid w:val="0"/>
        <w:ind w:firstLine="480"/>
        <w:rPr>
          <w:rFonts w:hAnsi="宋体"/>
        </w:rPr>
      </w:pPr>
      <w:r>
        <w:rPr>
          <w:rFonts w:hAnsi="宋体"/>
        </w:rPr>
        <w:t>10.4</w:t>
      </w:r>
      <w:r>
        <w:rPr>
          <w:rFonts w:hint="eastAsia" w:hAnsi="宋体"/>
        </w:rPr>
        <w:t>投标保证金的退还</w:t>
      </w:r>
    </w:p>
    <w:p>
      <w:pPr>
        <w:shd w:val="clear" w:color="auto" w:fill="FFFFFF"/>
        <w:snapToGrid w:val="0"/>
        <w:ind w:firstLine="480"/>
        <w:rPr>
          <w:rFonts w:hAnsi="宋体"/>
        </w:rPr>
      </w:pPr>
      <w:r>
        <w:rPr>
          <w:rFonts w:hAnsi="宋体"/>
        </w:rPr>
        <w:t>10.4.l</w:t>
      </w:r>
      <w:r>
        <w:rPr>
          <w:rFonts w:hint="eastAsia" w:hAnsi="宋体"/>
        </w:rPr>
        <w:t>中标人的投标保证金在其与采购人签订了合同后五个工作日内无息退还。</w:t>
      </w:r>
    </w:p>
    <w:p>
      <w:pPr>
        <w:shd w:val="clear" w:color="auto" w:fill="FFFFFF"/>
        <w:snapToGrid w:val="0"/>
        <w:ind w:firstLine="480"/>
        <w:rPr>
          <w:rFonts w:hAnsi="宋体"/>
        </w:rPr>
      </w:pPr>
      <w:r>
        <w:rPr>
          <w:rFonts w:hAnsi="宋体"/>
        </w:rPr>
        <w:t>10.4.2</w:t>
      </w:r>
      <w:r>
        <w:rPr>
          <w:rFonts w:hint="eastAsia" w:hAnsi="宋体"/>
        </w:rPr>
        <w:t>落标的投标人的投标保证金将在招标代理机构发出中标通知书五个工作日内无息退还。</w:t>
      </w:r>
    </w:p>
    <w:p>
      <w:pPr>
        <w:shd w:val="clear" w:color="auto" w:fill="FFFFFF"/>
        <w:snapToGrid w:val="0"/>
        <w:ind w:firstLine="480"/>
        <w:rPr>
          <w:rFonts w:hAnsi="宋体"/>
        </w:rPr>
      </w:pPr>
      <w:r>
        <w:rPr>
          <w:rFonts w:hAnsi="宋体"/>
        </w:rPr>
        <w:t>10.5</w:t>
      </w:r>
      <w:r>
        <w:rPr>
          <w:rFonts w:hint="eastAsia" w:hAnsi="宋体"/>
        </w:rPr>
        <w:t>发生下列情况之一，投标保证金将不予退还：</w:t>
      </w:r>
    </w:p>
    <w:p>
      <w:pPr>
        <w:shd w:val="clear" w:color="auto" w:fill="FFFFFF"/>
        <w:snapToGrid w:val="0"/>
        <w:ind w:firstLine="480"/>
        <w:rPr>
          <w:rFonts w:hAnsi="宋体"/>
        </w:rPr>
      </w:pPr>
      <w:r>
        <w:rPr>
          <w:rFonts w:hint="eastAsia" w:hAnsi="宋体"/>
        </w:rPr>
        <w:t>（</w:t>
      </w:r>
      <w:r>
        <w:rPr>
          <w:rFonts w:hAnsi="宋体"/>
        </w:rPr>
        <w:t>1</w:t>
      </w:r>
      <w:r>
        <w:rPr>
          <w:rFonts w:hint="eastAsia" w:hAnsi="宋体"/>
        </w:rPr>
        <w:t>）投标人在投标有效期内撤回其投标文件的；</w:t>
      </w:r>
    </w:p>
    <w:p>
      <w:pPr>
        <w:shd w:val="clear" w:color="auto" w:fill="FFFFFF"/>
        <w:snapToGrid w:val="0"/>
        <w:ind w:firstLine="480"/>
        <w:rPr>
          <w:rFonts w:hAnsi="宋体"/>
        </w:rPr>
      </w:pPr>
      <w:r>
        <w:rPr>
          <w:rFonts w:hint="eastAsia" w:hAnsi="宋体"/>
        </w:rPr>
        <w:t>（</w:t>
      </w:r>
      <w:r>
        <w:rPr>
          <w:rFonts w:hAnsi="宋体"/>
        </w:rPr>
        <w:t>2</w:t>
      </w:r>
      <w:r>
        <w:rPr>
          <w:rFonts w:hint="eastAsia" w:hAnsi="宋体"/>
        </w:rPr>
        <w:t>）投标人不按本章规定签订合同；</w:t>
      </w:r>
    </w:p>
    <w:p>
      <w:pPr>
        <w:shd w:val="clear" w:color="auto" w:fill="FFFFFF"/>
        <w:snapToGrid w:val="0"/>
        <w:ind w:firstLine="480"/>
        <w:rPr>
          <w:rFonts w:hAnsi="宋体"/>
        </w:rPr>
      </w:pPr>
      <w:r>
        <w:rPr>
          <w:rFonts w:hint="eastAsia" w:hAnsi="宋体"/>
        </w:rPr>
        <w:t>（</w:t>
      </w:r>
      <w:r>
        <w:rPr>
          <w:rFonts w:hAnsi="宋体"/>
        </w:rPr>
        <w:t>3</w:t>
      </w:r>
      <w:r>
        <w:rPr>
          <w:rFonts w:hint="eastAsia" w:hAnsi="宋体"/>
        </w:rPr>
        <w:t>）投标人提供虚假材料谋取中标、成交的；</w:t>
      </w:r>
    </w:p>
    <w:p>
      <w:pPr>
        <w:shd w:val="clear" w:color="auto" w:fill="FFFFFF"/>
        <w:snapToGrid w:val="0"/>
        <w:ind w:firstLine="480"/>
        <w:rPr>
          <w:rFonts w:hAnsi="宋体"/>
        </w:rPr>
      </w:pPr>
      <w:r>
        <w:rPr>
          <w:rFonts w:hint="eastAsia" w:hAnsi="宋体"/>
        </w:rPr>
        <w:t>（</w:t>
      </w:r>
      <w:r>
        <w:rPr>
          <w:rFonts w:hAnsi="宋体"/>
        </w:rPr>
        <w:t>4</w:t>
      </w:r>
      <w:r>
        <w:rPr>
          <w:rFonts w:hint="eastAsia" w:hAnsi="宋体"/>
        </w:rPr>
        <w:t>）与采购人、其它投标人或者招标代理机构恶意串通的；</w:t>
      </w:r>
    </w:p>
    <w:p>
      <w:pPr>
        <w:shd w:val="clear" w:color="auto" w:fill="FFFFFF"/>
        <w:snapToGrid w:val="0"/>
        <w:ind w:firstLine="480"/>
        <w:rPr>
          <w:rFonts w:hAnsi="宋体"/>
        </w:rPr>
      </w:pPr>
      <w:r>
        <w:rPr>
          <w:rFonts w:hint="eastAsia" w:hAnsi="宋体"/>
        </w:rPr>
        <w:t>（</w:t>
      </w:r>
      <w:r>
        <w:rPr>
          <w:rFonts w:hAnsi="宋体"/>
        </w:rPr>
        <w:t>5</w:t>
      </w:r>
      <w:r>
        <w:rPr>
          <w:rFonts w:hint="eastAsia" w:hAnsi="宋体"/>
        </w:rPr>
        <w:t>）向采购人、招标代理机构、评标委员会成员行贿或者提供其他不正当利益的；</w:t>
      </w:r>
    </w:p>
    <w:p>
      <w:pPr>
        <w:shd w:val="clear" w:color="auto" w:fill="FFFFFF"/>
        <w:snapToGrid w:val="0"/>
        <w:ind w:firstLine="480"/>
        <w:rPr>
          <w:rFonts w:hAnsi="宋体"/>
        </w:rPr>
      </w:pPr>
      <w:r>
        <w:rPr>
          <w:rFonts w:hAnsi="宋体"/>
        </w:rPr>
        <w:t>11</w:t>
      </w:r>
      <w:r>
        <w:rPr>
          <w:rFonts w:hint="eastAsia" w:hAnsi="宋体"/>
        </w:rPr>
        <w:t>．投标有效期</w:t>
      </w:r>
    </w:p>
    <w:p>
      <w:pPr>
        <w:shd w:val="clear" w:color="auto" w:fill="FFFFFF"/>
        <w:snapToGrid w:val="0"/>
        <w:ind w:firstLine="480"/>
        <w:rPr>
          <w:rFonts w:hAnsi="宋体"/>
        </w:rPr>
      </w:pPr>
      <w:r>
        <w:rPr>
          <w:rFonts w:hAnsi="宋体"/>
        </w:rPr>
        <w:t>11.l</w:t>
      </w:r>
      <w:r>
        <w:rPr>
          <w:rFonts w:hint="eastAsia" w:hAnsi="宋体"/>
        </w:rPr>
        <w:t>投标有效期为从开标截止之日起计算的</w:t>
      </w:r>
      <w:r>
        <w:rPr>
          <w:rFonts w:hAnsi="宋体"/>
          <w:b/>
          <w:bCs/>
          <w:u w:val="single"/>
        </w:rPr>
        <w:t>60</w:t>
      </w:r>
      <w:r>
        <w:rPr>
          <w:rFonts w:hint="eastAsia" w:hAnsi="宋体"/>
        </w:rPr>
        <w:t>天，有效期短于此规定的投标文件将被视为无效。</w:t>
      </w:r>
    </w:p>
    <w:p>
      <w:pPr>
        <w:shd w:val="clear" w:color="auto" w:fill="FFFFFF"/>
        <w:snapToGrid w:val="0"/>
        <w:ind w:firstLine="480"/>
        <w:rPr>
          <w:rFonts w:hAnsi="宋体"/>
        </w:rPr>
      </w:pPr>
      <w:r>
        <w:rPr>
          <w:rFonts w:hAnsi="宋体"/>
        </w:rPr>
        <w:t>11.2</w:t>
      </w:r>
      <w:r>
        <w:rPr>
          <w:rFonts w:hint="eastAsia" w:hAnsi="宋体"/>
        </w:rPr>
        <w:t>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hd w:val="clear" w:color="auto" w:fill="FFFFFF"/>
        <w:snapToGrid w:val="0"/>
        <w:ind w:firstLine="480"/>
        <w:rPr>
          <w:rFonts w:hAnsi="宋体"/>
        </w:rPr>
      </w:pPr>
      <w:r>
        <w:rPr>
          <w:rFonts w:hAnsi="宋体"/>
        </w:rPr>
        <w:t>12</w:t>
      </w:r>
      <w:r>
        <w:rPr>
          <w:rFonts w:hint="eastAsia" w:hAnsi="宋体"/>
        </w:rPr>
        <w:t>．投标文件的数量、签署及形式</w:t>
      </w:r>
    </w:p>
    <w:p>
      <w:pPr>
        <w:shd w:val="clear" w:color="auto" w:fill="FFFFFF"/>
        <w:snapToGrid w:val="0"/>
        <w:ind w:firstLine="482"/>
        <w:rPr>
          <w:rFonts w:hAnsi="宋体"/>
          <w:b/>
        </w:rPr>
      </w:pPr>
      <w:r>
        <w:rPr>
          <w:rFonts w:hAnsi="宋体"/>
          <w:b/>
        </w:rPr>
        <w:t>12.1</w:t>
      </w:r>
      <w:r>
        <w:rPr>
          <w:rFonts w:hint="eastAsia" w:hAnsi="宋体"/>
          <w:b/>
        </w:rPr>
        <w:t>投标文件壹式伍份，固定装订。其中正本壹份，副本肆份。</w:t>
      </w:r>
    </w:p>
    <w:p>
      <w:pPr>
        <w:shd w:val="clear" w:color="auto" w:fill="FFFFFF"/>
        <w:snapToGrid w:val="0"/>
        <w:ind w:firstLine="480"/>
        <w:rPr>
          <w:rFonts w:hAnsi="宋体"/>
        </w:rPr>
      </w:pPr>
      <w:r>
        <w:rPr>
          <w:rFonts w:hAnsi="宋体"/>
        </w:rPr>
        <w:t>12.2</w:t>
      </w:r>
      <w:r>
        <w:rPr>
          <w:rFonts w:hint="eastAsia" w:hAnsi="宋体"/>
        </w:rPr>
        <w:t>投标文件须按投标文件的要求执行，每份投标文件均须在封面上清楚标明“正本”或“副本”字样，“正本”和“副本”具有同等的法律效力；“正本”和“副本”之间如有差异，以正本为准。</w:t>
      </w:r>
    </w:p>
    <w:p>
      <w:pPr>
        <w:shd w:val="clear" w:color="auto" w:fill="FFFFFF"/>
        <w:snapToGrid w:val="0"/>
        <w:ind w:firstLine="480"/>
        <w:rPr>
          <w:rFonts w:hAnsi="宋体"/>
        </w:rPr>
      </w:pPr>
      <w:r>
        <w:rPr>
          <w:rFonts w:hAnsi="宋体"/>
        </w:rPr>
        <w:t>12.3</w:t>
      </w:r>
      <w:r>
        <w:rPr>
          <w:rFonts w:hint="eastAsia" w:hAnsi="宋体"/>
        </w:rPr>
        <w:t>投标文件正本中，文字材料需打印或用不褪色墨水书写。投标文件的正本须经法人代表或授权代表签署和加盖投标人公章。</w:t>
      </w:r>
    </w:p>
    <w:p>
      <w:pPr>
        <w:shd w:val="clear" w:color="auto" w:fill="FFFFFF"/>
        <w:snapToGrid w:val="0"/>
        <w:ind w:firstLine="480"/>
        <w:rPr>
          <w:rFonts w:hAnsi="宋体"/>
        </w:rPr>
      </w:pPr>
      <w:r>
        <w:rPr>
          <w:rFonts w:hAnsi="宋体"/>
        </w:rPr>
        <w:t>12.4</w:t>
      </w:r>
      <w:r>
        <w:rPr>
          <w:rFonts w:hint="eastAsia" w:hAnsi="宋体"/>
        </w:rPr>
        <w:t>投标文件不得涂改和增删，如要修改错漏处，修改处必须由法人代表或授权代表签名、或盖公章。</w:t>
      </w:r>
    </w:p>
    <w:p>
      <w:pPr>
        <w:shd w:val="clear" w:color="auto" w:fill="FFFFFF"/>
        <w:snapToGrid w:val="0"/>
        <w:ind w:firstLine="643"/>
        <w:rPr>
          <w:rFonts w:hAnsi="宋体"/>
          <w:b/>
          <w:sz w:val="32"/>
          <w:szCs w:val="32"/>
        </w:rPr>
      </w:pPr>
      <w:r>
        <w:rPr>
          <w:rFonts w:hint="eastAsia" w:hAnsi="宋体"/>
          <w:b/>
          <w:sz w:val="32"/>
          <w:szCs w:val="32"/>
        </w:rPr>
        <w:t>四、投标文件的递交</w:t>
      </w:r>
    </w:p>
    <w:p>
      <w:pPr>
        <w:shd w:val="clear" w:color="auto" w:fill="FFFFFF"/>
        <w:snapToGrid w:val="0"/>
        <w:ind w:firstLine="480"/>
        <w:rPr>
          <w:rFonts w:hAnsi="宋体"/>
        </w:rPr>
      </w:pPr>
      <w:r>
        <w:rPr>
          <w:rFonts w:hAnsi="宋体"/>
        </w:rPr>
        <w:t>13</w:t>
      </w:r>
      <w:r>
        <w:rPr>
          <w:rFonts w:hint="eastAsia" w:hAnsi="宋体"/>
        </w:rPr>
        <w:t>．投标文件的密封及标记</w:t>
      </w:r>
    </w:p>
    <w:p>
      <w:pPr>
        <w:shd w:val="clear" w:color="auto" w:fill="FFFFFF"/>
        <w:snapToGrid w:val="0"/>
        <w:ind w:firstLine="480"/>
        <w:rPr>
          <w:rFonts w:hAnsi="宋体"/>
        </w:rPr>
      </w:pPr>
      <w:r>
        <w:rPr>
          <w:rFonts w:hAnsi="宋体"/>
        </w:rPr>
        <w:t>13</w:t>
      </w:r>
      <w:r>
        <w:rPr>
          <w:rFonts w:hint="eastAsia" w:hAnsi="宋体"/>
        </w:rPr>
        <w:t>．</w:t>
      </w:r>
      <w:r>
        <w:rPr>
          <w:rFonts w:hAnsi="宋体"/>
        </w:rPr>
        <w:t>l</w:t>
      </w:r>
      <w:r>
        <w:rPr>
          <w:rFonts w:hint="eastAsia" w:hAnsi="宋体"/>
        </w:rPr>
        <w:t>投标人应将投标文件正本和所有副本分别密封在两个报价专用袋（箱）中（正本一包，副本一包），并在报价专用袋（箱）上标明“正本”、“副本”字样，封口处应加盖骑缝章。封皮上均应写明：</w:t>
      </w:r>
    </w:p>
    <w:p>
      <w:pPr>
        <w:shd w:val="clear" w:color="auto" w:fill="FFFFFF"/>
        <w:snapToGrid w:val="0"/>
        <w:ind w:firstLine="480"/>
        <w:rPr>
          <w:rFonts w:hAnsi="宋体"/>
        </w:rPr>
      </w:pPr>
      <w:r>
        <w:rPr>
          <w:rFonts w:hint="eastAsia" w:hAnsi="宋体"/>
        </w:rPr>
        <w:t>致：海南政鼎招标代理有限公司</w:t>
      </w:r>
    </w:p>
    <w:p>
      <w:pPr>
        <w:shd w:val="clear" w:color="auto" w:fill="FFFFFF"/>
        <w:snapToGrid w:val="0"/>
        <w:ind w:firstLine="480"/>
        <w:rPr>
          <w:rFonts w:hAnsi="宋体"/>
        </w:rPr>
      </w:pPr>
      <w:r>
        <w:rPr>
          <w:rFonts w:hint="eastAsia" w:hAnsi="宋体"/>
        </w:rPr>
        <w:t>项目名称：</w:t>
      </w:r>
      <w:r>
        <w:rPr>
          <w:rFonts w:hint="eastAsia" w:hAnsi="宋体"/>
          <w:szCs w:val="24"/>
        </w:rPr>
        <w:t>化工学院“双一流”特色优势学科建设项目</w:t>
      </w:r>
    </w:p>
    <w:p>
      <w:pPr>
        <w:shd w:val="clear" w:color="auto" w:fill="FFFFFF"/>
        <w:snapToGrid w:val="0"/>
        <w:ind w:firstLine="480"/>
        <w:rPr>
          <w:rFonts w:hAnsi="宋体"/>
        </w:rPr>
      </w:pPr>
      <w:r>
        <w:rPr>
          <w:rFonts w:hint="eastAsia" w:hAnsi="宋体"/>
        </w:rPr>
        <w:t>项目编号：</w:t>
      </w:r>
      <w:r>
        <w:rPr>
          <w:rFonts w:hint="eastAsia" w:hAnsi="宋体" w:cs="宋体"/>
          <w:color w:val="000000"/>
          <w:szCs w:val="21"/>
        </w:rPr>
        <w:t>ZD2020-628</w:t>
      </w:r>
      <w:r>
        <w:rPr>
          <w:rFonts w:hAnsi="宋体"/>
        </w:rPr>
        <w:t xml:space="preserve">  </w:t>
      </w:r>
    </w:p>
    <w:p>
      <w:pPr>
        <w:shd w:val="clear" w:color="auto" w:fill="FFFFFF"/>
        <w:snapToGrid w:val="0"/>
        <w:ind w:firstLine="480"/>
        <w:rPr>
          <w:rFonts w:hAnsi="宋体"/>
        </w:rPr>
      </w:pPr>
      <w:r>
        <w:rPr>
          <w:rFonts w:hint="eastAsia" w:hAnsi="宋体"/>
        </w:rPr>
        <w:t>注明：“请勿在开标时间之前启封”</w:t>
      </w:r>
    </w:p>
    <w:p>
      <w:pPr>
        <w:shd w:val="clear" w:color="auto" w:fill="FFFFFF"/>
        <w:snapToGrid w:val="0"/>
        <w:ind w:firstLine="480"/>
        <w:rPr>
          <w:rFonts w:hAnsi="宋体"/>
        </w:rPr>
      </w:pPr>
      <w:r>
        <w:rPr>
          <w:rFonts w:hint="eastAsia" w:hAnsi="宋体"/>
        </w:rPr>
        <w:t>投标单位名称、联系人姓名和电话</w:t>
      </w:r>
    </w:p>
    <w:p>
      <w:pPr>
        <w:shd w:val="clear" w:color="auto" w:fill="FFFFFF"/>
        <w:snapToGrid w:val="0"/>
        <w:ind w:firstLine="480"/>
        <w:rPr>
          <w:rFonts w:hAnsi="宋体"/>
        </w:rPr>
      </w:pPr>
      <w:r>
        <w:rPr>
          <w:rFonts w:hAnsi="宋体"/>
        </w:rPr>
        <w:t>13.2</w:t>
      </w:r>
      <w:r>
        <w:rPr>
          <w:rFonts w:hint="eastAsia" w:hAnsi="宋体"/>
        </w:rPr>
        <w:t>投标文件未按上述规定书写标记和密封者，招标代理机构不对投标文件被错放或先期启封负责。</w:t>
      </w:r>
    </w:p>
    <w:p>
      <w:pPr>
        <w:shd w:val="clear" w:color="auto" w:fill="FFFFFF"/>
        <w:snapToGrid w:val="0"/>
        <w:ind w:firstLine="480"/>
        <w:rPr>
          <w:rFonts w:hAnsi="宋体"/>
        </w:rPr>
      </w:pPr>
      <w:r>
        <w:rPr>
          <w:rFonts w:hAnsi="宋体"/>
        </w:rPr>
        <w:t>14</w:t>
      </w:r>
      <w:r>
        <w:rPr>
          <w:rFonts w:hint="eastAsia" w:hAnsi="宋体"/>
        </w:rPr>
        <w:t>．投标截止时间</w:t>
      </w:r>
    </w:p>
    <w:p>
      <w:pPr>
        <w:shd w:val="clear" w:color="auto" w:fill="FFFFFF"/>
        <w:snapToGrid w:val="0"/>
        <w:ind w:firstLine="480"/>
        <w:rPr>
          <w:rFonts w:hAnsi="宋体"/>
        </w:rPr>
      </w:pPr>
      <w:r>
        <w:rPr>
          <w:rFonts w:hAnsi="宋体"/>
        </w:rPr>
        <w:t>14.l</w:t>
      </w:r>
      <w:r>
        <w:rPr>
          <w:rFonts w:hint="eastAsia" w:hAnsi="宋体"/>
        </w:rPr>
        <w:t>投标人须在投标截止时间前将投标文件送达招标代理机构规定的地点。</w:t>
      </w:r>
    </w:p>
    <w:p>
      <w:pPr>
        <w:shd w:val="clear" w:color="auto" w:fill="FFFFFF"/>
        <w:snapToGrid w:val="0"/>
        <w:ind w:firstLine="480"/>
        <w:rPr>
          <w:rFonts w:hAnsi="宋体"/>
        </w:rPr>
      </w:pPr>
      <w:r>
        <w:rPr>
          <w:rFonts w:hAnsi="宋体"/>
        </w:rPr>
        <w:t>14.2</w:t>
      </w:r>
      <w:r>
        <w:rPr>
          <w:rFonts w:hint="eastAsia" w:hAnsi="宋体"/>
        </w:rPr>
        <w:t>若招标代理机构推迟了投标截止时间，应以公告的形式通知所有投标人。在这种情况下，招标代理机构、采购人和投标人的权利和义务均应以新的截止时间为准。</w:t>
      </w:r>
    </w:p>
    <w:p>
      <w:pPr>
        <w:shd w:val="clear" w:color="auto" w:fill="FFFFFF"/>
        <w:snapToGrid w:val="0"/>
        <w:ind w:firstLine="480"/>
        <w:rPr>
          <w:rFonts w:hAnsi="宋体"/>
        </w:rPr>
      </w:pPr>
      <w:r>
        <w:rPr>
          <w:rFonts w:hAnsi="宋体"/>
        </w:rPr>
        <w:t>14.3</w:t>
      </w:r>
      <w:r>
        <w:rPr>
          <w:rFonts w:hint="eastAsia" w:hAnsi="宋体"/>
        </w:rPr>
        <w:t>在投标截止时间后递交的投标文件，招标代理机构将拒绝接受。</w:t>
      </w:r>
    </w:p>
    <w:p>
      <w:pPr>
        <w:shd w:val="clear" w:color="auto" w:fill="FFFFFF"/>
        <w:snapToGrid w:val="0"/>
        <w:ind w:firstLine="602"/>
        <w:rPr>
          <w:rFonts w:hAnsi="宋体"/>
          <w:b/>
          <w:sz w:val="30"/>
          <w:szCs w:val="30"/>
        </w:rPr>
      </w:pPr>
      <w:r>
        <w:rPr>
          <w:rFonts w:hint="eastAsia" w:hAnsi="宋体"/>
          <w:b/>
          <w:sz w:val="30"/>
          <w:szCs w:val="30"/>
        </w:rPr>
        <w:t>五、开标及评标</w:t>
      </w:r>
    </w:p>
    <w:p>
      <w:pPr>
        <w:shd w:val="clear" w:color="auto" w:fill="FFFFFF"/>
        <w:snapToGrid w:val="0"/>
        <w:ind w:firstLine="480"/>
        <w:rPr>
          <w:rFonts w:hAnsi="宋体"/>
        </w:rPr>
      </w:pPr>
      <w:r>
        <w:rPr>
          <w:rFonts w:hAnsi="宋体"/>
        </w:rPr>
        <w:t>15</w:t>
      </w:r>
      <w:r>
        <w:rPr>
          <w:rFonts w:hint="eastAsia" w:hAnsi="宋体"/>
        </w:rPr>
        <w:t>．开标</w:t>
      </w:r>
    </w:p>
    <w:p>
      <w:pPr>
        <w:shd w:val="clear" w:color="auto" w:fill="FFFFFF"/>
        <w:snapToGrid w:val="0"/>
        <w:ind w:firstLine="480"/>
        <w:rPr>
          <w:rFonts w:hAnsi="宋体"/>
        </w:rPr>
      </w:pPr>
      <w:r>
        <w:rPr>
          <w:rFonts w:hAnsi="宋体"/>
        </w:rPr>
        <w:t>15.l</w:t>
      </w:r>
      <w:r>
        <w:rPr>
          <w:rFonts w:hint="eastAsia" w:hAnsi="宋体"/>
        </w:rPr>
        <w:t>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hd w:val="clear" w:color="auto" w:fill="FFFFFF"/>
        <w:snapToGrid w:val="0"/>
        <w:ind w:firstLine="480"/>
        <w:rPr>
          <w:rFonts w:hAnsi="宋体"/>
        </w:rPr>
      </w:pPr>
      <w:r>
        <w:rPr>
          <w:rFonts w:hAnsi="宋体"/>
        </w:rPr>
        <w:t>15.2</w:t>
      </w:r>
      <w:r>
        <w:rPr>
          <w:rFonts w:hint="eastAsia" w:hAnsi="宋体"/>
        </w:rPr>
        <w:t>政府采购主管部门、监督部门、国家公证机关公证员由其视情况决定是否派代表到现场进行监督。</w:t>
      </w:r>
    </w:p>
    <w:p>
      <w:pPr>
        <w:shd w:val="clear" w:color="auto" w:fill="FFFFFF"/>
        <w:snapToGrid w:val="0"/>
        <w:ind w:firstLine="480"/>
        <w:rPr>
          <w:rFonts w:hAnsi="宋体"/>
        </w:rPr>
      </w:pPr>
      <w:r>
        <w:rPr>
          <w:rFonts w:hAnsi="宋体"/>
        </w:rPr>
        <w:t>15.3</w:t>
      </w:r>
      <w:r>
        <w:rPr>
          <w:rFonts w:hint="eastAsia" w:hAnsi="宋体"/>
        </w:rPr>
        <w:t>开标时，投标人代表将查验投标文件密封情况，确认无误后拆封唱标，公布每份投标文件中“开标一览表”的内容，以及招标代理机构认为合适的其他内容，招标代理机构将作开标记录。</w:t>
      </w:r>
    </w:p>
    <w:p>
      <w:pPr>
        <w:shd w:val="clear" w:color="auto" w:fill="FFFFFF"/>
        <w:snapToGrid w:val="0"/>
        <w:ind w:firstLine="480"/>
        <w:rPr>
          <w:rFonts w:hAnsi="宋体"/>
        </w:rPr>
      </w:pPr>
      <w:r>
        <w:rPr>
          <w:rFonts w:hAnsi="宋体"/>
        </w:rPr>
        <w:t>15.4</w:t>
      </w:r>
      <w:r>
        <w:rPr>
          <w:rFonts w:hint="eastAsia" w:hAnsi="宋体"/>
        </w:rPr>
        <w:t>若投标文件未密封，招标代理机构将拒绝接受该投标人的投标文件。</w:t>
      </w:r>
    </w:p>
    <w:p>
      <w:pPr>
        <w:shd w:val="clear" w:color="auto" w:fill="FFFFFF"/>
        <w:snapToGrid w:val="0"/>
        <w:ind w:firstLine="480"/>
        <w:rPr>
          <w:rFonts w:hAnsi="宋体"/>
        </w:rPr>
      </w:pPr>
      <w:r>
        <w:rPr>
          <w:rFonts w:hAnsi="宋体"/>
        </w:rPr>
        <w:t>16</w:t>
      </w:r>
      <w:r>
        <w:rPr>
          <w:rFonts w:hint="eastAsia" w:hAnsi="宋体"/>
        </w:rPr>
        <w:t>．评标委员会</w:t>
      </w:r>
    </w:p>
    <w:p>
      <w:pPr>
        <w:shd w:val="clear" w:color="auto" w:fill="FFFFFF"/>
        <w:snapToGrid w:val="0"/>
        <w:ind w:firstLine="480"/>
        <w:rPr>
          <w:rFonts w:hAnsi="宋体"/>
        </w:rPr>
      </w:pPr>
      <w:r>
        <w:rPr>
          <w:rFonts w:hint="eastAsia" w:hAnsi="宋体"/>
        </w:rPr>
        <w:t>评标委员会由技术、经济等方面的专家和用户代表组成，其中技术、经济等方面的专家从专家库中随机抽取，且人数不得少于成员总数的</w:t>
      </w:r>
      <w:r>
        <w:rPr>
          <w:rFonts w:hAnsi="宋体"/>
        </w:rPr>
        <w:t>2/3</w:t>
      </w:r>
      <w:r>
        <w:rPr>
          <w:rFonts w:hint="eastAsia" w:hAnsi="宋体"/>
        </w:rPr>
        <w:t>。该评标委员会独立工作，负责评审所有投标文件并确定中标侯选人。</w:t>
      </w:r>
    </w:p>
    <w:p>
      <w:pPr>
        <w:shd w:val="clear" w:color="auto" w:fill="FFFFFF"/>
        <w:snapToGrid w:val="0"/>
        <w:ind w:firstLine="480"/>
        <w:rPr>
          <w:rFonts w:hAnsi="宋体"/>
        </w:rPr>
      </w:pPr>
      <w:r>
        <w:rPr>
          <w:rFonts w:hAnsi="宋体"/>
        </w:rPr>
        <w:t>17.</w:t>
      </w:r>
      <w:r>
        <w:rPr>
          <w:rFonts w:hint="eastAsia" w:hAnsi="宋体"/>
        </w:rPr>
        <w:t>评标</w:t>
      </w:r>
    </w:p>
    <w:p>
      <w:pPr>
        <w:shd w:val="clear" w:color="auto" w:fill="FFFFFF"/>
        <w:snapToGrid w:val="0"/>
        <w:ind w:firstLine="480"/>
        <w:rPr>
          <w:rFonts w:hAnsi="宋体"/>
        </w:rPr>
      </w:pPr>
      <w:r>
        <w:rPr>
          <w:rFonts w:hint="eastAsia" w:hAnsi="宋体"/>
        </w:rPr>
        <w:t>见“第六章评审方法和程序”。</w:t>
      </w:r>
    </w:p>
    <w:p>
      <w:pPr>
        <w:shd w:val="clear" w:color="auto" w:fill="FFFFFF"/>
        <w:snapToGrid w:val="0"/>
        <w:ind w:firstLine="643"/>
        <w:rPr>
          <w:rFonts w:hAnsi="宋体"/>
          <w:b/>
          <w:sz w:val="32"/>
          <w:szCs w:val="32"/>
        </w:rPr>
      </w:pPr>
      <w:r>
        <w:rPr>
          <w:rFonts w:hint="eastAsia" w:hAnsi="宋体"/>
          <w:b/>
          <w:sz w:val="32"/>
          <w:szCs w:val="32"/>
        </w:rPr>
        <w:t>六、授标及签约</w:t>
      </w:r>
    </w:p>
    <w:p>
      <w:pPr>
        <w:shd w:val="clear" w:color="auto" w:fill="FFFFFF"/>
        <w:snapToGrid w:val="0"/>
        <w:ind w:firstLine="480"/>
        <w:rPr>
          <w:rFonts w:hAnsi="宋体"/>
        </w:rPr>
      </w:pPr>
      <w:r>
        <w:rPr>
          <w:rFonts w:hAnsi="宋体"/>
        </w:rPr>
        <w:t>18</w:t>
      </w:r>
      <w:r>
        <w:rPr>
          <w:rFonts w:hint="eastAsia" w:hAnsi="宋体"/>
        </w:rPr>
        <w:t>．定标原则</w:t>
      </w:r>
    </w:p>
    <w:p>
      <w:pPr>
        <w:shd w:val="clear" w:color="auto" w:fill="FFFFFF"/>
        <w:snapToGrid w:val="0"/>
        <w:ind w:firstLine="480"/>
        <w:rPr>
          <w:rFonts w:hAnsi="宋体"/>
        </w:rPr>
      </w:pPr>
      <w:r>
        <w:rPr>
          <w:rFonts w:hAnsi="宋体"/>
        </w:rPr>
        <w:t>18.1</w:t>
      </w:r>
      <w:r>
        <w:rPr>
          <w:rFonts w:hint="eastAsia" w:hAnsi="宋体"/>
        </w:rPr>
        <w:t>评标委员会将严格按照投标文件的要求和条件进行评标</w:t>
      </w:r>
      <w:r>
        <w:rPr>
          <w:rFonts w:hAnsi="宋体"/>
        </w:rPr>
        <w:t>,</w:t>
      </w:r>
      <w:r>
        <w:rPr>
          <w:rFonts w:hint="eastAsia" w:hAnsi="宋体"/>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shd w:val="clear" w:color="auto" w:fill="FFFFFF"/>
        <w:snapToGrid w:val="0"/>
        <w:ind w:firstLine="480"/>
        <w:rPr>
          <w:rFonts w:hAnsi="宋体"/>
        </w:rPr>
      </w:pPr>
      <w:r>
        <w:rPr>
          <w:rFonts w:hAnsi="宋体"/>
        </w:rPr>
        <w:t>18.2</w:t>
      </w:r>
      <w:r>
        <w:rPr>
          <w:rFonts w:hint="eastAsia" w:hAnsi="宋体"/>
        </w:rPr>
        <w:t>招标代理机构将在指定的网站上公示投标结果。</w:t>
      </w:r>
    </w:p>
    <w:p>
      <w:pPr>
        <w:shd w:val="clear" w:color="auto" w:fill="FFFFFF"/>
        <w:snapToGrid w:val="0"/>
        <w:ind w:firstLine="480"/>
        <w:rPr>
          <w:rFonts w:hAnsi="宋体"/>
        </w:rPr>
      </w:pPr>
      <w:r>
        <w:rPr>
          <w:rFonts w:hAnsi="宋体"/>
        </w:rPr>
        <w:t>19.</w:t>
      </w:r>
      <w:r>
        <w:rPr>
          <w:rFonts w:hint="eastAsia" w:hAnsi="宋体"/>
        </w:rPr>
        <w:t>质疑处理</w:t>
      </w:r>
    </w:p>
    <w:p>
      <w:pPr>
        <w:shd w:val="clear" w:color="auto" w:fill="FFFFFF"/>
        <w:snapToGrid w:val="0"/>
        <w:ind w:firstLine="480"/>
        <w:rPr>
          <w:rFonts w:hAnsi="宋体"/>
        </w:rPr>
      </w:pPr>
      <w:r>
        <w:rPr>
          <w:rFonts w:hAnsi="宋体"/>
        </w:rPr>
        <w:t>19.1</w:t>
      </w:r>
      <w:r>
        <w:rPr>
          <w:rFonts w:hint="eastAsia" w:hAnsi="宋体"/>
        </w:rPr>
        <w:t>投标人如认为招标文件、招标过程和中标结果使自己的权益受到损害的，应在知道或应知道其权益受到损害之日起七个工作日内以书面形式向招标代理机构提出质疑。匿名、非书面形式、七个工作日之外的质疑均不予受理。</w:t>
      </w:r>
    </w:p>
    <w:p>
      <w:pPr>
        <w:shd w:val="clear" w:color="auto" w:fill="FFFFFF"/>
        <w:snapToGrid w:val="0"/>
        <w:ind w:firstLine="480"/>
        <w:rPr>
          <w:rFonts w:hAnsi="宋体"/>
        </w:rPr>
      </w:pPr>
      <w:r>
        <w:rPr>
          <w:rFonts w:hAnsi="宋体"/>
        </w:rPr>
        <w:t>19.</w:t>
      </w:r>
      <w:r>
        <w:rPr>
          <w:rFonts w:hint="eastAsia" w:hAnsi="宋体"/>
        </w:rPr>
        <w:t>2质疑涵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numPr>
          <w:ilvl w:val="0"/>
          <w:numId w:val="1"/>
        </w:numPr>
        <w:shd w:val="clear" w:color="auto" w:fill="FFFFFF"/>
        <w:snapToGrid w:val="0"/>
        <w:ind w:firstLine="480"/>
        <w:rPr>
          <w:rFonts w:hAnsi="宋体"/>
        </w:rPr>
      </w:pPr>
      <w:r>
        <w:rPr>
          <w:rFonts w:hint="eastAsia" w:hAnsi="宋体"/>
        </w:rPr>
        <w:t>中标通知</w:t>
      </w:r>
    </w:p>
    <w:p>
      <w:pPr>
        <w:shd w:val="clear" w:color="auto" w:fill="FFFFFF"/>
        <w:snapToGrid w:val="0"/>
        <w:ind w:firstLine="480"/>
        <w:rPr>
          <w:rFonts w:hAnsi="宋体"/>
        </w:rPr>
      </w:pPr>
      <w:r>
        <w:rPr>
          <w:rFonts w:hAnsi="宋体"/>
        </w:rPr>
        <w:t>20.l</w:t>
      </w:r>
      <w:r>
        <w:rPr>
          <w:rFonts w:hint="eastAsia" w:hAnsi="宋体"/>
        </w:rPr>
        <w:t>中标人公告之前，采购人有权对中标候选人诚信履约的能力进行最后审查。审查方式包括询问、调查、考察、要求中标候选人作出履约承诺或担保等。如果发现中标候选人提供了虚假材料，在投标响应中有故意隐瞒或者虚报的情节，在以往的中标项目中有不诚信履约的情形，不能按照采购人要求作出相应的履约或担保等，采购人有权否决其中标资格，按顺序确定排名随后的中标候选人中标。</w:t>
      </w:r>
    </w:p>
    <w:p>
      <w:pPr>
        <w:shd w:val="clear" w:color="auto" w:fill="FFFFFF"/>
        <w:snapToGrid w:val="0"/>
        <w:ind w:firstLine="480"/>
        <w:rPr>
          <w:rFonts w:hAnsi="宋体"/>
        </w:rPr>
      </w:pPr>
      <w:r>
        <w:rPr>
          <w:rFonts w:hAnsi="宋体"/>
        </w:rPr>
        <w:t>20.</w:t>
      </w:r>
      <w:r>
        <w:rPr>
          <w:rFonts w:hint="eastAsia" w:hAnsi="宋体"/>
        </w:rPr>
        <w:t>2定标后</w:t>
      </w:r>
      <w:r>
        <w:rPr>
          <w:rFonts w:hAnsi="宋体"/>
        </w:rPr>
        <w:t>,</w:t>
      </w:r>
      <w:r>
        <w:rPr>
          <w:rFonts w:hint="eastAsia" w:hAnsi="宋体"/>
        </w:rPr>
        <w:t>招标代理机构应将定标结果通知所有的投标人。</w:t>
      </w:r>
    </w:p>
    <w:p>
      <w:pPr>
        <w:shd w:val="clear" w:color="auto" w:fill="FFFFFF"/>
        <w:snapToGrid w:val="0"/>
        <w:ind w:firstLine="480"/>
        <w:rPr>
          <w:rFonts w:hAnsi="宋体"/>
        </w:rPr>
      </w:pPr>
      <w:r>
        <w:rPr>
          <w:rFonts w:hAnsi="宋体"/>
        </w:rPr>
        <w:t>20.</w:t>
      </w:r>
      <w:r>
        <w:rPr>
          <w:rFonts w:hint="eastAsia" w:hAnsi="宋体"/>
        </w:rPr>
        <w:t>3中标人收到中标通知后，应在规定时间内到招标代理机构处领取中标通知书，并办理相关手续。</w:t>
      </w:r>
    </w:p>
    <w:p>
      <w:pPr>
        <w:shd w:val="clear" w:color="auto" w:fill="FFFFFF"/>
        <w:snapToGrid w:val="0"/>
        <w:ind w:firstLine="480"/>
        <w:rPr>
          <w:rFonts w:hAnsi="宋体"/>
        </w:rPr>
      </w:pPr>
      <w:r>
        <w:rPr>
          <w:rFonts w:hAnsi="宋体"/>
        </w:rPr>
        <w:t>20.</w:t>
      </w:r>
      <w:r>
        <w:rPr>
          <w:rFonts w:hint="eastAsia" w:hAnsi="宋体"/>
        </w:rPr>
        <w:t>4中标通知书将是合同的一个组成部分。</w:t>
      </w:r>
    </w:p>
    <w:p>
      <w:pPr>
        <w:numPr>
          <w:ilvl w:val="0"/>
          <w:numId w:val="2"/>
        </w:numPr>
        <w:shd w:val="clear" w:color="auto" w:fill="FFFFFF"/>
        <w:snapToGrid w:val="0"/>
        <w:ind w:firstLine="480"/>
        <w:rPr>
          <w:rFonts w:hAnsi="宋体"/>
        </w:rPr>
      </w:pPr>
      <w:r>
        <w:rPr>
          <w:rFonts w:hint="eastAsia" w:hAnsi="宋体"/>
        </w:rPr>
        <w:t>签订合同</w:t>
      </w:r>
    </w:p>
    <w:p>
      <w:pPr>
        <w:shd w:val="clear" w:color="auto" w:fill="FFFFFF"/>
        <w:snapToGrid w:val="0"/>
        <w:ind w:firstLine="480"/>
        <w:rPr>
          <w:rFonts w:hAnsi="宋体"/>
        </w:rPr>
      </w:pPr>
      <w:r>
        <w:rPr>
          <w:rFonts w:hAnsi="宋体"/>
        </w:rPr>
        <w:t>21.l</w:t>
      </w:r>
      <w:r>
        <w:rPr>
          <w:rFonts w:hint="eastAsia" w:hAnsi="宋体"/>
        </w:rPr>
        <w:t>中标人应按中标通知书规定的时间、地点与采购人签订中标合同</w:t>
      </w:r>
      <w:r>
        <w:rPr>
          <w:rFonts w:hAnsi="宋体"/>
        </w:rPr>
        <w:t>,</w:t>
      </w:r>
      <w:r>
        <w:rPr>
          <w:rFonts w:hint="eastAsia" w:hAnsi="宋体"/>
        </w:rPr>
        <w:t>否则投标保证金将不予退还，给采购人和招标代理机构造成损失的，投标人还应承担赔偿责任。</w:t>
      </w:r>
    </w:p>
    <w:p>
      <w:pPr>
        <w:shd w:val="clear" w:color="auto" w:fill="FFFFFF"/>
        <w:snapToGrid w:val="0"/>
        <w:ind w:firstLine="480"/>
        <w:rPr>
          <w:rFonts w:hAnsi="宋体"/>
        </w:rPr>
      </w:pPr>
      <w:r>
        <w:rPr>
          <w:rFonts w:hAnsi="宋体"/>
        </w:rPr>
        <w:t>21.2</w:t>
      </w:r>
      <w:r>
        <w:rPr>
          <w:rFonts w:hint="eastAsia" w:hAnsi="宋体"/>
        </w:rPr>
        <w:t>投标文件、中标人的投标文件及评标过程中有关澄清文件均应作为合同附件。</w:t>
      </w:r>
    </w:p>
    <w:p>
      <w:pPr>
        <w:shd w:val="clear" w:color="auto" w:fill="FFFFFF"/>
        <w:snapToGrid w:val="0"/>
        <w:ind w:firstLine="480"/>
        <w:rPr>
          <w:rFonts w:hAnsi="宋体"/>
        </w:rPr>
      </w:pPr>
      <w:r>
        <w:rPr>
          <w:rFonts w:hAnsi="宋体"/>
        </w:rPr>
        <w:t>22</w:t>
      </w:r>
      <w:r>
        <w:rPr>
          <w:rFonts w:hint="eastAsia" w:hAnsi="宋体"/>
        </w:rPr>
        <w:t>．招标代理服务费</w:t>
      </w:r>
    </w:p>
    <w:p>
      <w:pPr>
        <w:snapToGrid w:val="0"/>
        <w:ind w:firstLine="480"/>
        <w:rPr>
          <w:rFonts w:hAnsi="宋体"/>
          <w:szCs w:val="24"/>
        </w:rPr>
      </w:pPr>
      <w:r>
        <w:rPr>
          <w:rFonts w:hint="eastAsia" w:hAnsi="宋体"/>
          <w:szCs w:val="24"/>
        </w:rPr>
        <w:t>根据项目预算按计价格[2002]1980号文相关规定向中标人收取中标服务费</w:t>
      </w:r>
      <w:r>
        <w:rPr>
          <w:rFonts w:hint="eastAsia" w:hAnsi="宋体"/>
        </w:rPr>
        <w:t>。</w:t>
      </w:r>
    </w:p>
    <w:p>
      <w:pPr>
        <w:shd w:val="clear" w:color="auto" w:fill="FFFFFF"/>
        <w:snapToGrid w:val="0"/>
        <w:ind w:firstLine="482"/>
        <w:rPr>
          <w:rFonts w:hAnsi="宋体"/>
          <w:b/>
          <w:bCs/>
          <w:szCs w:val="24"/>
        </w:rPr>
      </w:pPr>
      <w:r>
        <w:rPr>
          <w:rFonts w:hAnsi="宋体"/>
          <w:b/>
          <w:bCs/>
        </w:rPr>
        <w:t>23.</w:t>
      </w:r>
      <w:r>
        <w:rPr>
          <w:rFonts w:hint="eastAsia" w:hAnsi="宋体"/>
          <w:b/>
          <w:bCs/>
          <w:szCs w:val="24"/>
        </w:rPr>
        <w:t>关于政策性加分</w:t>
      </w:r>
    </w:p>
    <w:p>
      <w:pPr>
        <w:snapToGrid w:val="0"/>
        <w:ind w:firstLine="480"/>
        <w:rPr>
          <w:rFonts w:hAnsi="宋体"/>
          <w:szCs w:val="24"/>
        </w:rPr>
      </w:pPr>
      <w:r>
        <w:rPr>
          <w:rFonts w:hAnsi="宋体"/>
          <w:szCs w:val="24"/>
        </w:rPr>
        <w:t>23.1</w:t>
      </w:r>
      <w:r>
        <w:rPr>
          <w:rFonts w:hint="eastAsia" w:hAnsi="宋体"/>
          <w:szCs w:val="24"/>
        </w:rPr>
        <w:t>所投分包</w:t>
      </w:r>
      <w:r>
        <w:rPr>
          <w:rFonts w:hAnsi="宋体"/>
          <w:szCs w:val="24"/>
        </w:rPr>
        <w:t>(</w:t>
      </w:r>
      <w:r>
        <w:rPr>
          <w:rFonts w:hint="eastAsia" w:hAnsi="宋体"/>
          <w:szCs w:val="24"/>
        </w:rPr>
        <w:t>如不分包则指本项目</w:t>
      </w:r>
      <w:r>
        <w:rPr>
          <w:rFonts w:hAnsi="宋体"/>
          <w:szCs w:val="24"/>
        </w:rPr>
        <w:t>)</w:t>
      </w:r>
      <w:r>
        <w:rPr>
          <w:rFonts w:hint="eastAsia" w:hAnsi="宋体"/>
          <w:szCs w:val="24"/>
        </w:rPr>
        <w:t>的所有投标产品进入当期节能清单的，其评标价</w:t>
      </w:r>
      <w:r>
        <w:rPr>
          <w:rFonts w:hAnsi="宋体"/>
          <w:szCs w:val="24"/>
        </w:rPr>
        <w:t>=</w:t>
      </w:r>
      <w:r>
        <w:rPr>
          <w:rFonts w:hint="eastAsia" w:hAnsi="宋体"/>
          <w:szCs w:val="24"/>
        </w:rPr>
        <w:t>投标报价</w:t>
      </w:r>
      <w:r>
        <w:rPr>
          <w:rFonts w:hAnsi="宋体"/>
          <w:szCs w:val="24"/>
        </w:rPr>
        <w:t>*</w:t>
      </w:r>
      <w:r>
        <w:rPr>
          <w:rFonts w:hint="eastAsia" w:hAnsi="宋体"/>
          <w:szCs w:val="24"/>
        </w:rPr>
        <w:t>（</w:t>
      </w:r>
      <w:r>
        <w:rPr>
          <w:rFonts w:hAnsi="宋体"/>
          <w:szCs w:val="24"/>
        </w:rPr>
        <w:t>1-2%</w:t>
      </w:r>
      <w:r>
        <w:rPr>
          <w:rFonts w:hint="eastAsia" w:hAnsi="宋体"/>
          <w:szCs w:val="24"/>
        </w:rPr>
        <w:t>）；投标人所投产品满足此规定的，必须提供声明函并提供相关证明文件。</w:t>
      </w:r>
      <w:r>
        <w:rPr>
          <w:rFonts w:hAnsi="宋体"/>
          <w:szCs w:val="24"/>
        </w:rPr>
        <w:t xml:space="preserve"> </w:t>
      </w:r>
    </w:p>
    <w:p>
      <w:pPr>
        <w:snapToGrid w:val="0"/>
        <w:ind w:firstLine="480"/>
        <w:rPr>
          <w:rFonts w:hAnsi="宋体"/>
          <w:szCs w:val="24"/>
        </w:rPr>
      </w:pPr>
      <w:r>
        <w:rPr>
          <w:rFonts w:hAnsi="宋体"/>
          <w:szCs w:val="24"/>
        </w:rPr>
        <w:t>23.2</w:t>
      </w:r>
      <w:r>
        <w:rPr>
          <w:rFonts w:hint="eastAsia" w:hAnsi="宋体"/>
          <w:szCs w:val="24"/>
        </w:rPr>
        <w:t>所投分包</w:t>
      </w:r>
      <w:r>
        <w:rPr>
          <w:rFonts w:hAnsi="宋体"/>
          <w:szCs w:val="24"/>
        </w:rPr>
        <w:t>(</w:t>
      </w:r>
      <w:r>
        <w:rPr>
          <w:rFonts w:hint="eastAsia" w:hAnsi="宋体"/>
          <w:szCs w:val="24"/>
        </w:rPr>
        <w:t>如不分包则指本项目</w:t>
      </w:r>
      <w:r>
        <w:rPr>
          <w:rFonts w:hAnsi="宋体"/>
          <w:szCs w:val="24"/>
        </w:rPr>
        <w:t>)</w:t>
      </w:r>
      <w:r>
        <w:rPr>
          <w:rFonts w:hint="eastAsia" w:hAnsi="宋体"/>
          <w:szCs w:val="24"/>
        </w:rPr>
        <w:t>的所有投标产品进入当期环保清单的，其评标价</w:t>
      </w:r>
      <w:r>
        <w:rPr>
          <w:rFonts w:hAnsi="宋体"/>
          <w:szCs w:val="24"/>
        </w:rPr>
        <w:t>=</w:t>
      </w:r>
      <w:r>
        <w:rPr>
          <w:rFonts w:hint="eastAsia" w:hAnsi="宋体"/>
          <w:szCs w:val="24"/>
        </w:rPr>
        <w:t>投标报价</w:t>
      </w:r>
      <w:r>
        <w:rPr>
          <w:rFonts w:hAnsi="宋体"/>
          <w:szCs w:val="24"/>
        </w:rPr>
        <w:t>*</w:t>
      </w:r>
      <w:r>
        <w:rPr>
          <w:rFonts w:hint="eastAsia" w:hAnsi="宋体"/>
          <w:szCs w:val="24"/>
        </w:rPr>
        <w:t>（</w:t>
      </w:r>
      <w:r>
        <w:rPr>
          <w:rFonts w:hAnsi="宋体"/>
          <w:szCs w:val="24"/>
        </w:rPr>
        <w:t>1-1%</w:t>
      </w:r>
      <w:r>
        <w:rPr>
          <w:rFonts w:hint="eastAsia" w:hAnsi="宋体"/>
          <w:szCs w:val="24"/>
        </w:rPr>
        <w:t>）；投标人所投产品满足此规定的，必须提供声明函并提供相关证明文件。</w:t>
      </w:r>
    </w:p>
    <w:p>
      <w:pPr>
        <w:snapToGrid w:val="0"/>
        <w:ind w:firstLine="480"/>
        <w:rPr>
          <w:rFonts w:hAnsi="宋体"/>
          <w:szCs w:val="24"/>
        </w:rPr>
      </w:pPr>
      <w:r>
        <w:rPr>
          <w:rFonts w:hAnsi="宋体"/>
          <w:szCs w:val="24"/>
        </w:rPr>
        <w:t>23.3</w:t>
      </w:r>
      <w:r>
        <w:rPr>
          <w:rFonts w:hint="eastAsia" w:hAnsi="宋体"/>
          <w:szCs w:val="24"/>
        </w:rPr>
        <w:t>投标人为小型和微型企业（含联合体）的情况：</w:t>
      </w:r>
    </w:p>
    <w:p>
      <w:pPr>
        <w:snapToGrid w:val="0"/>
        <w:ind w:firstLine="480"/>
        <w:rPr>
          <w:rFonts w:hAnsi="宋体"/>
          <w:szCs w:val="24"/>
        </w:rPr>
      </w:pPr>
      <w:r>
        <w:rPr>
          <w:rFonts w:hAnsi="宋体"/>
          <w:szCs w:val="24"/>
        </w:rPr>
        <w:t>23.3.1</w:t>
      </w:r>
      <w:r>
        <w:rPr>
          <w:rFonts w:hint="eastAsia" w:hAnsi="宋体"/>
          <w:szCs w:val="24"/>
        </w:rPr>
        <w:t>中小企业的认定标准：</w:t>
      </w:r>
    </w:p>
    <w:p>
      <w:pPr>
        <w:snapToGrid w:val="0"/>
        <w:ind w:firstLine="480"/>
        <w:rPr>
          <w:rFonts w:hAnsi="宋体"/>
          <w:szCs w:val="24"/>
        </w:rPr>
      </w:pPr>
      <w:r>
        <w:rPr>
          <w:rFonts w:hAnsi="宋体"/>
          <w:szCs w:val="24"/>
        </w:rPr>
        <w:t>1</w:t>
      </w:r>
      <w:r>
        <w:rPr>
          <w:rFonts w:hint="eastAsia" w:hAnsi="宋体"/>
          <w:szCs w:val="24"/>
        </w:rPr>
        <w:t>）提供本企业制造的货物、承担的工程或者服务，或者提供其他中小企业制造的货物，不包括提供或使用大型企业注册商标的货物；</w:t>
      </w:r>
    </w:p>
    <w:p>
      <w:pPr>
        <w:snapToGrid w:val="0"/>
        <w:ind w:firstLine="480"/>
        <w:rPr>
          <w:rFonts w:hAnsi="宋体"/>
          <w:szCs w:val="24"/>
        </w:rPr>
      </w:pPr>
      <w:r>
        <w:rPr>
          <w:rFonts w:hAnsi="宋体"/>
          <w:szCs w:val="24"/>
        </w:rPr>
        <w:t>2</w:t>
      </w:r>
      <w:r>
        <w:rPr>
          <w:rFonts w:hint="eastAsia" w:hAnsi="宋体"/>
          <w:szCs w:val="24"/>
        </w:rPr>
        <w:t>）本规定所称中小企业划分标准，是指国务院有关部门根据企业从业人员、营业收入、资产总额等指标制定的中小企业划型标准（工信部联企业〔</w:t>
      </w:r>
      <w:r>
        <w:rPr>
          <w:rFonts w:hAnsi="宋体"/>
          <w:szCs w:val="24"/>
        </w:rPr>
        <w:t>2011</w:t>
      </w:r>
      <w:r>
        <w:rPr>
          <w:rFonts w:hint="eastAsia" w:hAnsi="宋体"/>
          <w:szCs w:val="24"/>
        </w:rPr>
        <w:t>〕</w:t>
      </w:r>
      <w:r>
        <w:rPr>
          <w:rFonts w:hAnsi="宋体"/>
          <w:szCs w:val="24"/>
        </w:rPr>
        <w:t>300</w:t>
      </w:r>
      <w:r>
        <w:rPr>
          <w:rFonts w:hint="eastAsia" w:hAnsi="宋体"/>
          <w:szCs w:val="24"/>
        </w:rPr>
        <w:t>号）；</w:t>
      </w:r>
    </w:p>
    <w:p>
      <w:pPr>
        <w:snapToGrid w:val="0"/>
        <w:ind w:firstLine="480"/>
        <w:rPr>
          <w:rFonts w:hAnsi="宋体"/>
          <w:szCs w:val="24"/>
        </w:rPr>
      </w:pPr>
      <w:r>
        <w:rPr>
          <w:rFonts w:hAnsi="宋体"/>
          <w:szCs w:val="24"/>
        </w:rPr>
        <w:t>3</w:t>
      </w:r>
      <w:r>
        <w:rPr>
          <w:rFonts w:hint="eastAsia" w:hAnsi="宋体"/>
          <w:szCs w:val="24"/>
        </w:rPr>
        <w:t>）小型、微型企业提供有中型企业制造的货物的，视同为中型企业；小型、微型、中型企业提供有大型企业制造的货物的，视同为大型企业。</w:t>
      </w:r>
    </w:p>
    <w:p>
      <w:pPr>
        <w:snapToGrid w:val="0"/>
        <w:ind w:firstLine="480"/>
        <w:rPr>
          <w:rFonts w:hAnsi="宋体"/>
          <w:szCs w:val="24"/>
        </w:rPr>
      </w:pPr>
      <w:r>
        <w:rPr>
          <w:rFonts w:hAnsi="宋体"/>
          <w:szCs w:val="24"/>
        </w:rPr>
        <w:t>4</w:t>
      </w:r>
      <w:r>
        <w:rPr>
          <w:rFonts w:hint="eastAsia" w:hAnsi="宋体"/>
          <w:szCs w:val="24"/>
        </w:rPr>
        <w:t>）监狱企业视同为小型、微型企业。</w:t>
      </w:r>
    </w:p>
    <w:p>
      <w:pPr>
        <w:snapToGrid w:val="0"/>
        <w:ind w:firstLine="480"/>
        <w:rPr>
          <w:rFonts w:hAnsi="宋体"/>
          <w:szCs w:val="24"/>
        </w:rPr>
      </w:pPr>
      <w:r>
        <w:rPr>
          <w:rFonts w:hAnsi="宋体"/>
          <w:szCs w:val="24"/>
        </w:rPr>
        <w:t>23.3.2</w:t>
      </w:r>
      <w:r>
        <w:rPr>
          <w:rFonts w:hint="eastAsia" w:hAnsi="宋体"/>
          <w:szCs w:val="24"/>
        </w:rPr>
        <w:t>具体评审价说明：</w:t>
      </w:r>
    </w:p>
    <w:p>
      <w:pPr>
        <w:snapToGrid w:val="0"/>
        <w:ind w:firstLine="480"/>
        <w:rPr>
          <w:rFonts w:hAnsi="宋体"/>
          <w:szCs w:val="24"/>
        </w:rPr>
      </w:pPr>
      <w:r>
        <w:rPr>
          <w:rFonts w:hAnsi="宋体"/>
          <w:szCs w:val="24"/>
        </w:rPr>
        <w:t>1</w:t>
      </w:r>
      <w:r>
        <w:rPr>
          <w:rFonts w:hint="eastAsia" w:hAnsi="宋体"/>
          <w:szCs w:val="24"/>
        </w:rPr>
        <w:t>）投标人为小型或微型企业，其评审价</w:t>
      </w:r>
      <w:r>
        <w:rPr>
          <w:rFonts w:hAnsi="宋体"/>
          <w:szCs w:val="24"/>
        </w:rPr>
        <w:t>=</w:t>
      </w:r>
      <w:r>
        <w:rPr>
          <w:rFonts w:hint="eastAsia" w:hAnsi="宋体"/>
          <w:szCs w:val="24"/>
        </w:rPr>
        <w:t>投标报价</w:t>
      </w:r>
      <w:r>
        <w:rPr>
          <w:rFonts w:hAnsi="宋体"/>
          <w:szCs w:val="24"/>
        </w:rPr>
        <w:t>*</w:t>
      </w:r>
      <w:r>
        <w:rPr>
          <w:rFonts w:hint="eastAsia" w:hAnsi="宋体"/>
          <w:szCs w:val="24"/>
        </w:rPr>
        <w:t>（</w:t>
      </w:r>
      <w:r>
        <w:rPr>
          <w:rFonts w:hAnsi="宋体"/>
          <w:szCs w:val="24"/>
        </w:rPr>
        <w:t>1-6%</w:t>
      </w:r>
      <w:r>
        <w:rPr>
          <w:rFonts w:hint="eastAsia" w:hAnsi="宋体"/>
          <w:szCs w:val="24"/>
        </w:rPr>
        <w:t>）；</w:t>
      </w:r>
    </w:p>
    <w:p>
      <w:pPr>
        <w:snapToGrid w:val="0"/>
        <w:ind w:firstLine="480"/>
        <w:rPr>
          <w:rFonts w:hAnsi="宋体"/>
          <w:b/>
          <w:bCs/>
          <w:szCs w:val="24"/>
        </w:rPr>
      </w:pPr>
      <w:r>
        <w:rPr>
          <w:rFonts w:hAnsi="宋体"/>
          <w:szCs w:val="24"/>
        </w:rPr>
        <w:t xml:space="preserve">23.3.3 </w:t>
      </w:r>
      <w:r>
        <w:rPr>
          <w:rFonts w:hint="eastAsia" w:hAnsi="宋体"/>
          <w:szCs w:val="24"/>
        </w:rPr>
        <w:t>投标人为工信部联企业〔</w:t>
      </w:r>
      <w:r>
        <w:rPr>
          <w:rFonts w:hAnsi="宋体"/>
          <w:szCs w:val="24"/>
        </w:rPr>
        <w:t>2011</w:t>
      </w:r>
      <w:r>
        <w:rPr>
          <w:rFonts w:hint="eastAsia" w:hAnsi="宋体"/>
          <w:szCs w:val="24"/>
        </w:rPr>
        <w:t>〕</w:t>
      </w:r>
      <w:r>
        <w:rPr>
          <w:rFonts w:hAnsi="宋体"/>
          <w:szCs w:val="24"/>
        </w:rPr>
        <w:t>300</w:t>
      </w:r>
      <w:r>
        <w:rPr>
          <w:rFonts w:hint="eastAsia" w:hAnsi="宋体"/>
          <w:szCs w:val="24"/>
        </w:rPr>
        <w:t>号文规定的小型和微型企业（含联合体）的，必须</w:t>
      </w:r>
      <w:bookmarkStart w:id="19" w:name="_Toc320093686"/>
      <w:r>
        <w:rPr>
          <w:rFonts w:hint="eastAsia" w:hAnsi="宋体"/>
          <w:szCs w:val="24"/>
        </w:rPr>
        <w:t>如实填写“中小企业声明函”（内容、格式见财库〔</w:t>
      </w:r>
      <w:r>
        <w:rPr>
          <w:rFonts w:hAnsi="宋体"/>
          <w:szCs w:val="24"/>
        </w:rPr>
        <w:t>2011</w:t>
      </w:r>
      <w:r>
        <w:rPr>
          <w:rFonts w:hint="eastAsia" w:hAnsi="宋体"/>
          <w:szCs w:val="24"/>
        </w:rPr>
        <w:t>〕</w:t>
      </w:r>
      <w:r>
        <w:rPr>
          <w:rFonts w:hAnsi="宋体"/>
          <w:szCs w:val="24"/>
        </w:rPr>
        <w:t>181</w:t>
      </w:r>
      <w:r>
        <w:rPr>
          <w:rFonts w:hint="eastAsia" w:hAnsi="宋体"/>
          <w:szCs w:val="24"/>
        </w:rPr>
        <w:t>号）</w:t>
      </w:r>
      <w:bookmarkEnd w:id="19"/>
      <w:r>
        <w:rPr>
          <w:rFonts w:hint="eastAsia" w:hAnsi="宋体"/>
          <w:szCs w:val="24"/>
        </w:rPr>
        <w:t>，并提供中小企业认定机构的证明材料，否则无效。</w:t>
      </w:r>
      <w:r>
        <w:rPr>
          <w:rFonts w:hint="eastAsia" w:hAnsi="宋体"/>
          <w:b/>
          <w:bCs/>
          <w:szCs w:val="24"/>
        </w:rPr>
        <w:t>如有虚假骗取政策性加分，将依法承担相应责任。</w:t>
      </w:r>
    </w:p>
    <w:p>
      <w:pPr>
        <w:shd w:val="clear" w:color="auto" w:fill="FFFFFF"/>
        <w:snapToGrid w:val="0"/>
        <w:ind w:firstLine="480"/>
        <w:rPr>
          <w:rFonts w:hAnsi="宋体"/>
        </w:rPr>
      </w:pPr>
      <w:r>
        <w:rPr>
          <w:rFonts w:hAnsi="宋体"/>
        </w:rPr>
        <w:t>24.</w:t>
      </w:r>
      <w:r>
        <w:rPr>
          <w:rFonts w:hint="eastAsia" w:hAnsi="宋体"/>
        </w:rPr>
        <w:t>其它</w:t>
      </w:r>
    </w:p>
    <w:p>
      <w:pPr>
        <w:shd w:val="clear" w:color="auto" w:fill="FFFFFF"/>
        <w:snapToGrid w:val="0"/>
        <w:ind w:firstLine="480"/>
        <w:rPr>
          <w:rFonts w:hAnsi="宋体"/>
        </w:rPr>
      </w:pPr>
      <w:r>
        <w:rPr>
          <w:rFonts w:hint="eastAsia" w:hAnsi="宋体"/>
        </w:rPr>
        <w:t>本项目不召开答疑会。</w:t>
      </w:r>
    </w:p>
    <w:p>
      <w:pPr>
        <w:pStyle w:val="4"/>
        <w:shd w:val="clear" w:color="auto" w:fill="FFFFFF"/>
        <w:spacing w:after="120" w:line="360" w:lineRule="auto"/>
        <w:ind w:firstLine="2209" w:firstLineChars="500"/>
        <w:jc w:val="both"/>
        <w:rPr>
          <w:rFonts w:hAnsi="宋体"/>
          <w:szCs w:val="44"/>
        </w:rPr>
      </w:pPr>
      <w:bookmarkStart w:id="20" w:name="_Toc476643559"/>
      <w:bookmarkStart w:id="21" w:name="_Toc476667948"/>
      <w:bookmarkStart w:id="22" w:name="_Toc476664368"/>
    </w:p>
    <w:p>
      <w:pPr>
        <w:pStyle w:val="4"/>
        <w:shd w:val="clear" w:color="auto" w:fill="FFFFFF"/>
        <w:spacing w:after="120" w:line="360" w:lineRule="auto"/>
        <w:ind w:firstLine="2209" w:firstLineChars="500"/>
        <w:jc w:val="both"/>
        <w:rPr>
          <w:rFonts w:hAnsi="宋体"/>
          <w:szCs w:val="44"/>
        </w:rPr>
      </w:pPr>
    </w:p>
    <w:p>
      <w:pPr>
        <w:pStyle w:val="4"/>
        <w:shd w:val="clear" w:color="auto" w:fill="FFFFFF"/>
        <w:spacing w:after="120" w:line="360" w:lineRule="auto"/>
        <w:ind w:firstLine="2650" w:firstLineChars="600"/>
        <w:jc w:val="both"/>
      </w:pPr>
      <w:r>
        <w:rPr>
          <w:rFonts w:hint="eastAsia" w:hAnsi="宋体"/>
          <w:szCs w:val="44"/>
        </w:rPr>
        <w:t>第三章</w:t>
      </w:r>
      <w:r>
        <w:rPr>
          <w:rFonts w:hAnsi="宋体"/>
          <w:szCs w:val="44"/>
        </w:rPr>
        <w:t xml:space="preserve"> </w:t>
      </w:r>
      <w:r>
        <w:rPr>
          <w:rFonts w:hint="eastAsia" w:hAnsi="宋体"/>
          <w:szCs w:val="44"/>
        </w:rPr>
        <w:t>用户需求书</w:t>
      </w:r>
      <w:bookmarkEnd w:id="20"/>
      <w:bookmarkEnd w:id="21"/>
      <w:bookmarkEnd w:id="22"/>
    </w:p>
    <w:p>
      <w:pPr>
        <w:ind w:firstLine="0" w:firstLineChars="0"/>
        <w:jc w:val="both"/>
        <w:rPr>
          <w:rFonts w:ascii="Arial" w:hAnsi="Arial" w:eastAsia="黑体"/>
          <w:b/>
          <w:sz w:val="28"/>
          <w:szCs w:val="28"/>
        </w:rPr>
      </w:pPr>
      <w:r>
        <w:rPr>
          <w:rFonts w:hint="eastAsia" w:ascii="Arial" w:hAnsi="Arial" w:eastAsia="黑体"/>
          <w:b/>
          <w:sz w:val="28"/>
          <w:szCs w:val="28"/>
        </w:rPr>
        <w:t>一、项目名称：化工学院“双一流”特色优势学科建设项目</w:t>
      </w:r>
    </w:p>
    <w:p>
      <w:pPr>
        <w:ind w:firstLine="0" w:firstLineChars="0"/>
        <w:jc w:val="both"/>
        <w:rPr>
          <w:rFonts w:ascii="Arial" w:hAnsi="Arial" w:eastAsia="黑体"/>
          <w:b/>
          <w:sz w:val="28"/>
          <w:szCs w:val="28"/>
        </w:rPr>
      </w:pPr>
      <w:r>
        <w:rPr>
          <w:rFonts w:hint="eastAsia" w:ascii="Arial" w:hAnsi="Arial" w:eastAsia="黑体"/>
          <w:b/>
          <w:sz w:val="28"/>
          <w:szCs w:val="28"/>
        </w:rPr>
        <w:t>二、项目编号：ZD2020-628</w:t>
      </w:r>
    </w:p>
    <w:p>
      <w:pPr>
        <w:ind w:firstLine="0" w:firstLineChars="0"/>
        <w:jc w:val="both"/>
        <w:rPr>
          <w:rFonts w:ascii="Arial" w:hAnsi="Arial" w:eastAsia="黑体"/>
          <w:b/>
          <w:sz w:val="28"/>
          <w:szCs w:val="28"/>
        </w:rPr>
      </w:pPr>
      <w:r>
        <w:rPr>
          <w:rFonts w:hint="eastAsia" w:ascii="Arial" w:hAnsi="Arial" w:eastAsia="黑体"/>
          <w:b/>
          <w:sz w:val="28"/>
          <w:szCs w:val="28"/>
        </w:rPr>
        <w:t>三、财政预算：328.13万元</w:t>
      </w:r>
    </w:p>
    <w:p>
      <w:pPr>
        <w:ind w:firstLine="0" w:firstLineChars="0"/>
        <w:rPr>
          <w:rFonts w:ascii="Arial" w:hAnsi="Arial" w:eastAsia="黑体"/>
          <w:b/>
          <w:sz w:val="28"/>
          <w:szCs w:val="28"/>
        </w:rPr>
      </w:pPr>
      <w:r>
        <w:rPr>
          <w:rFonts w:hint="eastAsia" w:ascii="Arial" w:hAnsi="Arial" w:eastAsia="黑体"/>
          <w:b/>
          <w:sz w:val="28"/>
          <w:szCs w:val="28"/>
        </w:rPr>
        <w:t>四、交付期：签订合同后进口产品应在120天内；国内产品在30天内；</w:t>
      </w:r>
    </w:p>
    <w:p>
      <w:pPr>
        <w:ind w:firstLine="0" w:firstLineChars="0"/>
        <w:jc w:val="both"/>
        <w:rPr>
          <w:rFonts w:ascii="Arial" w:hAnsi="Arial" w:eastAsia="黑体"/>
          <w:b/>
          <w:sz w:val="28"/>
          <w:szCs w:val="28"/>
        </w:rPr>
      </w:pPr>
    </w:p>
    <w:p>
      <w:pPr>
        <w:ind w:firstLine="3855" w:firstLineChars="1200"/>
        <w:jc w:val="both"/>
        <w:rPr>
          <w:rFonts w:hAnsi="宋体"/>
          <w:b/>
          <w:sz w:val="32"/>
          <w:szCs w:val="32"/>
        </w:rPr>
      </w:pPr>
    </w:p>
    <w:p>
      <w:pPr>
        <w:ind w:firstLine="3614" w:firstLineChars="1200"/>
        <w:jc w:val="both"/>
        <w:rPr>
          <w:rFonts w:hAnsi="宋体" w:cs="Times New Roman"/>
          <w:b/>
          <w:kern w:val="2"/>
          <w:sz w:val="30"/>
          <w:szCs w:val="30"/>
        </w:rPr>
      </w:pPr>
      <w:r>
        <w:rPr>
          <w:rFonts w:hint="eastAsia" w:hAnsi="宋体"/>
          <w:b/>
          <w:sz w:val="30"/>
          <w:szCs w:val="30"/>
          <w:lang w:val="zh-CN"/>
        </w:rPr>
        <w:t>项目</w:t>
      </w:r>
      <w:r>
        <w:rPr>
          <w:rFonts w:hint="eastAsia" w:hAnsi="宋体"/>
          <w:b/>
          <w:sz w:val="30"/>
          <w:szCs w:val="30"/>
        </w:rPr>
        <w:t>需</w:t>
      </w:r>
      <w:r>
        <w:rPr>
          <w:rFonts w:hint="eastAsia" w:hAnsi="宋体"/>
          <w:b/>
          <w:sz w:val="30"/>
          <w:szCs w:val="30"/>
          <w:lang w:val="zh-CN"/>
        </w:rPr>
        <w:t>求表</w:t>
      </w:r>
    </w:p>
    <w:tbl>
      <w:tblPr>
        <w:tblStyle w:val="15"/>
        <w:tblW w:w="0" w:type="auto"/>
        <w:tblInd w:w="539" w:type="dxa"/>
        <w:tblLayout w:type="fixed"/>
        <w:tblCellMar>
          <w:top w:w="15" w:type="dxa"/>
          <w:left w:w="15" w:type="dxa"/>
          <w:bottom w:w="15" w:type="dxa"/>
          <w:right w:w="15" w:type="dxa"/>
        </w:tblCellMar>
      </w:tblPr>
      <w:tblGrid>
        <w:gridCol w:w="1089"/>
        <w:gridCol w:w="6714"/>
      </w:tblGrid>
      <w:tr>
        <w:tblPrEx>
          <w:tblCellMar>
            <w:top w:w="15" w:type="dxa"/>
            <w:left w:w="15" w:type="dxa"/>
            <w:bottom w:w="15" w:type="dxa"/>
            <w:right w:w="15" w:type="dxa"/>
          </w:tblCellMar>
        </w:tblPrEx>
        <w:trPr>
          <w:trHeight w:val="285" w:hRule="atLeast"/>
        </w:trPr>
        <w:tc>
          <w:tcPr>
            <w:tcW w:w="1089" w:type="dxa"/>
            <w:tcBorders>
              <w:top w:val="single" w:color="000000" w:sz="4" w:space="0"/>
              <w:left w:val="single" w:color="000000" w:sz="4" w:space="0"/>
              <w:bottom w:val="single" w:color="000000" w:sz="4" w:space="0"/>
              <w:right w:val="single" w:color="000000" w:sz="4" w:space="0"/>
            </w:tcBorders>
            <w:vAlign w:val="center"/>
          </w:tcPr>
          <w:p>
            <w:pPr>
              <w:ind w:firstLine="241" w:firstLineChars="100"/>
              <w:jc w:val="center"/>
              <w:textAlignment w:val="center"/>
              <w:rPr>
                <w:rFonts w:hAnsi="宋体" w:cs="宋体"/>
                <w:b/>
                <w:color w:val="000000"/>
                <w:szCs w:val="24"/>
              </w:rPr>
            </w:pPr>
            <w:r>
              <w:rPr>
                <w:rFonts w:hint="eastAsia" w:hAnsi="宋体" w:cs="宋体"/>
                <w:b/>
                <w:color w:val="000000"/>
                <w:szCs w:val="24"/>
                <w:lang w:bidi="ar"/>
              </w:rPr>
              <w:t>项 目</w:t>
            </w:r>
          </w:p>
        </w:tc>
        <w:tc>
          <w:tcPr>
            <w:tcW w:w="6714" w:type="dxa"/>
            <w:tcBorders>
              <w:top w:val="single" w:color="000000" w:sz="4" w:space="0"/>
              <w:left w:val="single" w:color="000000" w:sz="4" w:space="0"/>
              <w:bottom w:val="single" w:color="000000" w:sz="4" w:space="0"/>
              <w:right w:val="single" w:color="000000" w:sz="4" w:space="0"/>
            </w:tcBorders>
            <w:vAlign w:val="center"/>
          </w:tcPr>
          <w:p>
            <w:pPr>
              <w:ind w:firstLine="1988" w:firstLineChars="900"/>
              <w:jc w:val="both"/>
              <w:textAlignment w:val="center"/>
              <w:rPr>
                <w:rFonts w:hAnsi="宋体" w:cs="宋体"/>
                <w:b/>
                <w:color w:val="000000"/>
                <w:sz w:val="22"/>
              </w:rPr>
            </w:pPr>
            <w:r>
              <w:rPr>
                <w:rFonts w:hint="eastAsia" w:hAnsi="宋体" w:cs="宋体"/>
                <w:b/>
                <w:color w:val="000000"/>
                <w:sz w:val="22"/>
                <w:lang w:bidi="ar"/>
              </w:rPr>
              <w:t>名称及金额</w:t>
            </w:r>
          </w:p>
        </w:tc>
      </w:tr>
      <w:tr>
        <w:tblPrEx>
          <w:tblCellMar>
            <w:top w:w="15" w:type="dxa"/>
            <w:left w:w="15" w:type="dxa"/>
            <w:bottom w:w="15" w:type="dxa"/>
            <w:right w:w="15" w:type="dxa"/>
          </w:tblCellMar>
        </w:tblPrEx>
        <w:trPr>
          <w:trHeight w:val="285" w:hRule="atLeast"/>
        </w:trPr>
        <w:tc>
          <w:tcPr>
            <w:tcW w:w="1089" w:type="dxa"/>
            <w:tcBorders>
              <w:top w:val="single" w:color="000000" w:sz="4" w:space="0"/>
              <w:left w:val="single" w:color="000000" w:sz="4" w:space="0"/>
              <w:bottom w:val="single" w:color="000000" w:sz="4" w:space="0"/>
              <w:right w:val="single" w:color="000000" w:sz="4" w:space="0"/>
            </w:tcBorders>
            <w:vAlign w:val="center"/>
          </w:tcPr>
          <w:p>
            <w:pPr>
              <w:ind w:firstLine="482"/>
              <w:jc w:val="both"/>
              <w:textAlignment w:val="center"/>
              <w:rPr>
                <w:rFonts w:hAnsi="宋体" w:cs="宋体"/>
                <w:b/>
                <w:color w:val="000000"/>
                <w:szCs w:val="24"/>
              </w:rPr>
            </w:pPr>
            <w:r>
              <w:rPr>
                <w:rFonts w:hint="eastAsia" w:hAnsi="宋体" w:cs="宋体"/>
                <w:b/>
                <w:color w:val="000000"/>
                <w:szCs w:val="24"/>
                <w:lang w:bidi="ar"/>
              </w:rPr>
              <w:t>A包：</w:t>
            </w:r>
          </w:p>
        </w:tc>
        <w:tc>
          <w:tcPr>
            <w:tcW w:w="6714" w:type="dxa"/>
            <w:tcBorders>
              <w:top w:val="single" w:color="000000" w:sz="4" w:space="0"/>
              <w:left w:val="single" w:color="000000" w:sz="4" w:space="0"/>
              <w:bottom w:val="single" w:color="000000" w:sz="4" w:space="0"/>
              <w:right w:val="single" w:color="000000" w:sz="4" w:space="0"/>
            </w:tcBorders>
            <w:vAlign w:val="center"/>
          </w:tcPr>
          <w:p>
            <w:pPr>
              <w:ind w:firstLine="0" w:firstLineChars="0"/>
              <w:textAlignment w:val="center"/>
              <w:rPr>
                <w:rFonts w:hAnsi="宋体" w:cs="宋体"/>
                <w:color w:val="000000"/>
                <w:sz w:val="22"/>
              </w:rPr>
            </w:pPr>
            <w:r>
              <w:rPr>
                <w:rFonts w:hint="eastAsia" w:hAnsi="宋体"/>
                <w:szCs w:val="24"/>
              </w:rPr>
              <w:t>热带药用资源化学和有机合成化学方向(216.48万</w:t>
            </w:r>
            <w:r>
              <w:rPr>
                <w:rFonts w:hint="eastAsia" w:hAnsi="宋体" w:cs="宋体"/>
                <w:color w:val="000000"/>
                <w:sz w:val="22"/>
                <w:lang w:bidi="ar"/>
              </w:rPr>
              <w:t>元</w:t>
            </w:r>
            <w:r>
              <w:rPr>
                <w:rFonts w:hint="eastAsia" w:hAnsi="宋体"/>
                <w:szCs w:val="24"/>
              </w:rPr>
              <w:t>)</w:t>
            </w:r>
          </w:p>
        </w:tc>
      </w:tr>
      <w:tr>
        <w:tblPrEx>
          <w:tblCellMar>
            <w:top w:w="15" w:type="dxa"/>
            <w:left w:w="15" w:type="dxa"/>
            <w:bottom w:w="15" w:type="dxa"/>
            <w:right w:w="15" w:type="dxa"/>
          </w:tblCellMar>
        </w:tblPrEx>
        <w:trPr>
          <w:trHeight w:val="285" w:hRule="atLeast"/>
        </w:trPr>
        <w:tc>
          <w:tcPr>
            <w:tcW w:w="1089" w:type="dxa"/>
            <w:tcBorders>
              <w:top w:val="single" w:color="000000" w:sz="4" w:space="0"/>
              <w:left w:val="single" w:color="000000" w:sz="4" w:space="0"/>
              <w:bottom w:val="single" w:color="000000" w:sz="4" w:space="0"/>
              <w:right w:val="single" w:color="000000" w:sz="4" w:space="0"/>
            </w:tcBorders>
            <w:vAlign w:val="center"/>
          </w:tcPr>
          <w:p>
            <w:pPr>
              <w:ind w:firstLine="482"/>
              <w:jc w:val="both"/>
              <w:textAlignment w:val="center"/>
              <w:rPr>
                <w:rFonts w:hAnsi="宋体" w:cs="宋体"/>
                <w:b/>
                <w:color w:val="000000"/>
                <w:szCs w:val="24"/>
              </w:rPr>
            </w:pPr>
            <w:r>
              <w:rPr>
                <w:rFonts w:hint="eastAsia" w:hAnsi="宋体" w:cs="宋体"/>
                <w:b/>
                <w:color w:val="000000"/>
                <w:szCs w:val="24"/>
                <w:lang w:bidi="ar"/>
              </w:rPr>
              <w:t>B包：</w:t>
            </w:r>
          </w:p>
        </w:tc>
        <w:tc>
          <w:tcPr>
            <w:tcW w:w="6714" w:type="dxa"/>
            <w:tcBorders>
              <w:top w:val="single" w:color="000000" w:sz="4" w:space="0"/>
              <w:left w:val="single" w:color="000000" w:sz="4" w:space="0"/>
              <w:bottom w:val="single" w:color="000000" w:sz="4" w:space="0"/>
              <w:right w:val="single" w:color="000000" w:sz="4" w:space="0"/>
            </w:tcBorders>
            <w:vAlign w:val="center"/>
          </w:tcPr>
          <w:p>
            <w:pPr>
              <w:ind w:firstLine="0" w:firstLineChars="0"/>
              <w:textAlignment w:val="center"/>
              <w:rPr>
                <w:rFonts w:hAnsi="宋体" w:cs="宋体"/>
                <w:color w:val="000000"/>
                <w:sz w:val="22"/>
              </w:rPr>
            </w:pPr>
            <w:r>
              <w:rPr>
                <w:rFonts w:hint="eastAsia" w:hAnsi="宋体"/>
                <w:szCs w:val="24"/>
              </w:rPr>
              <w:t>材料物理化学方向（55.65万</w:t>
            </w:r>
            <w:r>
              <w:rPr>
                <w:rFonts w:hint="eastAsia" w:hAnsi="宋体" w:cs="宋体"/>
                <w:color w:val="000000"/>
                <w:sz w:val="22"/>
                <w:lang w:bidi="ar"/>
              </w:rPr>
              <w:t>元</w:t>
            </w:r>
            <w:r>
              <w:rPr>
                <w:rFonts w:hint="eastAsia" w:hAnsi="宋体"/>
                <w:szCs w:val="24"/>
              </w:rPr>
              <w:t>）</w:t>
            </w:r>
          </w:p>
        </w:tc>
      </w:tr>
      <w:tr>
        <w:tblPrEx>
          <w:tblCellMar>
            <w:top w:w="15" w:type="dxa"/>
            <w:left w:w="15" w:type="dxa"/>
            <w:bottom w:w="15" w:type="dxa"/>
            <w:right w:w="15" w:type="dxa"/>
          </w:tblCellMar>
        </w:tblPrEx>
        <w:trPr>
          <w:trHeight w:val="285" w:hRule="atLeast"/>
        </w:trPr>
        <w:tc>
          <w:tcPr>
            <w:tcW w:w="1089" w:type="dxa"/>
            <w:tcBorders>
              <w:top w:val="single" w:color="000000" w:sz="4" w:space="0"/>
              <w:left w:val="single" w:color="000000" w:sz="4" w:space="0"/>
              <w:bottom w:val="single" w:color="000000" w:sz="4" w:space="0"/>
              <w:right w:val="single" w:color="000000" w:sz="4" w:space="0"/>
            </w:tcBorders>
            <w:vAlign w:val="center"/>
          </w:tcPr>
          <w:p>
            <w:pPr>
              <w:ind w:firstLine="482"/>
              <w:jc w:val="both"/>
              <w:textAlignment w:val="center"/>
              <w:rPr>
                <w:rFonts w:hAnsi="宋体" w:cs="宋体"/>
                <w:b/>
                <w:color w:val="000000"/>
                <w:szCs w:val="24"/>
              </w:rPr>
            </w:pPr>
            <w:r>
              <w:rPr>
                <w:rFonts w:hint="eastAsia" w:hAnsi="宋体" w:cs="宋体"/>
                <w:b/>
                <w:color w:val="000000"/>
                <w:szCs w:val="24"/>
                <w:lang w:bidi="ar"/>
              </w:rPr>
              <w:t>C包：</w:t>
            </w:r>
          </w:p>
        </w:tc>
        <w:tc>
          <w:tcPr>
            <w:tcW w:w="6714" w:type="dxa"/>
            <w:tcBorders>
              <w:top w:val="single" w:color="000000" w:sz="4" w:space="0"/>
              <w:left w:val="single" w:color="000000" w:sz="4" w:space="0"/>
              <w:bottom w:val="single" w:color="000000" w:sz="4" w:space="0"/>
              <w:right w:val="single" w:color="000000" w:sz="4" w:space="0"/>
            </w:tcBorders>
            <w:vAlign w:val="center"/>
          </w:tcPr>
          <w:p>
            <w:pPr>
              <w:ind w:firstLine="0" w:firstLineChars="0"/>
              <w:textAlignment w:val="center"/>
              <w:rPr>
                <w:rFonts w:hAnsi="宋体" w:cs="宋体"/>
                <w:color w:val="000000"/>
                <w:sz w:val="22"/>
              </w:rPr>
            </w:pPr>
            <w:r>
              <w:rPr>
                <w:rFonts w:hint="eastAsia" w:hAnsi="宋体"/>
                <w:szCs w:val="24"/>
              </w:rPr>
              <w:t>无机合成与制备化学方向（56万</w:t>
            </w:r>
            <w:r>
              <w:rPr>
                <w:rFonts w:hint="eastAsia" w:hAnsi="宋体" w:cs="宋体"/>
                <w:color w:val="000000"/>
                <w:sz w:val="22"/>
                <w:lang w:bidi="ar"/>
              </w:rPr>
              <w:t>元</w:t>
            </w:r>
            <w:r>
              <w:rPr>
                <w:rFonts w:hint="eastAsia" w:hAnsi="宋体"/>
                <w:szCs w:val="24"/>
              </w:rPr>
              <w:t>）</w:t>
            </w:r>
          </w:p>
        </w:tc>
      </w:tr>
    </w:tbl>
    <w:p>
      <w:pPr>
        <w:ind w:left="838" w:leftChars="349" w:firstLine="2249" w:firstLineChars="800"/>
        <w:jc w:val="both"/>
        <w:rPr>
          <w:rFonts w:hAnsi="宋体"/>
          <w:b/>
          <w:sz w:val="28"/>
          <w:szCs w:val="28"/>
        </w:rPr>
      </w:pPr>
    </w:p>
    <w:p>
      <w:pPr>
        <w:spacing w:line="400" w:lineRule="exact"/>
        <w:ind w:firstLine="0" w:firstLineChars="0"/>
        <w:rPr>
          <w:rFonts w:ascii="Arial" w:hAnsi="Arial" w:eastAsia="黑体"/>
          <w:b/>
          <w:sz w:val="32"/>
          <w:lang w:val="zh-CN"/>
        </w:rPr>
      </w:pPr>
    </w:p>
    <w:p>
      <w:pPr>
        <w:ind w:firstLine="0" w:firstLineChars="0"/>
        <w:rPr>
          <w:rFonts w:ascii="Arial" w:hAnsi="Arial" w:eastAsia="黑体"/>
          <w:b/>
          <w:sz w:val="28"/>
          <w:szCs w:val="28"/>
        </w:rPr>
      </w:pPr>
      <w:bookmarkStart w:id="23" w:name="OLE_LINK7"/>
    </w:p>
    <w:p>
      <w:pPr>
        <w:ind w:firstLine="0" w:firstLineChars="0"/>
        <w:rPr>
          <w:rFonts w:ascii="Arial" w:hAnsi="Arial" w:eastAsia="黑体"/>
          <w:b/>
          <w:sz w:val="28"/>
          <w:szCs w:val="28"/>
        </w:rPr>
      </w:pPr>
      <w:r>
        <w:rPr>
          <w:rFonts w:hint="eastAsia" w:ascii="Arial" w:hAnsi="Arial" w:eastAsia="黑体"/>
          <w:b/>
          <w:sz w:val="28"/>
          <w:szCs w:val="28"/>
        </w:rPr>
        <w:t>五、</w:t>
      </w:r>
      <w:bookmarkEnd w:id="23"/>
      <w:r>
        <w:rPr>
          <w:rFonts w:hint="eastAsia" w:ascii="Arial" w:hAnsi="Arial" w:eastAsia="黑体"/>
          <w:b/>
          <w:sz w:val="28"/>
          <w:szCs w:val="28"/>
        </w:rPr>
        <w:t>仪器参数要求</w:t>
      </w:r>
    </w:p>
    <w:p>
      <w:pPr>
        <w:widowControl w:val="0"/>
        <w:ind w:firstLine="241" w:firstLineChars="100"/>
        <w:rPr>
          <w:rFonts w:ascii="Times New Roman" w:hAnsi="Times New Roman" w:cs="Times New Roman"/>
          <w:b/>
          <w:szCs w:val="24"/>
        </w:rPr>
      </w:pPr>
      <w:r>
        <w:rPr>
          <w:rFonts w:hint="eastAsia" w:ascii="Times New Roman" w:hAnsi="Times New Roman" w:cs="Times New Roman"/>
          <w:b/>
          <w:szCs w:val="24"/>
        </w:rPr>
        <w:t>A包：</w:t>
      </w:r>
      <w:r>
        <w:rPr>
          <w:rFonts w:hint="eastAsia" w:hAnsi="宋体"/>
          <w:b/>
          <w:bCs/>
          <w:szCs w:val="24"/>
        </w:rPr>
        <w:t>热带药用资源化学和有机合成化学方向(219万</w:t>
      </w:r>
      <w:r>
        <w:rPr>
          <w:rFonts w:hint="eastAsia" w:hAnsi="宋体" w:cs="宋体"/>
          <w:b/>
          <w:bCs/>
          <w:color w:val="000000"/>
          <w:sz w:val="22"/>
          <w:lang w:bidi="ar"/>
        </w:rPr>
        <w:t>元</w:t>
      </w:r>
      <w:r>
        <w:rPr>
          <w:rFonts w:hint="eastAsia" w:hAnsi="宋体"/>
          <w:b/>
          <w:bCs/>
          <w:szCs w:val="24"/>
        </w:rPr>
        <w:t>)</w:t>
      </w:r>
    </w:p>
    <w:p>
      <w:pPr>
        <w:widowControl w:val="0"/>
        <w:ind w:firstLine="241" w:firstLineChars="100"/>
        <w:rPr>
          <w:rFonts w:hAnsi="宋体" w:cs="宋体"/>
          <w:b/>
          <w:bCs/>
          <w:sz w:val="28"/>
          <w:szCs w:val="28"/>
        </w:rPr>
      </w:pPr>
      <w:r>
        <w:rPr>
          <w:rFonts w:hint="eastAsia" w:ascii="Times New Roman" w:hAnsi="Times New Roman" w:cs="Times New Roman"/>
          <w:b/>
          <w:szCs w:val="24"/>
        </w:rPr>
        <w:t>（一）高灵敏度荧光光谱仪</w:t>
      </w:r>
      <w:r>
        <w:rPr>
          <w:rFonts w:hint="eastAsia" w:hAnsi="宋体" w:cs="宋体"/>
          <w:b/>
          <w:bCs/>
          <w:sz w:val="28"/>
          <w:szCs w:val="28"/>
        </w:rPr>
        <w:t xml:space="preserve"> 1台</w:t>
      </w:r>
    </w:p>
    <w:p>
      <w:pPr>
        <w:spacing w:line="240" w:lineRule="auto"/>
        <w:ind w:left="-2" w:leftChars="-1" w:firstLine="241" w:firstLineChars="100"/>
        <w:rPr>
          <w:rFonts w:hAnsi="宋体" w:cs="宋体"/>
          <w:b/>
          <w:snapToGrid w:val="0"/>
          <w:szCs w:val="24"/>
        </w:rPr>
      </w:pPr>
      <w:r>
        <w:rPr>
          <w:rFonts w:hint="eastAsia" w:hAnsi="宋体" w:cs="宋体"/>
          <w:b/>
          <w:snapToGrid w:val="0"/>
          <w:szCs w:val="24"/>
        </w:rPr>
        <w:t>技术参数</w:t>
      </w:r>
    </w:p>
    <w:p>
      <w:pPr>
        <w:spacing w:line="240" w:lineRule="auto"/>
        <w:ind w:left="-2" w:leftChars="-1" w:firstLine="241" w:firstLineChars="100"/>
        <w:rPr>
          <w:rFonts w:hAnsi="宋体" w:cs="宋体"/>
          <w:b/>
          <w:snapToGrid w:val="0"/>
          <w:szCs w:val="24"/>
        </w:rPr>
      </w:pPr>
      <w:r>
        <w:rPr>
          <w:rFonts w:hint="eastAsia" w:hAnsi="宋体" w:cs="宋体"/>
          <w:b/>
          <w:snapToGrid w:val="0"/>
          <w:szCs w:val="24"/>
        </w:rPr>
        <w:t>原装进口</w:t>
      </w:r>
    </w:p>
    <w:p>
      <w:pPr>
        <w:autoSpaceDE w:val="0"/>
        <w:autoSpaceDN w:val="0"/>
        <w:adjustRightInd w:val="0"/>
        <w:ind w:firstLine="480"/>
        <w:rPr>
          <w:rFonts w:hAnsi="宋体" w:cs="宋体"/>
          <w:szCs w:val="24"/>
        </w:rPr>
      </w:pPr>
      <w:r>
        <w:rPr>
          <w:rFonts w:hint="eastAsia" w:hAnsi="宋体" w:cs="宋体"/>
          <w:szCs w:val="24"/>
        </w:rPr>
        <w:t>一、设备使用环境：</w:t>
      </w:r>
    </w:p>
    <w:p>
      <w:pPr>
        <w:autoSpaceDE w:val="0"/>
        <w:autoSpaceDN w:val="0"/>
        <w:adjustRightInd w:val="0"/>
        <w:ind w:firstLine="480"/>
        <w:rPr>
          <w:rFonts w:hAnsi="宋体" w:cs="宋体"/>
          <w:szCs w:val="24"/>
        </w:rPr>
      </w:pPr>
      <w:r>
        <w:rPr>
          <w:rFonts w:hint="eastAsia" w:hAnsi="宋体" w:cs="宋体"/>
          <w:szCs w:val="24"/>
        </w:rPr>
        <w:t>1．工作电压：220V交流稳压</w:t>
      </w:r>
    </w:p>
    <w:p>
      <w:pPr>
        <w:autoSpaceDE w:val="0"/>
        <w:autoSpaceDN w:val="0"/>
        <w:adjustRightInd w:val="0"/>
        <w:ind w:firstLine="480"/>
        <w:rPr>
          <w:rFonts w:hAnsi="宋体" w:cs="宋体"/>
          <w:szCs w:val="24"/>
        </w:rPr>
      </w:pPr>
      <w:r>
        <w:rPr>
          <w:rFonts w:hint="eastAsia" w:hAnsi="宋体" w:cs="宋体"/>
          <w:szCs w:val="24"/>
        </w:rPr>
        <w:t>2．环境温度 20-28ºC</w:t>
      </w:r>
    </w:p>
    <w:p>
      <w:pPr>
        <w:autoSpaceDE w:val="0"/>
        <w:autoSpaceDN w:val="0"/>
        <w:adjustRightInd w:val="0"/>
        <w:ind w:firstLine="480"/>
        <w:rPr>
          <w:rFonts w:hAnsi="宋体" w:cs="宋体"/>
          <w:szCs w:val="24"/>
        </w:rPr>
      </w:pPr>
      <w:r>
        <w:rPr>
          <w:rFonts w:hint="eastAsia" w:hAnsi="宋体" w:cs="宋体"/>
          <w:szCs w:val="24"/>
        </w:rPr>
        <w:t>3．湿度 &lt; 75% RH</w:t>
      </w:r>
    </w:p>
    <w:p>
      <w:pPr>
        <w:autoSpaceDE w:val="0"/>
        <w:autoSpaceDN w:val="0"/>
        <w:adjustRightInd w:val="0"/>
        <w:ind w:firstLine="480"/>
        <w:rPr>
          <w:rFonts w:hAnsi="宋体" w:cs="宋体"/>
          <w:szCs w:val="24"/>
        </w:rPr>
      </w:pPr>
      <w:r>
        <w:rPr>
          <w:rFonts w:hint="eastAsia" w:hAnsi="宋体" w:cs="宋体"/>
          <w:szCs w:val="24"/>
        </w:rPr>
        <w:t>二、主要功能：</w:t>
      </w:r>
    </w:p>
    <w:p>
      <w:pPr>
        <w:autoSpaceDE w:val="0"/>
        <w:autoSpaceDN w:val="0"/>
        <w:adjustRightInd w:val="0"/>
        <w:ind w:firstLine="480"/>
        <w:rPr>
          <w:rFonts w:hAnsi="宋体" w:cs="宋体"/>
          <w:szCs w:val="24"/>
        </w:rPr>
      </w:pPr>
      <w:r>
        <w:rPr>
          <w:rFonts w:hint="eastAsia" w:hAnsi="宋体" w:cs="宋体"/>
          <w:szCs w:val="24"/>
        </w:rPr>
        <w:t>1．测试对象：生物蛋白、DNA、超分子、荧光探针、有色溶解有机质、量子点；</w:t>
      </w:r>
    </w:p>
    <w:p>
      <w:pPr>
        <w:autoSpaceDE w:val="0"/>
        <w:autoSpaceDN w:val="0"/>
        <w:adjustRightInd w:val="0"/>
        <w:ind w:firstLine="480"/>
        <w:rPr>
          <w:rFonts w:hAnsi="宋体" w:cs="宋体"/>
          <w:szCs w:val="24"/>
        </w:rPr>
      </w:pPr>
      <w:r>
        <w:rPr>
          <w:rFonts w:hint="eastAsia" w:hAnsi="宋体" w:cs="宋体"/>
          <w:szCs w:val="24"/>
        </w:rPr>
        <w:t>2．可测量激发谱、发射谱、同步谱、三维谱、时间扫描、荧光寿命、磷光寿命、时间分辨发射谱；</w:t>
      </w:r>
    </w:p>
    <w:p>
      <w:pPr>
        <w:autoSpaceDE w:val="0"/>
        <w:autoSpaceDN w:val="0"/>
        <w:adjustRightInd w:val="0"/>
        <w:ind w:firstLine="480"/>
        <w:rPr>
          <w:rFonts w:hAnsi="宋体" w:cs="宋体"/>
          <w:szCs w:val="24"/>
        </w:rPr>
      </w:pPr>
      <w:r>
        <w:rPr>
          <w:rFonts w:hint="eastAsia" w:hAnsi="宋体" w:cs="宋体"/>
          <w:szCs w:val="24"/>
        </w:rPr>
        <w:t>3．基本瞬态功能：荧光寿命、磷光寿命、荧光寿命动力学、时间分辨发射谱；</w:t>
      </w:r>
    </w:p>
    <w:p>
      <w:pPr>
        <w:autoSpaceDE w:val="0"/>
        <w:autoSpaceDN w:val="0"/>
        <w:adjustRightInd w:val="0"/>
        <w:ind w:firstLine="480"/>
        <w:rPr>
          <w:rFonts w:hAnsi="宋体" w:cs="宋体"/>
          <w:szCs w:val="24"/>
        </w:rPr>
      </w:pPr>
      <w:r>
        <w:rPr>
          <w:rFonts w:hint="eastAsia" w:hAnsi="宋体" w:cs="宋体"/>
          <w:szCs w:val="24"/>
        </w:rPr>
        <w:t>4．测量波长范围：200-870nm；</w:t>
      </w:r>
    </w:p>
    <w:p>
      <w:pPr>
        <w:autoSpaceDE w:val="0"/>
        <w:autoSpaceDN w:val="0"/>
        <w:adjustRightInd w:val="0"/>
        <w:ind w:firstLine="480"/>
        <w:rPr>
          <w:rFonts w:hAnsi="宋体" w:cs="宋体"/>
          <w:szCs w:val="24"/>
        </w:rPr>
      </w:pPr>
      <w:r>
        <w:rPr>
          <w:rFonts w:hint="eastAsia" w:hAnsi="宋体" w:cs="宋体"/>
          <w:szCs w:val="24"/>
        </w:rPr>
        <w:t>5．荧光寿命范围：200ps-10us（荧光寿命）；1us-1s（磷光寿命）；</w:t>
      </w:r>
    </w:p>
    <w:p>
      <w:pPr>
        <w:autoSpaceDE w:val="0"/>
        <w:autoSpaceDN w:val="0"/>
        <w:adjustRightInd w:val="0"/>
        <w:ind w:firstLine="480"/>
        <w:rPr>
          <w:rFonts w:hAnsi="宋体" w:cs="宋体"/>
          <w:szCs w:val="24"/>
        </w:rPr>
      </w:pPr>
      <w:r>
        <w:rPr>
          <w:rFonts w:hint="eastAsia" w:hAnsi="宋体" w:cs="宋体"/>
          <w:szCs w:val="24"/>
        </w:rPr>
        <w:t>6．积分球量子效率测试功能，适用于固态、液态样品测量。</w:t>
      </w:r>
    </w:p>
    <w:p>
      <w:pPr>
        <w:autoSpaceDE w:val="0"/>
        <w:autoSpaceDN w:val="0"/>
        <w:adjustRightInd w:val="0"/>
        <w:ind w:firstLine="480"/>
        <w:rPr>
          <w:rFonts w:hAnsi="宋体" w:cs="宋体"/>
          <w:szCs w:val="24"/>
        </w:rPr>
      </w:pPr>
      <w:r>
        <w:rPr>
          <w:rFonts w:hint="eastAsia" w:hAnsi="宋体" w:cs="宋体"/>
          <w:szCs w:val="24"/>
        </w:rPr>
        <w:t>三、技术指标和要求：</w:t>
      </w:r>
    </w:p>
    <w:p>
      <w:pPr>
        <w:autoSpaceDE w:val="0"/>
        <w:autoSpaceDN w:val="0"/>
        <w:adjustRightInd w:val="0"/>
        <w:ind w:firstLine="480"/>
        <w:rPr>
          <w:rFonts w:hAnsi="宋体" w:cs="宋体"/>
          <w:szCs w:val="24"/>
        </w:rPr>
      </w:pPr>
      <w:r>
        <w:rPr>
          <w:rFonts w:hint="eastAsia" w:hAnsi="宋体" w:cs="宋体"/>
          <w:szCs w:val="24"/>
        </w:rPr>
        <w:t>1. 光谱仪主机</w:t>
      </w:r>
    </w:p>
    <w:p>
      <w:pPr>
        <w:autoSpaceDE w:val="0"/>
        <w:autoSpaceDN w:val="0"/>
        <w:adjustRightInd w:val="0"/>
        <w:ind w:firstLine="480"/>
        <w:rPr>
          <w:rFonts w:hAnsi="宋体" w:cs="宋体"/>
          <w:szCs w:val="24"/>
        </w:rPr>
      </w:pPr>
      <w:r>
        <w:rPr>
          <w:rFonts w:hint="eastAsia" w:hAnsi="宋体" w:cs="宋体"/>
          <w:szCs w:val="24"/>
        </w:rPr>
        <w:t>1.1 主机包含激发光源、激发单色仪、样品仓、附带参比检测器、发射单色仪、发射检测器；</w:t>
      </w:r>
    </w:p>
    <w:p>
      <w:pPr>
        <w:autoSpaceDE w:val="0"/>
        <w:autoSpaceDN w:val="0"/>
        <w:adjustRightInd w:val="0"/>
        <w:ind w:firstLine="480"/>
        <w:rPr>
          <w:rFonts w:hAnsi="宋体" w:cs="宋体"/>
          <w:szCs w:val="24"/>
        </w:rPr>
      </w:pPr>
      <w:r>
        <w:rPr>
          <w:rFonts w:hint="eastAsia" w:hAnsi="宋体" w:cs="宋体"/>
          <w:szCs w:val="24"/>
        </w:rPr>
        <w:t>★1.2</w:t>
      </w:r>
      <w:r>
        <w:rPr>
          <w:rFonts w:hAnsi="宋体" w:cs="宋体"/>
          <w:szCs w:val="24"/>
        </w:rPr>
        <w:t xml:space="preserve"> </w:t>
      </w:r>
      <w:r>
        <w:rPr>
          <w:rFonts w:hint="eastAsia" w:hAnsi="宋体" w:cs="宋体"/>
          <w:szCs w:val="24"/>
        </w:rPr>
        <w:t>光学元件：全反射聚焦光路，无透镜造成色差。宽波长范围准确聚焦和高精度成像，满足微量样品测试需求；</w:t>
      </w:r>
    </w:p>
    <w:p>
      <w:pPr>
        <w:autoSpaceDE w:val="0"/>
        <w:autoSpaceDN w:val="0"/>
        <w:adjustRightInd w:val="0"/>
        <w:ind w:firstLine="480"/>
        <w:rPr>
          <w:rFonts w:hAnsi="宋体" w:cs="宋体"/>
          <w:szCs w:val="24"/>
        </w:rPr>
      </w:pPr>
      <w:r>
        <w:rPr>
          <w:rFonts w:hint="eastAsia" w:hAnsi="宋体" w:cs="宋体"/>
          <w:szCs w:val="24"/>
        </w:rPr>
        <w:t>1.3. 光源：150W无臭氧连续氙灯，垂直安装，风冷灯室。采用离轴反射镜收集和聚焦光路设计，保证全波长最大反射效率，密封的激发光路，确保最好的紫外性能；</w:t>
      </w:r>
    </w:p>
    <w:p>
      <w:pPr>
        <w:autoSpaceDE w:val="0"/>
        <w:autoSpaceDN w:val="0"/>
        <w:adjustRightInd w:val="0"/>
        <w:ind w:firstLine="480"/>
        <w:rPr>
          <w:rFonts w:hAnsi="宋体" w:cs="宋体"/>
          <w:szCs w:val="24"/>
        </w:rPr>
      </w:pPr>
      <w:r>
        <w:rPr>
          <w:rFonts w:hint="eastAsia" w:hAnsi="宋体" w:cs="宋体"/>
          <w:szCs w:val="24"/>
        </w:rPr>
        <w:t>1.4. 单色仪：Czerny-Turner构型，经典刻划1200gr/mm光栅，保证全波长的聚焦以及最大的杂散光抑制水平；</w:t>
      </w:r>
    </w:p>
    <w:p>
      <w:pPr>
        <w:autoSpaceDE w:val="0"/>
        <w:autoSpaceDN w:val="0"/>
        <w:adjustRightInd w:val="0"/>
        <w:ind w:firstLine="480"/>
        <w:rPr>
          <w:rFonts w:hAnsi="宋体" w:cs="宋体"/>
          <w:szCs w:val="24"/>
        </w:rPr>
      </w:pPr>
      <w:r>
        <w:rPr>
          <w:rFonts w:hint="eastAsia" w:hAnsi="宋体" w:cs="宋体"/>
          <w:szCs w:val="24"/>
        </w:rPr>
        <w:t>1.5. 激发单色仪，1200gr/mm光栅，330nm闪耀；</w:t>
      </w:r>
    </w:p>
    <w:p>
      <w:pPr>
        <w:autoSpaceDE w:val="0"/>
        <w:autoSpaceDN w:val="0"/>
        <w:adjustRightInd w:val="0"/>
        <w:ind w:firstLine="480"/>
        <w:rPr>
          <w:rFonts w:hAnsi="宋体" w:cs="宋体"/>
          <w:szCs w:val="24"/>
        </w:rPr>
      </w:pPr>
      <w:r>
        <w:rPr>
          <w:rFonts w:hint="eastAsia" w:hAnsi="宋体" w:cs="宋体"/>
          <w:szCs w:val="24"/>
        </w:rPr>
        <w:t>1.6. 发射单色仪，1200gr/mm光栅，500nm闪耀；</w:t>
      </w:r>
    </w:p>
    <w:p>
      <w:pPr>
        <w:autoSpaceDE w:val="0"/>
        <w:autoSpaceDN w:val="0"/>
        <w:adjustRightInd w:val="0"/>
        <w:ind w:firstLine="480"/>
        <w:rPr>
          <w:rFonts w:hAnsi="宋体" w:cs="宋体"/>
          <w:szCs w:val="24"/>
        </w:rPr>
      </w:pPr>
      <w:r>
        <w:rPr>
          <w:rFonts w:hint="eastAsia" w:hAnsi="宋体" w:cs="宋体"/>
          <w:szCs w:val="24"/>
        </w:rPr>
        <w:t>★1.7.</w:t>
      </w:r>
      <w:r>
        <w:rPr>
          <w:rFonts w:hAnsi="宋体" w:cs="宋体"/>
          <w:szCs w:val="24"/>
        </w:rPr>
        <w:t xml:space="preserve"> </w:t>
      </w:r>
      <w:r>
        <w:rPr>
          <w:rFonts w:hint="eastAsia" w:hAnsi="宋体" w:cs="宋体"/>
          <w:szCs w:val="24"/>
        </w:rPr>
        <w:t>单色仪：焦长≤180mm，高光通量；</w:t>
      </w:r>
    </w:p>
    <w:p>
      <w:pPr>
        <w:autoSpaceDE w:val="0"/>
        <w:autoSpaceDN w:val="0"/>
        <w:adjustRightInd w:val="0"/>
        <w:ind w:firstLine="480"/>
        <w:rPr>
          <w:rFonts w:hAnsi="宋体" w:cs="宋体"/>
          <w:szCs w:val="24"/>
        </w:rPr>
      </w:pPr>
      <w:r>
        <w:rPr>
          <w:rFonts w:hint="eastAsia" w:hAnsi="宋体" w:cs="宋体"/>
          <w:szCs w:val="24"/>
        </w:rPr>
        <w:t>1.8. 检测器：R928 PMT，光子计数工作模式，范围200~870nm；</w:t>
      </w:r>
    </w:p>
    <w:p>
      <w:pPr>
        <w:autoSpaceDE w:val="0"/>
        <w:autoSpaceDN w:val="0"/>
        <w:adjustRightInd w:val="0"/>
        <w:ind w:firstLine="480"/>
        <w:rPr>
          <w:rFonts w:hAnsi="宋体" w:cs="宋体"/>
          <w:szCs w:val="24"/>
        </w:rPr>
      </w:pPr>
      <w:r>
        <w:rPr>
          <w:rFonts w:hint="eastAsia" w:hAnsi="宋体" w:cs="宋体"/>
          <w:szCs w:val="24"/>
        </w:rPr>
        <w:t>★1.9. 水拉曼信噪比≥16 000:1（RMS方法），水拉曼信噪比≥6 000:1（FSD方法），PMT检测器无需制冷，无滤光片辅助，两种灵敏度测试方法均要求；</w:t>
      </w:r>
    </w:p>
    <w:p>
      <w:pPr>
        <w:autoSpaceDE w:val="0"/>
        <w:autoSpaceDN w:val="0"/>
        <w:adjustRightInd w:val="0"/>
        <w:ind w:firstLine="480"/>
        <w:rPr>
          <w:rFonts w:hAnsi="宋体" w:cs="宋体"/>
          <w:szCs w:val="24"/>
        </w:rPr>
      </w:pPr>
      <w:r>
        <w:rPr>
          <w:rFonts w:hint="eastAsia" w:hAnsi="宋体" w:cs="宋体"/>
          <w:szCs w:val="24"/>
        </w:rPr>
        <w:t>1.10. 激发波长范围240~1000nm；</w:t>
      </w:r>
    </w:p>
    <w:p>
      <w:pPr>
        <w:autoSpaceDE w:val="0"/>
        <w:autoSpaceDN w:val="0"/>
        <w:adjustRightInd w:val="0"/>
        <w:ind w:firstLine="480"/>
        <w:rPr>
          <w:rFonts w:hAnsi="宋体" w:cs="宋体"/>
          <w:szCs w:val="24"/>
        </w:rPr>
      </w:pPr>
      <w:r>
        <w:rPr>
          <w:rFonts w:hint="eastAsia" w:hAnsi="宋体" w:cs="宋体"/>
          <w:szCs w:val="24"/>
        </w:rPr>
        <w:t>1.11. 光谱带宽：0-30nm，软件控制连续可调；</w:t>
      </w:r>
    </w:p>
    <w:p>
      <w:pPr>
        <w:autoSpaceDE w:val="0"/>
        <w:autoSpaceDN w:val="0"/>
        <w:adjustRightInd w:val="0"/>
        <w:ind w:firstLine="480"/>
        <w:rPr>
          <w:rFonts w:hAnsi="宋体" w:cs="宋体"/>
          <w:szCs w:val="24"/>
        </w:rPr>
      </w:pPr>
      <w:r>
        <w:rPr>
          <w:rFonts w:hint="eastAsia" w:hAnsi="宋体" w:cs="宋体"/>
          <w:szCs w:val="24"/>
        </w:rPr>
        <w:t>1.12. 波长准确度：±0.5nm；</w:t>
      </w:r>
    </w:p>
    <w:p>
      <w:pPr>
        <w:autoSpaceDE w:val="0"/>
        <w:autoSpaceDN w:val="0"/>
        <w:adjustRightInd w:val="0"/>
        <w:ind w:firstLine="480"/>
        <w:rPr>
          <w:rFonts w:hAnsi="宋体" w:cs="宋体"/>
          <w:szCs w:val="24"/>
        </w:rPr>
      </w:pPr>
      <w:r>
        <w:rPr>
          <w:rFonts w:hint="eastAsia" w:hAnsi="宋体" w:cs="宋体"/>
          <w:szCs w:val="24"/>
        </w:rPr>
        <w:t>1.13. 光谱分辨率≤0.3nm；</w:t>
      </w:r>
    </w:p>
    <w:p>
      <w:pPr>
        <w:autoSpaceDE w:val="0"/>
        <w:autoSpaceDN w:val="0"/>
        <w:adjustRightInd w:val="0"/>
        <w:ind w:firstLine="480"/>
        <w:rPr>
          <w:rFonts w:hAnsi="宋体" w:cs="宋体"/>
          <w:szCs w:val="24"/>
        </w:rPr>
      </w:pPr>
      <w:r>
        <w:rPr>
          <w:rFonts w:hint="eastAsia" w:hAnsi="宋体" w:cs="宋体"/>
          <w:szCs w:val="24"/>
        </w:rPr>
        <w:t>1.14. 波长重复性：±0.1nm</w:t>
      </w:r>
    </w:p>
    <w:p>
      <w:pPr>
        <w:autoSpaceDE w:val="0"/>
        <w:autoSpaceDN w:val="0"/>
        <w:adjustRightInd w:val="0"/>
        <w:ind w:firstLine="480"/>
        <w:rPr>
          <w:rFonts w:hAnsi="宋体" w:cs="宋体"/>
          <w:szCs w:val="24"/>
        </w:rPr>
      </w:pPr>
      <w:r>
        <w:rPr>
          <w:rFonts w:hint="eastAsia" w:hAnsi="宋体" w:cs="宋体"/>
          <w:szCs w:val="24"/>
        </w:rPr>
        <w:t>1.15. 最快响应时间：1ms</w:t>
      </w:r>
    </w:p>
    <w:p>
      <w:pPr>
        <w:autoSpaceDE w:val="0"/>
        <w:autoSpaceDN w:val="0"/>
        <w:adjustRightInd w:val="0"/>
        <w:ind w:firstLine="480"/>
        <w:rPr>
          <w:rFonts w:hAnsi="宋体" w:cs="宋体"/>
          <w:szCs w:val="24"/>
        </w:rPr>
      </w:pPr>
      <w:r>
        <w:rPr>
          <w:rFonts w:hint="eastAsia" w:hAnsi="宋体" w:cs="宋体"/>
          <w:szCs w:val="24"/>
        </w:rPr>
        <w:t>1.16. 参比检测器：校准的激发参比光电二极管, 校正波长范围200~980nm；</w:t>
      </w:r>
    </w:p>
    <w:p>
      <w:pPr>
        <w:autoSpaceDE w:val="0"/>
        <w:autoSpaceDN w:val="0"/>
        <w:adjustRightInd w:val="0"/>
        <w:ind w:firstLine="480"/>
        <w:rPr>
          <w:rFonts w:hAnsi="宋体" w:cs="宋体"/>
          <w:szCs w:val="24"/>
        </w:rPr>
      </w:pPr>
      <w:r>
        <w:rPr>
          <w:rFonts w:hint="eastAsia" w:hAnsi="宋体" w:cs="宋体"/>
          <w:szCs w:val="24"/>
        </w:rPr>
        <w:t>1.17. 样品仓部件具有可移动机座，可更换不同样品架附件。</w:t>
      </w:r>
    </w:p>
    <w:p>
      <w:pPr>
        <w:autoSpaceDE w:val="0"/>
        <w:autoSpaceDN w:val="0"/>
        <w:adjustRightInd w:val="0"/>
        <w:ind w:firstLine="480"/>
        <w:rPr>
          <w:rFonts w:hAnsi="宋体" w:cs="宋体"/>
          <w:szCs w:val="24"/>
        </w:rPr>
      </w:pPr>
      <w:r>
        <w:rPr>
          <w:rFonts w:hint="eastAsia" w:hAnsi="宋体" w:cs="宋体"/>
          <w:szCs w:val="24"/>
        </w:rPr>
        <w:t>2. 固体液体样品池及支架</w:t>
      </w:r>
    </w:p>
    <w:p>
      <w:pPr>
        <w:autoSpaceDE w:val="0"/>
        <w:autoSpaceDN w:val="0"/>
        <w:adjustRightInd w:val="0"/>
        <w:ind w:firstLine="480"/>
        <w:rPr>
          <w:rFonts w:hAnsi="宋体" w:cs="宋体"/>
          <w:szCs w:val="24"/>
        </w:rPr>
      </w:pPr>
      <w:r>
        <w:rPr>
          <w:rFonts w:hint="eastAsia" w:hAnsi="宋体" w:cs="宋体"/>
          <w:szCs w:val="24"/>
        </w:rPr>
        <w:t>2.1. 固体样品支架，适用于薄膜，粉末，小球，纸张，纤维或载玻片样品测量，360度可调；</w:t>
      </w:r>
    </w:p>
    <w:p>
      <w:pPr>
        <w:autoSpaceDE w:val="0"/>
        <w:autoSpaceDN w:val="0"/>
        <w:adjustRightInd w:val="0"/>
        <w:ind w:firstLine="480"/>
        <w:rPr>
          <w:rFonts w:hAnsi="宋体" w:cs="宋体"/>
          <w:szCs w:val="24"/>
        </w:rPr>
      </w:pPr>
      <w:r>
        <w:rPr>
          <w:rFonts w:hint="eastAsia" w:hAnsi="宋体" w:cs="宋体"/>
          <w:szCs w:val="24"/>
        </w:rPr>
        <w:t>2.2. 液体样品支架及液体样品池：石英1cm*1cm样品池，4ml；</w:t>
      </w:r>
    </w:p>
    <w:p>
      <w:pPr>
        <w:autoSpaceDE w:val="0"/>
        <w:autoSpaceDN w:val="0"/>
        <w:adjustRightInd w:val="0"/>
        <w:ind w:firstLine="480"/>
        <w:rPr>
          <w:rFonts w:hAnsi="宋体" w:cs="宋体"/>
          <w:szCs w:val="24"/>
        </w:rPr>
      </w:pPr>
      <w:r>
        <w:rPr>
          <w:rFonts w:hint="eastAsia" w:hAnsi="宋体" w:cs="宋体"/>
          <w:szCs w:val="24"/>
        </w:rPr>
        <w:t>2.3. 固体、液体样品测量支架切换方便，无需移动底座，避免部件损坏；</w:t>
      </w:r>
    </w:p>
    <w:p>
      <w:pPr>
        <w:autoSpaceDE w:val="0"/>
        <w:autoSpaceDN w:val="0"/>
        <w:adjustRightInd w:val="0"/>
        <w:ind w:firstLine="480"/>
        <w:rPr>
          <w:rFonts w:hAnsi="宋体" w:cs="宋体"/>
          <w:szCs w:val="24"/>
        </w:rPr>
      </w:pPr>
      <w:r>
        <w:rPr>
          <w:rFonts w:hint="eastAsia" w:hAnsi="宋体" w:cs="宋体"/>
          <w:szCs w:val="24"/>
        </w:rPr>
        <w:t>2.4. 原装进口滤光片支架及滤光片组，对应370nm、399nm、450nm、500nm和550nm，可扩展任意类型滤光片，不接受单色仪内置自动滤光片设计，以免干扰大范围宽谱测试。</w:t>
      </w:r>
    </w:p>
    <w:p>
      <w:pPr>
        <w:autoSpaceDE w:val="0"/>
        <w:autoSpaceDN w:val="0"/>
        <w:adjustRightInd w:val="0"/>
        <w:ind w:firstLine="480"/>
        <w:rPr>
          <w:rFonts w:hAnsi="宋体" w:cs="宋体"/>
          <w:szCs w:val="24"/>
        </w:rPr>
      </w:pPr>
      <w:r>
        <w:rPr>
          <w:rFonts w:hint="eastAsia" w:hAnsi="宋体" w:cs="宋体"/>
          <w:szCs w:val="24"/>
        </w:rPr>
        <w:t>3. 荧光磷光寿命测量模块</w:t>
      </w:r>
    </w:p>
    <w:p>
      <w:pPr>
        <w:autoSpaceDE w:val="0"/>
        <w:autoSpaceDN w:val="0"/>
        <w:adjustRightInd w:val="0"/>
        <w:ind w:firstLine="480"/>
        <w:rPr>
          <w:rFonts w:hAnsi="宋体" w:cs="宋体"/>
          <w:szCs w:val="24"/>
        </w:rPr>
      </w:pPr>
      <w:r>
        <w:rPr>
          <w:rFonts w:hint="eastAsia" w:hAnsi="宋体" w:cs="宋体"/>
          <w:szCs w:val="24"/>
        </w:rPr>
        <w:t>  3.1. 计时单元死时间≤10ns，实现样品的快速动力学测量；</w:t>
      </w:r>
    </w:p>
    <w:p>
      <w:pPr>
        <w:autoSpaceDE w:val="0"/>
        <w:autoSpaceDN w:val="0"/>
        <w:adjustRightInd w:val="0"/>
        <w:ind w:firstLine="480"/>
        <w:rPr>
          <w:rFonts w:hAnsi="宋体" w:cs="宋体"/>
          <w:szCs w:val="24"/>
        </w:rPr>
      </w:pPr>
      <w:r>
        <w:rPr>
          <w:rFonts w:hint="eastAsia" w:hAnsi="宋体" w:cs="宋体"/>
          <w:szCs w:val="24"/>
        </w:rPr>
        <w:t>  3.2. 计时单元采用USB接口，无需采用 PCI卡；</w:t>
      </w:r>
    </w:p>
    <w:p>
      <w:pPr>
        <w:autoSpaceDE w:val="0"/>
        <w:autoSpaceDN w:val="0"/>
        <w:adjustRightInd w:val="0"/>
        <w:ind w:firstLine="480"/>
        <w:rPr>
          <w:rFonts w:hAnsi="宋体" w:cs="宋体"/>
          <w:szCs w:val="24"/>
        </w:rPr>
      </w:pPr>
      <w:r>
        <w:rPr>
          <w:rFonts w:hint="eastAsia" w:hAnsi="宋体" w:cs="宋体"/>
          <w:szCs w:val="24"/>
        </w:rPr>
        <w:t>3.3. TCSPC寿命测量范围：200ps-1s；</w:t>
      </w:r>
    </w:p>
    <w:p>
      <w:pPr>
        <w:autoSpaceDE w:val="0"/>
        <w:autoSpaceDN w:val="0"/>
        <w:adjustRightInd w:val="0"/>
        <w:ind w:firstLine="480"/>
        <w:rPr>
          <w:rFonts w:hAnsi="宋体" w:cs="宋体"/>
          <w:szCs w:val="24"/>
        </w:rPr>
      </w:pPr>
      <w:r>
        <w:rPr>
          <w:rFonts w:hint="eastAsia" w:hAnsi="宋体" w:cs="宋体"/>
          <w:szCs w:val="24"/>
        </w:rPr>
        <w:t>3.4. 计时抖动&lt;25ps；</w:t>
      </w:r>
    </w:p>
    <w:p>
      <w:pPr>
        <w:autoSpaceDE w:val="0"/>
        <w:autoSpaceDN w:val="0"/>
        <w:adjustRightInd w:val="0"/>
        <w:ind w:firstLine="480"/>
        <w:rPr>
          <w:rFonts w:hAnsi="宋体" w:cs="宋体"/>
          <w:szCs w:val="24"/>
        </w:rPr>
      </w:pPr>
      <w:r>
        <w:rPr>
          <w:rFonts w:hint="eastAsia" w:hAnsi="宋体" w:cs="宋体"/>
          <w:szCs w:val="24"/>
        </w:rPr>
        <w:t>3.5. 配置高亮固态脉冲光源340nm、370nm、455nm，寿命测量范围20ps-10us；</w:t>
      </w:r>
    </w:p>
    <w:p>
      <w:pPr>
        <w:autoSpaceDE w:val="0"/>
        <w:autoSpaceDN w:val="0"/>
        <w:adjustRightInd w:val="0"/>
        <w:ind w:firstLine="480"/>
        <w:rPr>
          <w:rFonts w:hAnsi="宋体" w:cs="宋体"/>
          <w:szCs w:val="24"/>
        </w:rPr>
      </w:pPr>
      <w:r>
        <w:rPr>
          <w:rFonts w:hint="eastAsia" w:hAnsi="宋体" w:cs="宋体"/>
          <w:szCs w:val="24"/>
        </w:rPr>
        <w:t>★3.7  配置高亮固态脉冲磷光光源，光源波长：370nm，390nm，寿命测量范围1us-1s。</w:t>
      </w:r>
    </w:p>
    <w:p>
      <w:pPr>
        <w:autoSpaceDE w:val="0"/>
        <w:autoSpaceDN w:val="0"/>
        <w:adjustRightInd w:val="0"/>
        <w:ind w:firstLine="480"/>
        <w:rPr>
          <w:rFonts w:hAnsi="宋体" w:cs="宋体"/>
          <w:szCs w:val="24"/>
        </w:rPr>
      </w:pPr>
      <w:r>
        <w:rPr>
          <w:rFonts w:hint="eastAsia" w:hAnsi="宋体" w:cs="宋体"/>
          <w:szCs w:val="24"/>
        </w:rPr>
        <w:t>4. 量子产率测量附件</w:t>
      </w:r>
    </w:p>
    <w:p>
      <w:pPr>
        <w:autoSpaceDE w:val="0"/>
        <w:autoSpaceDN w:val="0"/>
        <w:adjustRightInd w:val="0"/>
        <w:ind w:firstLine="480"/>
        <w:rPr>
          <w:rFonts w:hAnsi="宋体" w:cs="宋体"/>
          <w:szCs w:val="24"/>
        </w:rPr>
      </w:pPr>
      <w:r>
        <w:rPr>
          <w:rFonts w:hint="eastAsia" w:hAnsi="宋体" w:cs="宋体"/>
          <w:szCs w:val="24"/>
        </w:rPr>
        <w:t>   4.1. 量子产率测量附件用于光致发光量子效率及发光色度测量；</w:t>
      </w:r>
    </w:p>
    <w:p>
      <w:pPr>
        <w:autoSpaceDE w:val="0"/>
        <w:autoSpaceDN w:val="0"/>
        <w:adjustRightInd w:val="0"/>
        <w:ind w:firstLine="480"/>
        <w:rPr>
          <w:rFonts w:hAnsi="宋体" w:cs="宋体"/>
          <w:szCs w:val="24"/>
        </w:rPr>
      </w:pPr>
      <w:r>
        <w:rPr>
          <w:rFonts w:hint="eastAsia" w:hAnsi="宋体" w:cs="宋体"/>
          <w:szCs w:val="24"/>
        </w:rPr>
        <w:t>   4.2. 可用于液体，薄膜和粉体样品测试，包含薄膜样品支架和粉末样品支架；</w:t>
      </w:r>
    </w:p>
    <w:p>
      <w:pPr>
        <w:autoSpaceDE w:val="0"/>
        <w:autoSpaceDN w:val="0"/>
        <w:adjustRightInd w:val="0"/>
        <w:ind w:firstLine="480"/>
        <w:rPr>
          <w:rFonts w:hAnsi="宋体" w:cs="宋体"/>
          <w:szCs w:val="24"/>
        </w:rPr>
      </w:pPr>
      <w:r>
        <w:rPr>
          <w:rFonts w:hint="eastAsia" w:hAnsi="宋体" w:cs="宋体"/>
          <w:szCs w:val="24"/>
        </w:rPr>
        <w:t>4.3. 配置衰减片组，大于等于7片。</w:t>
      </w:r>
    </w:p>
    <w:p>
      <w:pPr>
        <w:autoSpaceDE w:val="0"/>
        <w:autoSpaceDN w:val="0"/>
        <w:adjustRightInd w:val="0"/>
        <w:ind w:firstLine="480"/>
        <w:rPr>
          <w:rFonts w:hAnsi="宋体" w:cs="宋体"/>
          <w:szCs w:val="24"/>
        </w:rPr>
      </w:pPr>
      <w:r>
        <w:rPr>
          <w:rFonts w:hint="eastAsia" w:hAnsi="宋体" w:cs="宋体"/>
          <w:szCs w:val="24"/>
        </w:rPr>
        <w:t>5. 控制器及软件</w:t>
      </w:r>
    </w:p>
    <w:p>
      <w:pPr>
        <w:autoSpaceDE w:val="0"/>
        <w:autoSpaceDN w:val="0"/>
        <w:adjustRightInd w:val="0"/>
        <w:ind w:firstLine="480"/>
        <w:rPr>
          <w:rFonts w:hAnsi="宋体" w:cs="宋体"/>
          <w:szCs w:val="24"/>
        </w:rPr>
      </w:pPr>
      <w:r>
        <w:rPr>
          <w:rFonts w:hint="eastAsia" w:hAnsi="宋体" w:cs="宋体"/>
          <w:szCs w:val="24"/>
        </w:rPr>
        <w:t>5.1. 世界著名厂家生产的控制器机型，CPU主频好于3.0G，Windows 7操作系统。Windows 7下光谱专业软件包 - 包括仪器控制，数据采集、计算和处理及拟合等各项功能；</w:t>
      </w:r>
    </w:p>
    <w:p>
      <w:pPr>
        <w:autoSpaceDE w:val="0"/>
        <w:autoSpaceDN w:val="0"/>
        <w:adjustRightInd w:val="0"/>
        <w:ind w:firstLine="480"/>
        <w:rPr>
          <w:rFonts w:hAnsi="宋体" w:cs="宋体"/>
          <w:szCs w:val="24"/>
        </w:rPr>
      </w:pPr>
      <w:r>
        <w:rPr>
          <w:rFonts w:hint="eastAsia" w:hAnsi="宋体" w:cs="宋体"/>
          <w:szCs w:val="24"/>
        </w:rPr>
        <w:t>5.2. 附赠正版Origin软件及密钥；</w:t>
      </w:r>
    </w:p>
    <w:p>
      <w:pPr>
        <w:autoSpaceDE w:val="0"/>
        <w:autoSpaceDN w:val="0"/>
        <w:adjustRightInd w:val="0"/>
        <w:ind w:firstLine="480"/>
        <w:rPr>
          <w:rFonts w:hAnsi="宋体" w:cs="宋体"/>
          <w:szCs w:val="24"/>
        </w:rPr>
      </w:pPr>
      <w:r>
        <w:rPr>
          <w:rFonts w:hint="eastAsia" w:hAnsi="宋体" w:cs="宋体"/>
          <w:szCs w:val="24"/>
        </w:rPr>
        <w:t>5.3. 软件可控制单色仪及检测器进行单点激发、单点发射测量；</w:t>
      </w:r>
    </w:p>
    <w:p>
      <w:pPr>
        <w:autoSpaceDE w:val="0"/>
        <w:autoSpaceDN w:val="0"/>
        <w:adjustRightInd w:val="0"/>
        <w:ind w:firstLine="480"/>
        <w:rPr>
          <w:rFonts w:hAnsi="宋体" w:cs="宋体"/>
          <w:szCs w:val="24"/>
        </w:rPr>
      </w:pPr>
      <w:r>
        <w:rPr>
          <w:rFonts w:hint="eastAsia" w:hAnsi="宋体" w:cs="宋体"/>
          <w:szCs w:val="24"/>
        </w:rPr>
        <w:t>5.4. 数据包括数据表、图谱、测量条件三部分；</w:t>
      </w:r>
    </w:p>
    <w:p>
      <w:pPr>
        <w:autoSpaceDE w:val="0"/>
        <w:autoSpaceDN w:val="0"/>
        <w:adjustRightInd w:val="0"/>
        <w:ind w:firstLine="480"/>
        <w:rPr>
          <w:rFonts w:hAnsi="宋体" w:cs="宋体"/>
          <w:szCs w:val="24"/>
        </w:rPr>
      </w:pPr>
      <w:r>
        <w:rPr>
          <w:rFonts w:hint="eastAsia" w:hAnsi="宋体" w:cs="宋体"/>
          <w:szCs w:val="24"/>
        </w:rPr>
        <w:t>5.5. 多波长对动态扫描（最多8对），独立参数设置；</w:t>
      </w:r>
    </w:p>
    <w:p>
      <w:pPr>
        <w:autoSpaceDE w:val="0"/>
        <w:autoSpaceDN w:val="0"/>
        <w:adjustRightInd w:val="0"/>
        <w:ind w:firstLine="480"/>
        <w:rPr>
          <w:rFonts w:hAnsi="宋体" w:cs="宋体"/>
          <w:szCs w:val="24"/>
        </w:rPr>
      </w:pPr>
      <w:r>
        <w:rPr>
          <w:rFonts w:hint="eastAsia" w:hAnsi="宋体" w:cs="宋体"/>
          <w:szCs w:val="24"/>
        </w:rPr>
        <w:t>5.6. 方便进行三维荧光光谱收据采集及处理；</w:t>
      </w:r>
    </w:p>
    <w:p>
      <w:pPr>
        <w:autoSpaceDE w:val="0"/>
        <w:autoSpaceDN w:val="0"/>
        <w:adjustRightInd w:val="0"/>
        <w:ind w:firstLine="480"/>
        <w:rPr>
          <w:rFonts w:hAnsi="宋体" w:cs="宋体"/>
          <w:szCs w:val="24"/>
        </w:rPr>
      </w:pPr>
      <w:r>
        <w:rPr>
          <w:rFonts w:hint="eastAsia" w:hAnsi="宋体" w:cs="宋体"/>
          <w:szCs w:val="24"/>
        </w:rPr>
        <w:t>★5.7.</w:t>
      </w:r>
      <w:r>
        <w:rPr>
          <w:rFonts w:hAnsi="宋体" w:cs="宋体"/>
          <w:szCs w:val="24"/>
        </w:rPr>
        <w:t xml:space="preserve"> </w:t>
      </w:r>
      <w:r>
        <w:rPr>
          <w:rFonts w:hint="eastAsia" w:hAnsi="宋体" w:cs="宋体"/>
          <w:szCs w:val="24"/>
        </w:rPr>
        <w:t>瞬态拟合软件包含大于等于5指数拟合分析功能；</w:t>
      </w:r>
    </w:p>
    <w:p>
      <w:pPr>
        <w:autoSpaceDE w:val="0"/>
        <w:autoSpaceDN w:val="0"/>
        <w:adjustRightInd w:val="0"/>
        <w:ind w:firstLine="480"/>
        <w:rPr>
          <w:rFonts w:hAnsi="宋体" w:cs="宋体"/>
          <w:szCs w:val="24"/>
        </w:rPr>
      </w:pPr>
      <w:r>
        <w:rPr>
          <w:rFonts w:hint="eastAsia" w:hAnsi="宋体" w:cs="宋体"/>
          <w:szCs w:val="24"/>
        </w:rPr>
        <w:t>5.8. 包含磷光寿命测量软件模块；</w:t>
      </w:r>
    </w:p>
    <w:p>
      <w:pPr>
        <w:autoSpaceDE w:val="0"/>
        <w:autoSpaceDN w:val="0"/>
        <w:adjustRightInd w:val="0"/>
        <w:ind w:firstLine="480"/>
        <w:rPr>
          <w:rFonts w:hAnsi="宋体" w:cs="宋体"/>
          <w:szCs w:val="24"/>
        </w:rPr>
      </w:pPr>
      <w:r>
        <w:rPr>
          <w:rFonts w:hint="eastAsia" w:hAnsi="宋体" w:cs="宋体"/>
          <w:szCs w:val="24"/>
        </w:rPr>
        <w:t>5.9. 具有批命令测试和测试文件召回功能。</w:t>
      </w:r>
    </w:p>
    <w:p>
      <w:pPr>
        <w:autoSpaceDE w:val="0"/>
        <w:autoSpaceDN w:val="0"/>
        <w:adjustRightInd w:val="0"/>
        <w:ind w:firstLine="480"/>
        <w:rPr>
          <w:rFonts w:hAnsi="宋体" w:cs="宋体"/>
          <w:szCs w:val="24"/>
        </w:rPr>
      </w:pPr>
      <w:r>
        <w:rPr>
          <w:rFonts w:hint="eastAsia" w:hAnsi="宋体" w:cs="宋体"/>
          <w:szCs w:val="24"/>
        </w:rPr>
        <w:t>四、配置清单：</w:t>
      </w:r>
    </w:p>
    <w:p>
      <w:pPr>
        <w:autoSpaceDE w:val="0"/>
        <w:autoSpaceDN w:val="0"/>
        <w:adjustRightInd w:val="0"/>
        <w:ind w:firstLine="480"/>
        <w:rPr>
          <w:rFonts w:hAnsi="宋体" w:cs="宋体"/>
          <w:szCs w:val="24"/>
        </w:rPr>
      </w:pPr>
      <w:r>
        <w:rPr>
          <w:rFonts w:hint="eastAsia" w:hAnsi="宋体" w:cs="宋体"/>
          <w:szCs w:val="24"/>
        </w:rPr>
        <w:t>（1）高灵敏度荧光光谱仪主机         1台</w:t>
      </w:r>
    </w:p>
    <w:p>
      <w:pPr>
        <w:autoSpaceDE w:val="0"/>
        <w:autoSpaceDN w:val="0"/>
        <w:adjustRightInd w:val="0"/>
        <w:ind w:firstLine="480"/>
        <w:rPr>
          <w:rFonts w:hAnsi="宋体" w:cs="宋体"/>
          <w:szCs w:val="24"/>
        </w:rPr>
      </w:pPr>
      <w:r>
        <w:rPr>
          <w:rFonts w:hint="eastAsia" w:hAnsi="宋体" w:cs="宋体"/>
          <w:szCs w:val="24"/>
        </w:rPr>
        <w:t>（2）液体样品支架和液体样品池        1套</w:t>
      </w:r>
    </w:p>
    <w:p>
      <w:pPr>
        <w:autoSpaceDE w:val="0"/>
        <w:autoSpaceDN w:val="0"/>
        <w:adjustRightInd w:val="0"/>
        <w:ind w:firstLine="480"/>
        <w:rPr>
          <w:rFonts w:hAnsi="宋体" w:cs="宋体"/>
          <w:szCs w:val="24"/>
        </w:rPr>
      </w:pPr>
      <w:r>
        <w:rPr>
          <w:rFonts w:hint="eastAsia" w:hAnsi="宋体" w:cs="宋体"/>
          <w:szCs w:val="24"/>
        </w:rPr>
        <w:t>（3）固体样品支架              1套</w:t>
      </w:r>
    </w:p>
    <w:p>
      <w:pPr>
        <w:autoSpaceDE w:val="0"/>
        <w:autoSpaceDN w:val="0"/>
        <w:adjustRightInd w:val="0"/>
        <w:ind w:firstLine="480"/>
        <w:rPr>
          <w:rFonts w:hAnsi="宋体" w:cs="宋体"/>
          <w:szCs w:val="24"/>
        </w:rPr>
      </w:pPr>
      <w:r>
        <w:rPr>
          <w:rFonts w:hint="eastAsia" w:hAnsi="宋体" w:cs="宋体"/>
          <w:szCs w:val="24"/>
        </w:rPr>
        <w:t>（4）滤光片支架及滤光片组          1套</w:t>
      </w:r>
    </w:p>
    <w:p>
      <w:pPr>
        <w:autoSpaceDE w:val="0"/>
        <w:autoSpaceDN w:val="0"/>
        <w:adjustRightInd w:val="0"/>
        <w:ind w:firstLine="480"/>
        <w:rPr>
          <w:rFonts w:hAnsi="宋体" w:cs="宋体"/>
          <w:szCs w:val="24"/>
        </w:rPr>
      </w:pPr>
      <w:r>
        <w:rPr>
          <w:rFonts w:hint="eastAsia" w:hAnsi="宋体" w:cs="宋体"/>
          <w:szCs w:val="24"/>
        </w:rPr>
        <w:t>（5）荧光寿命附件及固态脉冲光源        1套</w:t>
      </w:r>
    </w:p>
    <w:p>
      <w:pPr>
        <w:autoSpaceDE w:val="0"/>
        <w:autoSpaceDN w:val="0"/>
        <w:adjustRightInd w:val="0"/>
        <w:ind w:firstLine="480"/>
        <w:rPr>
          <w:rFonts w:hAnsi="宋体" w:cs="宋体"/>
          <w:szCs w:val="24"/>
        </w:rPr>
      </w:pPr>
      <w:r>
        <w:rPr>
          <w:rFonts w:hint="eastAsia" w:hAnsi="宋体" w:cs="宋体"/>
          <w:szCs w:val="24"/>
        </w:rPr>
        <w:t>（6）磷光寿命脉冲光源            1套</w:t>
      </w:r>
    </w:p>
    <w:p>
      <w:pPr>
        <w:autoSpaceDE w:val="0"/>
        <w:autoSpaceDN w:val="0"/>
        <w:adjustRightInd w:val="0"/>
        <w:ind w:firstLine="480"/>
        <w:rPr>
          <w:rFonts w:hAnsi="宋体" w:cs="宋体"/>
          <w:szCs w:val="24"/>
        </w:rPr>
      </w:pPr>
      <w:r>
        <w:rPr>
          <w:rFonts w:hint="eastAsia" w:hAnsi="宋体" w:cs="宋体"/>
          <w:szCs w:val="24"/>
        </w:rPr>
        <w:t>（7）积分球附件及衰减片组          1套  </w:t>
      </w:r>
    </w:p>
    <w:p>
      <w:pPr>
        <w:autoSpaceDE w:val="0"/>
        <w:autoSpaceDN w:val="0"/>
        <w:adjustRightInd w:val="0"/>
        <w:ind w:firstLine="480"/>
        <w:rPr>
          <w:rFonts w:hAnsi="宋体" w:cs="宋体"/>
          <w:szCs w:val="24"/>
        </w:rPr>
      </w:pPr>
      <w:r>
        <w:rPr>
          <w:rFonts w:hint="eastAsia" w:hAnsi="宋体" w:cs="宋体"/>
          <w:szCs w:val="24"/>
        </w:rPr>
        <w:t>（8）控制器及软件              1套</w:t>
      </w:r>
    </w:p>
    <w:p>
      <w:pPr>
        <w:autoSpaceDE w:val="0"/>
        <w:autoSpaceDN w:val="0"/>
        <w:adjustRightInd w:val="0"/>
        <w:ind w:firstLine="480"/>
      </w:pPr>
      <w:r>
        <w:rPr>
          <w:rFonts w:hint="eastAsia" w:hAnsi="宋体" w:cs="宋体"/>
          <w:szCs w:val="24"/>
        </w:rPr>
        <w:t>●为确保售后服务和货物质量，投标方须提供生产厂家针对本项目的售后服务承诺书及技术参数确认函原件，产品质保期为一年</w:t>
      </w:r>
      <w:r>
        <w:rPr>
          <w:rFonts w:hint="eastAsia" w:hAnsi="宋体" w:cs="宋体"/>
          <w:sz w:val="18"/>
          <w:szCs w:val="18"/>
        </w:rPr>
        <w:t>。</w:t>
      </w:r>
    </w:p>
    <w:p>
      <w:pPr>
        <w:widowControl w:val="0"/>
        <w:ind w:firstLine="0" w:firstLineChars="0"/>
        <w:rPr>
          <w:rFonts w:ascii="Times New Roman" w:hAnsi="Times New Roman" w:cs="Times New Roman"/>
          <w:b/>
          <w:szCs w:val="24"/>
        </w:rPr>
      </w:pPr>
    </w:p>
    <w:p>
      <w:pPr>
        <w:widowControl w:val="0"/>
        <w:ind w:firstLine="0" w:firstLineChars="0"/>
        <w:rPr>
          <w:rFonts w:hAnsi="宋体" w:cs="宋体"/>
          <w:b/>
          <w:bCs/>
          <w:sz w:val="28"/>
          <w:szCs w:val="28"/>
        </w:rPr>
      </w:pPr>
      <w:bookmarkStart w:id="24" w:name="OLE_LINK22"/>
      <w:r>
        <w:rPr>
          <w:rFonts w:hint="eastAsia" w:ascii="Times New Roman" w:hAnsi="Times New Roman" w:cs="Times New Roman"/>
          <w:b/>
          <w:szCs w:val="24"/>
        </w:rPr>
        <w:t>（二）超高效液相色谱仪</w:t>
      </w:r>
      <w:r>
        <w:rPr>
          <w:rFonts w:hint="eastAsia" w:hAnsi="宋体" w:cs="宋体"/>
          <w:b/>
          <w:bCs/>
          <w:sz w:val="28"/>
          <w:szCs w:val="28"/>
        </w:rPr>
        <w:t xml:space="preserve"> 1台</w:t>
      </w:r>
      <w:bookmarkEnd w:id="24"/>
    </w:p>
    <w:p>
      <w:pPr>
        <w:spacing w:line="240" w:lineRule="auto"/>
        <w:ind w:firstLine="482"/>
        <w:rPr>
          <w:rFonts w:hAnsi="宋体" w:cs="宋体"/>
          <w:b/>
          <w:snapToGrid w:val="0"/>
          <w:szCs w:val="24"/>
        </w:rPr>
      </w:pPr>
      <w:r>
        <w:rPr>
          <w:rFonts w:hint="eastAsia" w:hAnsi="宋体" w:cs="宋体"/>
          <w:b/>
          <w:snapToGrid w:val="0"/>
          <w:szCs w:val="24"/>
        </w:rPr>
        <w:t>技术参数</w:t>
      </w:r>
    </w:p>
    <w:p>
      <w:pPr>
        <w:spacing w:line="240" w:lineRule="exact"/>
        <w:ind w:firstLine="482"/>
        <w:rPr>
          <w:rFonts w:hAnsi="宋体" w:cs="宋体"/>
          <w:color w:val="000000"/>
          <w:szCs w:val="24"/>
          <w:shd w:val="clear" w:color="auto" w:fill="FFFFFF"/>
        </w:rPr>
      </w:pPr>
      <w:r>
        <w:rPr>
          <w:rFonts w:hint="eastAsia" w:hAnsi="宋体" w:cs="宋体"/>
          <w:b/>
          <w:snapToGrid w:val="0"/>
          <w:szCs w:val="24"/>
        </w:rPr>
        <w:t>原装进口</w:t>
      </w:r>
    </w:p>
    <w:p>
      <w:pPr>
        <w:spacing w:line="240" w:lineRule="exact"/>
        <w:ind w:firstLine="480"/>
        <w:rPr>
          <w:rFonts w:hAnsi="宋体" w:cs="宋体"/>
          <w:bCs/>
          <w:color w:val="000000"/>
          <w:szCs w:val="24"/>
          <w:shd w:val="clear" w:color="auto" w:fill="FFFFFF"/>
        </w:rPr>
      </w:pPr>
    </w:p>
    <w:p>
      <w:pPr>
        <w:ind w:firstLine="482"/>
        <w:rPr>
          <w:rFonts w:hAnsi="宋体" w:cs="宋体"/>
          <w:szCs w:val="24"/>
        </w:rPr>
      </w:pPr>
      <w:r>
        <w:rPr>
          <w:rFonts w:hint="eastAsia" w:hAnsi="宋体" w:cs="宋体"/>
          <w:b/>
          <w:bCs/>
          <w:szCs w:val="24"/>
        </w:rPr>
        <w:t>一．技术要求</w:t>
      </w:r>
    </w:p>
    <w:p>
      <w:pPr>
        <w:ind w:firstLine="480"/>
        <w:rPr>
          <w:rFonts w:hAnsi="宋体" w:cs="宋体"/>
          <w:szCs w:val="24"/>
        </w:rPr>
      </w:pPr>
      <w:r>
        <w:rPr>
          <w:rFonts w:hint="eastAsia" w:hAnsi="宋体" w:cs="宋体"/>
          <w:szCs w:val="24"/>
        </w:rPr>
        <w:t>1.液相色谱系统，包括流动相瓶、超高压四元梯度泵（内置4通道脱气系统）、双控温超快速多柱位柱温箱、超快速超高压120位自动进样器，二极管阵列检测器，中文软件系统。</w:t>
      </w:r>
    </w:p>
    <w:p>
      <w:pPr>
        <w:ind w:firstLine="480"/>
        <w:rPr>
          <w:rFonts w:hAnsi="宋体" w:cs="宋体"/>
          <w:szCs w:val="24"/>
        </w:rPr>
      </w:pPr>
      <w:r>
        <w:rPr>
          <w:rFonts w:hint="eastAsia" w:hAnsi="宋体" w:cs="宋体"/>
          <w:szCs w:val="24"/>
        </w:rPr>
        <w:t>2.流路须采用德制原厂UHPLC专用Viper连接体系，镀金接口工艺，耐高压、耐磨损。手旋拆卸，零死体积。</w:t>
      </w:r>
    </w:p>
    <w:p>
      <w:pPr>
        <w:ind w:firstLine="480"/>
        <w:rPr>
          <w:rFonts w:hAnsi="宋体" w:cs="宋体"/>
          <w:szCs w:val="24"/>
        </w:rPr>
      </w:pPr>
      <w:r>
        <w:rPr>
          <w:rFonts w:hint="eastAsia" w:hAnsi="宋体" w:cs="宋体"/>
          <w:szCs w:val="24"/>
        </w:rPr>
        <w:t>3四元泵</w:t>
      </w:r>
    </w:p>
    <w:p>
      <w:pPr>
        <w:ind w:firstLine="480"/>
        <w:rPr>
          <w:rFonts w:hAnsi="宋体" w:cs="宋体"/>
          <w:szCs w:val="24"/>
        </w:rPr>
      </w:pPr>
      <w:r>
        <w:rPr>
          <w:rFonts w:hint="eastAsia" w:hAnsi="宋体" w:cs="宋体"/>
          <w:szCs w:val="24"/>
        </w:rPr>
        <w:t>3.1流量范围：0.001～8.000 mL/min，步进0.001 mL/min</w:t>
      </w:r>
    </w:p>
    <w:p>
      <w:pPr>
        <w:ind w:firstLine="480"/>
        <w:rPr>
          <w:rFonts w:hAnsi="宋体" w:cs="宋体"/>
          <w:szCs w:val="24"/>
        </w:rPr>
      </w:pPr>
      <w:r>
        <w:rPr>
          <w:rFonts w:hint="eastAsia" w:hAnsi="宋体" w:cs="宋体"/>
          <w:szCs w:val="24"/>
        </w:rPr>
        <w:t>3.2泵压力：≥100Mpa</w:t>
      </w:r>
    </w:p>
    <w:p>
      <w:pPr>
        <w:ind w:firstLine="480"/>
        <w:rPr>
          <w:rFonts w:hAnsi="宋体" w:cs="宋体"/>
          <w:szCs w:val="24"/>
        </w:rPr>
      </w:pPr>
      <w:r>
        <w:rPr>
          <w:rFonts w:hint="eastAsia" w:hAnsi="宋体" w:cs="宋体"/>
          <w:szCs w:val="24"/>
        </w:rPr>
        <w:t>★3.3流量准确度：≤±0.1%</w:t>
      </w:r>
    </w:p>
    <w:p>
      <w:pPr>
        <w:ind w:firstLine="480"/>
        <w:rPr>
          <w:rFonts w:hAnsi="宋体" w:cs="宋体"/>
          <w:szCs w:val="24"/>
        </w:rPr>
      </w:pPr>
      <w:r>
        <w:rPr>
          <w:rFonts w:hint="eastAsia" w:hAnsi="宋体" w:cs="宋体"/>
          <w:szCs w:val="24"/>
        </w:rPr>
        <w:t>3.4流量精密度：＜0.05%RSD</w:t>
      </w:r>
    </w:p>
    <w:p>
      <w:pPr>
        <w:ind w:firstLine="480"/>
        <w:rPr>
          <w:rFonts w:hAnsi="宋体" w:cs="宋体"/>
          <w:szCs w:val="24"/>
        </w:rPr>
      </w:pPr>
      <w:r>
        <w:rPr>
          <w:rFonts w:hint="eastAsia" w:hAnsi="宋体" w:cs="宋体"/>
          <w:szCs w:val="24"/>
        </w:rPr>
        <w:t>3.5 梯度混合精度：＜0.15%</w:t>
      </w:r>
    </w:p>
    <w:p>
      <w:pPr>
        <w:ind w:firstLine="480"/>
        <w:rPr>
          <w:rFonts w:hAnsi="宋体" w:cs="宋体"/>
          <w:szCs w:val="24"/>
        </w:rPr>
      </w:pPr>
      <w:r>
        <w:rPr>
          <w:rFonts w:hint="eastAsia" w:hAnsi="宋体" w:cs="宋体"/>
          <w:szCs w:val="24"/>
        </w:rPr>
        <w:t>3.6 溶剂种类：4种</w:t>
      </w:r>
    </w:p>
    <w:p>
      <w:pPr>
        <w:ind w:firstLine="480"/>
        <w:rPr>
          <w:rFonts w:hAnsi="宋体" w:cs="宋体"/>
          <w:szCs w:val="24"/>
        </w:rPr>
      </w:pPr>
      <w:r>
        <w:rPr>
          <w:rFonts w:hint="eastAsia" w:hAnsi="宋体" w:cs="宋体"/>
          <w:szCs w:val="24"/>
        </w:rPr>
        <w:t>3.7泵清洗系统：主动式单独流路清洗柱塞</w:t>
      </w:r>
    </w:p>
    <w:p>
      <w:pPr>
        <w:adjustRightInd w:val="0"/>
        <w:snapToGrid w:val="0"/>
        <w:ind w:firstLine="480"/>
        <w:rPr>
          <w:rFonts w:hAnsi="宋体" w:cs="宋体"/>
          <w:szCs w:val="24"/>
        </w:rPr>
      </w:pPr>
      <w:r>
        <w:rPr>
          <w:rFonts w:hint="eastAsia" w:hAnsi="宋体" w:cs="宋体"/>
          <w:szCs w:val="24"/>
        </w:rPr>
        <w:t>★3.8液滴计数器：配有液滴计数器，自动监控泵漏液情况和泵清洗液情况（需提供生产厂家盖章的官方彩页资料作为佐证，否则视为不满足）</w:t>
      </w:r>
    </w:p>
    <w:p>
      <w:pPr>
        <w:ind w:firstLine="480"/>
        <w:rPr>
          <w:rFonts w:hAnsi="宋体" w:cs="宋体"/>
          <w:szCs w:val="24"/>
        </w:rPr>
      </w:pPr>
      <w:r>
        <w:rPr>
          <w:rFonts w:hint="eastAsia" w:hAnsi="宋体" w:cs="宋体"/>
          <w:szCs w:val="24"/>
        </w:rPr>
        <w:t>4 自动进样器：</w:t>
      </w:r>
    </w:p>
    <w:p>
      <w:pPr>
        <w:ind w:firstLine="480"/>
        <w:rPr>
          <w:rFonts w:hAnsi="宋体" w:cs="宋体"/>
          <w:szCs w:val="24"/>
        </w:rPr>
      </w:pPr>
      <w:r>
        <w:rPr>
          <w:rFonts w:hint="eastAsia" w:hAnsi="宋体" w:cs="宋体"/>
          <w:szCs w:val="24"/>
        </w:rPr>
        <w:t>4.1兼容96或者384孔板及10ml样品瓶；本次配置要求2ml样品盘3个，共120位（每个样品盘40位）。</w:t>
      </w:r>
    </w:p>
    <w:p>
      <w:pPr>
        <w:ind w:firstLine="480"/>
        <w:rPr>
          <w:rFonts w:hAnsi="宋体" w:cs="宋体"/>
          <w:szCs w:val="24"/>
        </w:rPr>
      </w:pPr>
      <w:r>
        <w:rPr>
          <w:rFonts w:hint="eastAsia" w:hAnsi="宋体" w:cs="宋体"/>
          <w:szCs w:val="24"/>
        </w:rPr>
        <w:t>4.2 进样器控温：带制冷功能，室温降18℃</w:t>
      </w:r>
    </w:p>
    <w:p>
      <w:pPr>
        <w:ind w:firstLine="480"/>
        <w:rPr>
          <w:rFonts w:hAnsi="宋体" w:cs="宋体"/>
          <w:szCs w:val="24"/>
        </w:rPr>
      </w:pPr>
      <w:r>
        <w:rPr>
          <w:rFonts w:hint="eastAsia" w:hAnsi="宋体" w:cs="宋体"/>
          <w:szCs w:val="24"/>
        </w:rPr>
        <w:t>4.3 进样体积：0.01～100μL</w:t>
      </w:r>
    </w:p>
    <w:p>
      <w:pPr>
        <w:ind w:firstLine="480"/>
        <w:rPr>
          <w:rFonts w:hAnsi="宋体" w:cs="宋体"/>
          <w:szCs w:val="24"/>
        </w:rPr>
      </w:pPr>
      <w:r>
        <w:rPr>
          <w:rFonts w:hint="eastAsia" w:hAnsi="宋体" w:cs="宋体"/>
          <w:szCs w:val="24"/>
        </w:rPr>
        <w:t>4.4 进样体积准确度：0.5%</w:t>
      </w:r>
    </w:p>
    <w:p>
      <w:pPr>
        <w:ind w:firstLine="480"/>
        <w:rPr>
          <w:rFonts w:hAnsi="宋体" w:cs="宋体"/>
          <w:szCs w:val="24"/>
        </w:rPr>
      </w:pPr>
      <w:r>
        <w:rPr>
          <w:rFonts w:hint="eastAsia" w:hAnsi="宋体" w:cs="宋体"/>
          <w:szCs w:val="24"/>
        </w:rPr>
        <w:t>4.5 交叉污染：≤0.004%</w:t>
      </w:r>
    </w:p>
    <w:p>
      <w:pPr>
        <w:ind w:firstLine="480"/>
        <w:rPr>
          <w:rFonts w:hAnsi="宋体" w:cs="宋体"/>
          <w:szCs w:val="24"/>
        </w:rPr>
      </w:pPr>
      <w:r>
        <w:rPr>
          <w:rFonts w:hint="eastAsia" w:hAnsi="宋体" w:cs="宋体"/>
          <w:szCs w:val="24"/>
        </w:rPr>
        <w:t>4.6自动防沉淀振摇及侧移功能</w:t>
      </w:r>
    </w:p>
    <w:p>
      <w:pPr>
        <w:ind w:firstLine="480"/>
        <w:rPr>
          <w:rFonts w:hAnsi="宋体" w:cs="宋体"/>
          <w:szCs w:val="24"/>
        </w:rPr>
      </w:pPr>
      <w:r>
        <w:rPr>
          <w:rFonts w:hint="eastAsia" w:hAnsi="宋体" w:cs="宋体"/>
          <w:szCs w:val="24"/>
        </w:rPr>
        <w:t>4.7 在线稀释和在线衍生功能</w:t>
      </w:r>
    </w:p>
    <w:p>
      <w:pPr>
        <w:ind w:firstLine="480"/>
        <w:rPr>
          <w:rFonts w:hAnsi="宋体" w:cs="宋体"/>
          <w:szCs w:val="24"/>
        </w:rPr>
      </w:pPr>
      <w:r>
        <w:rPr>
          <w:rFonts w:hint="eastAsia" w:hAnsi="宋体" w:cs="宋体"/>
          <w:szCs w:val="24"/>
        </w:rPr>
        <w:t>★4.8自动进样器耐压≥100Mpa（需提供生产厂家盖章的官方彩页资料作为佐证，否则视为不满足）</w:t>
      </w:r>
    </w:p>
    <w:p>
      <w:pPr>
        <w:ind w:firstLine="480"/>
        <w:rPr>
          <w:rFonts w:hAnsi="宋体" w:cs="宋体"/>
          <w:szCs w:val="24"/>
        </w:rPr>
      </w:pPr>
      <w:r>
        <w:rPr>
          <w:rFonts w:hint="eastAsia" w:hAnsi="宋体" w:cs="宋体"/>
          <w:szCs w:val="24"/>
        </w:rPr>
        <w:t>5  独立柱温箱</w:t>
      </w:r>
    </w:p>
    <w:p>
      <w:pPr>
        <w:adjustRightInd w:val="0"/>
        <w:snapToGrid w:val="0"/>
        <w:ind w:firstLine="480"/>
        <w:rPr>
          <w:rFonts w:hAnsi="宋体" w:cs="宋体"/>
          <w:szCs w:val="24"/>
        </w:rPr>
      </w:pPr>
      <w:r>
        <w:rPr>
          <w:rFonts w:hint="eastAsia" w:hAnsi="宋体" w:cs="宋体"/>
          <w:szCs w:val="24"/>
        </w:rPr>
        <w:t>5.1安全性能：内置温度传感器、湿度传感器、气体传感器，在线监测溶剂泄露情况。</w:t>
      </w:r>
    </w:p>
    <w:p>
      <w:pPr>
        <w:adjustRightInd w:val="0"/>
        <w:snapToGrid w:val="0"/>
        <w:ind w:firstLine="480"/>
        <w:rPr>
          <w:rFonts w:hAnsi="宋体" w:cs="宋体"/>
          <w:szCs w:val="24"/>
        </w:rPr>
      </w:pPr>
      <w:r>
        <w:rPr>
          <w:rFonts w:hint="eastAsia" w:hAnsi="宋体" w:cs="宋体"/>
          <w:szCs w:val="24"/>
        </w:rPr>
        <w:t>5.2温控范围：5～110℃（越宽越好）</w:t>
      </w:r>
    </w:p>
    <w:p>
      <w:pPr>
        <w:ind w:firstLine="480"/>
        <w:rPr>
          <w:rFonts w:hAnsi="宋体" w:cs="宋体"/>
          <w:szCs w:val="24"/>
        </w:rPr>
      </w:pPr>
      <w:r>
        <w:rPr>
          <w:rFonts w:hint="eastAsia" w:hAnsi="宋体" w:cs="宋体"/>
          <w:szCs w:val="24"/>
        </w:rPr>
        <w:t>5.3温度准确度：±0.5℃</w:t>
      </w:r>
    </w:p>
    <w:p>
      <w:pPr>
        <w:ind w:firstLine="480"/>
        <w:rPr>
          <w:rFonts w:hAnsi="宋体" w:cs="宋体"/>
          <w:szCs w:val="24"/>
        </w:rPr>
      </w:pPr>
      <w:r>
        <w:rPr>
          <w:rFonts w:hint="eastAsia" w:hAnsi="宋体" w:cs="宋体"/>
          <w:szCs w:val="24"/>
        </w:rPr>
        <w:t>5.4温度稳定性  ±0.1℃</w:t>
      </w:r>
    </w:p>
    <w:p>
      <w:pPr>
        <w:ind w:firstLine="480"/>
        <w:rPr>
          <w:rFonts w:hAnsi="宋体" w:cs="宋体"/>
          <w:szCs w:val="24"/>
        </w:rPr>
      </w:pPr>
      <w:r>
        <w:rPr>
          <w:rFonts w:hint="eastAsia" w:hAnsi="宋体" w:cs="宋体"/>
          <w:szCs w:val="24"/>
        </w:rPr>
        <w:t>5.5温度精度    ±0.1℃</w:t>
      </w:r>
    </w:p>
    <w:p>
      <w:pPr>
        <w:adjustRightInd w:val="0"/>
        <w:snapToGrid w:val="0"/>
        <w:ind w:firstLine="480"/>
        <w:rPr>
          <w:rFonts w:hAnsi="宋体" w:cs="宋体"/>
          <w:szCs w:val="24"/>
        </w:rPr>
      </w:pPr>
      <w:r>
        <w:rPr>
          <w:rFonts w:hint="eastAsia" w:hAnsi="宋体" w:cs="宋体"/>
          <w:szCs w:val="24"/>
        </w:rPr>
        <w:t>5.6容量：≥2支长30cm色谱柱</w:t>
      </w:r>
    </w:p>
    <w:p>
      <w:pPr>
        <w:ind w:firstLine="480"/>
        <w:rPr>
          <w:rFonts w:hAnsi="宋体" w:cs="宋体"/>
          <w:szCs w:val="24"/>
        </w:rPr>
      </w:pPr>
      <w:r>
        <w:rPr>
          <w:rFonts w:hint="eastAsia" w:hAnsi="宋体" w:cs="宋体"/>
          <w:szCs w:val="24"/>
        </w:rPr>
        <w:t xml:space="preserve">5.7能够进行4根色谱柱的自动识别，支持自检和以及系统运行状态监测     </w:t>
      </w:r>
    </w:p>
    <w:p>
      <w:pPr>
        <w:ind w:firstLine="480"/>
        <w:rPr>
          <w:rFonts w:hAnsi="宋体" w:cs="宋体"/>
          <w:szCs w:val="24"/>
        </w:rPr>
      </w:pPr>
      <w:r>
        <w:rPr>
          <w:rFonts w:hint="eastAsia" w:hAnsi="宋体" w:cs="宋体"/>
          <w:szCs w:val="24"/>
        </w:rPr>
        <w:t>5.8预留额外的六通阀或十通阀位置，可用于在线样品前处理等应用</w:t>
      </w:r>
    </w:p>
    <w:p>
      <w:pPr>
        <w:adjustRightInd w:val="0"/>
        <w:snapToGrid w:val="0"/>
        <w:ind w:firstLine="480"/>
        <w:rPr>
          <w:rFonts w:hAnsi="宋体" w:cs="宋体"/>
          <w:szCs w:val="24"/>
        </w:rPr>
      </w:pPr>
      <w:r>
        <w:rPr>
          <w:rFonts w:hint="eastAsia" w:hAnsi="宋体" w:cs="宋体"/>
          <w:szCs w:val="24"/>
        </w:rPr>
        <w:t>6  二极管阵列检测器</w:t>
      </w:r>
    </w:p>
    <w:p>
      <w:pPr>
        <w:adjustRightInd w:val="0"/>
        <w:snapToGrid w:val="0"/>
        <w:ind w:firstLine="480"/>
        <w:rPr>
          <w:rFonts w:hAnsi="宋体" w:cs="宋体"/>
          <w:szCs w:val="24"/>
        </w:rPr>
      </w:pPr>
      <w:r>
        <w:rPr>
          <w:rFonts w:hint="eastAsia" w:hAnsi="宋体" w:cs="宋体"/>
          <w:szCs w:val="24"/>
        </w:rPr>
        <w:t>6.1二极管数：1024</w:t>
      </w:r>
    </w:p>
    <w:p>
      <w:pPr>
        <w:adjustRightInd w:val="0"/>
        <w:snapToGrid w:val="0"/>
        <w:ind w:firstLine="480"/>
        <w:rPr>
          <w:rFonts w:hAnsi="宋体" w:cs="宋体"/>
          <w:szCs w:val="24"/>
        </w:rPr>
      </w:pPr>
      <w:r>
        <w:rPr>
          <w:rFonts w:hint="eastAsia" w:hAnsi="宋体" w:cs="宋体"/>
          <w:szCs w:val="24"/>
        </w:rPr>
        <w:t>6.2 波长范围：190-800 nm</w:t>
      </w:r>
    </w:p>
    <w:p>
      <w:pPr>
        <w:adjustRightInd w:val="0"/>
        <w:snapToGrid w:val="0"/>
        <w:ind w:firstLine="480"/>
        <w:rPr>
          <w:rFonts w:hAnsi="宋体" w:cs="宋体"/>
          <w:szCs w:val="24"/>
        </w:rPr>
      </w:pPr>
      <w:r>
        <w:rPr>
          <w:rFonts w:hint="eastAsia" w:hAnsi="宋体" w:cs="宋体"/>
          <w:szCs w:val="24"/>
        </w:rPr>
        <w:t>6.3 波长精度：± 0.1 nm</w:t>
      </w:r>
    </w:p>
    <w:p>
      <w:pPr>
        <w:adjustRightInd w:val="0"/>
        <w:snapToGrid w:val="0"/>
        <w:ind w:firstLine="480"/>
        <w:rPr>
          <w:rFonts w:hAnsi="宋体" w:cs="宋体"/>
          <w:szCs w:val="24"/>
        </w:rPr>
      </w:pPr>
      <w:r>
        <w:rPr>
          <w:rFonts w:hint="eastAsia" w:hAnsi="宋体" w:cs="宋体"/>
          <w:szCs w:val="24"/>
        </w:rPr>
        <w:t>6.4灯：氘灯和钨灯，均具温度监控功能，自动识别包括序列号在内的所有信息</w:t>
      </w:r>
    </w:p>
    <w:p>
      <w:pPr>
        <w:adjustRightInd w:val="0"/>
        <w:snapToGrid w:val="0"/>
        <w:ind w:firstLine="480"/>
        <w:rPr>
          <w:rFonts w:hAnsi="宋体" w:cs="宋体"/>
          <w:szCs w:val="24"/>
        </w:rPr>
      </w:pPr>
      <w:r>
        <w:rPr>
          <w:rFonts w:hint="eastAsia" w:hAnsi="宋体" w:cs="宋体"/>
          <w:szCs w:val="24"/>
        </w:rPr>
        <w:t>★6.5 数据采集频率：≥200HZ（需提供生产厂家盖章的官方彩页资料作为佐证，</w:t>
      </w:r>
    </w:p>
    <w:p>
      <w:pPr>
        <w:adjustRightInd w:val="0"/>
        <w:snapToGrid w:val="0"/>
        <w:ind w:firstLine="480"/>
        <w:rPr>
          <w:rFonts w:hAnsi="宋体" w:cs="宋体"/>
          <w:szCs w:val="24"/>
        </w:rPr>
      </w:pPr>
      <w:r>
        <w:rPr>
          <w:rFonts w:hint="eastAsia" w:hAnsi="宋体" w:cs="宋体"/>
          <w:szCs w:val="24"/>
        </w:rPr>
        <w:t>6.6通道数：8+3D</w:t>
      </w:r>
    </w:p>
    <w:p>
      <w:pPr>
        <w:adjustRightInd w:val="0"/>
        <w:snapToGrid w:val="0"/>
        <w:ind w:firstLine="480"/>
        <w:rPr>
          <w:rFonts w:hAnsi="宋体" w:cs="宋体"/>
          <w:szCs w:val="24"/>
        </w:rPr>
      </w:pPr>
      <w:r>
        <w:rPr>
          <w:rFonts w:hint="eastAsia" w:hAnsi="宋体" w:cs="宋体"/>
          <w:szCs w:val="24"/>
        </w:rPr>
        <w:t>6.7狭缝宽度：可调</w:t>
      </w:r>
    </w:p>
    <w:p>
      <w:pPr>
        <w:adjustRightInd w:val="0"/>
        <w:snapToGrid w:val="0"/>
        <w:ind w:firstLine="480"/>
        <w:rPr>
          <w:rFonts w:hAnsi="宋体" w:cs="宋体"/>
          <w:szCs w:val="24"/>
        </w:rPr>
      </w:pPr>
      <w:r>
        <w:rPr>
          <w:rFonts w:hint="eastAsia" w:hAnsi="宋体" w:cs="宋体"/>
          <w:szCs w:val="24"/>
        </w:rPr>
        <w:t>6.8 自动校正：D-alpha线法自校正，氧化钬滤光器验证</w:t>
      </w:r>
    </w:p>
    <w:p>
      <w:pPr>
        <w:ind w:firstLine="480"/>
        <w:rPr>
          <w:rFonts w:hAnsi="宋体" w:cs="宋体"/>
          <w:szCs w:val="24"/>
        </w:rPr>
      </w:pPr>
      <w:r>
        <w:rPr>
          <w:rFonts w:hint="eastAsia" w:hAnsi="宋体" w:cs="宋体"/>
          <w:szCs w:val="24"/>
        </w:rPr>
        <w:t>7操作系统及工作站软件:</w:t>
      </w:r>
    </w:p>
    <w:p>
      <w:pPr>
        <w:adjustRightInd w:val="0"/>
        <w:snapToGrid w:val="0"/>
        <w:ind w:firstLine="480"/>
        <w:rPr>
          <w:rFonts w:hAnsi="宋体" w:cs="宋体"/>
          <w:szCs w:val="24"/>
        </w:rPr>
      </w:pPr>
      <w:r>
        <w:rPr>
          <w:rFonts w:hint="eastAsia" w:hAnsi="宋体" w:cs="宋体"/>
          <w:szCs w:val="24"/>
        </w:rPr>
        <w:t>7.1操作软件为中文语言，可兼容操作系统:Windows7或者windows 10</w:t>
      </w:r>
    </w:p>
    <w:p>
      <w:pPr>
        <w:adjustRightInd w:val="0"/>
        <w:snapToGrid w:val="0"/>
        <w:ind w:firstLine="480"/>
        <w:rPr>
          <w:rFonts w:hAnsi="宋体" w:cs="宋体"/>
          <w:szCs w:val="24"/>
        </w:rPr>
      </w:pPr>
      <w:r>
        <w:rPr>
          <w:rFonts w:hint="eastAsia" w:hAnsi="宋体" w:cs="宋体"/>
          <w:szCs w:val="24"/>
        </w:rPr>
        <w:t>7.2色谱控制分析数据库:通过高性能USB方式和电脑进行数字信号传输,可编制分析方式和顺序，兼容Microsoft Access、Oracle、Microsoft SQL Server多种数据库平台。</w:t>
      </w:r>
    </w:p>
    <w:p>
      <w:pPr>
        <w:adjustRightInd w:val="0"/>
        <w:snapToGrid w:val="0"/>
        <w:ind w:firstLine="480"/>
        <w:rPr>
          <w:rFonts w:hAnsi="宋体" w:cs="宋体"/>
          <w:szCs w:val="24"/>
        </w:rPr>
      </w:pPr>
      <w:r>
        <w:rPr>
          <w:rFonts w:hint="eastAsia" w:hAnsi="宋体" w:cs="宋体"/>
          <w:szCs w:val="24"/>
        </w:rPr>
        <w:t>7.3可自动进行快速数据采集和后处理.</w:t>
      </w:r>
    </w:p>
    <w:p>
      <w:pPr>
        <w:adjustRightInd w:val="0"/>
        <w:snapToGrid w:val="0"/>
        <w:ind w:firstLine="480"/>
        <w:rPr>
          <w:rFonts w:hAnsi="宋体" w:cs="宋体"/>
          <w:szCs w:val="24"/>
        </w:rPr>
      </w:pPr>
      <w:r>
        <w:rPr>
          <w:rFonts w:hint="eastAsia" w:hAnsi="宋体" w:cs="宋体"/>
          <w:szCs w:val="24"/>
        </w:rPr>
        <w:t>7.4可提供适时分析条件参数和分析结果，在线监测和采集泵压力变化数据。</w:t>
      </w:r>
    </w:p>
    <w:p>
      <w:pPr>
        <w:adjustRightInd w:val="0"/>
        <w:snapToGrid w:val="0"/>
        <w:ind w:firstLine="480"/>
        <w:rPr>
          <w:rFonts w:hAnsi="宋体" w:cs="宋体"/>
          <w:szCs w:val="24"/>
        </w:rPr>
      </w:pPr>
      <w:r>
        <w:rPr>
          <w:rFonts w:hint="eastAsia" w:hAnsi="宋体" w:cs="宋体"/>
          <w:szCs w:val="24"/>
        </w:rPr>
        <w:t>7.5具有仪器相关数据与运行状况溯源功能，方便故障排查。</w:t>
      </w:r>
    </w:p>
    <w:p>
      <w:pPr>
        <w:adjustRightInd w:val="0"/>
        <w:snapToGrid w:val="0"/>
        <w:ind w:firstLine="480"/>
        <w:rPr>
          <w:rFonts w:hAnsi="宋体" w:cs="宋体"/>
          <w:szCs w:val="24"/>
        </w:rPr>
      </w:pPr>
      <w:r>
        <w:rPr>
          <w:rFonts w:hint="eastAsia" w:hAnsi="宋体" w:cs="宋体"/>
          <w:szCs w:val="24"/>
        </w:rPr>
        <w:t>7.6 可通过升级兼容第三方仪器，操控包括气相色谱，液相色谱仪，离子色谱仪等非本品牌仪器公司的分析仪器</w:t>
      </w:r>
    </w:p>
    <w:p>
      <w:pPr>
        <w:adjustRightInd w:val="0"/>
        <w:snapToGrid w:val="0"/>
        <w:ind w:firstLine="480"/>
        <w:rPr>
          <w:rFonts w:hAnsi="宋体" w:cs="宋体"/>
          <w:szCs w:val="24"/>
        </w:rPr>
      </w:pPr>
      <w:r>
        <w:rPr>
          <w:rFonts w:hint="eastAsia" w:hAnsi="宋体" w:cs="宋体"/>
          <w:szCs w:val="24"/>
        </w:rPr>
        <w:t>7.7可使用PDF、EXCEL等格式输出实验结果。实验数据编辑相关操作为EXCEL式操作，运算灵活，修改方便。</w:t>
      </w:r>
    </w:p>
    <w:p>
      <w:pPr>
        <w:ind w:firstLine="482"/>
        <w:rPr>
          <w:rFonts w:hAnsi="宋体" w:cs="宋体"/>
          <w:szCs w:val="24"/>
        </w:rPr>
      </w:pPr>
      <w:r>
        <w:rPr>
          <w:rFonts w:hint="eastAsia" w:hAnsi="宋体" w:cs="宋体"/>
          <w:b/>
          <w:bCs/>
          <w:szCs w:val="24"/>
        </w:rPr>
        <w:t>二．配置清单</w:t>
      </w:r>
    </w:p>
    <w:p>
      <w:pPr>
        <w:ind w:firstLine="480"/>
        <w:rPr>
          <w:rFonts w:hAnsi="宋体" w:cs="宋体"/>
          <w:szCs w:val="24"/>
        </w:rPr>
      </w:pPr>
      <w:r>
        <w:rPr>
          <w:rFonts w:hint="eastAsia" w:hAnsi="宋体" w:cs="宋体"/>
          <w:szCs w:val="24"/>
        </w:rPr>
        <w:t>1.超高压四元梯度泵（耐压≥100Mpa， 4通道脱气系统）1台</w:t>
      </w:r>
    </w:p>
    <w:p>
      <w:pPr>
        <w:ind w:firstLine="480"/>
        <w:rPr>
          <w:rFonts w:hAnsi="宋体" w:cs="宋体"/>
          <w:szCs w:val="24"/>
        </w:rPr>
      </w:pPr>
      <w:r>
        <w:rPr>
          <w:rFonts w:hint="eastAsia" w:hAnsi="宋体" w:cs="宋体"/>
          <w:szCs w:val="24"/>
        </w:rPr>
        <w:t>2.单向阀 1个</w:t>
      </w:r>
    </w:p>
    <w:p>
      <w:pPr>
        <w:adjustRightInd w:val="0"/>
        <w:snapToGrid w:val="0"/>
        <w:ind w:firstLine="480"/>
        <w:rPr>
          <w:rFonts w:hAnsi="宋体" w:cs="宋体"/>
          <w:szCs w:val="24"/>
        </w:rPr>
      </w:pPr>
      <w:r>
        <w:rPr>
          <w:rFonts w:hint="eastAsia" w:hAnsi="宋体" w:cs="宋体"/>
          <w:szCs w:val="24"/>
        </w:rPr>
        <w:t>3.主动式单独流路清洗柱塞杆 1个</w:t>
      </w:r>
    </w:p>
    <w:p>
      <w:pPr>
        <w:ind w:firstLine="480"/>
        <w:rPr>
          <w:rFonts w:hAnsi="宋体" w:cs="宋体"/>
          <w:szCs w:val="24"/>
        </w:rPr>
      </w:pPr>
      <w:r>
        <w:rPr>
          <w:rFonts w:hint="eastAsia" w:hAnsi="宋体" w:cs="宋体"/>
          <w:szCs w:val="24"/>
        </w:rPr>
        <w:t>4.液滴计数器1个</w:t>
      </w:r>
    </w:p>
    <w:p>
      <w:pPr>
        <w:ind w:firstLine="480"/>
        <w:rPr>
          <w:rFonts w:hAnsi="宋体" w:cs="宋体"/>
          <w:szCs w:val="24"/>
        </w:rPr>
      </w:pPr>
      <w:r>
        <w:rPr>
          <w:rFonts w:hint="eastAsia" w:hAnsi="宋体" w:cs="宋体"/>
          <w:szCs w:val="24"/>
        </w:rPr>
        <w:t>5.试剂架1个</w:t>
      </w:r>
    </w:p>
    <w:p>
      <w:pPr>
        <w:ind w:firstLine="480"/>
        <w:rPr>
          <w:rFonts w:hAnsi="宋体" w:cs="宋体"/>
          <w:szCs w:val="24"/>
        </w:rPr>
      </w:pPr>
      <w:r>
        <w:rPr>
          <w:rFonts w:hint="eastAsia" w:hAnsi="宋体" w:cs="宋体"/>
          <w:szCs w:val="24"/>
        </w:rPr>
        <w:t>6.超快速独立柱温箱（内置湿度传感器、气体传感器、温度传感器）1套</w:t>
      </w:r>
    </w:p>
    <w:p>
      <w:pPr>
        <w:ind w:firstLine="480"/>
        <w:rPr>
          <w:rFonts w:hAnsi="宋体" w:cs="宋体"/>
          <w:szCs w:val="24"/>
        </w:rPr>
      </w:pPr>
      <w:r>
        <w:rPr>
          <w:rFonts w:hint="eastAsia" w:hAnsi="宋体" w:cs="宋体"/>
          <w:szCs w:val="24"/>
        </w:rPr>
        <w:t>7.超高压超快速120位自动进样器（耐压≥100Mpa） 1套</w:t>
      </w:r>
    </w:p>
    <w:p>
      <w:pPr>
        <w:ind w:firstLine="480"/>
        <w:rPr>
          <w:rFonts w:hAnsi="宋体" w:cs="宋体"/>
          <w:szCs w:val="24"/>
        </w:rPr>
      </w:pPr>
      <w:r>
        <w:rPr>
          <w:rFonts w:hint="eastAsia" w:hAnsi="宋体" w:cs="宋体"/>
          <w:szCs w:val="24"/>
        </w:rPr>
        <w:t>8.二极管阵列检测器1套</w:t>
      </w:r>
    </w:p>
    <w:p>
      <w:pPr>
        <w:ind w:firstLine="480"/>
        <w:rPr>
          <w:rFonts w:hAnsi="宋体" w:cs="宋体"/>
          <w:szCs w:val="24"/>
        </w:rPr>
      </w:pPr>
      <w:r>
        <w:rPr>
          <w:rFonts w:hint="eastAsia" w:hAnsi="宋体" w:cs="宋体"/>
          <w:szCs w:val="24"/>
        </w:rPr>
        <w:t>9.流通池 1套</w:t>
      </w:r>
    </w:p>
    <w:p>
      <w:pPr>
        <w:ind w:firstLine="480"/>
        <w:rPr>
          <w:rFonts w:hAnsi="宋体" w:cs="宋体"/>
          <w:szCs w:val="24"/>
        </w:rPr>
      </w:pPr>
      <w:r>
        <w:rPr>
          <w:rFonts w:hint="eastAsia" w:hAnsi="宋体" w:cs="宋体"/>
          <w:szCs w:val="24"/>
        </w:rPr>
        <w:t>10.中文操作软件</w:t>
      </w:r>
    </w:p>
    <w:p>
      <w:pPr>
        <w:ind w:firstLine="480"/>
        <w:rPr>
          <w:rFonts w:hAnsi="宋体" w:cs="宋体"/>
          <w:szCs w:val="24"/>
        </w:rPr>
      </w:pPr>
      <w:r>
        <w:rPr>
          <w:rFonts w:hint="eastAsia" w:hAnsi="宋体" w:cs="宋体"/>
          <w:szCs w:val="24"/>
        </w:rPr>
        <w:t>11.分析型液相色谱柱5根</w:t>
      </w:r>
    </w:p>
    <w:p>
      <w:pPr>
        <w:ind w:firstLine="480"/>
        <w:rPr>
          <w:rFonts w:hAnsi="宋体" w:cs="宋体"/>
          <w:szCs w:val="24"/>
        </w:rPr>
      </w:pPr>
      <w:r>
        <w:rPr>
          <w:rFonts w:hint="eastAsia" w:hAnsi="宋体" w:cs="宋体"/>
          <w:szCs w:val="24"/>
        </w:rPr>
        <w:t>12.2mL样品瓶,含瓶盖和垫片，9mm口径 100个</w:t>
      </w:r>
    </w:p>
    <w:p>
      <w:pPr>
        <w:ind w:firstLine="480"/>
        <w:rPr>
          <w:rFonts w:hAnsi="宋体" w:cs="宋体"/>
          <w:szCs w:val="24"/>
        </w:rPr>
      </w:pPr>
      <w:r>
        <w:rPr>
          <w:rFonts w:hint="eastAsia" w:hAnsi="宋体" w:cs="宋体"/>
          <w:szCs w:val="24"/>
        </w:rPr>
        <w:t>13.镀金Viper连接头1个</w:t>
      </w:r>
    </w:p>
    <w:p>
      <w:pPr>
        <w:ind w:firstLine="480"/>
        <w:rPr>
          <w:rFonts w:hAnsi="宋体" w:cs="宋体"/>
          <w:szCs w:val="24"/>
        </w:rPr>
      </w:pPr>
      <w:r>
        <w:rPr>
          <w:rFonts w:hint="eastAsia" w:hAnsi="宋体" w:cs="宋体"/>
          <w:szCs w:val="24"/>
        </w:rPr>
        <w:t>14.台式电脑1台（i7 CPU，16G内存，1TG硬盘，DVD光驱，27寸显示器，win10 64位专业版）</w:t>
      </w:r>
    </w:p>
    <w:p>
      <w:pPr>
        <w:spacing w:line="240" w:lineRule="exact"/>
        <w:ind w:firstLine="480"/>
        <w:rPr>
          <w:rFonts w:hAnsi="宋体" w:cs="宋体"/>
          <w:szCs w:val="24"/>
        </w:rPr>
      </w:pPr>
      <w:r>
        <w:rPr>
          <w:rFonts w:hint="eastAsia" w:hAnsi="宋体" w:cs="宋体"/>
          <w:szCs w:val="24"/>
        </w:rPr>
        <w:t>15.激光打印机 1台</w:t>
      </w:r>
    </w:p>
    <w:p>
      <w:pPr>
        <w:ind w:firstLine="480"/>
        <w:rPr>
          <w:rFonts w:ascii="Times New Roman" w:hAnsi="Times New Roman" w:cs="Times New Roman"/>
          <w:b/>
          <w:szCs w:val="24"/>
        </w:rPr>
      </w:pPr>
      <w:r>
        <w:rPr>
          <w:rFonts w:hint="eastAsia" w:hAnsi="宋体" w:cs="宋体"/>
          <w:szCs w:val="24"/>
        </w:rPr>
        <w:t>●为确保售后服务和货物质量，投标方须提供厂家或国内总代理商针对本项目的授权书、售后服务承诺书及技术参数确认函，产品质保期为一年。</w:t>
      </w:r>
    </w:p>
    <w:p>
      <w:pPr>
        <w:spacing w:line="240" w:lineRule="auto"/>
        <w:ind w:firstLine="482"/>
        <w:rPr>
          <w:rFonts w:ascii="Times New Roman" w:hAnsi="Times New Roman" w:cs="Times New Roman"/>
          <w:b/>
          <w:szCs w:val="24"/>
        </w:rPr>
      </w:pPr>
    </w:p>
    <w:p>
      <w:pPr>
        <w:spacing w:line="240" w:lineRule="auto"/>
        <w:ind w:firstLine="562"/>
        <w:rPr>
          <w:rFonts w:hAnsi="宋体" w:cs="宋体"/>
          <w:b/>
          <w:bCs/>
          <w:sz w:val="28"/>
          <w:szCs w:val="28"/>
        </w:rPr>
      </w:pPr>
      <w:bookmarkStart w:id="25" w:name="OLE_LINK23"/>
      <w:r>
        <w:rPr>
          <w:rFonts w:hint="eastAsia" w:hAnsi="宋体" w:cs="宋体"/>
          <w:b/>
          <w:bCs/>
          <w:sz w:val="28"/>
          <w:szCs w:val="28"/>
        </w:rPr>
        <w:t>（三）</w:t>
      </w:r>
      <w:r>
        <w:rPr>
          <w:rFonts w:hAnsi="宋体" w:cs="宋体"/>
          <w:b/>
          <w:bCs/>
          <w:sz w:val="28"/>
          <w:szCs w:val="28"/>
        </w:rPr>
        <w:t>PP通风橱</w:t>
      </w:r>
      <w:r>
        <w:rPr>
          <w:rFonts w:hint="eastAsia" w:hAnsi="宋体" w:cs="宋体"/>
          <w:b/>
          <w:bCs/>
          <w:sz w:val="28"/>
          <w:szCs w:val="28"/>
        </w:rPr>
        <w:t xml:space="preserve">  22台</w:t>
      </w:r>
    </w:p>
    <w:bookmarkEnd w:id="25"/>
    <w:p>
      <w:pPr>
        <w:spacing w:line="240" w:lineRule="auto"/>
        <w:ind w:firstLine="482"/>
        <w:rPr>
          <w:rFonts w:ascii="Times New Roman" w:hAnsi="Times New Roman" w:cs="Times New Roman"/>
          <w:b/>
          <w:szCs w:val="24"/>
        </w:rPr>
      </w:pPr>
    </w:p>
    <w:p>
      <w:pPr>
        <w:spacing w:line="240" w:lineRule="auto"/>
        <w:ind w:firstLine="482"/>
        <w:rPr>
          <w:rFonts w:hAnsi="宋体" w:cs="宋体"/>
          <w:b/>
          <w:snapToGrid w:val="0"/>
          <w:szCs w:val="24"/>
        </w:rPr>
      </w:pPr>
      <w:r>
        <w:rPr>
          <w:rFonts w:hint="eastAsia" w:hAnsi="宋体" w:cs="宋体"/>
          <w:b/>
          <w:snapToGrid w:val="0"/>
          <w:szCs w:val="24"/>
        </w:rPr>
        <w:t>技术参数：</w:t>
      </w:r>
    </w:p>
    <w:p>
      <w:pPr>
        <w:ind w:firstLine="480"/>
        <w:rPr>
          <w:rFonts w:hAnsi="宋体" w:cs="宋体"/>
          <w:szCs w:val="24"/>
        </w:rPr>
      </w:pPr>
      <w:r>
        <w:rPr>
          <w:rFonts w:hint="eastAsia" w:hAnsi="宋体" w:cs="宋体"/>
          <w:szCs w:val="24"/>
        </w:rPr>
        <w:t>1、具有耐强酸、强碱与抗腐蚀的特性，克服了传统通风柜在高温浓酸环境下易生锈、变黄、龟裂等缺陷。</w:t>
      </w:r>
    </w:p>
    <w:p>
      <w:pPr>
        <w:ind w:firstLine="480"/>
        <w:rPr>
          <w:rFonts w:hAnsi="宋体" w:cs="宋体"/>
          <w:szCs w:val="24"/>
        </w:rPr>
      </w:pPr>
      <w:r>
        <w:rPr>
          <w:rFonts w:hint="eastAsia" w:hAnsi="宋体" w:cs="宋体"/>
          <w:szCs w:val="24"/>
        </w:rPr>
        <w:t>2、主框架：采用欧德利8mmPP瓷白板制作，经过卡扣工艺和螺丝连接组装而成。采用大量“口”型，“U”型 及“T”型加强结构，确保整体结实可靠，并可获得最大的承重能力。和传统PP通风柜（焊接工艺）相比具备了结构强、稳定性能更好以及可散件发货的优点。</w:t>
      </w:r>
    </w:p>
    <w:p>
      <w:pPr>
        <w:ind w:firstLine="480"/>
        <w:rPr>
          <w:rFonts w:hAnsi="宋体" w:cs="宋体"/>
          <w:szCs w:val="24"/>
        </w:rPr>
      </w:pPr>
      <w:r>
        <w:rPr>
          <w:rFonts w:hint="eastAsia" w:hAnsi="宋体" w:cs="宋体"/>
          <w:szCs w:val="24"/>
        </w:rPr>
        <w:t>3、采用8mm厚优质纯料PP(聚丙烯)板制作经过同色同质焊条一体焊接，耐酸碱性能优异，且耐候性极佳。</w:t>
      </w:r>
    </w:p>
    <w:p>
      <w:pPr>
        <w:ind w:firstLine="480"/>
        <w:rPr>
          <w:rFonts w:hAnsi="宋体" w:cs="宋体"/>
          <w:szCs w:val="24"/>
        </w:rPr>
      </w:pPr>
      <w:r>
        <w:rPr>
          <w:rFonts w:hint="eastAsia" w:hAnsi="宋体" w:cs="宋体"/>
          <w:szCs w:val="24"/>
        </w:rPr>
        <w:t>4、顶部采用顶罩式抽气设计,导流板采用同质PP材料制作，耐酸碱性能优异。安装尺寸科学合理，无气流死角，获取最大的废气捕捉性能。</w:t>
      </w:r>
    </w:p>
    <w:p>
      <w:pPr>
        <w:ind w:firstLine="480"/>
        <w:rPr>
          <w:rFonts w:hAnsi="宋体" w:cs="宋体"/>
          <w:szCs w:val="24"/>
        </w:rPr>
      </w:pPr>
      <w:r>
        <w:rPr>
          <w:rFonts w:hint="eastAsia" w:hAnsi="宋体" w:cs="宋体"/>
          <w:szCs w:val="24"/>
        </w:rPr>
        <w:t>5、台面: 采用8mm厚优质型材加纯料 PP(聚丙烯)板制作，可获得很好的承重能力，同时耐酸碱性能优异。</w:t>
      </w:r>
    </w:p>
    <w:p>
      <w:pPr>
        <w:ind w:firstLine="480"/>
        <w:rPr>
          <w:rFonts w:hAnsi="宋体" w:cs="宋体"/>
          <w:szCs w:val="24"/>
        </w:rPr>
      </w:pPr>
      <w:r>
        <w:rPr>
          <w:rFonts w:hint="eastAsia" w:hAnsi="宋体" w:cs="宋体"/>
          <w:szCs w:val="24"/>
        </w:rPr>
        <w:t>6、下部储物柜体同样用8mm厚优质型材加纯料 PP(聚丙烯)板制作，可获得很好的承重能力。</w:t>
      </w:r>
    </w:p>
    <w:p>
      <w:pPr>
        <w:ind w:firstLine="480"/>
        <w:rPr>
          <w:rFonts w:hAnsi="宋体" w:cs="宋体"/>
          <w:szCs w:val="24"/>
        </w:rPr>
      </w:pPr>
      <w:r>
        <w:rPr>
          <w:rFonts w:hint="eastAsia" w:hAnsi="宋体" w:cs="宋体"/>
          <w:szCs w:val="24"/>
        </w:rPr>
        <w:t>7、移动门：无段式设计，手感轻盈：</w:t>
      </w:r>
    </w:p>
    <w:p>
      <w:pPr>
        <w:numPr>
          <w:ilvl w:val="0"/>
          <w:numId w:val="3"/>
        </w:numPr>
        <w:ind w:firstLine="480"/>
        <w:rPr>
          <w:rFonts w:hAnsi="宋体" w:cs="宋体"/>
          <w:szCs w:val="24"/>
        </w:rPr>
      </w:pPr>
      <w:r>
        <w:rPr>
          <w:rFonts w:hint="eastAsia" w:hAnsi="宋体" w:cs="宋体"/>
          <w:szCs w:val="24"/>
        </w:rPr>
        <w:t>调节门玻璃：采用厚5mm钢化玻璃或PS透明板制作，使用性能优异。</w:t>
      </w:r>
    </w:p>
    <w:p>
      <w:pPr>
        <w:numPr>
          <w:ilvl w:val="0"/>
          <w:numId w:val="3"/>
        </w:numPr>
        <w:ind w:firstLine="480"/>
        <w:rPr>
          <w:rFonts w:hAnsi="宋体" w:cs="宋体"/>
          <w:szCs w:val="24"/>
        </w:rPr>
      </w:pPr>
      <w:r>
        <w:rPr>
          <w:rFonts w:hint="eastAsia" w:hAnsi="宋体" w:cs="宋体"/>
          <w:szCs w:val="24"/>
        </w:rPr>
        <w:t>调节门边框：为灰色PP c型槽，嵌入式结合，以确保安全及耐用性。</w:t>
      </w:r>
    </w:p>
    <w:p>
      <w:pPr>
        <w:ind w:firstLine="480"/>
        <w:rPr>
          <w:rFonts w:hAnsi="宋体" w:cs="宋体"/>
          <w:szCs w:val="24"/>
        </w:rPr>
      </w:pPr>
      <w:r>
        <w:rPr>
          <w:rFonts w:hint="eastAsia" w:hAnsi="宋体" w:cs="宋体"/>
          <w:szCs w:val="24"/>
        </w:rPr>
        <w:t>c.调节门悬吊钢索：每台通风柜调节门316不锈钢钢索连接。</w:t>
      </w:r>
    </w:p>
    <w:p>
      <w:pPr>
        <w:ind w:firstLine="480"/>
        <w:rPr>
          <w:rFonts w:hAnsi="宋体" w:cs="宋体"/>
          <w:szCs w:val="24"/>
        </w:rPr>
      </w:pPr>
      <w:r>
        <w:rPr>
          <w:rFonts w:hint="eastAsia" w:hAnsi="宋体" w:cs="宋体"/>
          <w:szCs w:val="24"/>
        </w:rPr>
        <w:t>d.调节门平衡配重：采PP材质配重箱设计。</w:t>
      </w:r>
    </w:p>
    <w:p>
      <w:pPr>
        <w:ind w:firstLine="480"/>
        <w:rPr>
          <w:rFonts w:hAnsi="宋体" w:cs="宋体"/>
          <w:szCs w:val="24"/>
        </w:rPr>
      </w:pPr>
      <w:r>
        <w:rPr>
          <w:rFonts w:hint="eastAsia" w:hAnsi="宋体" w:cs="宋体"/>
          <w:szCs w:val="24"/>
        </w:rPr>
        <w:t>e. 配重与玻璃视窗连接：标准钢丝配置，确保使用安全；</w:t>
      </w:r>
      <w:r>
        <w:rPr>
          <w:rFonts w:hint="eastAsia" w:hAnsi="宋体" w:cs="宋体"/>
          <w:szCs w:val="24"/>
        </w:rPr>
        <w:tab/>
      </w:r>
    </w:p>
    <w:p>
      <w:pPr>
        <w:ind w:firstLine="480"/>
        <w:rPr>
          <w:rFonts w:hAnsi="宋体" w:cs="宋体"/>
          <w:szCs w:val="24"/>
        </w:rPr>
      </w:pPr>
      <w:r>
        <w:rPr>
          <w:rFonts w:hint="eastAsia" w:hAnsi="宋体" w:cs="宋体"/>
          <w:szCs w:val="24"/>
        </w:rPr>
        <w:t>8、电路设备：</w:t>
      </w:r>
    </w:p>
    <w:p>
      <w:pPr>
        <w:numPr>
          <w:ilvl w:val="0"/>
          <w:numId w:val="4"/>
        </w:numPr>
        <w:ind w:firstLine="480"/>
        <w:rPr>
          <w:rFonts w:hAnsi="宋体" w:cs="宋体"/>
          <w:szCs w:val="24"/>
        </w:rPr>
      </w:pPr>
      <w:r>
        <w:rPr>
          <w:rFonts w:hint="eastAsia" w:hAnsi="宋体" w:cs="宋体"/>
          <w:szCs w:val="24"/>
        </w:rPr>
        <w:t>开关：采用带液晶显示功能的集成控制器面板，可视化控制各项参数，含风机开关，照明开关，总电源开关。</w:t>
      </w:r>
    </w:p>
    <w:p>
      <w:pPr>
        <w:ind w:firstLine="480"/>
        <w:rPr>
          <w:rFonts w:hAnsi="宋体" w:cs="宋体"/>
          <w:szCs w:val="24"/>
        </w:rPr>
      </w:pPr>
      <w:r>
        <w:rPr>
          <w:rFonts w:hint="eastAsia" w:hAnsi="宋体" w:cs="宋体"/>
          <w:szCs w:val="24"/>
        </w:rPr>
        <w:t>b. 插座部分：每台通风柜装设带防溅盖220V10A 电源插座4只（可选配大功率）。</w:t>
      </w:r>
    </w:p>
    <w:p>
      <w:pPr>
        <w:ind w:firstLine="480"/>
        <w:rPr>
          <w:rFonts w:hAnsi="宋体" w:cs="宋体"/>
          <w:szCs w:val="24"/>
        </w:rPr>
      </w:pPr>
      <w:r>
        <w:rPr>
          <w:rFonts w:hint="eastAsia" w:hAnsi="宋体" w:cs="宋体"/>
          <w:szCs w:val="24"/>
        </w:rPr>
        <w:t>9、其他配件：</w:t>
      </w:r>
    </w:p>
    <w:p>
      <w:pPr>
        <w:ind w:firstLine="480"/>
        <w:rPr>
          <w:rFonts w:hAnsi="宋体" w:cs="宋体"/>
          <w:szCs w:val="24"/>
        </w:rPr>
      </w:pPr>
      <w:r>
        <w:rPr>
          <w:rFonts w:hint="eastAsia" w:hAnsi="宋体" w:cs="宋体"/>
          <w:szCs w:val="24"/>
        </w:rPr>
        <w:t>  门把手： 耐酸碱PP材质（颜色可选: 湛蓝，磁白，）</w:t>
      </w:r>
    </w:p>
    <w:p>
      <w:pPr>
        <w:ind w:firstLine="480"/>
        <w:rPr>
          <w:rFonts w:hAnsi="宋体" w:cs="宋体"/>
          <w:szCs w:val="24"/>
        </w:rPr>
      </w:pPr>
      <w:r>
        <w:rPr>
          <w:rFonts w:hint="eastAsia" w:hAnsi="宋体" w:cs="宋体"/>
          <w:szCs w:val="24"/>
        </w:rPr>
        <w:t>  门合页： 耐酸碱PP材质（颜色可选: 湛蓝，磁白，）</w:t>
      </w:r>
    </w:p>
    <w:p>
      <w:pPr>
        <w:ind w:firstLine="480"/>
        <w:rPr>
          <w:rFonts w:hAnsi="宋体" w:cs="宋体"/>
          <w:szCs w:val="24"/>
        </w:rPr>
      </w:pPr>
      <w:r>
        <w:rPr>
          <w:rFonts w:hint="eastAsia" w:hAnsi="宋体" w:cs="宋体"/>
          <w:szCs w:val="24"/>
        </w:rPr>
        <w:t>  导流夹： 耐酸碱PP材质（颜色可选: 湛蓝，浅灰、黑色）</w:t>
      </w:r>
    </w:p>
    <w:p>
      <w:pPr>
        <w:spacing w:line="240" w:lineRule="exact"/>
        <w:ind w:firstLine="480"/>
        <w:rPr>
          <w:rFonts w:hAnsi="宋体" w:cs="宋体"/>
          <w:szCs w:val="24"/>
        </w:rPr>
      </w:pPr>
      <w:r>
        <w:rPr>
          <w:rFonts w:hint="eastAsia" w:hAnsi="宋体" w:cs="宋体"/>
          <w:szCs w:val="24"/>
        </w:rPr>
        <w:t xml:space="preserve">  </w:t>
      </w:r>
      <w:r>
        <w:rPr>
          <w:rFonts w:hAnsi="宋体" w:cs="宋体"/>
          <w:szCs w:val="24"/>
        </w:rPr>
        <w:t xml:space="preserve">   </w:t>
      </w:r>
      <w:r>
        <w:rPr>
          <w:rFonts w:hint="eastAsia" w:hAnsi="宋体" w:cs="宋体"/>
          <w:szCs w:val="24"/>
        </w:rPr>
        <w:t>照明：  采用防水、防尘、抗冲击 三防照明灯具，快速换修设计</w:t>
      </w:r>
      <w:r>
        <w:rPr>
          <w:rFonts w:hint="eastAsia" w:hAnsi="宋体" w:cs="宋体"/>
          <w:szCs w:val="24"/>
        </w:rPr>
        <w:tab/>
      </w:r>
    </w:p>
    <w:p>
      <w:pPr>
        <w:spacing w:line="240" w:lineRule="auto"/>
        <w:ind w:firstLine="480"/>
        <w:rPr>
          <w:rFonts w:ascii="Times New Roman" w:hAnsi="Times New Roman" w:cs="Times New Roman"/>
          <w:b/>
          <w:szCs w:val="24"/>
        </w:rPr>
      </w:pPr>
      <w:r>
        <w:rPr>
          <w:rFonts w:hint="eastAsia" w:hAnsi="宋体" w:cs="宋体"/>
          <w:szCs w:val="24"/>
        </w:rPr>
        <w:t>10、外形尺寸：</w:t>
      </w:r>
      <w:r>
        <w:rPr>
          <w:rFonts w:hint="eastAsia" w:hAnsi="宋体"/>
          <w:color w:val="000000"/>
          <w:szCs w:val="24"/>
        </w:rPr>
        <w:t>1</w:t>
      </w:r>
      <w:r>
        <w:rPr>
          <w:rFonts w:hAnsi="宋体"/>
          <w:color w:val="000000"/>
          <w:szCs w:val="24"/>
        </w:rPr>
        <w:t>200</w:t>
      </w:r>
      <w:r>
        <w:rPr>
          <w:rFonts w:hint="eastAsia" w:hAnsi="宋体"/>
          <w:color w:val="000000"/>
          <w:szCs w:val="24"/>
        </w:rPr>
        <w:t>*</w:t>
      </w:r>
      <w:r>
        <w:rPr>
          <w:rFonts w:hAnsi="宋体"/>
          <w:color w:val="000000"/>
          <w:szCs w:val="24"/>
        </w:rPr>
        <w:t>850</w:t>
      </w:r>
      <w:r>
        <w:rPr>
          <w:rFonts w:hint="eastAsia" w:hAnsi="宋体"/>
          <w:color w:val="000000"/>
          <w:szCs w:val="24"/>
        </w:rPr>
        <w:t>*2</w:t>
      </w:r>
      <w:r>
        <w:rPr>
          <w:rFonts w:hAnsi="宋体"/>
          <w:color w:val="000000"/>
          <w:szCs w:val="24"/>
        </w:rPr>
        <w:t>350</w:t>
      </w:r>
      <w:r>
        <w:rPr>
          <w:rFonts w:hint="eastAsia" w:hAnsi="宋体"/>
          <w:color w:val="000000"/>
          <w:szCs w:val="24"/>
        </w:rPr>
        <w:t>mm</w:t>
      </w:r>
    </w:p>
    <w:p>
      <w:pPr>
        <w:spacing w:line="240" w:lineRule="auto"/>
        <w:ind w:firstLine="480"/>
        <w:rPr>
          <w:rFonts w:hAnsi="宋体" w:cs="宋体"/>
          <w:szCs w:val="24"/>
        </w:rPr>
      </w:pPr>
      <w:r>
        <w:rPr>
          <w:rFonts w:hint="eastAsia" w:hAnsi="宋体" w:cs="宋体"/>
          <w:szCs w:val="24"/>
        </w:rPr>
        <w:t>11、质保期为一年</w:t>
      </w:r>
    </w:p>
    <w:p>
      <w:pPr>
        <w:spacing w:line="240" w:lineRule="auto"/>
        <w:ind w:firstLine="482"/>
        <w:rPr>
          <w:rFonts w:ascii="Times New Roman" w:hAnsi="Times New Roman" w:cs="Times New Roman"/>
          <w:b/>
          <w:szCs w:val="24"/>
        </w:rPr>
      </w:pPr>
    </w:p>
    <w:p>
      <w:pPr>
        <w:spacing w:line="240" w:lineRule="auto"/>
        <w:ind w:firstLine="562"/>
        <w:rPr>
          <w:rFonts w:hAnsi="宋体" w:cs="宋体"/>
          <w:b/>
          <w:bCs/>
          <w:sz w:val="28"/>
          <w:szCs w:val="28"/>
        </w:rPr>
      </w:pPr>
      <w:bookmarkStart w:id="26" w:name="OLE_LINK24"/>
      <w:r>
        <w:rPr>
          <w:rFonts w:hint="eastAsia" w:hAnsi="宋体" w:cs="宋体"/>
          <w:b/>
          <w:bCs/>
          <w:sz w:val="28"/>
          <w:szCs w:val="28"/>
        </w:rPr>
        <w:t>（四）</w:t>
      </w:r>
      <w:r>
        <w:rPr>
          <w:rFonts w:hAnsi="宋体" w:cs="宋体"/>
          <w:b/>
          <w:bCs/>
          <w:sz w:val="28"/>
          <w:szCs w:val="28"/>
        </w:rPr>
        <w:t>PP通风橱</w:t>
      </w:r>
      <w:r>
        <w:rPr>
          <w:rFonts w:hint="eastAsia" w:hAnsi="宋体" w:cs="宋体"/>
          <w:b/>
          <w:bCs/>
          <w:sz w:val="28"/>
          <w:szCs w:val="28"/>
        </w:rPr>
        <w:t xml:space="preserve">  6台</w:t>
      </w:r>
    </w:p>
    <w:bookmarkEnd w:id="26"/>
    <w:p>
      <w:pPr>
        <w:spacing w:line="240" w:lineRule="auto"/>
        <w:ind w:firstLine="482"/>
        <w:rPr>
          <w:rFonts w:ascii="Times New Roman" w:hAnsi="Times New Roman" w:cs="Times New Roman"/>
          <w:b/>
          <w:szCs w:val="24"/>
        </w:rPr>
      </w:pPr>
    </w:p>
    <w:p>
      <w:pPr>
        <w:spacing w:line="240" w:lineRule="exact"/>
        <w:ind w:firstLine="482"/>
        <w:rPr>
          <w:rFonts w:hAnsi="宋体"/>
          <w:b/>
          <w:color w:val="000000"/>
          <w:sz w:val="18"/>
          <w:szCs w:val="18"/>
        </w:rPr>
      </w:pPr>
      <w:r>
        <w:rPr>
          <w:rFonts w:hint="eastAsia" w:hAnsi="宋体" w:cs="宋体"/>
          <w:b/>
          <w:snapToGrid w:val="0"/>
          <w:szCs w:val="24"/>
        </w:rPr>
        <w:t>技术参数：</w:t>
      </w:r>
    </w:p>
    <w:p>
      <w:pPr>
        <w:ind w:firstLine="480"/>
        <w:rPr>
          <w:rFonts w:hAnsi="宋体" w:cs="宋体"/>
          <w:szCs w:val="24"/>
        </w:rPr>
      </w:pPr>
      <w:r>
        <w:rPr>
          <w:rFonts w:hint="eastAsia" w:hAnsi="宋体" w:cs="宋体"/>
          <w:szCs w:val="24"/>
        </w:rPr>
        <w:t>1、具有耐强酸、强碱与抗腐蚀的特性，克服了传统通风柜在高温浓酸环境下易生锈、变黄、龟裂等缺陷。</w:t>
      </w:r>
    </w:p>
    <w:p>
      <w:pPr>
        <w:ind w:firstLine="480"/>
        <w:rPr>
          <w:rFonts w:hAnsi="宋体" w:cs="宋体"/>
          <w:szCs w:val="24"/>
        </w:rPr>
      </w:pPr>
      <w:r>
        <w:rPr>
          <w:rFonts w:hint="eastAsia" w:hAnsi="宋体" w:cs="宋体"/>
          <w:szCs w:val="24"/>
        </w:rPr>
        <w:t>2、主框架：采用欧德利8mmPP瓷白板制作，经过卡扣工艺和螺丝连接组装而成。采用大量“口”型，“U”型 及“T”型加强结构，确保整体结实可靠，并可获得最大的承重能力。和传统PP通风柜（焊接工艺）相比具备了结构强、稳定性能更好以及可散件发货的优点。</w:t>
      </w:r>
    </w:p>
    <w:p>
      <w:pPr>
        <w:ind w:firstLine="480"/>
        <w:rPr>
          <w:rFonts w:hAnsi="宋体" w:cs="宋体"/>
          <w:szCs w:val="24"/>
        </w:rPr>
      </w:pPr>
      <w:r>
        <w:rPr>
          <w:rFonts w:hint="eastAsia" w:hAnsi="宋体" w:cs="宋体"/>
          <w:szCs w:val="24"/>
        </w:rPr>
        <w:t>3、采用8mm厚优质纯料PP(聚丙烯)板制作经过同色同质焊条一体焊接，耐酸碱性能优异，且耐候性极佳。</w:t>
      </w:r>
    </w:p>
    <w:p>
      <w:pPr>
        <w:ind w:firstLine="480"/>
        <w:rPr>
          <w:rFonts w:hAnsi="宋体" w:cs="宋体"/>
          <w:szCs w:val="24"/>
        </w:rPr>
      </w:pPr>
      <w:r>
        <w:rPr>
          <w:rFonts w:hint="eastAsia" w:hAnsi="宋体" w:cs="宋体"/>
          <w:szCs w:val="24"/>
        </w:rPr>
        <w:t>4、顶部采用顶罩式抽气设计,导流板采用同质PP材料制作，耐酸碱性能优异。安装尺寸科学合理，无气流死角，获取最大的废气捕捉性能。</w:t>
      </w:r>
    </w:p>
    <w:p>
      <w:pPr>
        <w:ind w:firstLine="480"/>
        <w:rPr>
          <w:rFonts w:hAnsi="宋体" w:cs="宋体"/>
          <w:szCs w:val="24"/>
        </w:rPr>
      </w:pPr>
      <w:r>
        <w:rPr>
          <w:rFonts w:hint="eastAsia" w:hAnsi="宋体" w:cs="宋体"/>
          <w:szCs w:val="24"/>
        </w:rPr>
        <w:t>5、台面: 采用8mm厚优质型材加纯料 PP(聚丙烯)板制作，可获得很好的承重能力，同时耐酸碱性能优异。</w:t>
      </w:r>
    </w:p>
    <w:p>
      <w:pPr>
        <w:ind w:firstLine="480"/>
        <w:rPr>
          <w:rFonts w:hAnsi="宋体" w:cs="宋体"/>
          <w:szCs w:val="24"/>
        </w:rPr>
      </w:pPr>
      <w:r>
        <w:rPr>
          <w:rFonts w:hint="eastAsia" w:hAnsi="宋体" w:cs="宋体"/>
          <w:szCs w:val="24"/>
        </w:rPr>
        <w:t>6、下部储物柜体同样用8mm厚优质型材加纯料 PP(聚丙烯)板制作，可获得很好的承重能力。</w:t>
      </w:r>
    </w:p>
    <w:p>
      <w:pPr>
        <w:ind w:firstLine="480"/>
        <w:rPr>
          <w:rFonts w:hAnsi="宋体" w:cs="宋体"/>
          <w:szCs w:val="24"/>
        </w:rPr>
      </w:pPr>
      <w:r>
        <w:rPr>
          <w:rFonts w:hint="eastAsia" w:hAnsi="宋体" w:cs="宋体"/>
          <w:szCs w:val="24"/>
        </w:rPr>
        <w:t>7、移动门：无段式设计，手感轻盈：</w:t>
      </w:r>
    </w:p>
    <w:p>
      <w:pPr>
        <w:numPr>
          <w:ilvl w:val="0"/>
          <w:numId w:val="3"/>
        </w:numPr>
        <w:ind w:firstLine="480"/>
        <w:rPr>
          <w:rFonts w:hAnsi="宋体" w:cs="宋体"/>
          <w:szCs w:val="24"/>
        </w:rPr>
      </w:pPr>
      <w:r>
        <w:rPr>
          <w:rFonts w:hint="eastAsia" w:hAnsi="宋体" w:cs="宋体"/>
          <w:szCs w:val="24"/>
        </w:rPr>
        <w:t>调节门玻璃：采用厚5mm钢化玻璃或PS透明板制作，使用性能优异。</w:t>
      </w:r>
    </w:p>
    <w:p>
      <w:pPr>
        <w:numPr>
          <w:ilvl w:val="0"/>
          <w:numId w:val="3"/>
        </w:numPr>
        <w:ind w:firstLine="480"/>
        <w:rPr>
          <w:rFonts w:hAnsi="宋体" w:cs="宋体"/>
          <w:szCs w:val="24"/>
        </w:rPr>
      </w:pPr>
      <w:r>
        <w:rPr>
          <w:rFonts w:hint="eastAsia" w:hAnsi="宋体" w:cs="宋体"/>
          <w:szCs w:val="24"/>
        </w:rPr>
        <w:t>调节门边框：为灰色PP c型槽，嵌入式结合，以确保安全及耐用性。</w:t>
      </w:r>
    </w:p>
    <w:p>
      <w:pPr>
        <w:ind w:firstLine="480"/>
        <w:rPr>
          <w:rFonts w:hAnsi="宋体" w:cs="宋体"/>
          <w:szCs w:val="24"/>
        </w:rPr>
      </w:pPr>
      <w:r>
        <w:rPr>
          <w:rFonts w:hint="eastAsia" w:hAnsi="宋体" w:cs="宋体"/>
          <w:szCs w:val="24"/>
        </w:rPr>
        <w:t>c.调节门悬吊钢索：每台通风柜调节门316不锈钢钢索连接。</w:t>
      </w:r>
    </w:p>
    <w:p>
      <w:pPr>
        <w:ind w:firstLine="480"/>
        <w:rPr>
          <w:rFonts w:hAnsi="宋体" w:cs="宋体"/>
          <w:szCs w:val="24"/>
        </w:rPr>
      </w:pPr>
      <w:r>
        <w:rPr>
          <w:rFonts w:hint="eastAsia" w:hAnsi="宋体" w:cs="宋体"/>
          <w:szCs w:val="24"/>
        </w:rPr>
        <w:t>d.调节门平衡配重：采PP材质配重箱设计。</w:t>
      </w:r>
    </w:p>
    <w:p>
      <w:pPr>
        <w:ind w:firstLine="480"/>
        <w:rPr>
          <w:rFonts w:hAnsi="宋体" w:cs="宋体"/>
          <w:szCs w:val="24"/>
        </w:rPr>
      </w:pPr>
      <w:r>
        <w:rPr>
          <w:rFonts w:hint="eastAsia" w:hAnsi="宋体" w:cs="宋体"/>
          <w:szCs w:val="24"/>
        </w:rPr>
        <w:t>e. 配重与玻璃视窗连接：标准钢丝配置，确保使用安全；</w:t>
      </w:r>
      <w:r>
        <w:rPr>
          <w:rFonts w:hint="eastAsia" w:hAnsi="宋体" w:cs="宋体"/>
          <w:szCs w:val="24"/>
        </w:rPr>
        <w:tab/>
      </w:r>
    </w:p>
    <w:p>
      <w:pPr>
        <w:ind w:firstLine="480"/>
        <w:rPr>
          <w:rFonts w:hAnsi="宋体" w:cs="宋体"/>
          <w:szCs w:val="24"/>
        </w:rPr>
      </w:pPr>
      <w:r>
        <w:rPr>
          <w:rFonts w:hint="eastAsia" w:hAnsi="宋体" w:cs="宋体"/>
          <w:szCs w:val="24"/>
        </w:rPr>
        <w:t>8、电路设备：</w:t>
      </w:r>
    </w:p>
    <w:p>
      <w:pPr>
        <w:numPr>
          <w:ilvl w:val="0"/>
          <w:numId w:val="4"/>
        </w:numPr>
        <w:ind w:firstLine="480"/>
        <w:rPr>
          <w:rFonts w:hAnsi="宋体" w:cs="宋体"/>
          <w:szCs w:val="24"/>
        </w:rPr>
      </w:pPr>
      <w:r>
        <w:rPr>
          <w:rFonts w:hint="eastAsia" w:hAnsi="宋体" w:cs="宋体"/>
          <w:szCs w:val="24"/>
        </w:rPr>
        <w:t>开关：采用带液晶显示功能的集成控制器面板，可视化控制各项参数，含风机开关，照明开关，总电源开关。</w:t>
      </w:r>
    </w:p>
    <w:p>
      <w:pPr>
        <w:ind w:firstLine="480"/>
        <w:rPr>
          <w:rFonts w:hAnsi="宋体" w:cs="宋体"/>
          <w:szCs w:val="24"/>
        </w:rPr>
      </w:pPr>
      <w:r>
        <w:rPr>
          <w:rFonts w:hint="eastAsia" w:hAnsi="宋体" w:cs="宋体"/>
          <w:szCs w:val="24"/>
        </w:rPr>
        <w:t>b. 插座部分：每台通风柜装设带防溅盖220V10A 电源插座4只（可选配大功率）。</w:t>
      </w:r>
    </w:p>
    <w:p>
      <w:pPr>
        <w:ind w:firstLine="480"/>
        <w:rPr>
          <w:rFonts w:hAnsi="宋体" w:cs="宋体"/>
          <w:szCs w:val="24"/>
        </w:rPr>
      </w:pPr>
      <w:r>
        <w:rPr>
          <w:rFonts w:hint="eastAsia" w:hAnsi="宋体" w:cs="宋体"/>
          <w:szCs w:val="24"/>
        </w:rPr>
        <w:t>9、其他配件：</w:t>
      </w:r>
    </w:p>
    <w:p>
      <w:pPr>
        <w:ind w:firstLine="480"/>
        <w:rPr>
          <w:rFonts w:hAnsi="宋体" w:cs="宋体"/>
          <w:szCs w:val="24"/>
        </w:rPr>
      </w:pPr>
      <w:r>
        <w:rPr>
          <w:rFonts w:hint="eastAsia" w:hAnsi="宋体" w:cs="宋体"/>
          <w:szCs w:val="24"/>
        </w:rPr>
        <w:t>  门把手： 耐酸碱PP材质（颜色可选: 湛蓝，磁白，）</w:t>
      </w:r>
    </w:p>
    <w:p>
      <w:pPr>
        <w:ind w:firstLine="480"/>
        <w:rPr>
          <w:rFonts w:hAnsi="宋体" w:cs="宋体"/>
          <w:szCs w:val="24"/>
        </w:rPr>
      </w:pPr>
      <w:r>
        <w:rPr>
          <w:rFonts w:hint="eastAsia" w:hAnsi="宋体" w:cs="宋体"/>
          <w:szCs w:val="24"/>
        </w:rPr>
        <w:t>  门合页： 耐酸碱PP材质（颜色可选: 湛蓝，磁白，）</w:t>
      </w:r>
    </w:p>
    <w:p>
      <w:pPr>
        <w:ind w:firstLine="480"/>
        <w:rPr>
          <w:rFonts w:hAnsi="宋体" w:cs="宋体"/>
          <w:szCs w:val="24"/>
        </w:rPr>
      </w:pPr>
      <w:r>
        <w:rPr>
          <w:rFonts w:hint="eastAsia" w:hAnsi="宋体" w:cs="宋体"/>
          <w:szCs w:val="24"/>
        </w:rPr>
        <w:t>  导流夹： 耐酸碱PP材质（颜色可选: 湛蓝，浅灰、黑色）</w:t>
      </w:r>
    </w:p>
    <w:p>
      <w:pPr>
        <w:spacing w:line="240" w:lineRule="exact"/>
        <w:ind w:firstLine="480"/>
        <w:rPr>
          <w:rFonts w:hAnsi="宋体" w:cs="宋体"/>
          <w:szCs w:val="24"/>
        </w:rPr>
      </w:pPr>
      <w:r>
        <w:rPr>
          <w:rFonts w:hint="eastAsia" w:hAnsi="宋体" w:cs="宋体"/>
          <w:szCs w:val="24"/>
        </w:rPr>
        <w:t xml:space="preserve">  </w:t>
      </w:r>
      <w:r>
        <w:rPr>
          <w:rFonts w:hAnsi="宋体" w:cs="宋体"/>
          <w:szCs w:val="24"/>
        </w:rPr>
        <w:t xml:space="preserve">   </w:t>
      </w:r>
      <w:r>
        <w:rPr>
          <w:rFonts w:hint="eastAsia" w:hAnsi="宋体" w:cs="宋体"/>
          <w:szCs w:val="24"/>
        </w:rPr>
        <w:t>照明：  采用防水、防尘、抗冲击 三防照明灯具，快速换修设计</w:t>
      </w:r>
    </w:p>
    <w:p>
      <w:pPr>
        <w:spacing w:line="240" w:lineRule="auto"/>
        <w:ind w:firstLine="480"/>
        <w:rPr>
          <w:rFonts w:ascii="Times New Roman" w:hAnsi="Times New Roman" w:cs="Times New Roman"/>
          <w:b/>
          <w:szCs w:val="24"/>
        </w:rPr>
      </w:pPr>
      <w:r>
        <w:rPr>
          <w:rFonts w:hint="eastAsia" w:hAnsi="宋体" w:cs="宋体"/>
          <w:szCs w:val="24"/>
        </w:rPr>
        <w:t>10、外形尺寸：</w:t>
      </w:r>
      <w:r>
        <w:rPr>
          <w:rFonts w:hint="eastAsia" w:hAnsi="宋体"/>
          <w:color w:val="000000"/>
          <w:szCs w:val="24"/>
        </w:rPr>
        <w:t>15</w:t>
      </w:r>
      <w:r>
        <w:rPr>
          <w:rFonts w:hAnsi="宋体"/>
          <w:color w:val="000000"/>
          <w:szCs w:val="24"/>
        </w:rPr>
        <w:t>00</w:t>
      </w:r>
      <w:r>
        <w:rPr>
          <w:rFonts w:hint="eastAsia" w:hAnsi="宋体"/>
          <w:color w:val="000000"/>
          <w:szCs w:val="24"/>
        </w:rPr>
        <w:t>*</w:t>
      </w:r>
      <w:r>
        <w:rPr>
          <w:rFonts w:hAnsi="宋体"/>
          <w:color w:val="000000"/>
          <w:szCs w:val="24"/>
        </w:rPr>
        <w:t>850</w:t>
      </w:r>
      <w:r>
        <w:rPr>
          <w:rFonts w:hint="eastAsia" w:hAnsi="宋体"/>
          <w:color w:val="000000"/>
          <w:szCs w:val="24"/>
        </w:rPr>
        <w:t>*2</w:t>
      </w:r>
      <w:r>
        <w:rPr>
          <w:rFonts w:hAnsi="宋体"/>
          <w:color w:val="000000"/>
          <w:szCs w:val="24"/>
        </w:rPr>
        <w:t>350</w:t>
      </w:r>
      <w:r>
        <w:rPr>
          <w:rFonts w:hint="eastAsia" w:hAnsi="宋体"/>
          <w:color w:val="000000"/>
          <w:szCs w:val="24"/>
        </w:rPr>
        <w:t>mm</w:t>
      </w:r>
    </w:p>
    <w:p>
      <w:pPr>
        <w:spacing w:line="240" w:lineRule="auto"/>
        <w:ind w:firstLine="480"/>
        <w:rPr>
          <w:rFonts w:hAnsi="宋体" w:cs="宋体"/>
          <w:szCs w:val="24"/>
        </w:rPr>
      </w:pPr>
      <w:r>
        <w:rPr>
          <w:rFonts w:hint="eastAsia" w:hAnsi="宋体" w:cs="宋体"/>
          <w:szCs w:val="24"/>
        </w:rPr>
        <w:t>11、质保期为一年</w:t>
      </w:r>
    </w:p>
    <w:p>
      <w:pPr>
        <w:spacing w:line="240" w:lineRule="auto"/>
        <w:ind w:firstLine="482"/>
        <w:rPr>
          <w:rFonts w:ascii="Times New Roman" w:hAnsi="Times New Roman" w:cs="Times New Roman"/>
          <w:b/>
          <w:szCs w:val="24"/>
        </w:rPr>
      </w:pPr>
    </w:p>
    <w:p>
      <w:pPr>
        <w:spacing w:line="240" w:lineRule="auto"/>
        <w:ind w:firstLine="562"/>
        <w:rPr>
          <w:rFonts w:hAnsi="宋体" w:cs="宋体"/>
          <w:b/>
          <w:bCs/>
          <w:sz w:val="28"/>
          <w:szCs w:val="28"/>
        </w:rPr>
      </w:pPr>
      <w:bookmarkStart w:id="27" w:name="OLE_LINK25"/>
      <w:r>
        <w:rPr>
          <w:rFonts w:hint="eastAsia" w:hAnsi="宋体" w:cs="宋体"/>
          <w:b/>
          <w:bCs/>
          <w:sz w:val="28"/>
          <w:szCs w:val="28"/>
        </w:rPr>
        <w:t>（五）</w:t>
      </w:r>
      <w:r>
        <w:rPr>
          <w:rFonts w:hAnsi="宋体" w:cs="宋体"/>
          <w:b/>
          <w:bCs/>
          <w:sz w:val="28"/>
          <w:szCs w:val="28"/>
        </w:rPr>
        <w:t>实验室通风及尾气系统</w:t>
      </w:r>
      <w:r>
        <w:rPr>
          <w:rFonts w:hint="eastAsia" w:hAnsi="宋体" w:cs="宋体"/>
          <w:b/>
          <w:bCs/>
          <w:sz w:val="28"/>
          <w:szCs w:val="28"/>
        </w:rPr>
        <w:t xml:space="preserve">  2台</w:t>
      </w:r>
      <w:bookmarkEnd w:id="27"/>
    </w:p>
    <w:p>
      <w:pPr>
        <w:spacing w:line="240" w:lineRule="auto"/>
        <w:ind w:firstLine="482"/>
        <w:rPr>
          <w:rFonts w:ascii="Times New Roman" w:hAnsi="Times New Roman" w:cs="Times New Roman"/>
          <w:b/>
          <w:szCs w:val="24"/>
        </w:rPr>
      </w:pPr>
    </w:p>
    <w:p>
      <w:pPr>
        <w:spacing w:line="240" w:lineRule="exact"/>
        <w:ind w:firstLine="482"/>
        <w:rPr>
          <w:rFonts w:hAnsi="宋体" w:cs="宋体"/>
          <w:b/>
          <w:snapToGrid w:val="0"/>
          <w:szCs w:val="24"/>
        </w:rPr>
      </w:pPr>
      <w:r>
        <w:rPr>
          <w:rFonts w:hint="eastAsia" w:hAnsi="宋体" w:cs="宋体"/>
          <w:b/>
          <w:snapToGrid w:val="0"/>
          <w:szCs w:val="24"/>
        </w:rPr>
        <w:t>技术参数：</w:t>
      </w:r>
    </w:p>
    <w:p>
      <w:pPr>
        <w:numPr>
          <w:ilvl w:val="0"/>
          <w:numId w:val="5"/>
        </w:numPr>
        <w:ind w:firstLine="480"/>
        <w:rPr>
          <w:rFonts w:hAnsi="宋体" w:cs="宋体"/>
          <w:szCs w:val="24"/>
        </w:rPr>
      </w:pPr>
      <w:r>
        <w:rPr>
          <w:rFonts w:hint="eastAsia" w:hAnsi="宋体" w:cs="宋体"/>
          <w:szCs w:val="24"/>
        </w:rPr>
        <w:t xml:space="preserve">风机：11KW*2台  </w:t>
      </w:r>
    </w:p>
    <w:p>
      <w:pPr>
        <w:numPr>
          <w:ilvl w:val="0"/>
          <w:numId w:val="5"/>
        </w:numPr>
        <w:ind w:firstLine="480"/>
        <w:rPr>
          <w:rFonts w:hAnsi="宋体" w:cs="宋体"/>
          <w:szCs w:val="24"/>
        </w:rPr>
      </w:pPr>
      <w:r>
        <w:rPr>
          <w:rFonts w:hint="eastAsia" w:hAnsi="宋体" w:cs="宋体"/>
          <w:szCs w:val="24"/>
        </w:rPr>
        <w:t xml:space="preserve">风量智能变频控制系统：11kw*2台，可智能控制风机功率，根据通风橱及药品柜开启数量智能变频控制，节能省电，提高风机使用寿命    </w:t>
      </w:r>
    </w:p>
    <w:p>
      <w:pPr>
        <w:numPr>
          <w:ilvl w:val="0"/>
          <w:numId w:val="5"/>
        </w:numPr>
        <w:ind w:firstLine="480"/>
        <w:rPr>
          <w:rFonts w:hAnsi="宋体" w:cs="宋体"/>
          <w:szCs w:val="24"/>
        </w:rPr>
      </w:pPr>
      <w:r>
        <w:rPr>
          <w:rFonts w:hint="eastAsia" w:hAnsi="宋体" w:cs="宋体"/>
          <w:szCs w:val="24"/>
        </w:rPr>
        <w:t xml:space="preserve">尾气吸附系统：内置有机溶剂吸附系统2套，避免环境污染             </w:t>
      </w:r>
    </w:p>
    <w:p>
      <w:pPr>
        <w:numPr>
          <w:ilvl w:val="0"/>
          <w:numId w:val="5"/>
        </w:numPr>
        <w:ind w:firstLine="480"/>
        <w:rPr>
          <w:rFonts w:hAnsi="宋体" w:cs="宋体"/>
          <w:szCs w:val="24"/>
        </w:rPr>
      </w:pPr>
      <w:r>
        <w:rPr>
          <w:rFonts w:hint="eastAsia" w:hAnsi="宋体" w:cs="宋体"/>
          <w:szCs w:val="24"/>
        </w:rPr>
        <w:t xml:space="preserve">消声器：1000*1200mm 2套，降低风机噪音污染           </w:t>
      </w:r>
    </w:p>
    <w:p>
      <w:pPr>
        <w:numPr>
          <w:ilvl w:val="0"/>
          <w:numId w:val="5"/>
        </w:numPr>
        <w:ind w:firstLine="480"/>
        <w:rPr>
          <w:rFonts w:hAnsi="宋体" w:cs="宋体"/>
          <w:szCs w:val="24"/>
        </w:rPr>
      </w:pPr>
      <w:r>
        <w:rPr>
          <w:rFonts w:hint="eastAsia" w:hAnsi="宋体" w:cs="宋体"/>
          <w:szCs w:val="24"/>
        </w:rPr>
        <w:t xml:space="preserve">风量智能控制面板：6套           </w:t>
      </w:r>
    </w:p>
    <w:p>
      <w:pPr>
        <w:numPr>
          <w:ilvl w:val="0"/>
          <w:numId w:val="5"/>
        </w:numPr>
        <w:ind w:firstLine="480"/>
        <w:rPr>
          <w:rFonts w:hAnsi="宋体" w:cs="宋体"/>
          <w:szCs w:val="24"/>
        </w:rPr>
      </w:pPr>
      <w:r>
        <w:rPr>
          <w:rFonts w:hint="eastAsia" w:hAnsi="宋体" w:cs="宋体"/>
          <w:szCs w:val="24"/>
        </w:rPr>
        <w:t xml:space="preserve">高空作业方形风管：2套，含风管墙体固定等焊接作业，直通楼顶, 风管长度不超过80米。               </w:t>
      </w:r>
    </w:p>
    <w:p>
      <w:pPr>
        <w:numPr>
          <w:ilvl w:val="0"/>
          <w:numId w:val="5"/>
        </w:numPr>
        <w:ind w:firstLine="480"/>
        <w:rPr>
          <w:rFonts w:hAnsi="宋体" w:cs="宋体"/>
          <w:szCs w:val="24"/>
        </w:rPr>
      </w:pPr>
      <w:r>
        <w:rPr>
          <w:rFonts w:hint="eastAsia" w:hAnsi="宋体" w:cs="宋体"/>
          <w:szCs w:val="24"/>
        </w:rPr>
        <w:t xml:space="preserve">圆形风管：约200m，连接通风橱和药品柜         </w:t>
      </w:r>
    </w:p>
    <w:p>
      <w:pPr>
        <w:ind w:firstLine="480"/>
        <w:rPr>
          <w:rFonts w:hAnsi="宋体" w:cs="宋体"/>
          <w:szCs w:val="24"/>
        </w:rPr>
      </w:pPr>
      <w:r>
        <w:rPr>
          <w:rFonts w:hint="eastAsia" w:hAnsi="宋体" w:cs="宋体"/>
          <w:szCs w:val="24"/>
        </w:rPr>
        <w:t>8、380V电路改造，含电缆，控制箱，电线等</w:t>
      </w:r>
    </w:p>
    <w:p>
      <w:pPr>
        <w:ind w:firstLine="480"/>
        <w:rPr>
          <w:rFonts w:hAnsi="宋体" w:cs="宋体"/>
          <w:szCs w:val="24"/>
        </w:rPr>
      </w:pPr>
      <w:r>
        <w:rPr>
          <w:rFonts w:hint="eastAsia" w:hAnsi="宋体" w:cs="宋体"/>
          <w:szCs w:val="24"/>
        </w:rPr>
        <w:t>9、须拆除原实验室36套通风橱，并清理搬运至指定位置</w:t>
      </w:r>
    </w:p>
    <w:p>
      <w:pPr>
        <w:spacing w:line="240" w:lineRule="auto"/>
        <w:ind w:firstLine="480"/>
        <w:rPr>
          <w:rFonts w:hAnsi="宋体" w:cs="宋体"/>
          <w:szCs w:val="24"/>
        </w:rPr>
      </w:pPr>
      <w:r>
        <w:rPr>
          <w:rFonts w:hint="eastAsia" w:hAnsi="宋体" w:cs="宋体"/>
          <w:szCs w:val="24"/>
        </w:rPr>
        <w:t>10、须确保36套或以上通风橱排风顺畅，达到通风橱风速标准，并确保尾气处理达到环保排放标准</w:t>
      </w:r>
    </w:p>
    <w:p>
      <w:pPr>
        <w:spacing w:line="240" w:lineRule="auto"/>
        <w:ind w:firstLine="480"/>
        <w:rPr>
          <w:rFonts w:hAnsi="宋体" w:cs="宋体"/>
          <w:szCs w:val="24"/>
        </w:rPr>
      </w:pPr>
      <w:r>
        <w:rPr>
          <w:rFonts w:hint="eastAsia" w:hAnsi="宋体" w:cs="宋体"/>
          <w:szCs w:val="24"/>
        </w:rPr>
        <w:t>11、质保期为一年</w:t>
      </w:r>
    </w:p>
    <w:p>
      <w:pPr>
        <w:ind w:firstLine="562"/>
        <w:rPr>
          <w:rFonts w:ascii="Times New Roman" w:hAnsi="Times New Roman" w:cs="Times New Roman"/>
          <w:b/>
          <w:szCs w:val="24"/>
        </w:rPr>
      </w:pPr>
      <w:bookmarkStart w:id="28" w:name="OLE_LINK26"/>
      <w:r>
        <w:rPr>
          <w:rFonts w:hint="eastAsia" w:hAnsi="宋体" w:cs="宋体"/>
          <w:b/>
          <w:bCs/>
          <w:sz w:val="28"/>
          <w:szCs w:val="28"/>
        </w:rPr>
        <w:t>（六）</w:t>
      </w:r>
      <w:r>
        <w:rPr>
          <w:rFonts w:hAnsi="宋体" w:cs="宋体"/>
          <w:b/>
          <w:bCs/>
          <w:sz w:val="28"/>
          <w:szCs w:val="28"/>
        </w:rPr>
        <w:t>通气型PP药品柜</w:t>
      </w:r>
      <w:r>
        <w:rPr>
          <w:rFonts w:hint="eastAsia" w:hAnsi="宋体" w:cs="宋体"/>
          <w:b/>
          <w:bCs/>
          <w:sz w:val="28"/>
          <w:szCs w:val="28"/>
        </w:rPr>
        <w:t xml:space="preserve"> 10台</w:t>
      </w:r>
      <w:bookmarkEnd w:id="28"/>
    </w:p>
    <w:p>
      <w:pPr>
        <w:spacing w:line="240" w:lineRule="exact"/>
        <w:ind w:firstLine="482"/>
        <w:rPr>
          <w:rFonts w:hAnsi="宋体" w:cs="宋体"/>
          <w:b/>
          <w:snapToGrid w:val="0"/>
          <w:szCs w:val="24"/>
        </w:rPr>
      </w:pPr>
      <w:r>
        <w:rPr>
          <w:rFonts w:hint="eastAsia" w:hAnsi="宋体" w:cs="宋体"/>
          <w:b/>
          <w:snapToGrid w:val="0"/>
          <w:szCs w:val="24"/>
        </w:rPr>
        <w:t>技术参数：</w:t>
      </w:r>
    </w:p>
    <w:p>
      <w:pPr>
        <w:adjustRightInd w:val="0"/>
        <w:snapToGrid w:val="0"/>
        <w:ind w:firstLine="480"/>
        <w:rPr>
          <w:rFonts w:hAnsi="宋体" w:cs="宋体"/>
          <w:szCs w:val="24"/>
        </w:rPr>
      </w:pPr>
      <w:r>
        <w:rPr>
          <w:rFonts w:hint="eastAsia" w:hAnsi="宋体" w:cs="宋体"/>
          <w:szCs w:val="24"/>
        </w:rPr>
        <w:t>1、PP药品柜：采用欧德利8mm进口瓷白色PP（聚丙烯）板材，经过同色同质焊条焊接而成 具有耐强酸、强碱与抗腐蚀</w:t>
      </w:r>
    </w:p>
    <w:p>
      <w:pPr>
        <w:adjustRightInd w:val="0"/>
        <w:snapToGrid w:val="0"/>
        <w:ind w:firstLine="480"/>
        <w:rPr>
          <w:rFonts w:hAnsi="宋体" w:cs="宋体"/>
          <w:szCs w:val="24"/>
        </w:rPr>
      </w:pPr>
      <w:r>
        <w:rPr>
          <w:rFonts w:hint="eastAsia" w:hAnsi="宋体" w:cs="宋体"/>
          <w:szCs w:val="24"/>
        </w:rPr>
        <w:t>2、柜体：柜体采用一体成型、无缝焊技术，极大的加强了柜体的结构性，有效的降低了柜体因热胀冷缩而引起的变形。</w:t>
      </w:r>
    </w:p>
    <w:p>
      <w:pPr>
        <w:adjustRightInd w:val="0"/>
        <w:snapToGrid w:val="0"/>
        <w:ind w:firstLine="480"/>
        <w:rPr>
          <w:rFonts w:hAnsi="宋体" w:cs="宋体"/>
          <w:szCs w:val="24"/>
        </w:rPr>
      </w:pPr>
      <w:r>
        <w:rPr>
          <w:rFonts w:hint="eastAsia" w:hAnsi="宋体" w:cs="宋体"/>
          <w:szCs w:val="24"/>
        </w:rPr>
        <w:t>3、层板：采用8mm厚优质纯料PP(聚丙烯)板制作经过同色同质焊条一体焊接 四周有立边，立边整体焊接成型，整体设计为活动式，可随意抽取放在合适的隔层，自由组合各层空间。层板正反均可放置，四周立边可获得一定程度防溢效果。</w:t>
      </w:r>
    </w:p>
    <w:p>
      <w:pPr>
        <w:adjustRightInd w:val="0"/>
        <w:snapToGrid w:val="0"/>
        <w:ind w:firstLine="480"/>
        <w:rPr>
          <w:rFonts w:hAnsi="宋体" w:cs="宋体"/>
          <w:szCs w:val="24"/>
        </w:rPr>
      </w:pPr>
      <w:r>
        <w:rPr>
          <w:rFonts w:hint="eastAsia" w:hAnsi="宋体" w:cs="宋体"/>
          <w:szCs w:val="24"/>
        </w:rPr>
        <w:t>4、视窗：采用5mm钢化玻璃制作，相比普通玻璃提升2~3倍的极冷极热性能，提高3~5倍的强度，而且极大的提高了安全性</w:t>
      </w:r>
    </w:p>
    <w:p>
      <w:pPr>
        <w:adjustRightInd w:val="0"/>
        <w:snapToGrid w:val="0"/>
        <w:ind w:firstLine="480"/>
        <w:rPr>
          <w:rFonts w:hAnsi="宋体" w:cs="宋体"/>
          <w:szCs w:val="24"/>
        </w:rPr>
      </w:pPr>
      <w:r>
        <w:rPr>
          <w:rFonts w:hint="eastAsia" w:hAnsi="宋体" w:cs="宋体"/>
          <w:szCs w:val="24"/>
        </w:rPr>
        <w:t>5、门把手： 耐酸碱PP材质，耐腐蚀性能好，（颜色可选:湛蓝，磁白）</w:t>
      </w:r>
      <w:r>
        <w:rPr>
          <w:rFonts w:hint="eastAsia" w:hAnsi="宋体" w:cs="宋体"/>
          <w:szCs w:val="24"/>
        </w:rPr>
        <w:tab/>
      </w:r>
      <w:r>
        <w:rPr>
          <w:rFonts w:hint="eastAsia" w:hAnsi="宋体" w:cs="宋体"/>
          <w:szCs w:val="24"/>
        </w:rPr>
        <w:tab/>
      </w:r>
      <w:r>
        <w:rPr>
          <w:rFonts w:hint="eastAsia" w:hAnsi="宋体" w:cs="宋体"/>
          <w:szCs w:val="24"/>
        </w:rPr>
        <w:t>6、门合页： 耐酸碱PP材质，耐腐蚀性能好，（颜色可选:湛蓝，磁白）</w:t>
      </w:r>
    </w:p>
    <w:p>
      <w:pPr>
        <w:spacing w:line="240" w:lineRule="auto"/>
        <w:ind w:firstLine="480"/>
        <w:rPr>
          <w:rFonts w:hAnsi="宋体" w:cs="宋体"/>
          <w:szCs w:val="24"/>
        </w:rPr>
      </w:pPr>
      <w:r>
        <w:rPr>
          <w:rFonts w:hint="eastAsia" w:hAnsi="宋体" w:cs="宋体"/>
          <w:szCs w:val="24"/>
        </w:rPr>
        <w:t>7、含顶部排风系统           900*450*1800</w:t>
      </w:r>
    </w:p>
    <w:p>
      <w:pPr>
        <w:spacing w:line="240" w:lineRule="auto"/>
        <w:ind w:firstLine="480"/>
        <w:rPr>
          <w:rFonts w:hAnsi="宋体" w:cs="宋体"/>
          <w:szCs w:val="24"/>
        </w:rPr>
      </w:pPr>
      <w:r>
        <w:rPr>
          <w:rFonts w:hint="eastAsia" w:hAnsi="宋体" w:cs="宋体"/>
          <w:szCs w:val="24"/>
        </w:rPr>
        <w:t>8、质保期为一年</w:t>
      </w:r>
    </w:p>
    <w:p>
      <w:pPr>
        <w:ind w:firstLine="480"/>
        <w:rPr>
          <w:rFonts w:hAnsi="宋体" w:cs="宋体"/>
          <w:szCs w:val="24"/>
        </w:rPr>
      </w:pPr>
    </w:p>
    <w:p>
      <w:pPr>
        <w:spacing w:line="240" w:lineRule="auto"/>
        <w:ind w:firstLine="562"/>
        <w:rPr>
          <w:rFonts w:hAnsi="宋体" w:cs="宋体"/>
          <w:b/>
          <w:bCs/>
          <w:sz w:val="28"/>
          <w:szCs w:val="28"/>
        </w:rPr>
      </w:pPr>
      <w:bookmarkStart w:id="29" w:name="OLE_LINK27"/>
      <w:r>
        <w:rPr>
          <w:rFonts w:hint="eastAsia" w:hAnsi="宋体" w:cs="宋体"/>
          <w:b/>
          <w:bCs/>
          <w:sz w:val="28"/>
          <w:szCs w:val="28"/>
        </w:rPr>
        <w:t>（七）</w:t>
      </w:r>
      <w:r>
        <w:rPr>
          <w:rFonts w:hAnsi="宋体" w:cs="宋体"/>
          <w:b/>
          <w:bCs/>
          <w:sz w:val="28"/>
          <w:szCs w:val="28"/>
        </w:rPr>
        <w:t>实验台</w:t>
      </w:r>
      <w:r>
        <w:rPr>
          <w:rFonts w:hint="eastAsia" w:hAnsi="宋体" w:cs="宋体"/>
          <w:b/>
          <w:bCs/>
          <w:sz w:val="28"/>
          <w:szCs w:val="28"/>
        </w:rPr>
        <w:t xml:space="preserve">  1台</w:t>
      </w:r>
      <w:bookmarkEnd w:id="29"/>
    </w:p>
    <w:p>
      <w:pPr>
        <w:spacing w:line="240" w:lineRule="exact"/>
        <w:ind w:firstLine="482"/>
        <w:rPr>
          <w:rFonts w:hAnsi="宋体" w:cs="宋体"/>
          <w:b/>
          <w:snapToGrid w:val="0"/>
          <w:szCs w:val="24"/>
        </w:rPr>
      </w:pPr>
    </w:p>
    <w:p>
      <w:pPr>
        <w:spacing w:line="240" w:lineRule="exact"/>
        <w:ind w:firstLine="482"/>
        <w:rPr>
          <w:rFonts w:hAnsi="宋体" w:cs="宋体"/>
          <w:b/>
          <w:snapToGrid w:val="0"/>
          <w:szCs w:val="24"/>
        </w:rPr>
      </w:pPr>
      <w:r>
        <w:rPr>
          <w:rFonts w:hint="eastAsia" w:hAnsi="宋体" w:cs="宋体"/>
          <w:b/>
          <w:snapToGrid w:val="0"/>
          <w:szCs w:val="24"/>
        </w:rPr>
        <w:t>技术参数：</w:t>
      </w:r>
    </w:p>
    <w:p>
      <w:pPr>
        <w:ind w:firstLine="480"/>
        <w:rPr>
          <w:rFonts w:hAnsi="宋体" w:cs="宋体"/>
          <w:szCs w:val="24"/>
        </w:rPr>
      </w:pPr>
      <w:r>
        <w:rPr>
          <w:rFonts w:hint="eastAsia" w:hAnsi="宋体" w:cs="宋体"/>
          <w:szCs w:val="24"/>
        </w:rPr>
        <w:t>1、钢木满柜，柜体内凹</w:t>
      </w:r>
      <w:r>
        <w:rPr>
          <w:rFonts w:hAnsi="宋体" w:cs="宋体"/>
          <w:szCs w:val="24"/>
        </w:rPr>
        <w:t>150mm。</w:t>
      </w:r>
    </w:p>
    <w:p>
      <w:pPr>
        <w:ind w:firstLine="480"/>
        <w:rPr>
          <w:rFonts w:hAnsi="宋体" w:cs="宋体"/>
          <w:szCs w:val="24"/>
        </w:rPr>
      </w:pPr>
      <w:r>
        <w:rPr>
          <w:rFonts w:hint="eastAsia" w:hAnsi="宋体" w:cs="宋体"/>
          <w:szCs w:val="24"/>
        </w:rPr>
        <w:t>2</w:t>
      </w:r>
      <w:r>
        <w:rPr>
          <w:rFonts w:hAnsi="宋体" w:cs="宋体"/>
          <w:szCs w:val="24"/>
        </w:rPr>
        <w:t>、台面：12.7mm墨绿色实芯理化板，边缘加厚，柜门及抽面为宝石蓝色。</w:t>
      </w:r>
    </w:p>
    <w:p>
      <w:pPr>
        <w:ind w:firstLine="480"/>
        <w:rPr>
          <w:rFonts w:hAnsi="宋体" w:cs="宋体"/>
          <w:bCs/>
          <w:color w:val="000000"/>
          <w:szCs w:val="24"/>
        </w:rPr>
      </w:pPr>
      <w:r>
        <w:rPr>
          <w:rFonts w:hint="eastAsia" w:hAnsi="宋体" w:cs="宋体"/>
          <w:szCs w:val="24"/>
        </w:rPr>
        <w:t>3、主</w:t>
      </w:r>
      <w:r>
        <w:rPr>
          <w:rFonts w:hint="eastAsia" w:hAnsi="宋体" w:cs="宋体"/>
          <w:bCs/>
          <w:color w:val="000000"/>
          <w:szCs w:val="24"/>
        </w:rPr>
        <w:t>台面：采用实验室专用13mm耐腐蚀台面板材，表面具备合理的耐酸碱性能、抗菌性能、耐冲击、韧性强、耐污染、易清洁、铅含量低操作面前缘上边经圆滑处理，采用实验室专用实芯理化板加工制作</w:t>
      </w:r>
    </w:p>
    <w:p>
      <w:pPr>
        <w:ind w:firstLine="480"/>
        <w:rPr>
          <w:rFonts w:hAnsi="宋体" w:cs="宋体"/>
          <w:szCs w:val="24"/>
        </w:rPr>
      </w:pPr>
      <w:r>
        <w:rPr>
          <w:rFonts w:hint="eastAsia" w:hAnsi="宋体" w:cs="宋体"/>
          <w:szCs w:val="24"/>
        </w:rPr>
        <w:t>4、含运输、搬运上楼、安装。</w:t>
      </w:r>
    </w:p>
    <w:p>
      <w:pPr>
        <w:spacing w:line="240" w:lineRule="auto"/>
        <w:ind w:firstLine="480"/>
        <w:rPr>
          <w:rFonts w:hAnsi="宋体" w:cs="宋体"/>
          <w:bCs/>
          <w:color w:val="000000"/>
          <w:szCs w:val="24"/>
        </w:rPr>
      </w:pPr>
      <w:r>
        <w:rPr>
          <w:rFonts w:hint="eastAsia" w:hAnsi="宋体" w:cs="宋体"/>
          <w:bCs/>
          <w:color w:val="000000"/>
          <w:szCs w:val="24"/>
        </w:rPr>
        <w:t>2100*750*850mm 3个；3600*750*850mm 3个；试剂架4500*250*750mm  1个</w:t>
      </w:r>
    </w:p>
    <w:p>
      <w:pPr>
        <w:spacing w:line="240" w:lineRule="auto"/>
        <w:ind w:firstLine="480"/>
        <w:rPr>
          <w:rFonts w:hAnsi="宋体" w:cs="宋体"/>
          <w:szCs w:val="24"/>
        </w:rPr>
      </w:pPr>
      <w:r>
        <w:rPr>
          <w:rFonts w:hint="eastAsia" w:hAnsi="宋体" w:cs="宋体"/>
          <w:szCs w:val="24"/>
        </w:rPr>
        <w:t>5、质保期为一年</w:t>
      </w:r>
    </w:p>
    <w:p>
      <w:pPr>
        <w:ind w:firstLine="480"/>
        <w:rPr>
          <w:rFonts w:hAnsi="宋体" w:cs="宋体"/>
          <w:bCs/>
          <w:color w:val="000000"/>
          <w:szCs w:val="24"/>
        </w:rPr>
      </w:pPr>
    </w:p>
    <w:p>
      <w:pPr>
        <w:spacing w:line="240" w:lineRule="auto"/>
        <w:ind w:firstLine="482"/>
        <w:rPr>
          <w:rFonts w:ascii="Times New Roman" w:hAnsi="Times New Roman" w:cs="Times New Roman"/>
          <w:b/>
          <w:szCs w:val="24"/>
        </w:rPr>
      </w:pPr>
      <w:r>
        <w:rPr>
          <w:rFonts w:hint="eastAsia" w:ascii="Times New Roman" w:hAnsi="Times New Roman" w:cs="Times New Roman"/>
          <w:b/>
          <w:szCs w:val="24"/>
        </w:rPr>
        <w:t>B包：材料物理化学方向（56.25万元）</w:t>
      </w:r>
    </w:p>
    <w:p>
      <w:pPr>
        <w:pStyle w:val="2"/>
        <w:numPr>
          <w:ilvl w:val="0"/>
          <w:numId w:val="6"/>
        </w:numPr>
        <w:spacing w:line="240" w:lineRule="auto"/>
        <w:ind w:left="240" w:right="240" w:firstLine="241" w:firstLineChars="100"/>
        <w:rPr>
          <w:rFonts w:ascii="Times New Roman" w:hAnsi="Times New Roman" w:eastAsia="宋体" w:cs="Times New Roman"/>
          <w:sz w:val="24"/>
          <w:szCs w:val="24"/>
        </w:rPr>
      </w:pPr>
      <w:r>
        <w:rPr>
          <w:rFonts w:ascii="Times New Roman" w:hAnsi="Times New Roman" w:eastAsia="宋体" w:cs="Times New Roman"/>
          <w:sz w:val="24"/>
          <w:szCs w:val="24"/>
        </w:rPr>
        <w:t>AAA级太阳光模拟器</w:t>
      </w:r>
      <w:r>
        <w:rPr>
          <w:rFonts w:hint="eastAsia" w:ascii="Times New Roman" w:hAnsi="Times New Roman" w:eastAsia="宋体" w:cs="Times New Roman"/>
          <w:sz w:val="24"/>
          <w:szCs w:val="24"/>
        </w:rPr>
        <w:t xml:space="preserve">  1台</w:t>
      </w:r>
    </w:p>
    <w:p>
      <w:pPr>
        <w:spacing w:line="240" w:lineRule="exact"/>
        <w:ind w:firstLine="482"/>
        <w:rPr>
          <w:rFonts w:hAnsi="宋体" w:cs="宋体"/>
          <w:b/>
          <w:snapToGrid w:val="0"/>
          <w:szCs w:val="24"/>
        </w:rPr>
      </w:pPr>
      <w:r>
        <w:rPr>
          <w:rFonts w:hint="eastAsia" w:hAnsi="宋体" w:cs="宋体"/>
          <w:b/>
          <w:snapToGrid w:val="0"/>
          <w:szCs w:val="24"/>
        </w:rPr>
        <w:t>原装进口</w:t>
      </w:r>
    </w:p>
    <w:p>
      <w:pPr>
        <w:spacing w:line="240" w:lineRule="exact"/>
        <w:ind w:firstLine="482"/>
        <w:rPr>
          <w:rFonts w:hAnsi="宋体" w:cs="宋体"/>
          <w:b/>
          <w:snapToGrid w:val="0"/>
          <w:szCs w:val="24"/>
        </w:rPr>
      </w:pPr>
      <w:r>
        <w:rPr>
          <w:rFonts w:hint="eastAsia" w:hAnsi="宋体" w:cs="宋体"/>
          <w:b/>
          <w:snapToGrid w:val="0"/>
          <w:szCs w:val="24"/>
        </w:rPr>
        <w:t>技术参数：</w:t>
      </w:r>
    </w:p>
    <w:p>
      <w:pPr>
        <w:numPr>
          <w:ilvl w:val="0"/>
          <w:numId w:val="7"/>
        </w:numPr>
        <w:adjustRightInd w:val="0"/>
        <w:snapToGrid w:val="0"/>
        <w:ind w:firstLine="480"/>
        <w:rPr>
          <w:rFonts w:hAnsi="宋体" w:cs="宋体"/>
          <w:szCs w:val="24"/>
        </w:rPr>
      </w:pPr>
      <w:r>
        <w:rPr>
          <w:rFonts w:hint="eastAsia" w:hAnsi="宋体" w:cs="宋体"/>
          <w:szCs w:val="24"/>
        </w:rPr>
        <w:t>★氙灯光源，灯功率：450W；</w:t>
      </w:r>
    </w:p>
    <w:p>
      <w:pPr>
        <w:numPr>
          <w:ilvl w:val="0"/>
          <w:numId w:val="7"/>
        </w:numPr>
        <w:adjustRightInd w:val="0"/>
        <w:snapToGrid w:val="0"/>
        <w:ind w:firstLine="480"/>
        <w:rPr>
          <w:rFonts w:hAnsi="宋体" w:cs="宋体"/>
          <w:szCs w:val="24"/>
        </w:rPr>
      </w:pPr>
      <w:r>
        <w:rPr>
          <w:rFonts w:hint="eastAsia" w:hAnsi="宋体" w:cs="宋体"/>
          <w:szCs w:val="24"/>
        </w:rPr>
        <w:t>输出光束尺寸：2*2in；</w:t>
      </w:r>
    </w:p>
    <w:p>
      <w:pPr>
        <w:numPr>
          <w:ilvl w:val="0"/>
          <w:numId w:val="7"/>
        </w:numPr>
        <w:adjustRightInd w:val="0"/>
        <w:snapToGrid w:val="0"/>
        <w:ind w:firstLine="480"/>
        <w:rPr>
          <w:rFonts w:hAnsi="宋体" w:cs="宋体"/>
          <w:szCs w:val="24"/>
        </w:rPr>
      </w:pPr>
      <w:r>
        <w:rPr>
          <w:rFonts w:hint="eastAsia" w:hAnsi="宋体" w:cs="宋体"/>
          <w:szCs w:val="24"/>
        </w:rPr>
        <w:t>光束均匀性：＜2%；</w:t>
      </w:r>
    </w:p>
    <w:p>
      <w:pPr>
        <w:numPr>
          <w:ilvl w:val="0"/>
          <w:numId w:val="7"/>
        </w:numPr>
        <w:adjustRightInd w:val="0"/>
        <w:snapToGrid w:val="0"/>
        <w:ind w:firstLine="480"/>
        <w:rPr>
          <w:rFonts w:hAnsi="宋体" w:cs="宋体"/>
          <w:szCs w:val="24"/>
        </w:rPr>
      </w:pPr>
      <w:r>
        <w:rPr>
          <w:rFonts w:hint="eastAsia" w:hAnsi="宋体" w:cs="宋体"/>
          <w:szCs w:val="24"/>
        </w:rPr>
        <w:t>光束发散角（半角）：＜±4°；</w:t>
      </w:r>
    </w:p>
    <w:p>
      <w:pPr>
        <w:numPr>
          <w:ilvl w:val="0"/>
          <w:numId w:val="7"/>
        </w:numPr>
        <w:adjustRightInd w:val="0"/>
        <w:snapToGrid w:val="0"/>
        <w:ind w:firstLine="480"/>
        <w:rPr>
          <w:rFonts w:hAnsi="宋体" w:cs="宋体"/>
          <w:szCs w:val="24"/>
        </w:rPr>
      </w:pPr>
      <w:r>
        <w:rPr>
          <w:rFonts w:hint="eastAsia" w:hAnsi="宋体" w:cs="宋体"/>
          <w:szCs w:val="24"/>
        </w:rPr>
        <w:t>典型输出功率：100mW/cm2（1sun）±20%Adjustable；</w:t>
      </w:r>
    </w:p>
    <w:p>
      <w:pPr>
        <w:numPr>
          <w:ilvl w:val="0"/>
          <w:numId w:val="7"/>
        </w:numPr>
        <w:adjustRightInd w:val="0"/>
        <w:snapToGrid w:val="0"/>
        <w:ind w:firstLine="480"/>
        <w:rPr>
          <w:rFonts w:hAnsi="宋体" w:cs="宋体"/>
          <w:szCs w:val="24"/>
        </w:rPr>
      </w:pPr>
      <w:r>
        <w:rPr>
          <w:rFonts w:hint="eastAsia" w:hAnsi="宋体" w:cs="宋体"/>
          <w:szCs w:val="24"/>
        </w:rPr>
        <w:t>光谱匹配等级A (IEC 60904-9 2007) A (JIS 8904-9 2017) A (ASTM E927-10 2015)</w:t>
      </w:r>
    </w:p>
    <w:p>
      <w:pPr>
        <w:numPr>
          <w:ilvl w:val="0"/>
          <w:numId w:val="7"/>
        </w:numPr>
        <w:adjustRightInd w:val="0"/>
        <w:snapToGrid w:val="0"/>
        <w:ind w:firstLine="480"/>
        <w:rPr>
          <w:rFonts w:hAnsi="宋体" w:cs="宋体"/>
          <w:szCs w:val="24"/>
        </w:rPr>
      </w:pPr>
      <w:r>
        <w:rPr>
          <w:rFonts w:hint="eastAsia" w:hAnsi="宋体" w:cs="宋体"/>
          <w:szCs w:val="24"/>
        </w:rPr>
        <w:t>★时间不稳定性：＜0.5%STI≤2.0%LTI;</w:t>
      </w:r>
    </w:p>
    <w:p>
      <w:pPr>
        <w:numPr>
          <w:ilvl w:val="0"/>
          <w:numId w:val="7"/>
        </w:numPr>
        <w:adjustRightInd w:val="0"/>
        <w:snapToGrid w:val="0"/>
        <w:ind w:firstLine="480"/>
        <w:rPr>
          <w:rFonts w:hAnsi="宋体" w:cs="宋体"/>
          <w:szCs w:val="24"/>
        </w:rPr>
      </w:pPr>
      <w:r>
        <w:rPr>
          <w:rFonts w:hint="eastAsia" w:hAnsi="宋体" w:cs="宋体"/>
          <w:szCs w:val="24"/>
        </w:rPr>
        <w:t>时间不稳定性等级：A (IEC 60904-9 2007) A (JIS 8904-9 2017) A (ASTM E927-10 2015)；</w:t>
      </w:r>
    </w:p>
    <w:p>
      <w:pPr>
        <w:numPr>
          <w:ilvl w:val="0"/>
          <w:numId w:val="7"/>
        </w:numPr>
        <w:adjustRightInd w:val="0"/>
        <w:snapToGrid w:val="0"/>
        <w:ind w:firstLine="480"/>
        <w:rPr>
          <w:rFonts w:hAnsi="宋体" w:cs="宋体"/>
          <w:szCs w:val="24"/>
        </w:rPr>
      </w:pPr>
      <w:r>
        <w:rPr>
          <w:rFonts w:hint="eastAsia" w:hAnsi="宋体" w:cs="宋体"/>
          <w:szCs w:val="24"/>
        </w:rPr>
        <w:t>均匀性：≤2%；</w:t>
      </w:r>
    </w:p>
    <w:p>
      <w:pPr>
        <w:numPr>
          <w:ilvl w:val="0"/>
          <w:numId w:val="7"/>
        </w:numPr>
        <w:adjustRightInd w:val="0"/>
        <w:snapToGrid w:val="0"/>
        <w:ind w:firstLine="480"/>
        <w:rPr>
          <w:rFonts w:hAnsi="宋体" w:cs="宋体"/>
          <w:szCs w:val="24"/>
        </w:rPr>
      </w:pPr>
      <w:r>
        <w:rPr>
          <w:rFonts w:hint="eastAsia" w:hAnsi="宋体" w:cs="宋体"/>
          <w:szCs w:val="24"/>
        </w:rPr>
        <w:t>均匀性等级：A (IEC 60904-9 2007) A (JIS 8904-9 2017) A (ASTM E927-10 2015)；</w:t>
      </w:r>
    </w:p>
    <w:p>
      <w:pPr>
        <w:numPr>
          <w:ilvl w:val="0"/>
          <w:numId w:val="7"/>
        </w:numPr>
        <w:adjustRightInd w:val="0"/>
        <w:snapToGrid w:val="0"/>
        <w:ind w:firstLine="480"/>
        <w:rPr>
          <w:rFonts w:hAnsi="宋体" w:cs="宋体"/>
          <w:szCs w:val="24"/>
        </w:rPr>
      </w:pPr>
      <w:r>
        <w:rPr>
          <w:rFonts w:hint="eastAsia" w:hAnsi="宋体" w:cs="宋体"/>
          <w:szCs w:val="24"/>
        </w:rPr>
        <w:t>工作距离：12±0.5in；</w:t>
      </w:r>
    </w:p>
    <w:p>
      <w:pPr>
        <w:numPr>
          <w:ilvl w:val="0"/>
          <w:numId w:val="7"/>
        </w:numPr>
        <w:adjustRightInd w:val="0"/>
        <w:snapToGrid w:val="0"/>
        <w:ind w:firstLine="480"/>
        <w:rPr>
          <w:rFonts w:hAnsi="宋体" w:cs="宋体"/>
          <w:szCs w:val="24"/>
        </w:rPr>
      </w:pPr>
      <w:r>
        <w:rPr>
          <w:rFonts w:hint="eastAsia" w:hAnsi="宋体" w:cs="宋体"/>
          <w:szCs w:val="24"/>
        </w:rPr>
        <w:t>★线性调整率：0.01%；</w:t>
      </w:r>
    </w:p>
    <w:p>
      <w:pPr>
        <w:numPr>
          <w:ilvl w:val="0"/>
          <w:numId w:val="7"/>
        </w:numPr>
        <w:adjustRightInd w:val="0"/>
        <w:snapToGrid w:val="0"/>
        <w:ind w:firstLine="480"/>
        <w:rPr>
          <w:rFonts w:hAnsi="宋体" w:cs="宋体"/>
          <w:szCs w:val="24"/>
        </w:rPr>
      </w:pPr>
      <w:r>
        <w:rPr>
          <w:rFonts w:hint="eastAsia" w:hAnsi="宋体" w:cs="宋体"/>
          <w:szCs w:val="24"/>
        </w:rPr>
        <w:t>★出厂附 IEC、ASTM 和 JIS 的 AAA 级校准证书；</w:t>
      </w:r>
    </w:p>
    <w:p>
      <w:pPr>
        <w:ind w:firstLine="738" w:firstLineChars="300"/>
        <w:rPr>
          <w:rFonts w:hAnsi="宋体" w:cs="宋体"/>
          <w:color w:val="333333"/>
          <w:spacing w:val="3"/>
          <w:szCs w:val="24"/>
        </w:rPr>
      </w:pPr>
      <w:r>
        <w:rPr>
          <w:rFonts w:hint="eastAsia" w:hAnsi="宋体" w:cs="宋体"/>
          <w:color w:val="333333"/>
          <w:spacing w:val="3"/>
          <w:szCs w:val="24"/>
        </w:rPr>
        <w:t>14、</w:t>
      </w:r>
      <w:r>
        <w:rPr>
          <w:rFonts w:hint="eastAsia" w:hAnsi="宋体" w:cs="宋体"/>
          <w:szCs w:val="24"/>
        </w:rPr>
        <w:t>★</w:t>
      </w:r>
      <w:r>
        <w:rPr>
          <w:rFonts w:hint="eastAsia" w:hAnsi="宋体" w:cs="宋体"/>
          <w:color w:val="333333"/>
          <w:spacing w:val="3"/>
          <w:szCs w:val="24"/>
        </w:rPr>
        <w:t>输出太阳光 0.1 至 1.0 连续可调</w:t>
      </w:r>
    </w:p>
    <w:p>
      <w:pPr>
        <w:ind w:firstLine="738" w:firstLineChars="300"/>
        <w:rPr>
          <w:rFonts w:hAnsi="宋体" w:cs="宋体"/>
          <w:szCs w:val="24"/>
        </w:rPr>
      </w:pPr>
      <w:r>
        <w:rPr>
          <w:rFonts w:hint="eastAsia" w:hAnsi="宋体" w:cs="宋体"/>
          <w:color w:val="333333"/>
          <w:spacing w:val="3"/>
          <w:szCs w:val="24"/>
        </w:rPr>
        <w:t>15、须上门安装、调试、测试、培训。</w:t>
      </w:r>
    </w:p>
    <w:p>
      <w:pPr>
        <w:spacing w:line="240" w:lineRule="auto"/>
        <w:ind w:firstLine="480"/>
        <w:rPr>
          <w:rFonts w:hAnsi="宋体" w:cs="宋体"/>
          <w:szCs w:val="24"/>
        </w:rPr>
      </w:pPr>
      <w:r>
        <w:rPr>
          <w:rFonts w:hint="eastAsia" w:hAnsi="宋体" w:cs="宋体"/>
          <w:szCs w:val="24"/>
        </w:rPr>
        <w:t>●为确保售后服务和货物质量，投标方须提供厂商或国内总代理商针对本项目的授权书、售后服务承诺书及技术参数确认函，质保期为一年。</w:t>
      </w:r>
    </w:p>
    <w:p>
      <w:pPr>
        <w:pStyle w:val="2"/>
        <w:numPr>
          <w:ilvl w:val="0"/>
          <w:numId w:val="6"/>
        </w:numPr>
        <w:ind w:left="240" w:right="240" w:firstLine="241" w:firstLineChars="100"/>
        <w:rPr>
          <w:rFonts w:ascii="Times New Roman" w:hAnsi="Times New Roman" w:eastAsia="宋体" w:cs="Times New Roman"/>
          <w:sz w:val="24"/>
          <w:szCs w:val="24"/>
        </w:rPr>
      </w:pPr>
      <w:r>
        <w:rPr>
          <w:rFonts w:ascii="Times New Roman" w:hAnsi="Times New Roman" w:eastAsia="宋体" w:cs="Times New Roman"/>
          <w:sz w:val="24"/>
          <w:szCs w:val="24"/>
        </w:rPr>
        <w:t>太阳能电池I-V测试系统</w:t>
      </w:r>
      <w:r>
        <w:rPr>
          <w:rFonts w:hint="eastAsia" w:ascii="Times New Roman" w:hAnsi="Times New Roman" w:eastAsia="宋体" w:cs="Times New Roman"/>
          <w:sz w:val="24"/>
          <w:szCs w:val="24"/>
        </w:rPr>
        <w:t xml:space="preserve">  1套</w:t>
      </w:r>
    </w:p>
    <w:p>
      <w:pPr>
        <w:spacing w:line="240" w:lineRule="exact"/>
        <w:ind w:firstLine="482"/>
        <w:rPr>
          <w:rFonts w:hAnsi="宋体" w:cs="宋体"/>
          <w:b/>
          <w:snapToGrid w:val="0"/>
          <w:szCs w:val="24"/>
        </w:rPr>
      </w:pPr>
      <w:r>
        <w:rPr>
          <w:rFonts w:hint="eastAsia" w:hAnsi="宋体" w:cs="宋体"/>
          <w:b/>
          <w:snapToGrid w:val="0"/>
          <w:szCs w:val="24"/>
        </w:rPr>
        <w:t>技术参数：</w:t>
      </w:r>
    </w:p>
    <w:p>
      <w:pPr>
        <w:numPr>
          <w:ilvl w:val="0"/>
          <w:numId w:val="8"/>
        </w:numPr>
        <w:ind w:firstLine="480"/>
        <w:rPr>
          <w:rFonts w:hAnsi="宋体" w:cs="宋体"/>
          <w:color w:val="000000"/>
          <w:szCs w:val="24"/>
          <w:shd w:val="clear" w:color="auto" w:fill="FFFFFF"/>
        </w:rPr>
      </w:pPr>
      <w:r>
        <w:rPr>
          <w:rFonts w:hint="eastAsia" w:hAnsi="宋体" w:cs="宋体"/>
          <w:color w:val="000000"/>
          <w:szCs w:val="24"/>
          <w:shd w:val="clear" w:color="auto" w:fill="FFFFFF"/>
        </w:rPr>
        <w:t>通道数量：1</w:t>
      </w:r>
    </w:p>
    <w:p>
      <w:pPr>
        <w:numPr>
          <w:ilvl w:val="0"/>
          <w:numId w:val="8"/>
        </w:numPr>
        <w:ind w:firstLine="480"/>
        <w:rPr>
          <w:rFonts w:hAnsi="宋体" w:cs="宋体"/>
          <w:color w:val="000000"/>
          <w:szCs w:val="24"/>
          <w:shd w:val="clear" w:color="auto" w:fill="FFFFFF"/>
        </w:rPr>
      </w:pPr>
      <w:r>
        <w:rPr>
          <w:rFonts w:hint="eastAsia" w:hAnsi="宋体" w:cs="宋体"/>
          <w:color w:val="000000"/>
          <w:szCs w:val="24"/>
          <w:shd w:val="clear" w:color="auto" w:fill="FFFFFF"/>
        </w:rPr>
        <w:t>最大电流源/量程：1A</w:t>
      </w:r>
    </w:p>
    <w:p>
      <w:pPr>
        <w:numPr>
          <w:ilvl w:val="0"/>
          <w:numId w:val="8"/>
        </w:numPr>
        <w:ind w:firstLine="480"/>
        <w:rPr>
          <w:rFonts w:hAnsi="宋体" w:cs="宋体"/>
          <w:color w:val="000000"/>
          <w:szCs w:val="24"/>
          <w:shd w:val="clear" w:color="auto" w:fill="FFFFFF"/>
        </w:rPr>
      </w:pPr>
      <w:r>
        <w:rPr>
          <w:rFonts w:hint="eastAsia" w:hAnsi="宋体" w:cs="宋体"/>
          <w:color w:val="000000"/>
          <w:szCs w:val="24"/>
          <w:shd w:val="clear" w:color="auto" w:fill="FFFFFF"/>
        </w:rPr>
        <w:t>最大电压源/量程:200V</w:t>
      </w:r>
    </w:p>
    <w:p>
      <w:pPr>
        <w:numPr>
          <w:ilvl w:val="0"/>
          <w:numId w:val="8"/>
        </w:numPr>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测量分辨率（电流/电压）： 1pA / 100nV </w:t>
      </w:r>
    </w:p>
    <w:p>
      <w:pPr>
        <w:ind w:firstLine="480"/>
        <w:rPr>
          <w:rFonts w:hAnsi="宋体" w:cs="宋体"/>
          <w:color w:val="000000"/>
          <w:szCs w:val="24"/>
          <w:shd w:val="clear" w:color="auto" w:fill="FFFFFF"/>
        </w:rPr>
      </w:pPr>
      <w:r>
        <w:rPr>
          <w:rFonts w:hint="eastAsia" w:hAnsi="宋体" w:cs="宋体"/>
          <w:color w:val="000000"/>
          <w:szCs w:val="24"/>
          <w:shd w:val="clear" w:color="auto" w:fill="FFFFFF"/>
        </w:rPr>
        <w:t>5、电源：20W</w:t>
      </w:r>
    </w:p>
    <w:p>
      <w:pPr>
        <w:ind w:firstLine="480"/>
        <w:rPr>
          <w:rFonts w:ascii="Times New Roman" w:hAnsi="Times New Roman" w:cs="Times New Roman"/>
          <w:b/>
          <w:szCs w:val="24"/>
        </w:rPr>
      </w:pPr>
      <w:r>
        <w:rPr>
          <w:rFonts w:hint="eastAsia" w:hAnsi="宋体" w:cs="宋体"/>
          <w:color w:val="000000"/>
          <w:szCs w:val="24"/>
          <w:shd w:val="clear" w:color="auto" w:fill="FFFFFF"/>
        </w:rPr>
        <w:t>6、</w:t>
      </w:r>
      <w:r>
        <w:rPr>
          <w:rFonts w:hint="eastAsia" w:hAnsi="宋体" w:cs="宋体"/>
          <w:szCs w:val="24"/>
        </w:rPr>
        <w:t>质保期为一年</w:t>
      </w:r>
    </w:p>
    <w:p>
      <w:pPr>
        <w:pStyle w:val="2"/>
        <w:numPr>
          <w:ilvl w:val="0"/>
          <w:numId w:val="6"/>
        </w:numPr>
        <w:ind w:left="240" w:right="240" w:firstLine="241" w:firstLineChars="100"/>
        <w:rPr>
          <w:rFonts w:ascii="Times New Roman" w:hAnsi="Times New Roman" w:eastAsia="宋体" w:cs="Times New Roman"/>
          <w:sz w:val="24"/>
          <w:szCs w:val="24"/>
        </w:rPr>
      </w:pPr>
      <w:r>
        <w:rPr>
          <w:rFonts w:ascii="Times New Roman" w:hAnsi="Times New Roman" w:eastAsia="宋体" w:cs="Times New Roman"/>
          <w:sz w:val="24"/>
          <w:szCs w:val="24"/>
        </w:rPr>
        <w:t>定温恒温干燥箱</w:t>
      </w:r>
      <w:r>
        <w:rPr>
          <w:rFonts w:hint="eastAsia" w:ascii="Times New Roman" w:hAnsi="Times New Roman" w:eastAsia="宋体" w:cs="Times New Roman"/>
          <w:sz w:val="24"/>
          <w:szCs w:val="24"/>
        </w:rPr>
        <w:t xml:space="preserve">  3台</w:t>
      </w:r>
    </w:p>
    <w:p>
      <w:pPr>
        <w:spacing w:line="240" w:lineRule="exact"/>
        <w:ind w:firstLine="482"/>
        <w:rPr>
          <w:rFonts w:hAnsi="宋体" w:cs="宋体"/>
          <w:b/>
          <w:snapToGrid w:val="0"/>
          <w:szCs w:val="24"/>
        </w:rPr>
      </w:pPr>
      <w:r>
        <w:rPr>
          <w:rFonts w:hint="eastAsia" w:hAnsi="宋体" w:cs="宋体"/>
          <w:b/>
          <w:snapToGrid w:val="0"/>
          <w:szCs w:val="24"/>
        </w:rPr>
        <w:t>技术参数：</w:t>
      </w:r>
    </w:p>
    <w:p>
      <w:pPr>
        <w:spacing w:line="240" w:lineRule="exact"/>
        <w:ind w:firstLine="480"/>
        <w:rPr>
          <w:rFonts w:hAnsi="宋体" w:cs="宋体"/>
          <w:szCs w:val="24"/>
        </w:rPr>
      </w:pPr>
      <w:r>
        <w:rPr>
          <w:rFonts w:hint="eastAsia" w:hAnsi="宋体" w:cs="宋体"/>
          <w:szCs w:val="24"/>
        </w:rPr>
        <w:t>1、简易操作，定值运行、程序运行、快速自动停止运行、自动停止运行、自动开始运行均可实现；</w:t>
      </w:r>
    </w:p>
    <w:p>
      <w:pPr>
        <w:spacing w:line="240" w:lineRule="exact"/>
        <w:ind w:firstLine="480"/>
        <w:rPr>
          <w:rFonts w:hAnsi="宋体" w:cs="宋体"/>
          <w:szCs w:val="24"/>
        </w:rPr>
      </w:pPr>
      <w:r>
        <w:rPr>
          <w:rFonts w:hint="eastAsia" w:hAnsi="宋体" w:cs="宋体"/>
          <w:szCs w:val="24"/>
        </w:rPr>
        <w:t>2、可通过专用的功能菜单键及上下键实现数码设定；</w:t>
      </w:r>
    </w:p>
    <w:p>
      <w:pPr>
        <w:spacing w:line="240" w:lineRule="exact"/>
        <w:ind w:firstLine="480"/>
        <w:rPr>
          <w:rFonts w:hAnsi="宋体" w:cs="宋体"/>
          <w:szCs w:val="24"/>
        </w:rPr>
      </w:pPr>
      <w:r>
        <w:rPr>
          <w:rFonts w:hint="eastAsia" w:hAnsi="宋体" w:cs="宋体"/>
          <w:szCs w:val="24"/>
        </w:rPr>
        <w:t>★3、通过辅助菜单键，可实现过升防止器、偏差修正、按键锁定等操作；</w:t>
      </w:r>
    </w:p>
    <w:p>
      <w:pPr>
        <w:spacing w:line="240" w:lineRule="exact"/>
        <w:ind w:firstLine="480"/>
        <w:rPr>
          <w:rFonts w:hAnsi="宋体" w:cs="宋体"/>
          <w:szCs w:val="24"/>
        </w:rPr>
      </w:pPr>
      <w:r>
        <w:rPr>
          <w:rFonts w:hint="eastAsia" w:hAnsi="宋体" w:cs="宋体"/>
          <w:szCs w:val="24"/>
        </w:rPr>
        <w:t>★4、拥有自诊断回路（温度传感器异常、加热器断线、自动过升防止功能、SSR短路）、过升防止、过电流漏电保护开关、按键锁定等安全功能；</w:t>
      </w:r>
    </w:p>
    <w:p>
      <w:pPr>
        <w:spacing w:line="240" w:lineRule="exact"/>
        <w:ind w:firstLine="480"/>
        <w:rPr>
          <w:rFonts w:hAnsi="宋体" w:cs="宋体"/>
          <w:szCs w:val="24"/>
        </w:rPr>
      </w:pPr>
      <w:r>
        <w:rPr>
          <w:rFonts w:hint="eastAsia" w:hAnsi="宋体" w:cs="宋体"/>
          <w:szCs w:val="24"/>
        </w:rPr>
        <w:t>5、方式：自然对流式；</w:t>
      </w:r>
    </w:p>
    <w:p>
      <w:pPr>
        <w:spacing w:line="240" w:lineRule="exact"/>
        <w:ind w:firstLine="480"/>
        <w:rPr>
          <w:rFonts w:hAnsi="宋体" w:cs="宋体"/>
          <w:szCs w:val="24"/>
        </w:rPr>
      </w:pPr>
      <w:r>
        <w:rPr>
          <w:rFonts w:hint="eastAsia" w:hAnsi="宋体" w:cs="宋体"/>
          <w:szCs w:val="24"/>
        </w:rPr>
        <w:t>6、使用温度范围：RT+10～260℃；</w:t>
      </w:r>
    </w:p>
    <w:p>
      <w:pPr>
        <w:spacing w:line="240" w:lineRule="exact"/>
        <w:ind w:firstLine="480"/>
        <w:rPr>
          <w:rFonts w:hAnsi="宋体" w:cs="宋体"/>
          <w:szCs w:val="24"/>
        </w:rPr>
      </w:pPr>
      <w:r>
        <w:rPr>
          <w:rFonts w:hint="eastAsia" w:hAnsi="宋体" w:cs="宋体"/>
          <w:szCs w:val="24"/>
        </w:rPr>
        <w:t>7、温度调节精度：±1.0℃（AT210℃）；</w:t>
      </w:r>
    </w:p>
    <w:p>
      <w:pPr>
        <w:spacing w:line="240" w:lineRule="exact"/>
        <w:ind w:firstLine="480"/>
        <w:rPr>
          <w:rFonts w:hAnsi="宋体" w:cs="宋体"/>
          <w:szCs w:val="24"/>
        </w:rPr>
      </w:pPr>
      <w:r>
        <w:rPr>
          <w:rFonts w:hint="eastAsia" w:hAnsi="宋体" w:cs="宋体"/>
          <w:szCs w:val="24"/>
        </w:rPr>
        <w:t>8、温度分布精度：±5.0℃（AT260℃）；</w:t>
      </w:r>
    </w:p>
    <w:p>
      <w:pPr>
        <w:spacing w:line="240" w:lineRule="exact"/>
        <w:ind w:firstLine="480"/>
        <w:rPr>
          <w:rFonts w:hAnsi="宋体" w:cs="宋体"/>
          <w:szCs w:val="24"/>
        </w:rPr>
      </w:pPr>
      <w:r>
        <w:rPr>
          <w:rFonts w:hint="eastAsia" w:hAnsi="宋体" w:cs="宋体"/>
          <w:szCs w:val="24"/>
        </w:rPr>
        <w:t>9、内装：SUS304不锈钢板；</w:t>
      </w:r>
    </w:p>
    <w:p>
      <w:pPr>
        <w:spacing w:line="240" w:lineRule="exact"/>
        <w:ind w:firstLine="480"/>
        <w:rPr>
          <w:rFonts w:hAnsi="宋体" w:cs="宋体"/>
          <w:szCs w:val="24"/>
        </w:rPr>
      </w:pPr>
      <w:r>
        <w:rPr>
          <w:rFonts w:hint="eastAsia" w:hAnsi="宋体" w:cs="宋体"/>
          <w:szCs w:val="24"/>
        </w:rPr>
        <w:t>10、外装：冷轧钢板，表面耐药品性涂装；</w:t>
      </w:r>
    </w:p>
    <w:p>
      <w:pPr>
        <w:spacing w:line="240" w:lineRule="exact"/>
        <w:ind w:firstLine="480"/>
        <w:rPr>
          <w:rFonts w:hAnsi="宋体" w:cs="宋体"/>
          <w:szCs w:val="24"/>
        </w:rPr>
      </w:pPr>
      <w:r>
        <w:rPr>
          <w:rFonts w:hint="eastAsia" w:hAnsi="宋体" w:cs="宋体"/>
          <w:szCs w:val="24"/>
        </w:rPr>
        <w:t>11、断热材：玻璃纤维；</w:t>
      </w:r>
    </w:p>
    <w:p>
      <w:pPr>
        <w:spacing w:line="240" w:lineRule="exact"/>
        <w:ind w:firstLine="480"/>
        <w:rPr>
          <w:rFonts w:hAnsi="宋体" w:cs="宋体"/>
          <w:szCs w:val="24"/>
        </w:rPr>
      </w:pPr>
      <w:r>
        <w:rPr>
          <w:rFonts w:hint="eastAsia" w:hAnsi="宋体" w:cs="宋体"/>
          <w:szCs w:val="24"/>
        </w:rPr>
        <w:t>12、加热器：不锈钢加热管1.2KW；</w:t>
      </w:r>
    </w:p>
    <w:p>
      <w:pPr>
        <w:spacing w:line="240" w:lineRule="exact"/>
        <w:ind w:firstLine="480"/>
        <w:rPr>
          <w:rFonts w:hAnsi="宋体" w:cs="宋体"/>
          <w:szCs w:val="24"/>
        </w:rPr>
      </w:pPr>
      <w:r>
        <w:rPr>
          <w:rFonts w:hint="eastAsia" w:hAnsi="宋体" w:cs="宋体"/>
          <w:szCs w:val="24"/>
        </w:rPr>
        <w:t>13、排气口：Φ30mmX2，上面；</w:t>
      </w:r>
    </w:p>
    <w:p>
      <w:pPr>
        <w:spacing w:line="240" w:lineRule="exact"/>
        <w:ind w:firstLine="480"/>
        <w:rPr>
          <w:rFonts w:hAnsi="宋体" w:cs="宋体"/>
          <w:szCs w:val="24"/>
        </w:rPr>
      </w:pPr>
      <w:r>
        <w:rPr>
          <w:rFonts w:hint="eastAsia" w:hAnsi="宋体" w:cs="宋体"/>
          <w:szCs w:val="24"/>
        </w:rPr>
        <w:t>14、温度控制方式：PID；</w:t>
      </w:r>
    </w:p>
    <w:p>
      <w:pPr>
        <w:spacing w:line="240" w:lineRule="exact"/>
        <w:ind w:firstLine="480"/>
        <w:rPr>
          <w:rFonts w:hAnsi="宋体" w:cs="宋体"/>
          <w:szCs w:val="24"/>
        </w:rPr>
      </w:pPr>
      <w:r>
        <w:rPr>
          <w:rFonts w:hint="eastAsia" w:hAnsi="宋体" w:cs="宋体"/>
          <w:szCs w:val="24"/>
        </w:rPr>
        <w:t>15、温度设定方式：专用的功能菜单键及上下键实现数码设定；</w:t>
      </w:r>
    </w:p>
    <w:p>
      <w:pPr>
        <w:spacing w:line="240" w:lineRule="exact"/>
        <w:ind w:firstLine="480"/>
        <w:rPr>
          <w:rFonts w:hAnsi="宋体" w:cs="宋体"/>
          <w:szCs w:val="24"/>
        </w:rPr>
      </w:pPr>
      <w:r>
        <w:rPr>
          <w:rFonts w:hint="eastAsia" w:hAnsi="宋体" w:cs="宋体"/>
          <w:szCs w:val="24"/>
        </w:rPr>
        <w:t>16、测定温度显示：绿色4位LED，数码显示；</w:t>
      </w:r>
    </w:p>
    <w:p>
      <w:pPr>
        <w:spacing w:line="240" w:lineRule="exact"/>
        <w:ind w:firstLine="480"/>
        <w:rPr>
          <w:rFonts w:hAnsi="宋体" w:cs="宋体"/>
          <w:szCs w:val="24"/>
        </w:rPr>
      </w:pPr>
      <w:r>
        <w:rPr>
          <w:rFonts w:hint="eastAsia" w:hAnsi="宋体" w:cs="宋体"/>
          <w:szCs w:val="24"/>
        </w:rPr>
        <w:t>17、设定温度显示：红色4位LED，数码显示；</w:t>
      </w:r>
    </w:p>
    <w:p>
      <w:pPr>
        <w:spacing w:line="240" w:lineRule="exact"/>
        <w:ind w:firstLine="480"/>
        <w:rPr>
          <w:rFonts w:hAnsi="宋体" w:cs="宋体"/>
          <w:szCs w:val="24"/>
        </w:rPr>
      </w:pPr>
      <w:r>
        <w:rPr>
          <w:rFonts w:hint="eastAsia" w:hAnsi="宋体" w:cs="宋体"/>
          <w:szCs w:val="24"/>
        </w:rPr>
        <w:t>★18、定时器：1分～99小时59分以及100～999小时50分（带定时等待功能）；</w:t>
      </w:r>
    </w:p>
    <w:p>
      <w:pPr>
        <w:spacing w:line="240" w:lineRule="exact"/>
        <w:ind w:firstLine="480"/>
        <w:rPr>
          <w:rFonts w:hAnsi="宋体" w:cs="宋体"/>
          <w:szCs w:val="24"/>
        </w:rPr>
      </w:pPr>
      <w:r>
        <w:rPr>
          <w:rFonts w:hint="eastAsia" w:hAnsi="宋体" w:cs="宋体"/>
          <w:szCs w:val="24"/>
        </w:rPr>
        <w:t>★19、运行功能：定值运行、程序运行、快速自动停止、自动开始运行；程序运行：3段30步（30步X1、15步X2、10步X3）；</w:t>
      </w:r>
    </w:p>
    <w:p>
      <w:pPr>
        <w:spacing w:line="240" w:lineRule="exact"/>
        <w:ind w:firstLine="480"/>
        <w:rPr>
          <w:rFonts w:hAnsi="宋体" w:cs="宋体"/>
          <w:szCs w:val="24"/>
        </w:rPr>
      </w:pPr>
      <w:r>
        <w:rPr>
          <w:rFonts w:hint="eastAsia" w:hAnsi="宋体" w:cs="宋体"/>
          <w:szCs w:val="24"/>
        </w:rPr>
        <w:t>20、附加功能：偏差修正功能、按键锁定功能、停电补偿功能；</w:t>
      </w:r>
    </w:p>
    <w:p>
      <w:pPr>
        <w:spacing w:line="240" w:lineRule="exact"/>
        <w:ind w:firstLine="480"/>
        <w:rPr>
          <w:rFonts w:hAnsi="宋体" w:cs="宋体"/>
          <w:szCs w:val="24"/>
        </w:rPr>
      </w:pPr>
      <w:r>
        <w:rPr>
          <w:rFonts w:hint="eastAsia" w:hAnsi="宋体" w:cs="宋体"/>
          <w:szCs w:val="24"/>
        </w:rPr>
        <w:t>21、传感器： K型热电偶；</w:t>
      </w:r>
    </w:p>
    <w:p>
      <w:pPr>
        <w:spacing w:line="240" w:lineRule="exact"/>
        <w:ind w:firstLine="480"/>
        <w:rPr>
          <w:rFonts w:hAnsi="宋体" w:cs="宋体"/>
          <w:szCs w:val="24"/>
        </w:rPr>
      </w:pPr>
      <w:r>
        <w:rPr>
          <w:rFonts w:hint="eastAsia" w:hAnsi="宋体" w:cs="宋体"/>
          <w:szCs w:val="24"/>
        </w:rPr>
        <w:t>22、拥有自诊断回路（温度传感器异常、加热器短线、自动过升防止功能、SSR短路）、过升防止、过电流漏电保护开关、按键锁定等安全功能；</w:t>
      </w:r>
    </w:p>
    <w:p>
      <w:pPr>
        <w:spacing w:line="240" w:lineRule="exact"/>
        <w:ind w:firstLine="480"/>
        <w:rPr>
          <w:rFonts w:hAnsi="宋体" w:cs="宋体"/>
          <w:szCs w:val="24"/>
        </w:rPr>
      </w:pPr>
      <w:r>
        <w:rPr>
          <w:rFonts w:hint="eastAsia" w:hAnsi="宋体" w:cs="宋体"/>
          <w:szCs w:val="24"/>
        </w:rPr>
        <w:t>23、内尺寸：450X490X450mm（宽X深X高）；内容积：99L；</w:t>
      </w:r>
    </w:p>
    <w:p>
      <w:pPr>
        <w:spacing w:line="240" w:lineRule="exact"/>
        <w:ind w:firstLine="480"/>
        <w:rPr>
          <w:rFonts w:hAnsi="宋体" w:cs="宋体"/>
          <w:szCs w:val="24"/>
        </w:rPr>
      </w:pPr>
      <w:r>
        <w:rPr>
          <w:rFonts w:hint="eastAsia" w:hAnsi="宋体" w:cs="宋体"/>
          <w:szCs w:val="24"/>
        </w:rPr>
        <w:t>25、外尺寸：560X601X820mm（宽X深X高）；</w:t>
      </w:r>
    </w:p>
    <w:p>
      <w:pPr>
        <w:spacing w:line="240" w:lineRule="exact"/>
        <w:ind w:firstLine="480"/>
        <w:rPr>
          <w:rFonts w:hAnsi="宋体" w:cs="宋体"/>
          <w:szCs w:val="24"/>
        </w:rPr>
      </w:pPr>
      <w:r>
        <w:rPr>
          <w:rFonts w:hint="eastAsia" w:hAnsi="宋体" w:cs="宋体"/>
          <w:szCs w:val="24"/>
        </w:rPr>
        <w:t>26、棚板承重：15kg/层；棚板层数：9层；棚受间距：30mm；</w:t>
      </w:r>
    </w:p>
    <w:p>
      <w:pPr>
        <w:spacing w:line="240" w:lineRule="exact"/>
        <w:ind w:firstLine="480"/>
        <w:rPr>
          <w:rFonts w:hAnsi="宋体" w:cs="宋体"/>
          <w:szCs w:val="24"/>
        </w:rPr>
      </w:pPr>
      <w:r>
        <w:rPr>
          <w:rFonts w:hint="eastAsia" w:hAnsi="宋体" w:cs="宋体"/>
          <w:szCs w:val="24"/>
        </w:rPr>
        <w:t>27、电源：AC220V 6.5A；重量：约48kg；</w:t>
      </w:r>
    </w:p>
    <w:p>
      <w:pPr>
        <w:spacing w:line="240" w:lineRule="exact"/>
        <w:ind w:firstLine="480"/>
        <w:rPr>
          <w:rFonts w:hAnsi="宋体" w:cs="宋体"/>
          <w:szCs w:val="24"/>
        </w:rPr>
      </w:pPr>
      <w:r>
        <w:rPr>
          <w:rFonts w:hint="eastAsia" w:hAnsi="宋体" w:cs="宋体"/>
          <w:szCs w:val="24"/>
        </w:rPr>
        <w:t>28、附属品：不锈钢冲压网板2件；棚受4件；</w:t>
      </w:r>
    </w:p>
    <w:p>
      <w:pPr>
        <w:ind w:firstLine="480"/>
        <w:rPr>
          <w:rFonts w:ascii="Times New Roman" w:hAnsi="Times New Roman" w:cs="Times New Roman"/>
          <w:b/>
          <w:szCs w:val="24"/>
        </w:rPr>
      </w:pPr>
      <w:r>
        <w:rPr>
          <w:rFonts w:hint="eastAsia" w:hAnsi="宋体" w:cs="宋体"/>
          <w:szCs w:val="24"/>
        </w:rPr>
        <w:t>●为确保售后服务和货物质量，投标方须提供厂商或国内总代理商针对本项目的授权书、售后服务承诺书及技术参数确认函，质保期为一年。</w:t>
      </w:r>
    </w:p>
    <w:p>
      <w:pPr>
        <w:pStyle w:val="2"/>
        <w:numPr>
          <w:ilvl w:val="0"/>
          <w:numId w:val="6"/>
        </w:numPr>
        <w:ind w:left="240" w:right="240" w:firstLine="241" w:firstLineChars="100"/>
        <w:rPr>
          <w:rFonts w:ascii="Times New Roman" w:hAnsi="Times New Roman" w:eastAsia="宋体" w:cs="Times New Roman"/>
          <w:sz w:val="24"/>
          <w:szCs w:val="24"/>
        </w:rPr>
      </w:pPr>
      <w:r>
        <w:rPr>
          <w:rFonts w:hint="eastAsia" w:ascii="Times New Roman" w:hAnsi="Times New Roman" w:eastAsia="宋体" w:cs="Times New Roman"/>
          <w:sz w:val="24"/>
          <w:szCs w:val="24"/>
        </w:rPr>
        <w:t>光化学反应仪  1台</w:t>
      </w:r>
    </w:p>
    <w:p>
      <w:pPr>
        <w:spacing w:line="240" w:lineRule="exact"/>
        <w:ind w:firstLine="482"/>
        <w:rPr>
          <w:rFonts w:hAnsi="宋体" w:cs="宋体"/>
          <w:b/>
          <w:snapToGrid w:val="0"/>
          <w:szCs w:val="24"/>
        </w:rPr>
      </w:pPr>
      <w:r>
        <w:rPr>
          <w:rFonts w:hint="eastAsia" w:hAnsi="宋体" w:cs="宋体"/>
          <w:b/>
          <w:snapToGrid w:val="0"/>
          <w:szCs w:val="24"/>
        </w:rPr>
        <w:t>技术参数：</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1、光化学反应仪 8 位专用搅拌器，可以实现双旋转运动（每支试管都有独立的磁力搅拌并且试管还可以围绕光源旋转，保证试样受光均匀）。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2、磁力搅拌与旋转运动都可以无极调速。8 个工位反应管的磁力搅拌转速 0-1800r/min（可调），围绕光源旋转速度 0-3r/min（可调）。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3、配有12个规格滤光片，紫外滤光片（通紫外阻可见），可见光滤光片（通可见阻紫外），5根氙灯管。</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4、全石英材质冷阱（冷却水延伸至冷阱底部提高了冷却循环效率）。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5、石英反应管可以分别选用 30ml、50ml（也可使用其他容量石英反应管，本机型最大容量可拓展到 200ml）。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6、电源电压 ：AC220V/50Hz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7、工作功率：150W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8、运动方式：双旋转(反应管同时自转和公转)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9、搅拌速度（自转）：0-1800 转/分（无级可调）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10、公转速度：0-3 转/分（无级可调）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 xml:space="preserve">11、旋转和搅拌关系：可以独立工作 </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12、光源固定支架高度：可调</w:t>
      </w:r>
    </w:p>
    <w:p>
      <w:pPr>
        <w:spacing w:line="240" w:lineRule="auto"/>
        <w:ind w:firstLine="480"/>
        <w:rPr>
          <w:rFonts w:hAnsi="宋体" w:cs="宋体"/>
          <w:color w:val="000000"/>
          <w:szCs w:val="24"/>
          <w:shd w:val="clear" w:color="auto" w:fill="FFFFFF"/>
        </w:rPr>
      </w:pPr>
      <w:r>
        <w:rPr>
          <w:rFonts w:hint="eastAsia" w:hAnsi="宋体" w:cs="宋体"/>
          <w:color w:val="000000"/>
          <w:szCs w:val="24"/>
          <w:shd w:val="clear" w:color="auto" w:fill="FFFFFF"/>
        </w:rPr>
        <w:t>13、带有遮光器，光照时间可调</w:t>
      </w:r>
    </w:p>
    <w:p>
      <w:pPr>
        <w:spacing w:line="240" w:lineRule="auto"/>
        <w:ind w:firstLine="480"/>
        <w:rPr>
          <w:rFonts w:ascii="Times New Roman" w:hAnsi="Times New Roman" w:cs="Times New Roman"/>
          <w:b/>
          <w:szCs w:val="24"/>
        </w:rPr>
      </w:pPr>
      <w:r>
        <w:rPr>
          <w:rFonts w:hint="eastAsia" w:hAnsi="宋体" w:cs="宋体"/>
          <w:color w:val="000000"/>
          <w:szCs w:val="24"/>
          <w:shd w:val="clear" w:color="auto" w:fill="FFFFFF"/>
        </w:rPr>
        <w:t>14、</w:t>
      </w:r>
      <w:r>
        <w:rPr>
          <w:rFonts w:hint="eastAsia" w:hAnsi="宋体" w:cs="宋体"/>
          <w:szCs w:val="24"/>
        </w:rPr>
        <w:t>质保期为一年</w:t>
      </w:r>
    </w:p>
    <w:p>
      <w:pPr>
        <w:pStyle w:val="2"/>
        <w:numPr>
          <w:ilvl w:val="0"/>
          <w:numId w:val="6"/>
        </w:numPr>
        <w:ind w:left="240" w:right="240" w:firstLine="241" w:firstLineChars="100"/>
        <w:rPr>
          <w:rFonts w:ascii="Times New Roman" w:hAnsi="Times New Roman" w:eastAsia="宋体" w:cs="Times New Roman"/>
          <w:sz w:val="24"/>
          <w:szCs w:val="24"/>
        </w:rPr>
      </w:pPr>
      <w:r>
        <w:rPr>
          <w:rFonts w:hint="eastAsia" w:ascii="Times New Roman" w:hAnsi="Times New Roman" w:eastAsia="宋体" w:cs="Times New Roman"/>
          <w:sz w:val="24"/>
          <w:szCs w:val="24"/>
        </w:rPr>
        <w:t>便携式电化学分析仪  1台</w:t>
      </w:r>
    </w:p>
    <w:p>
      <w:pPr>
        <w:spacing w:line="240" w:lineRule="exact"/>
        <w:ind w:firstLine="482"/>
        <w:rPr>
          <w:rFonts w:hAnsi="宋体" w:cs="宋体"/>
          <w:b/>
          <w:snapToGrid w:val="0"/>
          <w:szCs w:val="24"/>
        </w:rPr>
      </w:pPr>
      <w:r>
        <w:rPr>
          <w:rFonts w:hint="eastAsia" w:hAnsi="宋体" w:cs="宋体"/>
          <w:b/>
          <w:snapToGrid w:val="0"/>
          <w:szCs w:val="24"/>
        </w:rPr>
        <w:t>原装进口</w:t>
      </w:r>
    </w:p>
    <w:p>
      <w:pPr>
        <w:spacing w:line="240" w:lineRule="exact"/>
        <w:ind w:firstLine="482"/>
        <w:rPr>
          <w:rFonts w:hAnsi="宋体" w:cs="宋体"/>
          <w:b/>
          <w:snapToGrid w:val="0"/>
          <w:szCs w:val="24"/>
        </w:rPr>
      </w:pPr>
      <w:r>
        <w:rPr>
          <w:rFonts w:hint="eastAsia" w:hAnsi="宋体" w:cs="宋体"/>
          <w:b/>
          <w:snapToGrid w:val="0"/>
          <w:szCs w:val="24"/>
        </w:rPr>
        <w:t>技术参数：</w:t>
      </w:r>
    </w:p>
    <w:p>
      <w:pPr>
        <w:pStyle w:val="13"/>
        <w:shd w:val="clear" w:color="auto" w:fill="FFFFFF"/>
        <w:spacing w:beforeAutospacing="0" w:afterAutospacing="0"/>
        <w:ind w:firstLine="480"/>
        <w:rPr>
          <w:szCs w:val="24"/>
        </w:rPr>
      </w:pPr>
      <w:r>
        <w:rPr>
          <w:szCs w:val="24"/>
        </w:rPr>
        <w:t>1最大电流：±</w:t>
      </w:r>
      <w:r>
        <w:rPr>
          <w:rFonts w:hint="eastAsia"/>
          <w:szCs w:val="24"/>
        </w:rPr>
        <w:t>2</w:t>
      </w:r>
      <w:r>
        <w:rPr>
          <w:szCs w:val="24"/>
        </w:rPr>
        <w:t>0mA</w:t>
      </w:r>
    </w:p>
    <w:p>
      <w:pPr>
        <w:pStyle w:val="13"/>
        <w:shd w:val="clear" w:color="auto" w:fill="FFFFFF"/>
        <w:spacing w:beforeAutospacing="0" w:afterAutospacing="0"/>
        <w:ind w:firstLine="480"/>
        <w:rPr>
          <w:szCs w:val="24"/>
        </w:rPr>
      </w:pPr>
      <w:r>
        <w:rPr>
          <w:rFonts w:hint="eastAsia"/>
          <w:szCs w:val="24"/>
        </w:rPr>
        <w:t>2</w:t>
      </w:r>
      <w:r>
        <w:rPr>
          <w:szCs w:val="24"/>
        </w:rPr>
        <w:t>施加电位范围：±</w:t>
      </w:r>
      <w:r>
        <w:rPr>
          <w:rFonts w:hint="eastAsia"/>
          <w:szCs w:val="24"/>
        </w:rPr>
        <w:t>5</w:t>
      </w:r>
      <w:r>
        <w:rPr>
          <w:szCs w:val="24"/>
        </w:rPr>
        <w:t>V</w:t>
      </w:r>
    </w:p>
    <w:p>
      <w:pPr>
        <w:pStyle w:val="33"/>
        <w:ind w:firstLine="480" w:firstLineChars="200"/>
        <w:rPr>
          <w:rFonts w:hAnsi="宋体"/>
          <w:sz w:val="24"/>
          <w:szCs w:val="24"/>
        </w:rPr>
      </w:pPr>
      <w:r>
        <w:rPr>
          <w:rFonts w:hint="eastAsia" w:hAnsi="宋体"/>
          <w:sz w:val="24"/>
          <w:szCs w:val="24"/>
        </w:rPr>
        <w:t>3</w:t>
      </w:r>
      <w:r>
        <w:rPr>
          <w:rFonts w:hAnsi="宋体"/>
          <w:sz w:val="24"/>
          <w:szCs w:val="24"/>
        </w:rPr>
        <w:t xml:space="preserve"> 施加电位精度：电位档的≤ 0.</w:t>
      </w:r>
      <w:r>
        <w:rPr>
          <w:rFonts w:hint="eastAsia" w:hAnsi="宋体"/>
          <w:sz w:val="24"/>
          <w:szCs w:val="24"/>
        </w:rPr>
        <w:t>2</w:t>
      </w:r>
      <w:r>
        <w:rPr>
          <w:rFonts w:hAnsi="宋体"/>
          <w:sz w:val="24"/>
          <w:szCs w:val="24"/>
        </w:rPr>
        <w:t xml:space="preserve">% </w:t>
      </w:r>
    </w:p>
    <w:p>
      <w:pPr>
        <w:pStyle w:val="13"/>
        <w:shd w:val="clear" w:color="auto" w:fill="FFFFFF"/>
        <w:spacing w:beforeAutospacing="0" w:afterAutospacing="0"/>
        <w:ind w:firstLine="480"/>
        <w:rPr>
          <w:szCs w:val="24"/>
        </w:rPr>
      </w:pPr>
      <w:r>
        <w:rPr>
          <w:rFonts w:hint="eastAsia"/>
          <w:szCs w:val="24"/>
        </w:rPr>
        <w:t>4</w:t>
      </w:r>
      <w:r>
        <w:rPr>
          <w:szCs w:val="24"/>
        </w:rPr>
        <w:t>电流量程：</w:t>
      </w:r>
      <w:r>
        <w:rPr>
          <w:rFonts w:hint="eastAsia"/>
          <w:szCs w:val="24"/>
        </w:rPr>
        <w:t>1n</w:t>
      </w:r>
      <w:r>
        <w:rPr>
          <w:szCs w:val="24"/>
        </w:rPr>
        <w:t>A ~10m A，8档</w:t>
      </w:r>
    </w:p>
    <w:p>
      <w:pPr>
        <w:pStyle w:val="13"/>
        <w:shd w:val="clear" w:color="auto" w:fill="FFFFFF"/>
        <w:spacing w:beforeAutospacing="0" w:afterAutospacing="0"/>
        <w:ind w:firstLine="480"/>
        <w:rPr>
          <w:szCs w:val="24"/>
        </w:rPr>
      </w:pPr>
      <w:r>
        <w:rPr>
          <w:rFonts w:hint="eastAsia"/>
          <w:szCs w:val="24"/>
        </w:rPr>
        <w:t>5</w:t>
      </w:r>
      <w:r>
        <w:rPr>
          <w:szCs w:val="24"/>
        </w:rPr>
        <w:t>测量电流分辨率：所选电流量程的 0.</w:t>
      </w:r>
      <w:r>
        <w:rPr>
          <w:rFonts w:hint="eastAsia"/>
          <w:szCs w:val="24"/>
        </w:rPr>
        <w:t>1</w:t>
      </w:r>
      <w:r>
        <w:rPr>
          <w:szCs w:val="24"/>
        </w:rPr>
        <w:t xml:space="preserve">%，最小 </w:t>
      </w:r>
      <w:r>
        <w:rPr>
          <w:rFonts w:hint="eastAsia"/>
          <w:szCs w:val="24"/>
        </w:rPr>
        <w:t>1p</w:t>
      </w:r>
      <w:r>
        <w:rPr>
          <w:szCs w:val="24"/>
        </w:rPr>
        <w:t>A</w:t>
      </w:r>
    </w:p>
    <w:p>
      <w:pPr>
        <w:pStyle w:val="13"/>
        <w:shd w:val="clear" w:color="auto" w:fill="FFFFFF"/>
        <w:spacing w:beforeAutospacing="0" w:afterAutospacing="0"/>
        <w:ind w:firstLine="480"/>
        <w:rPr>
          <w:szCs w:val="24"/>
        </w:rPr>
      </w:pPr>
      <w:r>
        <w:rPr>
          <w:rFonts w:hint="eastAsia"/>
          <w:szCs w:val="24"/>
        </w:rPr>
        <w:t>★6</w:t>
      </w:r>
      <w:r>
        <w:rPr>
          <w:szCs w:val="24"/>
        </w:rPr>
        <w:t xml:space="preserve"> 线性扫描伏安法（LSV），差分脉冲伏安法（DPV），方波伏安法（SWV），常规脉冲伏安法（NPV），循环伏安法（CV）。电流检测/计时电流法（AD/CA），脉冲电流检测(PAD), 多脉冲电流检测（MPAD），开路电位(OCP), 多级脉冲电流检测（MPAD），多级计时电流检测（MA），混合模式（MM），腐蚀速率分析、 Tafel曲线分析和定量分析功能（含标准曲线法或标准加入法）等。</w:t>
      </w:r>
    </w:p>
    <w:p>
      <w:pPr>
        <w:pStyle w:val="13"/>
        <w:shd w:val="clear" w:color="auto" w:fill="FFFFFF"/>
        <w:spacing w:beforeAutospacing="0" w:afterAutospacing="0"/>
        <w:ind w:firstLine="480"/>
        <w:rPr>
          <w:szCs w:val="24"/>
        </w:rPr>
      </w:pPr>
      <w:r>
        <w:rPr>
          <w:rFonts w:hint="eastAsia"/>
          <w:szCs w:val="24"/>
        </w:rPr>
        <w:t>7</w:t>
      </w:r>
      <w:r>
        <w:rPr>
          <w:szCs w:val="24"/>
        </w:rPr>
        <w:t xml:space="preserve"> 混合模式：至少 255 段可定义施加信号，包括电位阶跃、电位扫描、开路电位</w:t>
      </w:r>
      <w:r>
        <w:rPr>
          <w:rFonts w:hint="eastAsia"/>
          <w:szCs w:val="24"/>
        </w:rPr>
        <w:t>。</w:t>
      </w:r>
    </w:p>
    <w:p>
      <w:pPr>
        <w:pStyle w:val="13"/>
        <w:shd w:val="clear" w:color="auto" w:fill="FFFFFF"/>
        <w:spacing w:beforeAutospacing="0" w:afterAutospacing="0"/>
        <w:ind w:firstLine="480"/>
        <w:rPr>
          <w:szCs w:val="24"/>
        </w:rPr>
      </w:pPr>
      <w:r>
        <w:rPr>
          <w:rFonts w:hint="eastAsia"/>
          <w:szCs w:val="24"/>
        </w:rPr>
        <w:t>8</w:t>
      </w:r>
      <w:r>
        <w:rPr>
          <w:szCs w:val="24"/>
        </w:rPr>
        <w:t xml:space="preserve"> 批处理功能：用户可自由组合多个测量方法程序，仪器可根据设置自动按序测量。</w:t>
      </w:r>
    </w:p>
    <w:p>
      <w:pPr>
        <w:pStyle w:val="13"/>
        <w:shd w:val="clear" w:color="auto" w:fill="FFFFFF"/>
        <w:spacing w:beforeAutospacing="0" w:afterAutospacing="0"/>
        <w:ind w:firstLine="480"/>
        <w:rPr>
          <w:szCs w:val="24"/>
        </w:rPr>
      </w:pPr>
      <w:r>
        <w:rPr>
          <w:rFonts w:hint="eastAsia"/>
          <w:szCs w:val="24"/>
        </w:rPr>
        <w:t>★9</w:t>
      </w:r>
      <w:r>
        <w:rPr>
          <w:szCs w:val="24"/>
        </w:rPr>
        <w:t xml:space="preserve"> 开放源程序：免费提供开放式的SDK源程序，允许用户通过编程软件（如 C++Delphi、VB等）自行编制程序，也可对仪器进行远程控制。</w:t>
      </w:r>
    </w:p>
    <w:p>
      <w:pPr>
        <w:pStyle w:val="13"/>
        <w:shd w:val="clear" w:color="auto" w:fill="FFFFFF"/>
        <w:spacing w:beforeAutospacing="0" w:afterAutospacing="0"/>
        <w:ind w:firstLine="480"/>
        <w:rPr>
          <w:szCs w:val="24"/>
        </w:rPr>
      </w:pPr>
      <w:r>
        <w:rPr>
          <w:rFonts w:hint="eastAsia"/>
          <w:szCs w:val="24"/>
        </w:rPr>
        <w:t>10</w:t>
      </w:r>
      <w:r>
        <w:rPr>
          <w:szCs w:val="24"/>
        </w:rPr>
        <w:t>同一品牌任何型号的电化学工作站都可以组成多通道，各个通道可以进行单独或同步测量。</w:t>
      </w:r>
    </w:p>
    <w:p>
      <w:pPr>
        <w:pStyle w:val="13"/>
        <w:shd w:val="clear" w:color="auto" w:fill="FFFFFF"/>
        <w:spacing w:beforeAutospacing="0" w:afterAutospacing="0"/>
        <w:ind w:firstLine="480"/>
        <w:rPr>
          <w:szCs w:val="24"/>
        </w:rPr>
      </w:pPr>
      <w:r>
        <w:rPr>
          <w:rFonts w:hint="eastAsia"/>
          <w:szCs w:val="24"/>
        </w:rPr>
        <w:t>★11</w:t>
      </w:r>
      <w:r>
        <w:rPr>
          <w:szCs w:val="24"/>
        </w:rPr>
        <w:t xml:space="preserve"> USB或内置锂电池供电，内置蓝牙模块，</w:t>
      </w:r>
      <w:r>
        <w:rPr>
          <w:rFonts w:hint="eastAsia"/>
          <w:szCs w:val="24"/>
        </w:rPr>
        <w:t>提供安卓系统APP（手机或平板电脑），可用于</w:t>
      </w:r>
      <w:r>
        <w:rPr>
          <w:szCs w:val="24"/>
        </w:rPr>
        <w:t>现场检测和无线传输数据。</w:t>
      </w:r>
    </w:p>
    <w:p>
      <w:pPr>
        <w:pStyle w:val="33"/>
        <w:rPr>
          <w:rFonts w:hAnsi="宋体"/>
          <w:sz w:val="24"/>
          <w:szCs w:val="24"/>
        </w:rPr>
      </w:pPr>
      <w:r>
        <w:rPr>
          <w:rFonts w:hint="eastAsia" w:hAnsi="宋体" w:cs="宋体"/>
          <w:sz w:val="24"/>
          <w:szCs w:val="24"/>
        </w:rPr>
        <w:t>★</w:t>
      </w:r>
      <w:r>
        <w:rPr>
          <w:rFonts w:hint="eastAsia" w:hAnsi="宋体"/>
          <w:sz w:val="24"/>
          <w:szCs w:val="24"/>
        </w:rPr>
        <w:t>12</w:t>
      </w:r>
      <w:r>
        <w:rPr>
          <w:rFonts w:hAnsi="宋体"/>
          <w:sz w:val="24"/>
          <w:szCs w:val="24"/>
        </w:rPr>
        <w:t xml:space="preserve"> 数据采集及处理模块尺寸：不得大于 </w:t>
      </w:r>
      <w:r>
        <w:rPr>
          <w:rFonts w:hint="eastAsia" w:hAnsi="宋体"/>
          <w:sz w:val="24"/>
          <w:szCs w:val="24"/>
        </w:rPr>
        <w:t>10</w:t>
      </w:r>
      <w:r>
        <w:rPr>
          <w:rFonts w:hAnsi="宋体"/>
          <w:sz w:val="24"/>
          <w:szCs w:val="24"/>
        </w:rPr>
        <w:t xml:space="preserve"> x </w:t>
      </w:r>
      <w:r>
        <w:rPr>
          <w:rFonts w:hint="eastAsia" w:hAnsi="宋体"/>
          <w:sz w:val="24"/>
          <w:szCs w:val="24"/>
        </w:rPr>
        <w:t>6</w:t>
      </w:r>
      <w:r>
        <w:rPr>
          <w:rFonts w:hAnsi="宋体"/>
          <w:sz w:val="24"/>
          <w:szCs w:val="24"/>
        </w:rPr>
        <w:t xml:space="preserve"> x 3</w:t>
      </w:r>
      <w:r>
        <w:rPr>
          <w:rFonts w:hint="eastAsia" w:hAnsi="宋体"/>
          <w:sz w:val="24"/>
          <w:szCs w:val="24"/>
        </w:rPr>
        <w:t>.4cm</w:t>
      </w:r>
    </w:p>
    <w:p>
      <w:pPr>
        <w:pStyle w:val="33"/>
        <w:rPr>
          <w:rFonts w:hAnsi="宋体"/>
          <w:sz w:val="24"/>
          <w:szCs w:val="24"/>
        </w:rPr>
      </w:pPr>
      <w:r>
        <w:rPr>
          <w:rFonts w:hint="eastAsia" w:hAnsi="宋体"/>
          <w:sz w:val="24"/>
          <w:szCs w:val="24"/>
        </w:rPr>
        <w:t xml:space="preserve">13 </w:t>
      </w:r>
      <w:r>
        <w:rPr>
          <w:rFonts w:hAnsi="宋体"/>
          <w:sz w:val="24"/>
          <w:szCs w:val="24"/>
        </w:rPr>
        <w:t>可选择模块：电化学多路器（至少可连接16个多路器），搅拌或震动模块（操作软件自动控制开关），差分静电计放大器，温度探头，丝网印刷电极连接器等。</w:t>
      </w:r>
    </w:p>
    <w:p>
      <w:pPr>
        <w:ind w:firstLine="480"/>
        <w:rPr>
          <w:rFonts w:ascii="Times New Roman" w:hAnsi="Times New Roman" w:cs="Times New Roman"/>
          <w:b/>
          <w:szCs w:val="24"/>
        </w:rPr>
      </w:pPr>
      <w:r>
        <w:rPr>
          <w:rFonts w:hint="eastAsia" w:hAnsi="宋体" w:cs="宋体"/>
          <w:szCs w:val="24"/>
        </w:rPr>
        <w:t>●为确保售后服务和货物质量，投标方须提供厂商或国内总代理商针对本项目的授权书、售后服务承诺书及技术参数确认函，质保期为一年。</w:t>
      </w:r>
    </w:p>
    <w:p>
      <w:pPr>
        <w:pStyle w:val="2"/>
        <w:numPr>
          <w:ilvl w:val="0"/>
          <w:numId w:val="6"/>
        </w:numPr>
        <w:ind w:left="240" w:right="240" w:firstLine="241" w:firstLineChars="100"/>
        <w:rPr>
          <w:rFonts w:ascii="Times New Roman" w:hAnsi="Times New Roman" w:eastAsia="宋体" w:cs="Times New Roman"/>
          <w:sz w:val="24"/>
          <w:szCs w:val="24"/>
        </w:rPr>
      </w:pPr>
      <w:bookmarkStart w:id="30" w:name="OLE_LINK28"/>
      <w:r>
        <w:rPr>
          <w:rFonts w:hint="eastAsia" w:ascii="Times New Roman" w:hAnsi="Times New Roman" w:eastAsia="宋体" w:cs="Times New Roman"/>
          <w:sz w:val="24"/>
          <w:szCs w:val="24"/>
        </w:rPr>
        <w:t>分析天平  1台</w:t>
      </w:r>
    </w:p>
    <w:bookmarkEnd w:id="30"/>
    <w:p>
      <w:pPr>
        <w:spacing w:line="240" w:lineRule="exact"/>
        <w:ind w:firstLine="482"/>
        <w:rPr>
          <w:rFonts w:hAnsi="宋体" w:cs="宋体"/>
          <w:b/>
          <w:snapToGrid w:val="0"/>
          <w:szCs w:val="24"/>
        </w:rPr>
      </w:pPr>
      <w:r>
        <w:rPr>
          <w:rFonts w:hint="eastAsia" w:hAnsi="宋体" w:cs="宋体"/>
          <w:b/>
          <w:snapToGrid w:val="0"/>
          <w:szCs w:val="24"/>
        </w:rPr>
        <w:t>技术参数：</w:t>
      </w:r>
    </w:p>
    <w:p>
      <w:pPr>
        <w:ind w:firstLine="480"/>
        <w:rPr>
          <w:rFonts w:hAnsi="宋体"/>
          <w:color w:val="000000"/>
          <w:szCs w:val="24"/>
        </w:rPr>
      </w:pPr>
      <w:r>
        <w:rPr>
          <w:rFonts w:hAnsi="宋体"/>
          <w:color w:val="000000"/>
          <w:szCs w:val="24"/>
        </w:rPr>
        <w:t>1、机身过载保护</w:t>
      </w:r>
      <w:r>
        <w:rPr>
          <w:rFonts w:hint="eastAsia" w:hAnsi="宋体"/>
          <w:color w:val="000000"/>
          <w:szCs w:val="24"/>
        </w:rPr>
        <w:t>最高可达100kg</w:t>
      </w:r>
      <w:r>
        <w:rPr>
          <w:rFonts w:hAnsi="宋体"/>
          <w:color w:val="000000"/>
          <w:szCs w:val="24"/>
        </w:rPr>
        <w:t>，快速获得准确结果</w:t>
      </w:r>
    </w:p>
    <w:p>
      <w:pPr>
        <w:ind w:firstLine="480"/>
        <w:rPr>
          <w:rFonts w:hAnsi="宋体"/>
          <w:color w:val="000000"/>
          <w:szCs w:val="24"/>
        </w:rPr>
      </w:pPr>
      <w:r>
        <w:rPr>
          <w:rFonts w:hAnsi="宋体"/>
          <w:color w:val="000000"/>
          <w:szCs w:val="24"/>
        </w:rPr>
        <w:t>2、</w:t>
      </w:r>
      <w:r>
        <w:rPr>
          <w:rFonts w:hint="eastAsia" w:hAnsi="宋体"/>
          <w:color w:val="000000"/>
          <w:szCs w:val="24"/>
        </w:rPr>
        <w:t>采用先进的电磁力平衡称重传感器，外部校准</w:t>
      </w:r>
    </w:p>
    <w:p>
      <w:pPr>
        <w:ind w:firstLine="480"/>
        <w:rPr>
          <w:rFonts w:hAnsi="宋体"/>
          <w:color w:val="000000"/>
          <w:szCs w:val="24"/>
        </w:rPr>
      </w:pPr>
      <w:r>
        <w:rPr>
          <w:rFonts w:hAnsi="宋体"/>
          <w:color w:val="000000"/>
          <w:szCs w:val="24"/>
        </w:rPr>
        <w:t>3、完全可拆卸的防风罩、秤盘及支架，光滑的表面和弧形边缘使清洁变得容易并且安全</w:t>
      </w:r>
    </w:p>
    <w:p>
      <w:pPr>
        <w:ind w:firstLine="480"/>
        <w:rPr>
          <w:rFonts w:hAnsi="宋体"/>
          <w:color w:val="000000"/>
          <w:szCs w:val="24"/>
        </w:rPr>
      </w:pPr>
      <w:r>
        <w:rPr>
          <w:rFonts w:hAnsi="宋体"/>
          <w:color w:val="000000"/>
          <w:szCs w:val="24"/>
        </w:rPr>
        <w:t>4、称量值检索功能</w:t>
      </w:r>
    </w:p>
    <w:p>
      <w:pPr>
        <w:ind w:firstLine="480"/>
        <w:rPr>
          <w:rFonts w:hAnsi="宋体"/>
          <w:color w:val="000000"/>
          <w:szCs w:val="24"/>
        </w:rPr>
      </w:pPr>
      <w:r>
        <w:rPr>
          <w:rFonts w:hAnsi="宋体"/>
          <w:color w:val="000000"/>
          <w:szCs w:val="24"/>
        </w:rPr>
        <w:t>5、8种</w:t>
      </w:r>
      <w:r>
        <w:rPr>
          <w:rFonts w:hint="eastAsia" w:hAnsi="宋体"/>
          <w:color w:val="000000"/>
          <w:szCs w:val="24"/>
        </w:rPr>
        <w:t>内置</w:t>
      </w:r>
      <w:r>
        <w:rPr>
          <w:rFonts w:hAnsi="宋体"/>
          <w:color w:val="000000"/>
          <w:szCs w:val="24"/>
        </w:rPr>
        <w:t>应用程序：包括</w:t>
      </w:r>
      <w:r>
        <w:rPr>
          <w:rFonts w:hint="eastAsia" w:hAnsi="宋体"/>
          <w:color w:val="000000"/>
          <w:szCs w:val="24"/>
        </w:rPr>
        <w:t>统计与配方称量</w:t>
      </w:r>
    </w:p>
    <w:p>
      <w:pPr>
        <w:ind w:firstLine="480"/>
        <w:rPr>
          <w:rFonts w:hAnsi="宋体"/>
          <w:color w:val="000000"/>
          <w:szCs w:val="24"/>
        </w:rPr>
      </w:pPr>
      <w:r>
        <w:rPr>
          <w:rFonts w:hAnsi="宋体"/>
          <w:color w:val="000000"/>
          <w:szCs w:val="24"/>
        </w:rPr>
        <w:t>6、前置水平调节脚和水平指示器，易于观察和调节</w:t>
      </w:r>
    </w:p>
    <w:p>
      <w:pPr>
        <w:ind w:firstLine="480"/>
        <w:rPr>
          <w:rFonts w:hAnsi="宋体"/>
          <w:color w:val="000000"/>
          <w:szCs w:val="24"/>
        </w:rPr>
      </w:pPr>
      <w:r>
        <w:rPr>
          <w:rFonts w:hAnsi="宋体"/>
          <w:color w:val="000000"/>
          <w:szCs w:val="24"/>
        </w:rPr>
        <w:t>7、5个功能键，可直接进入预设应用程序</w:t>
      </w:r>
    </w:p>
    <w:p>
      <w:pPr>
        <w:ind w:firstLine="480"/>
        <w:rPr>
          <w:rFonts w:hAnsi="宋体"/>
          <w:color w:val="000000"/>
          <w:szCs w:val="24"/>
        </w:rPr>
      </w:pPr>
      <w:r>
        <w:rPr>
          <w:rFonts w:hAnsi="宋体"/>
          <w:color w:val="000000"/>
          <w:szCs w:val="24"/>
        </w:rPr>
        <w:t>8、内置的下挂钩称量设计</w:t>
      </w:r>
    </w:p>
    <w:p>
      <w:pPr>
        <w:ind w:firstLine="480"/>
        <w:rPr>
          <w:rFonts w:hAnsi="宋体"/>
          <w:color w:val="000000"/>
          <w:szCs w:val="24"/>
        </w:rPr>
      </w:pPr>
      <w:r>
        <w:rPr>
          <w:rFonts w:hAnsi="宋体"/>
          <w:color w:val="000000"/>
          <w:szCs w:val="24"/>
        </w:rPr>
        <w:t>9、</w:t>
      </w:r>
      <w:r>
        <w:rPr>
          <w:rFonts w:hint="eastAsia" w:hAnsi="宋体"/>
          <w:color w:val="000000"/>
          <w:szCs w:val="24"/>
        </w:rPr>
        <w:t>3个接口，包括U</w:t>
      </w:r>
      <w:r>
        <w:rPr>
          <w:rFonts w:hAnsi="宋体"/>
          <w:color w:val="000000"/>
          <w:szCs w:val="24"/>
        </w:rPr>
        <w:t>SB</w:t>
      </w:r>
      <w:r>
        <w:rPr>
          <w:rFonts w:hint="eastAsia" w:hAnsi="宋体"/>
          <w:color w:val="000000"/>
          <w:szCs w:val="24"/>
        </w:rPr>
        <w:t>主机、U</w:t>
      </w:r>
      <w:r>
        <w:rPr>
          <w:rFonts w:hAnsi="宋体"/>
          <w:color w:val="000000"/>
          <w:szCs w:val="24"/>
        </w:rPr>
        <w:t>SB</w:t>
      </w:r>
      <w:r>
        <w:rPr>
          <w:rFonts w:hint="eastAsia" w:hAnsi="宋体"/>
          <w:color w:val="000000"/>
          <w:szCs w:val="24"/>
        </w:rPr>
        <w:t>设备和</w:t>
      </w:r>
      <w:r>
        <w:rPr>
          <w:rFonts w:hAnsi="宋体"/>
          <w:color w:val="000000"/>
          <w:szCs w:val="24"/>
        </w:rPr>
        <w:t>RS232接口</w:t>
      </w:r>
    </w:p>
    <w:p>
      <w:pPr>
        <w:ind w:firstLine="480"/>
        <w:rPr>
          <w:rFonts w:hAnsi="宋体"/>
          <w:color w:val="000000"/>
          <w:szCs w:val="24"/>
        </w:rPr>
      </w:pPr>
      <w:r>
        <w:rPr>
          <w:rFonts w:hAnsi="宋体"/>
          <w:color w:val="000000"/>
          <w:szCs w:val="24"/>
        </w:rPr>
        <w:t>10、无需软件即可完成数据传输</w:t>
      </w:r>
    </w:p>
    <w:p>
      <w:pPr>
        <w:ind w:firstLine="480"/>
        <w:rPr>
          <w:rFonts w:hAnsi="宋体"/>
          <w:color w:val="000000"/>
          <w:szCs w:val="24"/>
        </w:rPr>
      </w:pPr>
      <w:r>
        <w:rPr>
          <w:rFonts w:hAnsi="宋体"/>
          <w:color w:val="000000"/>
          <w:szCs w:val="24"/>
        </w:rPr>
        <w:t>★11、内置的时间与日期标识完全符合ISO/GLP文件要求</w:t>
      </w:r>
    </w:p>
    <w:p>
      <w:pPr>
        <w:ind w:firstLine="480"/>
        <w:rPr>
          <w:rFonts w:hAnsi="宋体"/>
          <w:color w:val="000000"/>
          <w:szCs w:val="24"/>
        </w:rPr>
      </w:pPr>
      <w:r>
        <w:rPr>
          <w:rFonts w:hAnsi="宋体"/>
          <w:color w:val="000000"/>
          <w:szCs w:val="24"/>
        </w:rPr>
        <w:t>12</w:t>
      </w:r>
      <w:r>
        <w:rPr>
          <w:rFonts w:hint="eastAsia" w:hAnsi="宋体"/>
          <w:color w:val="000000"/>
          <w:szCs w:val="24"/>
        </w:rPr>
        <w:t>、</w:t>
      </w:r>
      <w:r>
        <w:rPr>
          <w:rFonts w:hAnsi="宋体"/>
          <w:color w:val="000000"/>
          <w:szCs w:val="24"/>
        </w:rPr>
        <w:t>最大称量值</w:t>
      </w:r>
      <w:r>
        <w:rPr>
          <w:rFonts w:hint="eastAsia" w:hAnsi="宋体"/>
          <w:color w:val="000000"/>
          <w:szCs w:val="24"/>
        </w:rPr>
        <w:t>：1</w:t>
      </w:r>
      <w:r>
        <w:rPr>
          <w:rFonts w:hAnsi="宋体"/>
          <w:color w:val="000000"/>
          <w:szCs w:val="24"/>
        </w:rPr>
        <w:t>20g</w:t>
      </w:r>
    </w:p>
    <w:p>
      <w:pPr>
        <w:ind w:firstLine="480"/>
        <w:rPr>
          <w:rFonts w:hAnsi="宋体"/>
          <w:color w:val="000000"/>
          <w:szCs w:val="24"/>
        </w:rPr>
      </w:pPr>
      <w:r>
        <w:rPr>
          <w:rFonts w:hAnsi="宋体"/>
          <w:color w:val="000000"/>
          <w:szCs w:val="24"/>
        </w:rPr>
        <w:t>13</w:t>
      </w:r>
      <w:r>
        <w:rPr>
          <w:rFonts w:hint="eastAsia" w:hAnsi="宋体"/>
          <w:color w:val="000000"/>
          <w:szCs w:val="24"/>
        </w:rPr>
        <w:t>、</w:t>
      </w:r>
      <w:r>
        <w:rPr>
          <w:rFonts w:hAnsi="宋体"/>
          <w:color w:val="000000"/>
          <w:szCs w:val="24"/>
        </w:rPr>
        <w:t>可读性</w:t>
      </w:r>
      <w:r>
        <w:rPr>
          <w:rFonts w:hint="eastAsia" w:hAnsi="宋体"/>
          <w:color w:val="000000"/>
          <w:szCs w:val="24"/>
        </w:rPr>
        <w:t>：</w:t>
      </w:r>
      <w:r>
        <w:rPr>
          <w:rFonts w:hAnsi="宋体"/>
          <w:color w:val="000000"/>
          <w:szCs w:val="24"/>
        </w:rPr>
        <w:t>0.1mg</w:t>
      </w:r>
    </w:p>
    <w:p>
      <w:pPr>
        <w:ind w:firstLine="480"/>
        <w:rPr>
          <w:rFonts w:hAnsi="宋体"/>
          <w:color w:val="000000"/>
          <w:szCs w:val="24"/>
        </w:rPr>
      </w:pPr>
      <w:r>
        <w:rPr>
          <w:rFonts w:hAnsi="宋体"/>
          <w:color w:val="000000"/>
          <w:szCs w:val="24"/>
        </w:rPr>
        <w:t>★14</w:t>
      </w:r>
      <w:r>
        <w:rPr>
          <w:rFonts w:hint="eastAsia" w:hAnsi="宋体"/>
          <w:color w:val="000000"/>
          <w:szCs w:val="24"/>
        </w:rPr>
        <w:t>、</w:t>
      </w:r>
      <w:r>
        <w:rPr>
          <w:rFonts w:hAnsi="宋体"/>
          <w:color w:val="000000"/>
          <w:szCs w:val="24"/>
        </w:rPr>
        <w:t>重复性</w:t>
      </w:r>
      <w:r>
        <w:rPr>
          <w:rFonts w:hint="eastAsia" w:hAnsi="宋体"/>
          <w:color w:val="000000"/>
          <w:szCs w:val="24"/>
        </w:rPr>
        <w:t>：</w:t>
      </w:r>
      <w:r>
        <w:rPr>
          <w:rFonts w:hAnsi="宋体"/>
          <w:color w:val="000000"/>
          <w:szCs w:val="24"/>
        </w:rPr>
        <w:t>0.1mg</w:t>
      </w:r>
      <w:r>
        <w:rPr>
          <w:rFonts w:hint="eastAsia" w:hAnsi="宋体"/>
          <w:color w:val="000000"/>
          <w:szCs w:val="24"/>
        </w:rPr>
        <w:t>，线性误差：0.2mg</w:t>
      </w:r>
    </w:p>
    <w:p>
      <w:pPr>
        <w:ind w:firstLine="480"/>
        <w:rPr>
          <w:rFonts w:hAnsi="宋体"/>
          <w:color w:val="000000"/>
          <w:szCs w:val="24"/>
        </w:rPr>
      </w:pPr>
      <w:r>
        <w:rPr>
          <w:rFonts w:hAnsi="宋体"/>
          <w:color w:val="000000"/>
          <w:szCs w:val="24"/>
        </w:rPr>
        <w:t>★15</w:t>
      </w:r>
      <w:r>
        <w:rPr>
          <w:rFonts w:hint="eastAsia" w:hAnsi="宋体"/>
          <w:color w:val="000000"/>
          <w:szCs w:val="24"/>
        </w:rPr>
        <w:t>、最小称量值（USP），典型值：0.16g</w:t>
      </w:r>
    </w:p>
    <w:p>
      <w:pPr>
        <w:ind w:firstLine="480"/>
        <w:rPr>
          <w:rFonts w:hAnsi="宋体"/>
          <w:color w:val="000000"/>
          <w:szCs w:val="24"/>
        </w:rPr>
      </w:pPr>
      <w:r>
        <w:rPr>
          <w:rFonts w:hAnsi="宋体"/>
          <w:color w:val="000000"/>
          <w:szCs w:val="24"/>
        </w:rPr>
        <w:t>16</w:t>
      </w:r>
      <w:r>
        <w:rPr>
          <w:rFonts w:hint="eastAsia" w:hAnsi="宋体"/>
          <w:color w:val="000000"/>
          <w:szCs w:val="24"/>
        </w:rPr>
        <w:t>、</w:t>
      </w:r>
      <w:r>
        <w:rPr>
          <w:rFonts w:hAnsi="宋体"/>
          <w:color w:val="000000"/>
          <w:szCs w:val="24"/>
        </w:rPr>
        <w:t>秤盘尺寸</w:t>
      </w:r>
      <w:r>
        <w:rPr>
          <w:rFonts w:hint="eastAsia" w:hAnsi="宋体"/>
          <w:color w:val="000000"/>
          <w:szCs w:val="24"/>
        </w:rPr>
        <w:t>：</w:t>
      </w:r>
      <w:r>
        <w:rPr>
          <w:rFonts w:hAnsi="宋体"/>
          <w:color w:val="000000"/>
          <w:szCs w:val="24"/>
        </w:rPr>
        <w:t>90mm</w:t>
      </w:r>
    </w:p>
    <w:p>
      <w:pPr>
        <w:ind w:firstLine="480"/>
        <w:rPr>
          <w:rFonts w:hAnsi="宋体"/>
          <w:color w:val="000000"/>
          <w:szCs w:val="24"/>
        </w:rPr>
      </w:pPr>
      <w:r>
        <w:rPr>
          <w:rFonts w:hint="eastAsia" w:hAnsi="宋体"/>
          <w:color w:val="000000"/>
          <w:szCs w:val="24"/>
        </w:rPr>
        <w:t>17、</w:t>
      </w:r>
      <w:r>
        <w:rPr>
          <w:rFonts w:hAnsi="宋体"/>
          <w:color w:val="000000"/>
          <w:szCs w:val="24"/>
        </w:rPr>
        <w:t>全金属机架和五面玻璃防风罩</w:t>
      </w:r>
      <w:r>
        <w:rPr>
          <w:rFonts w:hint="eastAsia" w:hAnsi="宋体"/>
          <w:color w:val="000000"/>
          <w:szCs w:val="24"/>
        </w:rPr>
        <w:t>，</w:t>
      </w:r>
      <w:r>
        <w:rPr>
          <w:rFonts w:hAnsi="宋体"/>
          <w:color w:val="000000"/>
          <w:szCs w:val="24"/>
        </w:rPr>
        <w:t>防风罩的有效高度235mm</w:t>
      </w:r>
    </w:p>
    <w:p>
      <w:pPr>
        <w:ind w:firstLine="480"/>
        <w:rPr>
          <w:rFonts w:hAnsi="宋体"/>
          <w:color w:val="000000"/>
          <w:szCs w:val="24"/>
        </w:rPr>
      </w:pPr>
      <w:r>
        <w:rPr>
          <w:rFonts w:hAnsi="宋体"/>
          <w:color w:val="000000"/>
          <w:szCs w:val="24"/>
        </w:rPr>
        <w:t>★</w:t>
      </w:r>
      <w:r>
        <w:rPr>
          <w:rFonts w:hint="eastAsia" w:hAnsi="宋体"/>
          <w:color w:val="000000"/>
          <w:szCs w:val="24"/>
        </w:rPr>
        <w:t>18、4</w:t>
      </w:r>
      <w:r>
        <w:rPr>
          <w:rFonts w:hAnsi="宋体"/>
          <w:color w:val="000000"/>
          <w:szCs w:val="24"/>
        </w:rPr>
        <w:t>.5</w:t>
      </w:r>
      <w:r>
        <w:rPr>
          <w:rFonts w:hint="eastAsia" w:hAnsi="宋体"/>
          <w:color w:val="000000"/>
          <w:szCs w:val="24"/>
        </w:rPr>
        <w:t>英寸彩色液</w:t>
      </w:r>
      <w:r>
        <w:rPr>
          <w:rFonts w:hAnsi="宋体"/>
          <w:color w:val="000000"/>
          <w:szCs w:val="24"/>
        </w:rPr>
        <w:t>晶</w:t>
      </w:r>
      <w:r>
        <w:rPr>
          <w:rFonts w:hint="eastAsia" w:hAnsi="宋体"/>
          <w:color w:val="000000"/>
          <w:szCs w:val="24"/>
        </w:rPr>
        <w:t>触摸</w:t>
      </w:r>
      <w:r>
        <w:rPr>
          <w:rFonts w:hAnsi="宋体"/>
          <w:color w:val="000000"/>
          <w:szCs w:val="24"/>
        </w:rPr>
        <w:t>显示屏</w:t>
      </w:r>
      <w:r>
        <w:rPr>
          <w:rFonts w:hint="eastAsia" w:hAnsi="宋体"/>
          <w:color w:val="000000"/>
          <w:szCs w:val="24"/>
        </w:rPr>
        <w:t>，1</w:t>
      </w:r>
      <w:r>
        <w:rPr>
          <w:rFonts w:hAnsi="宋体"/>
          <w:color w:val="000000"/>
          <w:szCs w:val="24"/>
        </w:rPr>
        <w:t>5</w:t>
      </w:r>
      <w:r>
        <w:rPr>
          <w:rFonts w:hint="eastAsia" w:hAnsi="宋体"/>
          <w:color w:val="000000"/>
          <w:szCs w:val="24"/>
        </w:rPr>
        <w:t>种可用语言（包括中文）</w:t>
      </w:r>
    </w:p>
    <w:p>
      <w:pPr>
        <w:ind w:firstLine="480"/>
        <w:rPr>
          <w:rFonts w:hAnsi="宋体"/>
          <w:color w:val="000000"/>
          <w:szCs w:val="24"/>
        </w:rPr>
      </w:pPr>
      <w:r>
        <w:rPr>
          <w:rFonts w:hint="eastAsia" w:hAnsi="宋体"/>
          <w:color w:val="000000"/>
          <w:szCs w:val="24"/>
        </w:rPr>
        <w:t>19、</w:t>
      </w:r>
      <w:r>
        <w:rPr>
          <w:rFonts w:hAnsi="宋体"/>
          <w:color w:val="000000"/>
          <w:szCs w:val="24"/>
        </w:rPr>
        <w:t>响应时间：2S</w:t>
      </w:r>
    </w:p>
    <w:p>
      <w:pPr>
        <w:ind w:firstLine="480"/>
        <w:rPr>
          <w:rFonts w:hAnsi="宋体"/>
          <w:color w:val="000000"/>
          <w:szCs w:val="24"/>
        </w:rPr>
      </w:pPr>
      <w:r>
        <w:rPr>
          <w:rFonts w:hAnsi="宋体"/>
          <w:color w:val="000000"/>
          <w:szCs w:val="24"/>
        </w:rPr>
        <w:t>20</w:t>
      </w:r>
      <w:r>
        <w:rPr>
          <w:rFonts w:hint="eastAsia" w:hAnsi="宋体"/>
          <w:color w:val="000000"/>
          <w:szCs w:val="24"/>
        </w:rPr>
        <w:t>、灵敏度温度漂移：2.0ppm</w:t>
      </w:r>
      <w:r>
        <w:rPr>
          <w:rFonts w:hAnsi="宋体"/>
          <w:color w:val="000000"/>
          <w:szCs w:val="24"/>
        </w:rPr>
        <w:t>/</w:t>
      </w:r>
      <w:r>
        <w:rPr>
          <w:rFonts w:hint="eastAsia" w:hAnsi="宋体"/>
          <w:color w:val="000000"/>
          <w:szCs w:val="24"/>
        </w:rPr>
        <w:t>℃</w:t>
      </w:r>
    </w:p>
    <w:p>
      <w:pPr>
        <w:ind w:firstLine="480"/>
        <w:rPr>
          <w:rFonts w:hAnsi="宋体"/>
          <w:color w:val="000000"/>
          <w:szCs w:val="24"/>
        </w:rPr>
      </w:pPr>
      <w:r>
        <w:rPr>
          <w:rFonts w:hAnsi="宋体"/>
          <w:color w:val="000000"/>
          <w:szCs w:val="24"/>
        </w:rPr>
        <w:t>21</w:t>
      </w:r>
      <w:r>
        <w:rPr>
          <w:rFonts w:hint="eastAsia" w:hAnsi="宋体"/>
          <w:color w:val="000000"/>
          <w:szCs w:val="24"/>
        </w:rPr>
        <w:t>、尺寸（高*宽）：344mm</w:t>
      </w:r>
      <w:r>
        <w:rPr>
          <w:rFonts w:hAnsi="宋体"/>
          <w:color w:val="000000"/>
          <w:szCs w:val="24"/>
        </w:rPr>
        <w:t>*210mm</w:t>
      </w:r>
    </w:p>
    <w:p>
      <w:pPr>
        <w:ind w:firstLine="480"/>
        <w:rPr>
          <w:rFonts w:hAnsi="宋体"/>
          <w:color w:val="000000"/>
          <w:szCs w:val="24"/>
        </w:rPr>
      </w:pPr>
      <w:r>
        <w:rPr>
          <w:rFonts w:hint="eastAsia" w:hAnsi="宋体"/>
          <w:color w:val="000000"/>
          <w:szCs w:val="24"/>
        </w:rPr>
        <w:t>★</w:t>
      </w:r>
      <w:r>
        <w:rPr>
          <w:rFonts w:hAnsi="宋体"/>
          <w:color w:val="000000"/>
          <w:szCs w:val="24"/>
        </w:rPr>
        <w:t>22、生产厂商须</w:t>
      </w:r>
      <w:r>
        <w:rPr>
          <w:rFonts w:hint="eastAsia" w:hAnsi="宋体"/>
          <w:color w:val="000000"/>
          <w:szCs w:val="24"/>
        </w:rPr>
        <w:t>具备</w:t>
      </w:r>
      <w:r>
        <w:rPr>
          <w:rFonts w:hAnsi="宋体"/>
          <w:color w:val="000000"/>
          <w:szCs w:val="24"/>
        </w:rPr>
        <w:t>提供校准服务</w:t>
      </w:r>
      <w:r>
        <w:rPr>
          <w:rFonts w:hint="eastAsia" w:hAnsi="宋体"/>
          <w:color w:val="000000"/>
          <w:szCs w:val="24"/>
        </w:rPr>
        <w:t>的能力</w:t>
      </w:r>
      <w:r>
        <w:rPr>
          <w:rFonts w:hAnsi="宋体"/>
          <w:color w:val="000000"/>
          <w:szCs w:val="24"/>
        </w:rPr>
        <w:t>，并获得中国合格评定国家认可委员会颁发的CNAS实验室认可证书（投标时提供证书复印件，加盖鲜章）</w:t>
      </w:r>
    </w:p>
    <w:p>
      <w:pPr>
        <w:spacing w:line="240" w:lineRule="auto"/>
        <w:ind w:firstLine="480"/>
        <w:rPr>
          <w:rFonts w:ascii="Times New Roman" w:hAnsi="Times New Roman" w:cs="Times New Roman"/>
          <w:b/>
          <w:szCs w:val="24"/>
        </w:rPr>
      </w:pPr>
      <w:r>
        <w:rPr>
          <w:rFonts w:hint="eastAsia" w:hAnsi="宋体" w:cs="宋体"/>
          <w:szCs w:val="24"/>
        </w:rPr>
        <w:t>●</w:t>
      </w:r>
      <w:r>
        <w:rPr>
          <w:rFonts w:hint="eastAsia" w:hAnsi="宋体"/>
          <w:color w:val="000000"/>
          <w:szCs w:val="24"/>
        </w:rPr>
        <w:t>为确保售后服务及供货渠道的合法性，投标时需提供生产厂家的授权书、售后服务承诺书及技术参数确认函原件，</w:t>
      </w:r>
      <w:r>
        <w:rPr>
          <w:rFonts w:hint="eastAsia" w:hAnsi="宋体" w:cs="宋体"/>
          <w:szCs w:val="24"/>
        </w:rPr>
        <w:t>质保期为一年</w:t>
      </w:r>
      <w:r>
        <w:rPr>
          <w:rFonts w:hint="eastAsia" w:hAnsi="宋体"/>
          <w:color w:val="000000"/>
          <w:szCs w:val="24"/>
        </w:rPr>
        <w:t>。</w:t>
      </w:r>
    </w:p>
    <w:p>
      <w:pPr>
        <w:spacing w:line="240" w:lineRule="auto"/>
        <w:ind w:firstLine="0" w:firstLineChars="0"/>
        <w:rPr>
          <w:rFonts w:ascii="Times New Roman" w:hAnsi="Times New Roman" w:cs="Times New Roman"/>
          <w:b/>
          <w:szCs w:val="24"/>
        </w:rPr>
      </w:pPr>
    </w:p>
    <w:p>
      <w:pPr>
        <w:spacing w:line="240" w:lineRule="auto"/>
        <w:ind w:firstLine="482"/>
        <w:rPr>
          <w:rFonts w:ascii="Times New Roman" w:hAnsi="Times New Roman" w:cs="Times New Roman"/>
          <w:b/>
          <w:szCs w:val="24"/>
        </w:rPr>
      </w:pPr>
    </w:p>
    <w:p>
      <w:pPr>
        <w:spacing w:line="240" w:lineRule="auto"/>
        <w:ind w:firstLine="482"/>
        <w:rPr>
          <w:rFonts w:ascii="Times New Roman" w:hAnsi="Times New Roman" w:cs="Times New Roman"/>
          <w:b/>
          <w:szCs w:val="24"/>
        </w:rPr>
      </w:pPr>
      <w:bookmarkStart w:id="31" w:name="OLE_LINK41"/>
      <w:r>
        <w:rPr>
          <w:rFonts w:hint="eastAsia" w:ascii="Times New Roman" w:hAnsi="Times New Roman" w:cs="Times New Roman"/>
          <w:b/>
          <w:szCs w:val="24"/>
        </w:rPr>
        <w:t>C包：无机合成与制备化学方向（56万元）</w:t>
      </w:r>
    </w:p>
    <w:p>
      <w:pPr>
        <w:keepNext/>
        <w:keepLines/>
        <w:widowControl w:val="0"/>
        <w:numPr>
          <w:ilvl w:val="0"/>
          <w:numId w:val="9"/>
        </w:numPr>
        <w:spacing w:before="600" w:after="240" w:line="240" w:lineRule="auto"/>
        <w:ind w:left="480" w:leftChars="200" w:right="240" w:rightChars="100" w:firstLine="0" w:firstLineChars="0"/>
        <w:outlineLvl w:val="1"/>
        <w:rPr>
          <w:rFonts w:ascii="Times New Roman" w:hAnsi="Times New Roman" w:cs="Times New Roman"/>
          <w:b/>
          <w:bCs/>
          <w:szCs w:val="24"/>
          <w:lang w:val="zh-CN" w:eastAsia="zh-CN"/>
        </w:rPr>
      </w:pPr>
      <w:r>
        <w:rPr>
          <w:rFonts w:hint="eastAsia" w:ascii="Times New Roman" w:hAnsi="Times New Roman" w:cs="Times New Roman"/>
          <w:b/>
          <w:bCs/>
          <w:szCs w:val="24"/>
          <w:lang w:val="zh-CN" w:eastAsia="zh-CN"/>
        </w:rPr>
        <w:t>孔径与比表面积分析仪  1套</w:t>
      </w:r>
    </w:p>
    <w:p>
      <w:pPr>
        <w:ind w:left="480" w:leftChars="200" w:firstLine="0" w:firstLineChars="0"/>
        <w:rPr>
          <w:rFonts w:hAnsi="宋体"/>
          <w:color w:val="000000"/>
          <w:szCs w:val="24"/>
        </w:rPr>
      </w:pPr>
      <w:r>
        <w:rPr>
          <w:rFonts w:hint="eastAsia"/>
        </w:rPr>
        <w:t xml:space="preserve">   </w:t>
      </w:r>
      <w:r>
        <w:rPr>
          <w:rFonts w:hint="eastAsia" w:hAnsi="宋体" w:cs="宋体"/>
          <w:b/>
          <w:snapToGrid w:val="0"/>
          <w:szCs w:val="24"/>
        </w:rPr>
        <w:t xml:space="preserve">技术参数：   </w:t>
      </w:r>
      <w:r>
        <w:rPr>
          <w:rFonts w:hint="eastAsia" w:ascii="微软雅黑" w:hAnsi="微软雅黑" w:eastAsia="微软雅黑" w:cs="宋体"/>
          <w:bCs/>
          <w:sz w:val="18"/>
          <w:szCs w:val="18"/>
        </w:rPr>
        <w:t xml:space="preserve">                                                                                                                                                                                            </w:t>
      </w:r>
      <w:r>
        <w:rPr>
          <w:rFonts w:hint="eastAsia" w:hAnsi="宋体"/>
          <w:color w:val="000000"/>
          <w:szCs w:val="24"/>
        </w:rPr>
        <w:t>1、分析方法：真空静态容量法。</w:t>
      </w:r>
    </w:p>
    <w:p>
      <w:pPr>
        <w:ind w:firstLine="480"/>
        <w:rPr>
          <w:rFonts w:hAnsi="宋体"/>
          <w:color w:val="000000"/>
          <w:szCs w:val="24"/>
        </w:rPr>
      </w:pPr>
      <w:r>
        <w:rPr>
          <w:rFonts w:hint="eastAsia" w:hAnsi="宋体"/>
          <w:color w:val="000000"/>
          <w:szCs w:val="24"/>
        </w:rPr>
        <w:t>2、测试数据：比表面积下限优于0.0005M2/g至无已知上限；微孔分析 0.35-2nm ；介孔分析2-50nm ；大孔分析50-500nm 。</w:t>
      </w:r>
    </w:p>
    <w:p>
      <w:pPr>
        <w:ind w:firstLine="480"/>
        <w:rPr>
          <w:rFonts w:hAnsi="宋体"/>
          <w:color w:val="000000"/>
          <w:szCs w:val="24"/>
        </w:rPr>
      </w:pPr>
      <w:r>
        <w:rPr>
          <w:rFonts w:hint="eastAsia" w:hAnsi="宋体"/>
          <w:color w:val="000000"/>
          <w:szCs w:val="24"/>
        </w:rPr>
        <w:t>3、分析精度：重复性误差小于±1%；对于比表面积＜1m2/g的样品，重复性误差＜1.5%；（验机时使用中国计量科学院提供的0.221m2/g的标准样品，保证多个分析口的平行性、单个分析口的重复性和重现性均优于1.5%，标样由厂家提供）。</w:t>
      </w:r>
    </w:p>
    <w:p>
      <w:pPr>
        <w:ind w:firstLine="480"/>
        <w:rPr>
          <w:rFonts w:hAnsi="宋体"/>
          <w:color w:val="000000"/>
          <w:szCs w:val="24"/>
        </w:rPr>
      </w:pPr>
      <w:r>
        <w:rPr>
          <w:rFonts w:hint="eastAsia" w:hAnsi="宋体"/>
          <w:color w:val="000000"/>
          <w:szCs w:val="24"/>
        </w:rPr>
        <w:t>★4、分析口：4个。其中3个样品分析口，1个PO分析口（3分析口和PO分析口必须在同一杜瓦瓶里面,保证测试效率和平行性），均能进行超微孔、微孔、介</w:t>
      </w:r>
      <w:r>
        <w:rPr>
          <w:rFonts w:hint="eastAsia" w:ascii="微软雅黑" w:hAnsi="微软雅黑" w:eastAsia="微软雅黑" w:cs="宋体"/>
          <w:bCs/>
          <w:szCs w:val="24"/>
        </w:rPr>
        <w:t>孔、</w:t>
      </w:r>
      <w:r>
        <w:rPr>
          <w:rFonts w:hint="eastAsia" w:hAnsi="宋体"/>
          <w:color w:val="000000"/>
          <w:szCs w:val="24"/>
        </w:rPr>
        <w:t>大孔及超低吸附量材料的精确分析；分析位可同时工作，每个分析位独立运行，具有独立的气路控制系统和压力探测系统。样品管与压力传感器直接相连，中间无阀门，保证实时动态测试样品管内部气体压力。</w:t>
      </w:r>
    </w:p>
    <w:p>
      <w:pPr>
        <w:ind w:firstLine="480"/>
        <w:rPr>
          <w:rFonts w:hAnsi="宋体"/>
          <w:color w:val="000000"/>
          <w:szCs w:val="24"/>
        </w:rPr>
      </w:pPr>
      <w:r>
        <w:rPr>
          <w:rFonts w:hint="eastAsia" w:hAnsi="宋体"/>
          <w:color w:val="000000"/>
          <w:szCs w:val="24"/>
        </w:rPr>
        <w:t>5、杜瓦瓶：配备4L超大容量杜瓦瓶，满足超长时间分析。</w:t>
      </w:r>
    </w:p>
    <w:p>
      <w:pPr>
        <w:ind w:firstLine="480"/>
        <w:rPr>
          <w:rFonts w:hAnsi="宋体"/>
          <w:color w:val="000000"/>
          <w:szCs w:val="24"/>
        </w:rPr>
      </w:pPr>
      <w:r>
        <w:rPr>
          <w:rFonts w:hint="eastAsia" w:hAnsi="宋体"/>
          <w:color w:val="000000"/>
          <w:szCs w:val="24"/>
        </w:rPr>
        <w:t>6、测试效率：可同时进行3个样品的处理和3个样品的分析；可在1h内完成3个样品的多点BET测试；可在6h内完成3个样品的全孔分析（从装上样品管到仪器停止运行的时间）。</w:t>
      </w:r>
    </w:p>
    <w:p>
      <w:pPr>
        <w:ind w:firstLine="480"/>
        <w:rPr>
          <w:rFonts w:hAnsi="宋体"/>
          <w:color w:val="000000"/>
          <w:szCs w:val="24"/>
        </w:rPr>
      </w:pPr>
      <w:r>
        <w:rPr>
          <w:rFonts w:hint="eastAsia" w:hAnsi="宋体"/>
          <w:color w:val="000000"/>
          <w:szCs w:val="24"/>
        </w:rPr>
        <w:t>7、完全独立的脱气站(主机上不能有加热脱气模块,避免主机污染)：</w:t>
      </w:r>
    </w:p>
    <w:p>
      <w:pPr>
        <w:ind w:firstLine="480"/>
        <w:rPr>
          <w:rFonts w:hAnsi="宋体"/>
          <w:color w:val="000000"/>
          <w:szCs w:val="24"/>
        </w:rPr>
      </w:pPr>
      <w:r>
        <w:rPr>
          <w:rFonts w:hint="eastAsia" w:hAnsi="宋体"/>
          <w:color w:val="000000"/>
          <w:szCs w:val="24"/>
        </w:rPr>
        <w:t>★7.1 处理模式：人工智能脱气系统，能根据样品类型选择“多水”“超轻”“标准”处理方案（提供界面实拍图）。</w:t>
      </w:r>
    </w:p>
    <w:p>
      <w:pPr>
        <w:ind w:firstLine="480"/>
        <w:rPr>
          <w:rFonts w:hAnsi="宋体"/>
          <w:color w:val="000000"/>
          <w:szCs w:val="24"/>
        </w:rPr>
      </w:pPr>
      <w:r>
        <w:rPr>
          <w:rFonts w:hint="eastAsia" w:hAnsi="宋体"/>
          <w:color w:val="000000"/>
          <w:szCs w:val="24"/>
        </w:rPr>
        <w:t>7.2处理温度：能同时进行3个样品的真空加热脱气脱水，温度上限400℃，触摸屏控制，控温精度±0.01℃，并且实时显示温度、真空度（提供界面实拍图）。</w:t>
      </w:r>
    </w:p>
    <w:p>
      <w:pPr>
        <w:ind w:firstLine="480"/>
        <w:rPr>
          <w:rFonts w:hAnsi="宋体"/>
          <w:color w:val="000000"/>
          <w:szCs w:val="24"/>
        </w:rPr>
      </w:pPr>
      <w:r>
        <w:rPr>
          <w:rFonts w:hint="eastAsia" w:hAnsi="宋体"/>
          <w:color w:val="000000"/>
          <w:szCs w:val="24"/>
        </w:rPr>
        <w:t>7.3真空系统：脱气站配备独立真空系统及真空泵，保证脱气和分析互不影响。</w:t>
      </w:r>
    </w:p>
    <w:p>
      <w:pPr>
        <w:ind w:firstLine="480"/>
        <w:rPr>
          <w:rFonts w:hAnsi="宋体"/>
          <w:color w:val="000000"/>
          <w:szCs w:val="24"/>
        </w:rPr>
      </w:pPr>
      <w:r>
        <w:rPr>
          <w:rFonts w:hint="eastAsia" w:hAnsi="宋体"/>
          <w:color w:val="000000"/>
          <w:szCs w:val="24"/>
        </w:rPr>
        <w:t>7.4加热炉：使用金属材质的先进复合型加热炉，样品受热更均匀，使用寿命更长；加热炉外部有不锈钢防烫设计（提供界面实拍图）。不使用易烧损的软式加热包。</w:t>
      </w:r>
    </w:p>
    <w:p>
      <w:pPr>
        <w:ind w:firstLine="480"/>
        <w:rPr>
          <w:rFonts w:hAnsi="宋体"/>
          <w:color w:val="000000"/>
          <w:szCs w:val="24"/>
        </w:rPr>
      </w:pPr>
      <w:r>
        <w:rPr>
          <w:rFonts w:hint="eastAsia" w:hAnsi="宋体"/>
          <w:color w:val="000000"/>
          <w:szCs w:val="24"/>
        </w:rPr>
        <w:t>7.5样品冷却：样品从处理温度300℃降到室温＜1min。</w:t>
      </w:r>
    </w:p>
    <w:p>
      <w:pPr>
        <w:ind w:firstLine="480"/>
        <w:rPr>
          <w:rFonts w:hAnsi="宋体"/>
          <w:color w:val="000000"/>
          <w:szCs w:val="24"/>
        </w:rPr>
      </w:pPr>
      <w:r>
        <w:rPr>
          <w:rFonts w:hint="eastAsia" w:hAnsi="宋体"/>
          <w:color w:val="000000"/>
          <w:szCs w:val="24"/>
        </w:rPr>
        <w:t>7.6 脱气位：标配3个，可选3～8个。</w:t>
      </w:r>
    </w:p>
    <w:p>
      <w:pPr>
        <w:ind w:firstLine="480"/>
        <w:rPr>
          <w:rFonts w:hAnsi="宋体"/>
          <w:color w:val="000000"/>
          <w:szCs w:val="24"/>
        </w:rPr>
      </w:pPr>
      <w:r>
        <w:rPr>
          <w:rFonts w:hint="eastAsia" w:hAnsi="宋体"/>
          <w:color w:val="000000"/>
          <w:szCs w:val="24"/>
        </w:rPr>
        <w:t>8、硬件系统控制：</w:t>
      </w:r>
    </w:p>
    <w:p>
      <w:pPr>
        <w:ind w:firstLine="480"/>
        <w:rPr>
          <w:rFonts w:hAnsi="宋体"/>
          <w:color w:val="000000"/>
          <w:szCs w:val="24"/>
        </w:rPr>
      </w:pPr>
      <w:r>
        <w:rPr>
          <w:rFonts w:hint="eastAsia" w:hAnsi="宋体"/>
          <w:color w:val="000000"/>
          <w:szCs w:val="24"/>
        </w:rPr>
        <w:t>★8.1. 压力检测系统：每个分析口配备原装进口多压力传感器进行分段测量，以保证P/P0下限测试精度,为微孔的精确分析提供保障，压力测试范围为0-0.1Torr、0-10Torr、0-1000Torr，并配置独立压力传感器对饱和蒸汽压（P0）进行实时探测。软件端可实时显示及查看分析站及Po站压力值。压力传感器数量不少于9只。</w:t>
      </w:r>
    </w:p>
    <w:p>
      <w:pPr>
        <w:ind w:firstLine="480"/>
        <w:rPr>
          <w:rFonts w:hAnsi="宋体"/>
          <w:color w:val="000000"/>
          <w:szCs w:val="24"/>
        </w:rPr>
      </w:pPr>
      <w:r>
        <w:rPr>
          <w:rFonts w:hint="eastAsia" w:hAnsi="宋体"/>
          <w:color w:val="000000"/>
          <w:szCs w:val="24"/>
        </w:rPr>
        <w:t>8.2. 分压范围：P/P0 10-8－0.998。</w:t>
      </w:r>
    </w:p>
    <w:p>
      <w:pPr>
        <w:ind w:firstLine="480"/>
        <w:rPr>
          <w:rFonts w:hAnsi="宋体"/>
          <w:color w:val="000000"/>
          <w:szCs w:val="24"/>
        </w:rPr>
      </w:pPr>
      <w:r>
        <w:rPr>
          <w:rFonts w:hint="eastAsia" w:hAnsi="宋体"/>
          <w:color w:val="000000"/>
          <w:szCs w:val="24"/>
        </w:rPr>
        <w:t>8.3. 真空系统：主机配置原装进口双级旋片机械泵和涡轮分子泵，泵不能内置仪器中，涡轮分子泵极限真空10-8Pa。</w:t>
      </w:r>
    </w:p>
    <w:p>
      <w:pPr>
        <w:ind w:firstLine="480"/>
        <w:rPr>
          <w:rFonts w:hAnsi="宋体"/>
          <w:color w:val="000000"/>
          <w:szCs w:val="24"/>
        </w:rPr>
      </w:pPr>
      <w:r>
        <w:rPr>
          <w:rFonts w:hint="eastAsia" w:hAnsi="宋体"/>
          <w:color w:val="000000"/>
          <w:szCs w:val="24"/>
        </w:rPr>
        <w:t>★8.4. 气路控制系统：采用集成气路，并具备恒温系统（提供实物图），保证压力探测的稳定，减少“漏点”并应用真空抽气动态调速技术（I-PID）。</w:t>
      </w:r>
    </w:p>
    <w:p>
      <w:pPr>
        <w:ind w:firstLine="480"/>
        <w:rPr>
          <w:rFonts w:hAnsi="宋体"/>
          <w:color w:val="000000"/>
          <w:szCs w:val="24"/>
        </w:rPr>
      </w:pPr>
      <w:r>
        <w:rPr>
          <w:rFonts w:hint="eastAsia" w:hAnsi="宋体"/>
          <w:color w:val="000000"/>
          <w:szCs w:val="24"/>
        </w:rPr>
        <w:t>8.5. 温差动态校准技术：先进的“温差动态校准技术”，可应用于不同温度的冷却剂，通过测算热膨胀系数(软件端可查看)，对温度变化产生的压力变化进行合理校正，有效提高仪器测试精度和稳定性。</w:t>
      </w:r>
    </w:p>
    <w:p>
      <w:pPr>
        <w:ind w:firstLine="480"/>
        <w:rPr>
          <w:rFonts w:hAnsi="宋体"/>
          <w:color w:val="000000"/>
          <w:szCs w:val="24"/>
        </w:rPr>
      </w:pPr>
      <w:r>
        <w:rPr>
          <w:rFonts w:hint="eastAsia" w:hAnsi="宋体"/>
          <w:color w:val="000000"/>
          <w:szCs w:val="24"/>
        </w:rPr>
        <w:t>8.6. 阀门技术：适合物理吸附的超高真空双稳态自锁式阀门技术，死体积小，“0”发热（不能使用普通发热电磁阀和死体积较大的气动阀）。</w:t>
      </w:r>
    </w:p>
    <w:p>
      <w:pPr>
        <w:ind w:firstLine="480"/>
        <w:rPr>
          <w:rFonts w:hAnsi="宋体"/>
          <w:color w:val="000000"/>
          <w:szCs w:val="24"/>
        </w:rPr>
      </w:pPr>
      <w:r>
        <w:rPr>
          <w:rFonts w:hint="eastAsia" w:hAnsi="宋体"/>
          <w:color w:val="000000"/>
          <w:szCs w:val="24"/>
        </w:rPr>
        <w:t>★8.7. 仪器控制系统：双控制系统，主机嵌入windows CE 触控系统,可独立完成分析, 也可以与计算机系统共同控制仪器运行，并实时显示仪器运行状态及数据采集过程；可实现任意一台电脑的远程控制；可实时绘制吸脱附等温线;可实现手机APP控制。</w:t>
      </w:r>
    </w:p>
    <w:p>
      <w:pPr>
        <w:ind w:firstLine="480"/>
        <w:rPr>
          <w:rFonts w:hAnsi="宋体"/>
          <w:color w:val="000000"/>
          <w:szCs w:val="24"/>
        </w:rPr>
      </w:pPr>
      <w:r>
        <w:rPr>
          <w:rFonts w:hint="eastAsia" w:hAnsi="宋体"/>
          <w:color w:val="000000"/>
          <w:szCs w:val="24"/>
        </w:rPr>
        <w:t>8.8.仪器需配备PFC高精度压力电控系统(软件端可实时查看)，可以准确控制进气和出气的量、进出气速率。</w:t>
      </w:r>
    </w:p>
    <w:p>
      <w:pPr>
        <w:ind w:firstLine="480"/>
        <w:rPr>
          <w:rFonts w:hAnsi="宋体"/>
          <w:color w:val="000000"/>
          <w:szCs w:val="24"/>
        </w:rPr>
      </w:pPr>
      <w:r>
        <w:rPr>
          <w:rFonts w:hint="eastAsia" w:hAnsi="宋体"/>
          <w:color w:val="000000"/>
          <w:szCs w:val="24"/>
        </w:rPr>
        <w:t>8.9. 数据采集系统：高精度24位模数转换系统，拥有仪器意外断电数据存储功能。采用USB3.0通讯，不使用串口R232/R485/以太网等通讯方式。</w:t>
      </w:r>
    </w:p>
    <w:p>
      <w:pPr>
        <w:ind w:firstLine="480"/>
        <w:rPr>
          <w:rFonts w:hAnsi="宋体"/>
          <w:color w:val="000000"/>
          <w:szCs w:val="24"/>
        </w:rPr>
      </w:pPr>
      <w:r>
        <w:rPr>
          <w:rFonts w:hint="eastAsia" w:hAnsi="宋体"/>
          <w:color w:val="000000"/>
          <w:szCs w:val="24"/>
        </w:rPr>
        <w:t>9、数据处理：BET比表面积/吸附及脱附等温线/气体的等温吸附分析/BJH孔体积分析/孔面积分析/总孔容积/总孔面积/t-plot图法/MP法微孔分析/HK微孔孔径分布/FS微孔孔径分布/DR/Langmuir法比表面积分析。</w:t>
      </w:r>
    </w:p>
    <w:p>
      <w:pPr>
        <w:ind w:firstLine="482"/>
        <w:rPr>
          <w:rFonts w:hAnsi="宋体"/>
          <w:b/>
          <w:bCs/>
          <w:color w:val="000000"/>
          <w:szCs w:val="24"/>
        </w:rPr>
      </w:pPr>
      <w:r>
        <w:rPr>
          <w:rFonts w:hint="eastAsia" w:hAnsi="宋体"/>
          <w:b/>
          <w:bCs/>
          <w:color w:val="000000"/>
          <w:szCs w:val="24"/>
        </w:rPr>
        <w:t>为确保售后服务及供货渠道的合法性，投标时需提供生产厂家的授权书、售后服务承诺书及技术参数确认函原件。</w:t>
      </w:r>
    </w:p>
    <w:p>
      <w:pPr>
        <w:ind w:firstLine="482"/>
        <w:rPr>
          <w:rFonts w:ascii="Times New Roman" w:hAnsi="Times New Roman" w:cs="Times New Roman"/>
          <w:b/>
          <w:szCs w:val="24"/>
        </w:rPr>
      </w:pPr>
      <w:r>
        <w:rPr>
          <w:rFonts w:hint="eastAsia" w:ascii="Times New Roman" w:hAnsi="Times New Roman" w:cs="Times New Roman"/>
          <w:b/>
          <w:szCs w:val="24"/>
        </w:rPr>
        <w:t>（二）真密度分析仪  1台</w:t>
      </w:r>
    </w:p>
    <w:p>
      <w:pPr>
        <w:ind w:firstLine="482"/>
        <w:rPr>
          <w:rFonts w:ascii="微软雅黑" w:hAnsi="微软雅黑" w:eastAsia="微软雅黑" w:cs="宋体"/>
          <w:bCs/>
          <w:sz w:val="18"/>
          <w:szCs w:val="18"/>
        </w:rPr>
      </w:pPr>
      <w:r>
        <w:rPr>
          <w:rFonts w:hint="eastAsia"/>
          <w:b/>
          <w:bCs/>
        </w:rPr>
        <w:t xml:space="preserve">技术参数： </w:t>
      </w:r>
      <w:r>
        <w:rPr>
          <w:rFonts w:hint="eastAsia" w:ascii="微软雅黑" w:hAnsi="微软雅黑" w:eastAsia="微软雅黑" w:cs="宋体"/>
          <w:bCs/>
          <w:sz w:val="18"/>
          <w:szCs w:val="18"/>
        </w:rPr>
        <w:t xml:space="preserve"> </w:t>
      </w:r>
    </w:p>
    <w:p>
      <w:pPr>
        <w:ind w:firstLine="480"/>
        <w:rPr>
          <w:rFonts w:ascii="Times New Roman" w:hAnsi="Times New Roman" w:cs="Times New Roman"/>
          <w:b/>
          <w:szCs w:val="24"/>
        </w:rPr>
      </w:pPr>
      <w:r>
        <w:rPr>
          <w:rFonts w:hint="eastAsia" w:hAnsi="宋体"/>
          <w:color w:val="000000"/>
          <w:szCs w:val="24"/>
        </w:rPr>
        <w:t xml:space="preserve">★1、测试方法： 提供两种测试方法（软件端可查看并随时切换），静态真空气体置换法和气体膨胀法（注压法）  </w:t>
      </w:r>
    </w:p>
    <w:p>
      <w:pPr>
        <w:ind w:firstLine="480"/>
        <w:rPr>
          <w:rFonts w:hAnsi="宋体"/>
          <w:color w:val="000000"/>
          <w:szCs w:val="24"/>
        </w:rPr>
      </w:pPr>
      <w:r>
        <w:rPr>
          <w:rFonts w:hint="eastAsia" w:hAnsi="宋体"/>
          <w:color w:val="000000"/>
          <w:szCs w:val="24"/>
        </w:rPr>
        <w:t>★2、全恒温系统：提供真密度仪全恒温系统技术专利，采用先进的风热循环装置，内置多点智能化温度控制终端，实现整机的全恒温，不受使用环境温度影响，恒温精度可达±0.01℃。全恒温系统包括：恒温样品仓、恒温测控装置（压力传感器、阀门等）、恒温气路、温度控制设备；并且温度可在仪器控制界面时时显示；</w:t>
      </w:r>
    </w:p>
    <w:p>
      <w:pPr>
        <w:ind w:firstLine="480"/>
        <w:rPr>
          <w:rFonts w:hAnsi="宋体"/>
          <w:color w:val="000000"/>
          <w:szCs w:val="24"/>
        </w:rPr>
      </w:pPr>
      <w:r>
        <w:rPr>
          <w:rFonts w:hint="eastAsia" w:hAnsi="宋体"/>
          <w:color w:val="000000"/>
          <w:szCs w:val="24"/>
        </w:rPr>
        <w:t xml:space="preserve">★3、真空系统：配置真空系统及真空泵，采用真空静态抽离技术；可对真空平衡时间的灵活设置，有效去除样品表面吸附的水分及扩散至样品池内的空气，使定量更准； </w:t>
      </w:r>
    </w:p>
    <w:p>
      <w:pPr>
        <w:ind w:firstLine="480"/>
        <w:rPr>
          <w:rFonts w:hAnsi="宋体"/>
          <w:color w:val="000000"/>
          <w:szCs w:val="24"/>
        </w:rPr>
      </w:pPr>
      <w:r>
        <w:rPr>
          <w:rFonts w:hint="eastAsia" w:hAnsi="宋体"/>
          <w:color w:val="000000"/>
          <w:szCs w:val="24"/>
        </w:rPr>
        <w:t>4、真空平衡时间：根据样品实际情况可灵活设置，可去除样品表面吸附的水分及气体，使定量更准确；</w:t>
      </w:r>
    </w:p>
    <w:p>
      <w:pPr>
        <w:ind w:firstLine="480"/>
        <w:rPr>
          <w:rFonts w:hAnsi="宋体"/>
          <w:color w:val="000000"/>
          <w:szCs w:val="24"/>
        </w:rPr>
      </w:pPr>
      <w:r>
        <w:rPr>
          <w:rFonts w:hint="eastAsia" w:hAnsi="宋体"/>
          <w:color w:val="000000"/>
          <w:szCs w:val="24"/>
        </w:rPr>
        <w:t>★5、测试精度： 双分析站具备一致精度，优于±0.02%，重复性优±0.02%，分辨率0.0001g/cm3（样品体积＜1mL，连续测试5次以上，体积重复偏差＜10μL）；同一样品重新取样的重现性保证真密度值小数点第 2 位稳定；每次输出结果均可作为该样品的最终测试参考值，不能采用取平均值或进行数据删减的方式获取测试结果。</w:t>
      </w:r>
    </w:p>
    <w:p>
      <w:pPr>
        <w:ind w:firstLine="480"/>
        <w:rPr>
          <w:rFonts w:hAnsi="宋体"/>
          <w:color w:val="000000"/>
          <w:szCs w:val="24"/>
        </w:rPr>
      </w:pPr>
      <w:r>
        <w:rPr>
          <w:rFonts w:hint="eastAsia" w:hAnsi="宋体"/>
          <w:color w:val="000000"/>
          <w:szCs w:val="24"/>
        </w:rPr>
        <w:t xml:space="preserve">6、测定体积范围： 0.001～20 cm3（多规格仓体可选50/100/200ml，特殊样品仓可定制）； *7、分析站： 2个，可同时测试2个样品。采用316L不锈钢分析舱，每个样品舱可同步或异步进行独立测试，2个样品舱同时测同一个样品保证真密度值小数点后第二位稳定； </w:t>
      </w:r>
    </w:p>
    <w:p>
      <w:pPr>
        <w:ind w:firstLine="480"/>
        <w:rPr>
          <w:rFonts w:hAnsi="宋体"/>
          <w:color w:val="000000"/>
          <w:szCs w:val="24"/>
        </w:rPr>
      </w:pPr>
      <w:r>
        <w:rPr>
          <w:rFonts w:hint="eastAsia" w:hAnsi="宋体"/>
          <w:color w:val="000000"/>
          <w:szCs w:val="24"/>
        </w:rPr>
        <w:t>8、控制系统：10 英寸高分辨率液晶触摸屏，嵌入WINDOWS CE工控系统，处理速度快，性能稳定，测试无需外接电脑；配置R232及以太网等接口，便于与其他系统对接；</w:t>
      </w:r>
    </w:p>
    <w:p>
      <w:pPr>
        <w:ind w:firstLine="480"/>
        <w:rPr>
          <w:rFonts w:hAnsi="宋体"/>
          <w:color w:val="000000"/>
          <w:szCs w:val="24"/>
        </w:rPr>
      </w:pPr>
      <w:r>
        <w:rPr>
          <w:rFonts w:hint="eastAsia" w:hAnsi="宋体"/>
          <w:color w:val="000000"/>
          <w:szCs w:val="24"/>
        </w:rPr>
        <w:t xml:space="preserve">9、网络控制系统： INTERNET远程控制； </w:t>
      </w:r>
    </w:p>
    <w:p>
      <w:pPr>
        <w:ind w:firstLine="480"/>
        <w:rPr>
          <w:rFonts w:hAnsi="宋体"/>
          <w:color w:val="000000"/>
          <w:szCs w:val="24"/>
        </w:rPr>
      </w:pPr>
      <w:r>
        <w:rPr>
          <w:rFonts w:hint="eastAsia" w:hAnsi="宋体"/>
          <w:color w:val="000000"/>
          <w:szCs w:val="24"/>
        </w:rPr>
        <w:t xml:space="preserve">10、测试时间： 6分钟； </w:t>
      </w:r>
    </w:p>
    <w:p>
      <w:pPr>
        <w:ind w:firstLine="480"/>
        <w:rPr>
          <w:rFonts w:hAnsi="宋体"/>
          <w:color w:val="000000"/>
          <w:szCs w:val="24"/>
        </w:rPr>
      </w:pPr>
      <w:r>
        <w:rPr>
          <w:rFonts w:hint="eastAsia" w:hAnsi="宋体"/>
          <w:color w:val="000000"/>
          <w:szCs w:val="24"/>
        </w:rPr>
        <w:t xml:space="preserve">11、压力检测系统：0-1000Torr进口压力传感器(0-133KPa)； </w:t>
      </w:r>
    </w:p>
    <w:p>
      <w:pPr>
        <w:ind w:firstLine="480"/>
        <w:rPr>
          <w:rFonts w:hAnsi="宋体"/>
          <w:color w:val="000000"/>
          <w:szCs w:val="24"/>
        </w:rPr>
      </w:pPr>
      <w:r>
        <w:rPr>
          <w:rFonts w:hint="eastAsia" w:hAnsi="宋体"/>
          <w:color w:val="000000"/>
          <w:szCs w:val="24"/>
        </w:rPr>
        <w:t>12、气路控制系统：先进的I-PID可变动态调节技术，提高真空效率，防止样品飞溅</w:t>
      </w:r>
    </w:p>
    <w:p>
      <w:pPr>
        <w:ind w:firstLine="480"/>
        <w:rPr>
          <w:rFonts w:hAnsi="宋体"/>
          <w:color w:val="000000"/>
          <w:szCs w:val="24"/>
        </w:rPr>
      </w:pPr>
      <w:r>
        <w:rPr>
          <w:rFonts w:hint="eastAsia" w:hAnsi="宋体"/>
          <w:color w:val="000000"/>
          <w:szCs w:val="24"/>
        </w:rPr>
        <w:t>★13、多结构舱体密封： 旋压式结构（提供涉及图纸），并配套专用池体密封工具，密封性能好，结构限位，不会因安装不当引起样品池体积变化，池体体积可扩展，满足大体积样品用户测试需求。不能采用传统旋钮式舱盖。</w:t>
      </w:r>
    </w:p>
    <w:p>
      <w:pPr>
        <w:ind w:firstLine="480"/>
        <w:rPr>
          <w:rFonts w:hAnsi="宋体"/>
          <w:color w:val="000000"/>
          <w:szCs w:val="24"/>
        </w:rPr>
      </w:pPr>
      <w:r>
        <w:rPr>
          <w:rFonts w:hint="eastAsia" w:hAnsi="宋体"/>
          <w:color w:val="000000"/>
          <w:szCs w:val="24"/>
        </w:rPr>
        <w:t>14、微量测试：定量歧管切换系统，对极微量样品实现准确分析</w:t>
      </w:r>
    </w:p>
    <w:p>
      <w:pPr>
        <w:ind w:firstLine="480"/>
        <w:rPr>
          <w:rFonts w:hAnsi="宋体"/>
          <w:color w:val="000000"/>
          <w:szCs w:val="24"/>
        </w:rPr>
      </w:pPr>
      <w:r>
        <w:rPr>
          <w:rFonts w:hint="eastAsia" w:hAnsi="宋体"/>
          <w:color w:val="000000"/>
          <w:szCs w:val="24"/>
        </w:rPr>
        <w:t>15、数据校准： 一键智能自动校准</w:t>
      </w:r>
    </w:p>
    <w:p>
      <w:pPr>
        <w:ind w:firstLine="480"/>
        <w:rPr>
          <w:rFonts w:hAnsi="宋体"/>
          <w:color w:val="000000"/>
          <w:szCs w:val="24"/>
        </w:rPr>
      </w:pPr>
      <w:r>
        <w:rPr>
          <w:rFonts w:hint="eastAsia" w:hAnsi="宋体"/>
          <w:color w:val="000000"/>
          <w:szCs w:val="24"/>
        </w:rPr>
        <w:t>16、数据采集系统： 高精度24位模数转换系统，拥有仪器意外断电数据储存功能</w:t>
      </w:r>
    </w:p>
    <w:p>
      <w:pPr>
        <w:ind w:firstLine="480"/>
        <w:rPr>
          <w:rFonts w:hAnsi="宋体"/>
          <w:color w:val="000000"/>
          <w:szCs w:val="24"/>
        </w:rPr>
      </w:pPr>
      <w:r>
        <w:rPr>
          <w:rFonts w:hint="eastAsia" w:hAnsi="宋体"/>
          <w:color w:val="000000"/>
          <w:szCs w:val="24"/>
        </w:rPr>
        <w:t xml:space="preserve">17、其它功能： 开孔率/闭孔率测试 </w:t>
      </w:r>
    </w:p>
    <w:p>
      <w:pPr>
        <w:ind w:firstLine="482"/>
        <w:rPr>
          <w:rFonts w:hAnsi="宋体"/>
          <w:b/>
          <w:bCs/>
          <w:color w:val="000000"/>
          <w:szCs w:val="24"/>
        </w:rPr>
      </w:pPr>
      <w:r>
        <w:rPr>
          <w:rFonts w:hint="eastAsia" w:hAnsi="宋体"/>
          <w:b/>
          <w:bCs/>
          <w:color w:val="000000"/>
          <w:szCs w:val="24"/>
        </w:rPr>
        <w:t>为确保售后服务及供货渠道的合法性，投标时需提供生产厂家的授权书、售后服务承诺书及技术参数确认函原件。</w:t>
      </w:r>
    </w:p>
    <w:p>
      <w:pPr>
        <w:keepNext/>
        <w:keepLines/>
        <w:widowControl w:val="0"/>
        <w:spacing w:before="600" w:after="240" w:line="240" w:lineRule="auto"/>
        <w:ind w:left="598" w:leftChars="200" w:right="240" w:rightChars="100" w:hanging="118" w:hangingChars="49"/>
        <w:outlineLvl w:val="1"/>
        <w:rPr>
          <w:rFonts w:ascii="Times New Roman" w:hAnsi="Times New Roman" w:cs="Times New Roman"/>
          <w:b/>
          <w:bCs/>
          <w:szCs w:val="24"/>
          <w:lang w:val="zh-CN" w:eastAsia="zh-CN"/>
        </w:rPr>
      </w:pPr>
      <w:r>
        <w:rPr>
          <w:rFonts w:hint="eastAsia" w:ascii="Times New Roman" w:hAnsi="Times New Roman" w:cs="Times New Roman"/>
          <w:b/>
          <w:bCs/>
          <w:color w:val="000000"/>
          <w:szCs w:val="24"/>
          <w:lang w:val="zh-CN" w:eastAsia="zh-CN"/>
        </w:rPr>
        <w:t>（三）</w:t>
      </w:r>
      <w:r>
        <w:rPr>
          <w:rFonts w:hint="eastAsia" w:ascii="Times New Roman" w:hAnsi="Times New Roman" w:cs="Times New Roman"/>
          <w:b/>
          <w:bCs/>
          <w:szCs w:val="24"/>
          <w:lang w:val="zh-CN" w:eastAsia="zh-CN"/>
        </w:rPr>
        <w:t>分析天平 1台</w:t>
      </w:r>
      <w:r>
        <w:rPr>
          <w:rFonts w:hint="eastAsia" w:ascii="Cambria" w:hAnsi="Cambria" w:cs="Times New Roman"/>
          <w:b/>
          <w:bCs/>
          <w:sz w:val="32"/>
          <w:szCs w:val="32"/>
          <w:lang w:val="zh-CN" w:eastAsia="zh-CN"/>
        </w:rPr>
        <w:t xml:space="preserve">                                                                                                                                                                                                                                                                                                                                                                        一、配置清单：</w:t>
      </w:r>
    </w:p>
    <w:p>
      <w:pPr>
        <w:ind w:firstLine="480"/>
        <w:rPr>
          <w:rFonts w:hAnsi="宋体"/>
          <w:color w:val="000000"/>
          <w:szCs w:val="24"/>
        </w:rPr>
      </w:pPr>
      <w:r>
        <w:rPr>
          <w:rFonts w:hint="eastAsia" w:ascii="微软雅黑" w:hAnsi="微软雅黑" w:eastAsia="微软雅黑"/>
          <w:szCs w:val="24"/>
        </w:rPr>
        <w:t xml:space="preserve"> </w:t>
      </w:r>
      <w:r>
        <w:rPr>
          <w:rFonts w:hint="eastAsia" w:hAnsi="宋体"/>
          <w:color w:val="000000"/>
          <w:szCs w:val="24"/>
        </w:rPr>
        <w:t xml:space="preserve"> 天平主机（带有防风罩）</w:t>
      </w:r>
    </w:p>
    <w:p>
      <w:pPr>
        <w:ind w:firstLine="480"/>
        <w:rPr>
          <w:rFonts w:hAnsi="宋体"/>
          <w:color w:val="000000"/>
          <w:szCs w:val="24"/>
        </w:rPr>
      </w:pPr>
      <w:r>
        <w:rPr>
          <w:rFonts w:hint="eastAsia" w:hAnsi="宋体"/>
          <w:color w:val="000000"/>
          <w:szCs w:val="24"/>
        </w:rPr>
        <w:t xml:space="preserve">  秤盘</w:t>
      </w:r>
    </w:p>
    <w:p>
      <w:pPr>
        <w:ind w:firstLine="480"/>
        <w:rPr>
          <w:rFonts w:hAnsi="宋体"/>
          <w:color w:val="000000"/>
          <w:szCs w:val="24"/>
        </w:rPr>
      </w:pPr>
      <w:r>
        <w:rPr>
          <w:rFonts w:hint="eastAsia" w:hAnsi="宋体"/>
          <w:color w:val="000000"/>
          <w:szCs w:val="24"/>
        </w:rPr>
        <w:t xml:space="preserve">  防风圈</w:t>
      </w:r>
    </w:p>
    <w:p>
      <w:pPr>
        <w:ind w:firstLine="480"/>
        <w:rPr>
          <w:rFonts w:hAnsi="宋体"/>
          <w:color w:val="000000"/>
          <w:szCs w:val="24"/>
        </w:rPr>
      </w:pPr>
      <w:r>
        <w:rPr>
          <w:rFonts w:hint="eastAsia" w:hAnsi="宋体"/>
          <w:color w:val="000000"/>
          <w:szCs w:val="24"/>
        </w:rPr>
        <w:t xml:space="preserve">  保护罩</w:t>
      </w:r>
    </w:p>
    <w:p>
      <w:pPr>
        <w:ind w:firstLine="480"/>
        <w:rPr>
          <w:rFonts w:hAnsi="宋体"/>
          <w:color w:val="000000"/>
          <w:szCs w:val="24"/>
        </w:rPr>
      </w:pPr>
      <w:r>
        <w:rPr>
          <w:rFonts w:hint="eastAsia" w:hAnsi="宋体"/>
          <w:color w:val="000000"/>
          <w:szCs w:val="24"/>
        </w:rPr>
        <w:t xml:space="preserve">  电源、电源线</w:t>
      </w:r>
    </w:p>
    <w:p>
      <w:pPr>
        <w:ind w:firstLine="480"/>
        <w:rPr>
          <w:rFonts w:hAnsi="宋体"/>
          <w:color w:val="000000"/>
          <w:szCs w:val="24"/>
        </w:rPr>
      </w:pPr>
      <w:r>
        <w:rPr>
          <w:rFonts w:hint="eastAsia" w:hAnsi="宋体"/>
          <w:color w:val="000000"/>
          <w:szCs w:val="24"/>
        </w:rPr>
        <w:t xml:space="preserve">  说明书</w:t>
      </w:r>
    </w:p>
    <w:p>
      <w:pPr>
        <w:ind w:firstLine="482"/>
        <w:rPr>
          <w:b/>
          <w:bCs/>
        </w:rPr>
      </w:pPr>
      <w:r>
        <w:rPr>
          <w:rFonts w:hint="eastAsia"/>
          <w:b/>
          <w:bCs/>
        </w:rPr>
        <w:t>二：技术参数：</w:t>
      </w:r>
    </w:p>
    <w:p>
      <w:pPr>
        <w:ind w:firstLine="480"/>
        <w:rPr>
          <w:rFonts w:hAnsi="宋体"/>
          <w:color w:val="000000"/>
          <w:szCs w:val="24"/>
        </w:rPr>
      </w:pPr>
      <w:r>
        <w:rPr>
          <w:rFonts w:hint="eastAsia" w:hAnsi="宋体"/>
          <w:color w:val="000000"/>
          <w:szCs w:val="24"/>
        </w:rPr>
        <w:t>★1、称量范围：82g/220g</w:t>
      </w:r>
    </w:p>
    <w:p>
      <w:pPr>
        <w:ind w:firstLine="480"/>
        <w:rPr>
          <w:rFonts w:hAnsi="宋体"/>
          <w:color w:val="000000"/>
          <w:szCs w:val="24"/>
        </w:rPr>
      </w:pPr>
      <w:r>
        <w:rPr>
          <w:rFonts w:hint="eastAsia" w:hAnsi="宋体"/>
          <w:color w:val="000000"/>
          <w:szCs w:val="24"/>
        </w:rPr>
        <w:t>★2、可读性：0.01/0.1mg</w:t>
      </w:r>
    </w:p>
    <w:p>
      <w:pPr>
        <w:ind w:firstLine="480"/>
        <w:rPr>
          <w:rFonts w:hAnsi="宋体"/>
          <w:color w:val="000000"/>
          <w:szCs w:val="24"/>
        </w:rPr>
      </w:pPr>
      <w:r>
        <w:rPr>
          <w:rFonts w:hint="eastAsia" w:hAnsi="宋体"/>
          <w:color w:val="000000"/>
          <w:szCs w:val="24"/>
        </w:rPr>
        <w:t>3、重复性(s)：0.02/0.08mg</w:t>
      </w:r>
    </w:p>
    <w:p>
      <w:pPr>
        <w:ind w:firstLine="480"/>
        <w:rPr>
          <w:rFonts w:hAnsi="宋体"/>
          <w:color w:val="000000"/>
          <w:szCs w:val="24"/>
        </w:rPr>
      </w:pPr>
      <w:r>
        <w:rPr>
          <w:rFonts w:hint="eastAsia" w:hAnsi="宋体"/>
          <w:color w:val="000000"/>
          <w:szCs w:val="24"/>
        </w:rPr>
        <w:t>4、线性：0.2mg</w:t>
      </w:r>
    </w:p>
    <w:p>
      <w:pPr>
        <w:ind w:firstLine="480"/>
        <w:rPr>
          <w:rFonts w:hAnsi="宋体"/>
          <w:color w:val="000000"/>
          <w:szCs w:val="24"/>
        </w:rPr>
      </w:pPr>
      <w:r>
        <w:rPr>
          <w:rFonts w:hint="eastAsia" w:hAnsi="宋体"/>
          <w:color w:val="000000"/>
          <w:szCs w:val="24"/>
        </w:rPr>
        <w:t>5、最小称量值(USP要求)：30mg</w:t>
      </w:r>
    </w:p>
    <w:p>
      <w:pPr>
        <w:ind w:firstLine="480"/>
        <w:rPr>
          <w:rFonts w:hAnsi="宋体"/>
          <w:color w:val="000000"/>
          <w:szCs w:val="24"/>
        </w:rPr>
      </w:pPr>
      <w:r>
        <w:rPr>
          <w:rFonts w:hint="eastAsia" w:hAnsi="宋体"/>
          <w:color w:val="000000"/>
          <w:szCs w:val="24"/>
        </w:rPr>
        <w:t>★6、最小称量值（U=1%,K=2）:3mg</w:t>
      </w:r>
    </w:p>
    <w:p>
      <w:pPr>
        <w:ind w:firstLine="480"/>
        <w:rPr>
          <w:rFonts w:hAnsi="宋体"/>
          <w:color w:val="000000"/>
          <w:szCs w:val="24"/>
        </w:rPr>
      </w:pPr>
      <w:r>
        <w:rPr>
          <w:rFonts w:hint="eastAsia" w:hAnsi="宋体"/>
          <w:color w:val="000000"/>
          <w:szCs w:val="24"/>
        </w:rPr>
        <w:t>7、秤盘尺寸：  Ф80mm</w:t>
      </w:r>
    </w:p>
    <w:p>
      <w:pPr>
        <w:ind w:firstLine="480"/>
        <w:rPr>
          <w:rFonts w:hAnsi="宋体"/>
          <w:color w:val="000000"/>
          <w:szCs w:val="24"/>
        </w:rPr>
      </w:pPr>
      <w:r>
        <w:rPr>
          <w:rFonts w:hint="eastAsia" w:hAnsi="宋体"/>
          <w:color w:val="000000"/>
          <w:szCs w:val="24"/>
        </w:rPr>
        <w:t>★8、稳定时间：3s/1.5s</w:t>
      </w:r>
    </w:p>
    <w:p>
      <w:pPr>
        <w:ind w:firstLine="480"/>
        <w:rPr>
          <w:rFonts w:hAnsi="宋体"/>
          <w:color w:val="000000"/>
          <w:szCs w:val="24"/>
        </w:rPr>
      </w:pPr>
      <w:r>
        <w:rPr>
          <w:rFonts w:hint="eastAsia" w:hAnsi="宋体"/>
          <w:color w:val="000000"/>
          <w:szCs w:val="24"/>
        </w:rPr>
        <w:t>9、天平外形尺寸(LxWxH) 358x247x331 mm</w:t>
      </w:r>
    </w:p>
    <w:p>
      <w:pPr>
        <w:ind w:firstLine="480"/>
        <w:rPr>
          <w:rFonts w:hAnsi="宋体"/>
          <w:color w:val="000000"/>
          <w:szCs w:val="24"/>
        </w:rPr>
      </w:pPr>
      <w:r>
        <w:rPr>
          <w:rFonts w:hint="eastAsia" w:hAnsi="宋体"/>
          <w:color w:val="000000"/>
          <w:szCs w:val="24"/>
        </w:rPr>
        <w:t>10、采用高分辨率称量技术(HRT)，内置两组校正砝码，确保准确的称量结果</w:t>
      </w:r>
    </w:p>
    <w:p>
      <w:pPr>
        <w:ind w:firstLine="480"/>
        <w:rPr>
          <w:rFonts w:hAnsi="宋体"/>
          <w:color w:val="000000"/>
          <w:szCs w:val="24"/>
        </w:rPr>
      </w:pPr>
      <w:r>
        <w:rPr>
          <w:rFonts w:hint="eastAsia" w:hAnsi="宋体"/>
          <w:color w:val="000000"/>
          <w:szCs w:val="24"/>
        </w:rPr>
        <w:t>11、采用280MIPS中央处理器及72MHz总线速度，确保快速获得称量结果</w:t>
      </w:r>
    </w:p>
    <w:p>
      <w:pPr>
        <w:ind w:firstLine="480"/>
        <w:rPr>
          <w:rFonts w:hAnsi="宋体"/>
          <w:color w:val="000000"/>
          <w:szCs w:val="24"/>
        </w:rPr>
      </w:pPr>
      <w:r>
        <w:rPr>
          <w:rFonts w:hint="eastAsia" w:hAnsi="宋体"/>
          <w:color w:val="000000"/>
          <w:szCs w:val="24"/>
        </w:rPr>
        <w:t>12、清晰的高对比显示屏(HCD)，轻松读取称量结果</w:t>
      </w:r>
    </w:p>
    <w:p>
      <w:pPr>
        <w:ind w:firstLine="480"/>
        <w:rPr>
          <w:rFonts w:hAnsi="宋体"/>
          <w:color w:val="000000"/>
          <w:szCs w:val="24"/>
        </w:rPr>
      </w:pPr>
      <w:r>
        <w:rPr>
          <w:rFonts w:hint="eastAsia" w:hAnsi="宋体"/>
          <w:color w:val="000000"/>
          <w:szCs w:val="24"/>
        </w:rPr>
        <w:t>13、动态图形显示(SmartTrac)，直接显示天平已使用的称量范围</w:t>
      </w:r>
    </w:p>
    <w:p>
      <w:pPr>
        <w:ind w:firstLine="480"/>
        <w:rPr>
          <w:rFonts w:hAnsi="宋体"/>
          <w:color w:val="000000"/>
          <w:szCs w:val="24"/>
        </w:rPr>
      </w:pPr>
      <w:r>
        <w:rPr>
          <w:rFonts w:hint="eastAsia" w:hAnsi="宋体"/>
          <w:color w:val="000000"/>
          <w:szCs w:val="24"/>
        </w:rPr>
        <w:t>14、全自动校准技术(FACT)，温度漂移和时间触发的全自动校正，确保始终获得精确的称量结果</w:t>
      </w:r>
    </w:p>
    <w:p>
      <w:pPr>
        <w:ind w:firstLine="480"/>
        <w:rPr>
          <w:rFonts w:hAnsi="宋体"/>
          <w:color w:val="000000"/>
          <w:szCs w:val="24"/>
        </w:rPr>
      </w:pPr>
      <w:r>
        <w:rPr>
          <w:rFonts w:hint="eastAsia" w:hAnsi="宋体"/>
          <w:color w:val="000000"/>
          <w:szCs w:val="24"/>
        </w:rPr>
        <w:t>15、多级数字滤波和补偿技术，优化天平在不同称量条件下的操作性能</w:t>
      </w:r>
    </w:p>
    <w:p>
      <w:pPr>
        <w:ind w:firstLine="480"/>
        <w:rPr>
          <w:rFonts w:hAnsi="宋体"/>
          <w:color w:val="000000"/>
          <w:szCs w:val="24"/>
        </w:rPr>
      </w:pPr>
      <w:r>
        <w:rPr>
          <w:rFonts w:hint="eastAsia" w:hAnsi="宋体"/>
          <w:color w:val="000000"/>
          <w:szCs w:val="24"/>
        </w:rPr>
        <w:t>16、动态温度补偿，实施修正环境温度波动对称量结果的影响</w:t>
      </w:r>
    </w:p>
    <w:p>
      <w:pPr>
        <w:ind w:firstLine="480"/>
        <w:rPr>
          <w:rFonts w:hAnsi="宋体"/>
          <w:color w:val="000000"/>
          <w:szCs w:val="24"/>
        </w:rPr>
      </w:pPr>
      <w:r>
        <w:rPr>
          <w:rFonts w:hint="eastAsia" w:hAnsi="宋体"/>
          <w:color w:val="000000"/>
          <w:szCs w:val="24"/>
        </w:rPr>
        <w:t>17、易于使用的天平自维护功能，例如：键盘测试、重复性测试等</w:t>
      </w:r>
    </w:p>
    <w:p>
      <w:pPr>
        <w:ind w:firstLine="480"/>
        <w:rPr>
          <w:rFonts w:hAnsi="宋体"/>
          <w:color w:val="000000"/>
          <w:szCs w:val="24"/>
        </w:rPr>
      </w:pPr>
      <w:r>
        <w:rPr>
          <w:rFonts w:hint="eastAsia" w:hAnsi="宋体"/>
          <w:color w:val="000000"/>
          <w:szCs w:val="24"/>
        </w:rPr>
        <w:t>★18、左右手互换开关门(ErgoDoor)，可从天平左侧打开右侧的玻璃防风门，使天平</w:t>
      </w:r>
    </w:p>
    <w:p>
      <w:pPr>
        <w:ind w:firstLine="480"/>
        <w:rPr>
          <w:rFonts w:hAnsi="宋体"/>
          <w:color w:val="000000"/>
          <w:szCs w:val="24"/>
        </w:rPr>
      </w:pPr>
      <w:r>
        <w:rPr>
          <w:rFonts w:hint="eastAsia" w:hAnsi="宋体"/>
          <w:color w:val="000000"/>
          <w:szCs w:val="24"/>
        </w:rPr>
        <w:t>的操作更简便</w:t>
      </w:r>
    </w:p>
    <w:p>
      <w:pPr>
        <w:ind w:firstLine="480"/>
        <w:rPr>
          <w:rFonts w:hAnsi="宋体"/>
          <w:color w:val="000000"/>
          <w:szCs w:val="24"/>
        </w:rPr>
      </w:pPr>
      <w:r>
        <w:rPr>
          <w:rFonts w:hint="eastAsia" w:hAnsi="宋体"/>
          <w:color w:val="000000"/>
          <w:szCs w:val="24"/>
        </w:rPr>
        <w:t>19、防风罩锁定装置(QuickLock)，无需使用工具和移动天平，即可方便的拆卸所有防风罩玻璃，甚至使用洗碗机进行清洗</w:t>
      </w:r>
    </w:p>
    <w:p>
      <w:pPr>
        <w:ind w:firstLine="480"/>
        <w:rPr>
          <w:rFonts w:hAnsi="宋体"/>
          <w:color w:val="000000"/>
          <w:szCs w:val="24"/>
        </w:rPr>
      </w:pPr>
      <w:r>
        <w:rPr>
          <w:rFonts w:hint="eastAsia" w:hAnsi="宋体"/>
          <w:color w:val="000000"/>
          <w:szCs w:val="24"/>
        </w:rPr>
        <w:t>20、折叠式玻璃防风门，为您节约仪器安装及使用空间</w:t>
      </w:r>
    </w:p>
    <w:p>
      <w:pPr>
        <w:ind w:firstLine="480"/>
        <w:rPr>
          <w:rFonts w:hAnsi="宋体"/>
          <w:color w:val="000000"/>
          <w:szCs w:val="24"/>
        </w:rPr>
      </w:pPr>
      <w:r>
        <w:rPr>
          <w:rFonts w:hint="eastAsia" w:hAnsi="宋体"/>
          <w:color w:val="000000"/>
          <w:szCs w:val="24"/>
        </w:rPr>
        <w:t>21、前置水平调节脚和水平指示器，方便观察和调节水平</w:t>
      </w:r>
    </w:p>
    <w:p>
      <w:pPr>
        <w:ind w:firstLine="480"/>
        <w:rPr>
          <w:rFonts w:hAnsi="宋体"/>
          <w:color w:val="000000"/>
          <w:szCs w:val="24"/>
        </w:rPr>
      </w:pPr>
      <w:r>
        <w:rPr>
          <w:rFonts w:hint="eastAsia" w:hAnsi="宋体"/>
          <w:color w:val="000000"/>
          <w:szCs w:val="24"/>
        </w:rPr>
        <w:t>22、多达3个功能键(SmartKeys)，可直接调用预设的称量应用程序</w:t>
      </w:r>
    </w:p>
    <w:p>
      <w:pPr>
        <w:ind w:firstLine="480"/>
        <w:rPr>
          <w:rFonts w:hAnsi="宋体"/>
          <w:color w:val="000000"/>
          <w:szCs w:val="24"/>
        </w:rPr>
      </w:pPr>
      <w:r>
        <w:rPr>
          <w:rFonts w:hint="eastAsia" w:hAnsi="宋体"/>
          <w:color w:val="000000"/>
          <w:szCs w:val="24"/>
        </w:rPr>
        <w:t>23、标配的天平机架的塑料保护罩，避免散落样品的腐蚀和对天平表面的刮伤</w:t>
      </w:r>
    </w:p>
    <w:p>
      <w:pPr>
        <w:ind w:firstLine="480"/>
        <w:rPr>
          <w:rFonts w:hAnsi="宋体"/>
          <w:color w:val="000000"/>
          <w:szCs w:val="24"/>
        </w:rPr>
      </w:pPr>
      <w:r>
        <w:rPr>
          <w:rFonts w:hint="eastAsia" w:hAnsi="宋体"/>
          <w:color w:val="000000"/>
          <w:szCs w:val="24"/>
        </w:rPr>
        <w:t>24、全金属机架具有良好的抗过载保护性能, 天平机架能抵抗丙酮等化学试剂的腐蚀</w:t>
      </w:r>
    </w:p>
    <w:p>
      <w:pPr>
        <w:ind w:firstLine="480"/>
        <w:rPr>
          <w:rFonts w:hAnsi="宋体"/>
          <w:color w:val="000000"/>
          <w:szCs w:val="24"/>
        </w:rPr>
      </w:pPr>
      <w:r>
        <w:rPr>
          <w:rFonts w:hint="eastAsia" w:hAnsi="宋体"/>
          <w:color w:val="000000"/>
          <w:szCs w:val="24"/>
        </w:rPr>
        <w:t>25、内置多种称量应用程序：基础称量、计件称量、百分比称量、检重称量、动态称量、统计功能</w:t>
      </w:r>
    </w:p>
    <w:p>
      <w:pPr>
        <w:ind w:firstLine="480"/>
        <w:rPr>
          <w:rFonts w:hAnsi="宋体"/>
          <w:color w:val="000000"/>
          <w:szCs w:val="24"/>
        </w:rPr>
      </w:pPr>
      <w:r>
        <w:rPr>
          <w:rFonts w:hint="eastAsia" w:hAnsi="宋体"/>
          <w:color w:val="000000"/>
          <w:szCs w:val="24"/>
        </w:rPr>
        <w:t>26、称量值检索功能，自动存储最近一次的称量结果，方便查看</w:t>
      </w:r>
    </w:p>
    <w:p>
      <w:pPr>
        <w:ind w:firstLine="480"/>
        <w:rPr>
          <w:rFonts w:hAnsi="宋体"/>
          <w:color w:val="000000"/>
          <w:szCs w:val="24"/>
        </w:rPr>
      </w:pPr>
      <w:r>
        <w:rPr>
          <w:rFonts w:hint="eastAsia" w:hAnsi="宋体"/>
          <w:color w:val="000000"/>
          <w:szCs w:val="24"/>
        </w:rPr>
        <w:t>27、内置时间和日期，符合GxP规范的称量结果打印输出</w:t>
      </w:r>
    </w:p>
    <w:p>
      <w:pPr>
        <w:ind w:firstLine="480"/>
        <w:rPr>
          <w:rFonts w:hAnsi="宋体"/>
          <w:color w:val="000000"/>
          <w:szCs w:val="24"/>
        </w:rPr>
      </w:pPr>
      <w:r>
        <w:rPr>
          <w:rFonts w:hint="eastAsia" w:hAnsi="宋体"/>
          <w:color w:val="000000"/>
          <w:szCs w:val="24"/>
        </w:rPr>
        <w:t>28、内置RS232和USB通讯接口，方便连接电脑、打印机等外围设备</w:t>
      </w:r>
    </w:p>
    <w:p>
      <w:pPr>
        <w:ind w:firstLine="480"/>
        <w:rPr>
          <w:rFonts w:hAnsi="宋体"/>
          <w:color w:val="000000"/>
          <w:szCs w:val="24"/>
        </w:rPr>
      </w:pPr>
      <w:r>
        <w:rPr>
          <w:rFonts w:hint="eastAsia" w:hAnsi="宋体"/>
          <w:color w:val="000000"/>
          <w:szCs w:val="24"/>
        </w:rPr>
        <w:t>29、通讯接口可以从侧面连接，为您节约天平的安装及使用空间</w:t>
      </w:r>
    </w:p>
    <w:p>
      <w:pPr>
        <w:ind w:firstLine="480"/>
        <w:rPr>
          <w:rFonts w:hAnsi="宋体"/>
          <w:color w:val="000000"/>
          <w:szCs w:val="24"/>
        </w:rPr>
      </w:pPr>
      <w:r>
        <w:rPr>
          <w:rFonts w:hint="eastAsia" w:hAnsi="宋体"/>
          <w:color w:val="000000"/>
          <w:szCs w:val="24"/>
        </w:rPr>
        <w:t>30、可将称量结果直接传输至Excel等开放式应用程序。传输过程自动开始，无需其它辅助软件</w:t>
      </w:r>
    </w:p>
    <w:p>
      <w:pPr>
        <w:ind w:firstLine="480"/>
        <w:rPr>
          <w:rFonts w:hAnsi="宋体"/>
          <w:color w:val="000000"/>
          <w:szCs w:val="24"/>
        </w:rPr>
      </w:pPr>
      <w:r>
        <w:rPr>
          <w:rFonts w:hint="eastAsia" w:hAnsi="宋体"/>
          <w:color w:val="000000"/>
          <w:szCs w:val="24"/>
        </w:rPr>
        <w:t>31、下挂钩设计，满足客户特殊应用需求</w:t>
      </w:r>
    </w:p>
    <w:p>
      <w:pPr>
        <w:ind w:firstLine="482"/>
        <w:rPr>
          <w:rFonts w:hAnsi="宋体"/>
          <w:b/>
          <w:bCs/>
          <w:color w:val="000000"/>
          <w:szCs w:val="24"/>
        </w:rPr>
      </w:pPr>
      <w:r>
        <w:rPr>
          <w:rFonts w:hint="eastAsia" w:hAnsi="宋体"/>
          <w:b/>
          <w:bCs/>
          <w:color w:val="000000"/>
          <w:szCs w:val="24"/>
        </w:rPr>
        <w:t>为确保售后服务及供货渠道的合法性，投标时需提供生产厂家的授权书、售后服务承诺书及技术参数确认函原件。</w:t>
      </w:r>
    </w:p>
    <w:p>
      <w:pPr>
        <w:pStyle w:val="41"/>
        <w:spacing w:line="500" w:lineRule="exact"/>
        <w:ind w:firstLine="301" w:firstLineChars="1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六、售后服务</w:t>
      </w:r>
    </w:p>
    <w:p>
      <w:pPr>
        <w:numPr>
          <w:ilvl w:val="0"/>
          <w:numId w:val="10"/>
        </w:numPr>
        <w:ind w:firstLine="480"/>
      </w:pPr>
      <w:r>
        <w:rPr>
          <w:rFonts w:hint="eastAsia" w:ascii="Times New Roman" w:hAnsi="Times New Roman"/>
          <w:bCs/>
        </w:rPr>
        <w:t>a、</w:t>
      </w:r>
      <w:r>
        <w:rPr>
          <w:rFonts w:hint="eastAsia" w:hAnsi="宋体" w:cs="宋体"/>
          <w:lang w:bidi="ar"/>
        </w:rPr>
        <w:t>本项目质保期：验收合格后，按厂家质保期进行质保，项目整体免费质保期不得低于1年；</w:t>
      </w:r>
      <w:r>
        <w:t xml:space="preserve"> </w:t>
      </w:r>
    </w:p>
    <w:p>
      <w:pPr>
        <w:ind w:firstLine="960" w:firstLineChars="400"/>
      </w:pPr>
      <w:r>
        <w:rPr>
          <w:rFonts w:hint="eastAsia" w:hAnsi="宋体" w:cs="宋体"/>
          <w:lang w:bidi="ar"/>
        </w:rPr>
        <w:t xml:space="preserve">b、 系统验收合格后，中标人必须提供至少 3 年的免费上门服务。服务内容包括但不仅限于：系统的完善和升级、系统的安全稳定运行和维护等。 </w:t>
      </w:r>
    </w:p>
    <w:p>
      <w:pPr>
        <w:ind w:firstLine="960" w:firstLineChars="400"/>
      </w:pPr>
      <w:r>
        <w:rPr>
          <w:rFonts w:hint="eastAsia" w:hAnsi="宋体" w:cs="宋体"/>
          <w:lang w:bidi="ar"/>
        </w:rPr>
        <w:t xml:space="preserve">c、 必须提供 7x24 售后服务热线；在接到采购人通知后服务随时响应，若运用通讯工具不能解决问题，必须在 3 日之内到达现场予以解决。 </w:t>
      </w:r>
    </w:p>
    <w:p>
      <w:pPr>
        <w:ind w:firstLine="960" w:firstLineChars="400"/>
        <w:rPr>
          <w:rFonts w:ascii="仿宋_GB2312" w:hAnsi="仿宋_GB2312" w:eastAsia="仿宋_GB2312" w:cs="仿宋_GB2312"/>
          <w:b/>
          <w:bCs/>
          <w:sz w:val="30"/>
          <w:szCs w:val="30"/>
        </w:rPr>
      </w:pPr>
      <w:r>
        <w:rPr>
          <w:rFonts w:hint="eastAsia" w:hAnsi="宋体" w:cs="宋体"/>
          <w:lang w:bidi="ar"/>
        </w:rPr>
        <w:t xml:space="preserve">d、中标人须承诺在项目期间保证采购人在已有软件套数不足的情况下提供足够的应急软件补充。 </w:t>
      </w:r>
    </w:p>
    <w:bookmarkEnd w:id="31"/>
    <w:p>
      <w:pPr>
        <w:numPr>
          <w:ilvl w:val="0"/>
          <w:numId w:val="11"/>
        </w:numPr>
        <w:shd w:val="clear" w:color="auto" w:fill="FFFFFF"/>
        <w:snapToGrid w:val="0"/>
        <w:ind w:firstLine="480"/>
      </w:pPr>
      <w:r>
        <w:rPr>
          <w:rFonts w:hint="eastAsia" w:ascii="Times New Roman" w:hAnsi="Times New Roman"/>
          <w:bCs/>
        </w:rPr>
        <w:t>提供完善的售后服务承诺方案</w:t>
      </w:r>
    </w:p>
    <w:p>
      <w:pPr>
        <w:pStyle w:val="41"/>
        <w:spacing w:line="500" w:lineRule="exact"/>
        <w:ind w:firstLine="0" w:firstLineChars="0"/>
        <w:rPr>
          <w:rFonts w:ascii="仿宋_GB2312" w:hAnsi="仿宋_GB2312" w:eastAsia="仿宋_GB2312" w:cs="仿宋_GB2312"/>
          <w:b/>
          <w:bCs/>
          <w:sz w:val="30"/>
          <w:szCs w:val="30"/>
        </w:rPr>
      </w:pPr>
    </w:p>
    <w:p>
      <w:pPr>
        <w:pStyle w:val="2"/>
        <w:ind w:left="240" w:right="240"/>
      </w:pPr>
    </w:p>
    <w:p>
      <w:pPr>
        <w:pStyle w:val="5"/>
        <w:snapToGrid w:val="0"/>
        <w:spacing w:line="240" w:lineRule="auto"/>
        <w:ind w:firstLine="0" w:firstLineChars="0"/>
        <w:rPr>
          <w:rFonts w:ascii="Arial" w:hAnsi="Arial" w:eastAsia="黑体"/>
          <w:sz w:val="28"/>
          <w:szCs w:val="28"/>
        </w:rPr>
      </w:pPr>
      <w:bookmarkStart w:id="32" w:name="OLE_LINK21"/>
      <w:r>
        <w:rPr>
          <w:rFonts w:hint="eastAsia" w:ascii="Arial" w:hAnsi="Arial" w:eastAsia="黑体"/>
          <w:sz w:val="28"/>
          <w:szCs w:val="28"/>
        </w:rPr>
        <w:t>六、验收标准：</w:t>
      </w:r>
    </w:p>
    <w:p>
      <w:pPr>
        <w:pStyle w:val="5"/>
        <w:snapToGrid w:val="0"/>
        <w:spacing w:line="240" w:lineRule="auto"/>
        <w:ind w:firstLine="602"/>
        <w:rPr>
          <w:rFonts w:ascii="仿宋_GB2312" w:hAnsi="仿宋_GB2312" w:eastAsia="仿宋_GB2312" w:cs="仿宋_GB2312"/>
          <w:bCs/>
          <w:kern w:val="2"/>
          <w:sz w:val="30"/>
          <w:szCs w:val="30"/>
        </w:rPr>
      </w:pPr>
      <w:r>
        <w:rPr>
          <w:rFonts w:hint="eastAsia" w:ascii="仿宋_GB2312" w:hAnsi="仿宋_GB2312" w:eastAsia="仿宋_GB2312" w:cs="仿宋_GB2312"/>
          <w:bCs/>
          <w:kern w:val="2"/>
          <w:sz w:val="30"/>
          <w:szCs w:val="30"/>
        </w:rPr>
        <w:t xml:space="preserve">   </w:t>
      </w:r>
      <w:r>
        <w:rPr>
          <w:rFonts w:hint="eastAsia" w:hAnsi="Times New Roman"/>
          <w:b w:val="0"/>
          <w:sz w:val="24"/>
          <w:szCs w:val="24"/>
        </w:rPr>
        <w:t>按照招标文件要求和所签订合同条款</w:t>
      </w:r>
      <w:bookmarkStart w:id="33" w:name="OLE_LINK9"/>
      <w:r>
        <w:rPr>
          <w:rFonts w:hint="eastAsia" w:hAnsi="Times New Roman"/>
          <w:b w:val="0"/>
          <w:sz w:val="24"/>
          <w:szCs w:val="24"/>
        </w:rPr>
        <w:t>验收</w:t>
      </w:r>
      <w:bookmarkEnd w:id="33"/>
      <w:r>
        <w:rPr>
          <w:rFonts w:hint="eastAsia" w:hAnsi="Times New Roman"/>
          <w:b w:val="0"/>
          <w:sz w:val="24"/>
          <w:szCs w:val="24"/>
        </w:rPr>
        <w:t>。</w:t>
      </w:r>
    </w:p>
    <w:p>
      <w:pPr>
        <w:pStyle w:val="5"/>
        <w:snapToGrid w:val="0"/>
        <w:spacing w:line="240" w:lineRule="auto"/>
        <w:ind w:firstLine="0" w:firstLineChars="0"/>
        <w:rPr>
          <w:rFonts w:ascii="仿宋_GB2312" w:hAnsi="仿宋_GB2312" w:eastAsia="仿宋_GB2312" w:cs="仿宋_GB2312"/>
          <w:bCs/>
          <w:kern w:val="2"/>
          <w:sz w:val="30"/>
          <w:szCs w:val="30"/>
        </w:rPr>
      </w:pPr>
      <w:r>
        <w:rPr>
          <w:rFonts w:hint="eastAsia" w:ascii="Arial" w:hAnsi="Arial" w:eastAsia="黑体"/>
          <w:sz w:val="28"/>
          <w:szCs w:val="28"/>
        </w:rPr>
        <w:t>七、付款方式</w:t>
      </w:r>
      <w:r>
        <w:rPr>
          <w:rFonts w:hint="eastAsia" w:ascii="仿宋_GB2312" w:hAnsi="仿宋_GB2312" w:eastAsia="仿宋_GB2312" w:cs="仿宋_GB2312"/>
          <w:bCs/>
          <w:kern w:val="2"/>
          <w:sz w:val="30"/>
          <w:szCs w:val="30"/>
        </w:rPr>
        <w:t>：</w:t>
      </w:r>
    </w:p>
    <w:p>
      <w:pPr>
        <w:pStyle w:val="5"/>
        <w:snapToGrid w:val="0"/>
        <w:spacing w:line="240" w:lineRule="auto"/>
        <w:ind w:firstLine="0" w:firstLineChars="0"/>
        <w:rPr>
          <w:rFonts w:hAnsi="Times New Roman"/>
          <w:b w:val="0"/>
          <w:sz w:val="24"/>
          <w:szCs w:val="24"/>
        </w:rPr>
      </w:pPr>
      <w:r>
        <w:rPr>
          <w:rFonts w:hint="eastAsia" w:hAnsi="Times New Roman"/>
          <w:b w:val="0"/>
          <w:color w:val="FF0000"/>
          <w:sz w:val="24"/>
          <w:szCs w:val="24"/>
        </w:rPr>
        <w:t xml:space="preserve">    </w:t>
      </w:r>
      <w:r>
        <w:rPr>
          <w:rFonts w:hint="eastAsia" w:hAnsi="Times New Roman"/>
          <w:b w:val="0"/>
          <w:sz w:val="24"/>
          <w:szCs w:val="24"/>
        </w:rPr>
        <w:t>付款方式：买方验收合格后，经核准由买方按合同规定和实际发票金额三周以内支付货款。</w:t>
      </w:r>
    </w:p>
    <w:bookmarkEnd w:id="32"/>
    <w:p>
      <w:pPr>
        <w:ind w:firstLine="0" w:firstLineChars="0"/>
        <w:rPr>
          <w:rFonts w:ascii="Arial" w:hAnsi="Arial" w:eastAsia="黑体"/>
          <w:b/>
          <w:sz w:val="28"/>
          <w:szCs w:val="28"/>
        </w:rPr>
      </w:pPr>
      <w:r>
        <w:rPr>
          <w:rFonts w:hint="eastAsia" w:ascii="Arial" w:hAnsi="Arial" w:eastAsia="黑体"/>
          <w:b/>
          <w:sz w:val="28"/>
          <w:szCs w:val="28"/>
        </w:rPr>
        <w:t>八、商务要求</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1 、本项目招标范围内的伴随服务包括：</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（1）货物服务产品按进口国家级标准，全部货物的运输；</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（2）全部自备服务设备工具，到各现场等费用；</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（3）安装、人员培训等；</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（4）伴随货物服务报价包含在报价总价内。</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2、 报价服务必须保质保量，享受上门服务。</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3、 地点：由采购人指定。</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4、 付款方式：买方验收合格后，经核准由买方按合同规定和实际发票金额三周以内支付货款。</w:t>
      </w:r>
    </w:p>
    <w:p>
      <w:pPr>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5、 交付时间：</w:t>
      </w:r>
      <w:r>
        <w:rPr>
          <w:rFonts w:hint="eastAsia" w:ascii="仿宋_GB2312" w:hAnsi="仿宋_GB2312" w:eastAsia="仿宋_GB2312" w:cs="仿宋_GB2312"/>
          <w:bCs/>
          <w:szCs w:val="24"/>
          <w:lang w:val="zh-CN"/>
        </w:rPr>
        <w:t>签订采购合同之日起</w:t>
      </w:r>
      <w:r>
        <w:rPr>
          <w:rFonts w:hint="eastAsia" w:ascii="仿宋_GB2312" w:hAnsi="仿宋_GB2312" w:eastAsia="仿宋_GB2312" w:cs="仿宋_GB2312"/>
          <w:bCs/>
          <w:color w:val="FF0000"/>
          <w:szCs w:val="24"/>
        </w:rPr>
        <w:t xml:space="preserve"> </w:t>
      </w:r>
      <w:r>
        <w:rPr>
          <w:rFonts w:hint="eastAsia" w:ascii="仿宋_GB2312" w:hAnsi="仿宋_GB2312" w:eastAsia="仿宋_GB2312" w:cs="仿宋_GB2312"/>
          <w:bCs/>
          <w:szCs w:val="24"/>
        </w:rPr>
        <w:t>进口产品在120天内；国内产品在30天内。</w:t>
      </w:r>
    </w:p>
    <w:p>
      <w:pPr>
        <w:shd w:val="clear" w:color="auto" w:fill="FFFFFF"/>
        <w:snapToGrid w:val="0"/>
        <w:spacing w:line="240" w:lineRule="auto"/>
        <w:ind w:firstLine="482"/>
        <w:rPr>
          <w:rFonts w:ascii="仿宋_GB2312" w:hAnsi="仿宋_GB2312" w:eastAsia="仿宋_GB2312" w:cs="仿宋_GB2312"/>
          <w:b/>
          <w:szCs w:val="24"/>
        </w:rPr>
      </w:pPr>
      <w:r>
        <w:rPr>
          <w:rFonts w:hint="eastAsia" w:ascii="仿宋_GB2312" w:hAnsi="仿宋_GB2312" w:eastAsia="仿宋_GB2312" w:cs="仿宋_GB2312"/>
          <w:b/>
          <w:szCs w:val="24"/>
        </w:rPr>
        <w:t>6、本项目未尽事宜由双方在签订合同时详细约定。</w:t>
      </w:r>
    </w:p>
    <w:p>
      <w:pPr>
        <w:ind w:firstLine="492" w:firstLineChars="175"/>
        <w:rPr>
          <w:rFonts w:hAnsi="宋体" w:cs="Times New Roman"/>
          <w:b/>
          <w:bCs/>
          <w:kern w:val="2"/>
          <w:sz w:val="28"/>
          <w:szCs w:val="28"/>
        </w:rPr>
      </w:pPr>
    </w:p>
    <w:p>
      <w:pPr>
        <w:pStyle w:val="4"/>
        <w:ind w:firstLine="2650" w:firstLineChars="600"/>
        <w:jc w:val="both"/>
        <w:rPr>
          <w:color w:val="000000"/>
        </w:rPr>
      </w:pPr>
      <w:bookmarkStart w:id="34" w:name="_Toc476667949"/>
      <w:bookmarkStart w:id="35" w:name="_Toc476664378"/>
      <w:bookmarkStart w:id="36" w:name="_Toc476643574"/>
      <w:r>
        <w:rPr>
          <w:rFonts w:hint="eastAsia"/>
          <w:color w:val="000000"/>
        </w:rPr>
        <w:t>第四章合同条款</w:t>
      </w:r>
    </w:p>
    <w:p>
      <w:pPr>
        <w:pStyle w:val="4"/>
        <w:ind w:firstLine="2891" w:firstLineChars="800"/>
        <w:jc w:val="both"/>
        <w:rPr>
          <w:kern w:val="2"/>
          <w:sz w:val="36"/>
          <w:szCs w:val="36"/>
        </w:rPr>
      </w:pPr>
      <w:r>
        <w:rPr>
          <w:rFonts w:hint="eastAsia"/>
          <w:kern w:val="2"/>
          <w:sz w:val="36"/>
          <w:szCs w:val="36"/>
        </w:rPr>
        <w:t>合同通用条款部分</w:t>
      </w:r>
    </w:p>
    <w:p>
      <w:pPr>
        <w:widowControl w:val="0"/>
        <w:ind w:firstLine="3975" w:firstLineChars="1100"/>
        <w:jc w:val="both"/>
        <w:rPr>
          <w:b/>
          <w:kern w:val="2"/>
          <w:sz w:val="36"/>
          <w:szCs w:val="36"/>
        </w:rPr>
      </w:pPr>
      <w:r>
        <w:rPr>
          <w:b/>
          <w:kern w:val="2"/>
          <w:sz w:val="36"/>
          <w:szCs w:val="36"/>
        </w:rPr>
        <w:t>(</w:t>
      </w:r>
      <w:r>
        <w:rPr>
          <w:rFonts w:hint="eastAsia"/>
          <w:b/>
          <w:kern w:val="2"/>
          <w:sz w:val="36"/>
          <w:szCs w:val="36"/>
        </w:rPr>
        <w:t>略</w:t>
      </w:r>
      <w:r>
        <w:rPr>
          <w:b/>
          <w:kern w:val="2"/>
          <w:sz w:val="36"/>
          <w:szCs w:val="36"/>
        </w:rPr>
        <w:t>)</w:t>
      </w:r>
    </w:p>
    <w:p>
      <w:pPr>
        <w:widowControl w:val="0"/>
        <w:ind w:firstLine="2891" w:firstLineChars="800"/>
        <w:jc w:val="both"/>
        <w:rPr>
          <w:b/>
          <w:kern w:val="2"/>
          <w:sz w:val="36"/>
          <w:szCs w:val="36"/>
        </w:rPr>
      </w:pPr>
      <w:r>
        <w:rPr>
          <w:rFonts w:hint="eastAsia"/>
          <w:b/>
          <w:kern w:val="2"/>
          <w:sz w:val="36"/>
          <w:szCs w:val="36"/>
        </w:rPr>
        <w:t>合同专用条款部分</w:t>
      </w:r>
      <w:bookmarkEnd w:id="34"/>
      <w:bookmarkEnd w:id="35"/>
      <w:bookmarkEnd w:id="36"/>
    </w:p>
    <w:p>
      <w:pPr>
        <w:snapToGrid w:val="0"/>
        <w:spacing w:before="19" w:line="500" w:lineRule="exact"/>
        <w:ind w:firstLine="480"/>
        <w:rPr>
          <w:rFonts w:hAnsi="宋体"/>
          <w:b/>
          <w:u w:val="single"/>
        </w:rPr>
      </w:pPr>
      <w:r>
        <w:rPr>
          <w:rFonts w:hint="eastAsia" w:hAnsi="宋体"/>
        </w:rPr>
        <w:t>甲方</w:t>
      </w:r>
      <w:r>
        <w:rPr>
          <w:rFonts w:hAnsi="宋体"/>
        </w:rPr>
        <w:t>:</w:t>
      </w:r>
    </w:p>
    <w:p>
      <w:pPr>
        <w:snapToGrid w:val="0"/>
        <w:spacing w:before="19" w:line="500" w:lineRule="exact"/>
        <w:ind w:firstLine="480"/>
        <w:rPr>
          <w:rFonts w:hAnsi="宋体"/>
          <w:b/>
          <w:u w:val="single"/>
        </w:rPr>
      </w:pPr>
      <w:r>
        <w:rPr>
          <w:rFonts w:hint="eastAsia" w:hAnsi="宋体"/>
        </w:rPr>
        <w:t>乙方</w:t>
      </w:r>
      <w:r>
        <w:rPr>
          <w:rFonts w:hAnsi="宋体"/>
        </w:rPr>
        <w:t>:</w:t>
      </w:r>
    </w:p>
    <w:p>
      <w:pPr>
        <w:shd w:val="clear" w:color="auto" w:fill="FFFFFF"/>
        <w:snapToGrid w:val="0"/>
        <w:ind w:firstLine="480"/>
        <w:rPr>
          <w:b/>
          <w:kern w:val="2"/>
          <w:sz w:val="36"/>
          <w:szCs w:val="36"/>
        </w:rPr>
      </w:pPr>
      <w:r>
        <w:rPr>
          <w:rFonts w:hint="eastAsia" w:hAnsi="宋体"/>
        </w:rPr>
        <w:t>甲乙双方根据年</w:t>
      </w:r>
      <w:r>
        <w:rPr>
          <w:rFonts w:hAnsi="宋体"/>
        </w:rPr>
        <w:t xml:space="preserve"> </w:t>
      </w:r>
      <w:r>
        <w:rPr>
          <w:rFonts w:hint="eastAsia" w:hAnsi="宋体"/>
        </w:rPr>
        <w:t>月</w:t>
      </w:r>
      <w:r>
        <w:rPr>
          <w:rFonts w:hAnsi="宋体"/>
        </w:rPr>
        <w:t xml:space="preserve">  </w:t>
      </w:r>
      <w:r>
        <w:rPr>
          <w:rFonts w:hint="eastAsia" w:hAnsi="宋体"/>
          <w:szCs w:val="24"/>
        </w:rPr>
        <w:t>化工学院“双一流”特色优势学科建设项目</w:t>
      </w:r>
      <w:r>
        <w:rPr>
          <w:rFonts w:hint="eastAsia" w:hAnsi="宋体"/>
        </w:rPr>
        <w:t>项目（项目编号:ZD2020-628）公开招标结果及招标文件的要求,经协商一致,同意以下专用条款作为本项目合同条款的补充。当合同条款与专用条款不一致时，以专用条款为准。</w:t>
      </w:r>
    </w:p>
    <w:p>
      <w:pPr>
        <w:pStyle w:val="5"/>
        <w:snapToGrid w:val="0"/>
        <w:spacing w:before="0" w:after="0" w:line="360" w:lineRule="auto"/>
        <w:ind w:firstLine="562"/>
        <w:rPr>
          <w:rFonts w:hAnsi="宋体"/>
          <w:bCs/>
          <w:sz w:val="28"/>
          <w:szCs w:val="30"/>
        </w:rPr>
      </w:pPr>
      <w:r>
        <w:rPr>
          <w:rFonts w:hint="eastAsia" w:hAnsi="宋体"/>
          <w:bCs/>
          <w:sz w:val="28"/>
          <w:szCs w:val="30"/>
        </w:rPr>
        <w:t>一、合同标的及金额等</w:t>
      </w:r>
      <w:r>
        <w:rPr>
          <w:rFonts w:hAnsi="宋体"/>
          <w:bCs/>
          <w:sz w:val="28"/>
          <w:szCs w:val="30"/>
        </w:rPr>
        <w:t>(</w:t>
      </w:r>
      <w:r>
        <w:rPr>
          <w:rFonts w:hint="eastAsia" w:hAnsi="宋体"/>
          <w:bCs/>
          <w:sz w:val="28"/>
          <w:szCs w:val="30"/>
        </w:rPr>
        <w:t>详见附件清单</w:t>
      </w:r>
      <w:r>
        <w:rPr>
          <w:rFonts w:hAnsi="宋体"/>
          <w:bCs/>
          <w:sz w:val="28"/>
          <w:szCs w:val="30"/>
        </w:rPr>
        <w:t>)</w:t>
      </w:r>
    </w:p>
    <w:tbl>
      <w:tblPr>
        <w:tblStyle w:val="15"/>
        <w:tblW w:w="8452" w:type="dxa"/>
        <w:tblInd w:w="40" w:type="dxa"/>
        <w:tblLayout w:type="fixed"/>
        <w:tblCellMar>
          <w:top w:w="0" w:type="dxa"/>
          <w:left w:w="30" w:type="dxa"/>
          <w:bottom w:w="0" w:type="dxa"/>
          <w:right w:w="30" w:type="dxa"/>
        </w:tblCellMar>
      </w:tblPr>
      <w:tblGrid>
        <w:gridCol w:w="588"/>
        <w:gridCol w:w="1390"/>
        <w:gridCol w:w="2332"/>
        <w:gridCol w:w="1080"/>
        <w:gridCol w:w="1080"/>
        <w:gridCol w:w="1080"/>
        <w:gridCol w:w="902"/>
      </w:tblGrid>
      <w:tr>
        <w:tblPrEx>
          <w:tblCellMar>
            <w:top w:w="0" w:type="dxa"/>
            <w:left w:w="30" w:type="dxa"/>
            <w:bottom w:w="0" w:type="dxa"/>
            <w:right w:w="30" w:type="dxa"/>
          </w:tblCellMar>
        </w:tblPrEx>
        <w:trPr>
          <w:trHeight w:val="593" w:hRule="exact"/>
        </w:trPr>
        <w:tc>
          <w:tcPr>
            <w:tcW w:w="588"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序号</w:t>
            </w:r>
          </w:p>
        </w:tc>
        <w:tc>
          <w:tcPr>
            <w:tcW w:w="139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项目名称</w:t>
            </w:r>
          </w:p>
        </w:tc>
        <w:tc>
          <w:tcPr>
            <w:tcW w:w="2332"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2"/>
              <w:jc w:val="both"/>
              <w:rPr>
                <w:rFonts w:hAnsi="宋体" w:cs="Arial"/>
                <w:b/>
                <w:szCs w:val="21"/>
              </w:rPr>
            </w:pPr>
            <w:r>
              <w:rPr>
                <w:rFonts w:hAnsi="宋体" w:cs="Arial"/>
                <w:b/>
                <w:szCs w:val="21"/>
              </w:rPr>
              <w:t xml:space="preserve"> </w:t>
            </w:r>
            <w:r>
              <w:rPr>
                <w:rFonts w:hint="eastAsia" w:hAnsi="宋体" w:cs="Arial"/>
                <w:b/>
                <w:szCs w:val="21"/>
              </w:rPr>
              <w:t>项目内容</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单价（元）</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数量</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合计（元）</w:t>
            </w: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备注</w:t>
            </w:r>
          </w:p>
        </w:tc>
      </w:tr>
      <w:tr>
        <w:tblPrEx>
          <w:tblCellMar>
            <w:top w:w="0" w:type="dxa"/>
            <w:left w:w="30" w:type="dxa"/>
            <w:bottom w:w="0" w:type="dxa"/>
            <w:right w:w="30" w:type="dxa"/>
          </w:tblCellMar>
        </w:tblPrEx>
        <w:trPr>
          <w:trHeight w:val="770" w:hRule="exact"/>
        </w:trPr>
        <w:tc>
          <w:tcPr>
            <w:tcW w:w="58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0" w:firstLineChars="0"/>
              <w:jc w:val="both"/>
              <w:rPr>
                <w:rFonts w:hAnsi="宋体" w:cs="Arial"/>
                <w:szCs w:val="21"/>
              </w:rPr>
            </w:pPr>
            <w:r>
              <w:rPr>
                <w:rFonts w:hAnsi="宋体" w:cs="Arial"/>
                <w:szCs w:val="21"/>
              </w:rPr>
              <w:t xml:space="preserve">  1</w:t>
            </w:r>
          </w:p>
        </w:tc>
        <w:tc>
          <w:tcPr>
            <w:tcW w:w="1390" w:type="dxa"/>
            <w:tcBorders>
              <w:top w:val="single" w:color="auto" w:sz="8" w:space="0"/>
              <w:left w:val="single" w:color="auto" w:sz="8" w:space="0"/>
              <w:bottom w:val="single" w:color="auto" w:sz="8" w:space="0"/>
              <w:right w:val="single" w:color="auto" w:sz="8" w:space="0"/>
            </w:tcBorders>
            <w:vAlign w:val="bottom"/>
          </w:tcPr>
          <w:p>
            <w:pPr>
              <w:ind w:firstLine="480"/>
              <w:rPr>
                <w:rFonts w:hAnsi="宋体" w:cs="宋体"/>
              </w:rPr>
            </w:pPr>
          </w:p>
          <w:p>
            <w:pPr>
              <w:ind w:firstLine="480"/>
              <w:jc w:val="center"/>
              <w:rPr>
                <w:rFonts w:hAnsi="宋体" w:cs="Arial"/>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ind w:firstLine="480"/>
              <w:jc w:val="center"/>
              <w:rPr>
                <w:rFonts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r>
      <w:tr>
        <w:tblPrEx>
          <w:tblCellMar>
            <w:top w:w="0" w:type="dxa"/>
            <w:left w:w="30" w:type="dxa"/>
            <w:bottom w:w="0" w:type="dxa"/>
            <w:right w:w="30" w:type="dxa"/>
          </w:tblCellMar>
        </w:tblPrEx>
        <w:trPr>
          <w:trHeight w:val="734" w:hRule="exact"/>
        </w:trPr>
        <w:tc>
          <w:tcPr>
            <w:tcW w:w="58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0" w:firstLineChars="0"/>
              <w:jc w:val="both"/>
              <w:rPr>
                <w:rFonts w:hAnsi="宋体" w:cs="Arial"/>
                <w:szCs w:val="21"/>
              </w:rPr>
            </w:pPr>
            <w:r>
              <w:rPr>
                <w:rFonts w:hAnsi="宋体" w:cs="Arial"/>
                <w:szCs w:val="21"/>
              </w:rPr>
              <w:t xml:space="preserve">  2</w:t>
            </w:r>
          </w:p>
        </w:tc>
        <w:tc>
          <w:tcPr>
            <w:tcW w:w="1390" w:type="dxa"/>
            <w:tcBorders>
              <w:top w:val="single" w:color="auto" w:sz="8" w:space="0"/>
              <w:left w:val="single" w:color="auto" w:sz="8" w:space="0"/>
              <w:bottom w:val="single" w:color="auto" w:sz="8" w:space="0"/>
              <w:right w:val="single" w:color="auto" w:sz="8" w:space="0"/>
            </w:tcBorders>
            <w:vAlign w:val="bottom"/>
          </w:tcPr>
          <w:p>
            <w:pPr>
              <w:ind w:firstLine="480"/>
              <w:rPr>
                <w:rFonts w:hAnsi="宋体" w:cs="宋体"/>
              </w:rPr>
            </w:pPr>
          </w:p>
          <w:p>
            <w:pPr>
              <w:ind w:firstLine="480"/>
              <w:jc w:val="center"/>
              <w:rPr>
                <w:rFonts w:hAnsi="宋体" w:cs="Arial"/>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ind w:firstLine="480"/>
              <w:jc w:val="center"/>
              <w:rPr>
                <w:rFonts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r>
      <w:tr>
        <w:tblPrEx>
          <w:tblCellMar>
            <w:top w:w="0" w:type="dxa"/>
            <w:left w:w="30" w:type="dxa"/>
            <w:bottom w:w="0" w:type="dxa"/>
            <w:right w:w="30" w:type="dxa"/>
          </w:tblCellMar>
        </w:tblPrEx>
        <w:trPr>
          <w:trHeight w:val="734" w:hRule="exact"/>
        </w:trPr>
        <w:tc>
          <w:tcPr>
            <w:tcW w:w="58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0"/>
              <w:jc w:val="center"/>
              <w:rPr>
                <w:rFonts w:hAnsi="宋体" w:cs="Arial"/>
                <w:szCs w:val="21"/>
              </w:rPr>
            </w:pPr>
          </w:p>
        </w:tc>
        <w:tc>
          <w:tcPr>
            <w:tcW w:w="1390" w:type="dxa"/>
            <w:tcBorders>
              <w:top w:val="single" w:color="auto" w:sz="8" w:space="0"/>
              <w:left w:val="single" w:color="auto" w:sz="8" w:space="0"/>
              <w:bottom w:val="single" w:color="auto" w:sz="8" w:space="0"/>
              <w:right w:val="single" w:color="auto" w:sz="8" w:space="0"/>
            </w:tcBorders>
            <w:vAlign w:val="bottom"/>
          </w:tcPr>
          <w:p>
            <w:pPr>
              <w:ind w:firstLine="480"/>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ind w:firstLine="480"/>
              <w:jc w:val="center"/>
              <w:rPr>
                <w:rFonts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r>
      <w:tr>
        <w:tblPrEx>
          <w:tblCellMar>
            <w:top w:w="0" w:type="dxa"/>
            <w:left w:w="30" w:type="dxa"/>
            <w:bottom w:w="0" w:type="dxa"/>
            <w:right w:w="30" w:type="dxa"/>
          </w:tblCellMar>
        </w:tblPrEx>
        <w:trPr>
          <w:trHeight w:val="579" w:hRule="exact"/>
        </w:trPr>
        <w:tc>
          <w:tcPr>
            <w:tcW w:w="1978"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2"/>
              <w:jc w:val="center"/>
              <w:rPr>
                <w:rFonts w:hAnsi="宋体" w:cs="Arial"/>
                <w:szCs w:val="21"/>
              </w:rPr>
            </w:pPr>
            <w:r>
              <w:rPr>
                <w:rFonts w:hint="eastAsia" w:hAnsi="宋体" w:cs="Arial"/>
                <w:b/>
                <w:szCs w:val="21"/>
              </w:rPr>
              <w:t>合同总额</w:t>
            </w:r>
          </w:p>
        </w:tc>
        <w:tc>
          <w:tcPr>
            <w:tcW w:w="6474" w:type="dxa"/>
            <w:gridSpan w:val="5"/>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r>
              <w:rPr>
                <w:rFonts w:hint="eastAsia" w:hAnsi="宋体" w:cs="Arial"/>
                <w:szCs w:val="21"/>
              </w:rPr>
              <w:t>（小写）：</w:t>
            </w:r>
            <w:r>
              <w:rPr>
                <w:rFonts w:ascii="Arial" w:hAnsi="Arial" w:cs="Arial"/>
                <w:szCs w:val="21"/>
              </w:rPr>
              <w:t>¥</w:t>
            </w:r>
            <w:r>
              <w:rPr>
                <w:rFonts w:hint="eastAsia" w:ascii="Arial" w:hAnsi="Arial" w:cs="Arial"/>
                <w:szCs w:val="21"/>
              </w:rPr>
              <w:t>元</w:t>
            </w:r>
          </w:p>
        </w:tc>
      </w:tr>
      <w:tr>
        <w:tblPrEx>
          <w:tblCellMar>
            <w:top w:w="0" w:type="dxa"/>
            <w:left w:w="30" w:type="dxa"/>
            <w:bottom w:w="0" w:type="dxa"/>
            <w:right w:w="30" w:type="dxa"/>
          </w:tblCellMar>
        </w:tblPrEx>
        <w:trPr>
          <w:trHeight w:val="474" w:hRule="atLeast"/>
        </w:trPr>
        <w:tc>
          <w:tcPr>
            <w:tcW w:w="1978" w:type="dxa"/>
            <w:gridSpan w:val="2"/>
            <w:vMerge w:val="continue"/>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c>
          <w:tcPr>
            <w:tcW w:w="6474" w:type="dxa"/>
            <w:gridSpan w:val="5"/>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r>
              <w:rPr>
                <w:rFonts w:hint="eastAsia" w:hAnsi="宋体" w:cs="Arial"/>
                <w:szCs w:val="21"/>
              </w:rPr>
              <w:t>（大写）</w:t>
            </w:r>
            <w:r>
              <w:rPr>
                <w:rFonts w:hAnsi="宋体" w:cs="Arial"/>
                <w:szCs w:val="21"/>
              </w:rPr>
              <w:t>:</w:t>
            </w:r>
            <w:r>
              <w:rPr>
                <w:rFonts w:hint="eastAsia" w:hAnsi="宋体" w:cs="Arial"/>
                <w:sz w:val="28"/>
                <w:szCs w:val="21"/>
              </w:rPr>
              <w:t>元整</w:t>
            </w:r>
          </w:p>
        </w:tc>
      </w:tr>
    </w:tbl>
    <w:p>
      <w:pPr>
        <w:pStyle w:val="5"/>
        <w:snapToGrid w:val="0"/>
        <w:spacing w:before="0" w:after="0" w:line="360" w:lineRule="auto"/>
        <w:ind w:firstLine="0" w:firstLineChars="0"/>
        <w:rPr>
          <w:rFonts w:hAnsi="宋体"/>
          <w:sz w:val="28"/>
          <w:szCs w:val="28"/>
        </w:rPr>
      </w:pPr>
      <w:r>
        <w:rPr>
          <w:rFonts w:hint="eastAsia" w:hAnsi="宋体"/>
          <w:sz w:val="28"/>
          <w:szCs w:val="28"/>
        </w:rPr>
        <w:t>二、交付时间与地点要求：见用户需求书。</w:t>
      </w:r>
    </w:p>
    <w:p>
      <w:pPr>
        <w:pStyle w:val="5"/>
        <w:snapToGrid w:val="0"/>
        <w:spacing w:before="0" w:after="0" w:line="360" w:lineRule="auto"/>
        <w:ind w:firstLine="562"/>
        <w:rPr>
          <w:rFonts w:hAnsi="宋体"/>
          <w:bCs/>
          <w:sz w:val="28"/>
          <w:szCs w:val="28"/>
        </w:rPr>
      </w:pPr>
      <w:r>
        <w:rPr>
          <w:rFonts w:hint="eastAsia" w:hAnsi="宋体"/>
          <w:sz w:val="28"/>
          <w:szCs w:val="28"/>
        </w:rPr>
        <w:t>三、</w:t>
      </w:r>
      <w:r>
        <w:rPr>
          <w:rFonts w:hint="eastAsia" w:hAnsi="宋体"/>
          <w:bCs/>
          <w:sz w:val="28"/>
          <w:szCs w:val="28"/>
        </w:rPr>
        <w:t>付款方式：买方验收合格后，经核准由买方按合同规定和实际发票金额三周以内支付货款。</w:t>
      </w:r>
    </w:p>
    <w:p>
      <w:pPr>
        <w:pStyle w:val="5"/>
        <w:snapToGrid w:val="0"/>
        <w:spacing w:before="0" w:after="0" w:line="360" w:lineRule="auto"/>
        <w:ind w:firstLine="562"/>
        <w:rPr>
          <w:rFonts w:hAnsi="宋体"/>
          <w:bCs/>
          <w:sz w:val="28"/>
          <w:szCs w:val="30"/>
        </w:rPr>
      </w:pPr>
      <w:r>
        <w:rPr>
          <w:rFonts w:hint="eastAsia" w:hAnsi="宋体"/>
          <w:bCs/>
          <w:sz w:val="28"/>
          <w:szCs w:val="30"/>
        </w:rPr>
        <w:t>四、合同纠纷处理</w:t>
      </w:r>
    </w:p>
    <w:p>
      <w:pPr>
        <w:widowControl w:val="0"/>
        <w:snapToGrid w:val="0"/>
        <w:ind w:firstLine="480"/>
        <w:jc w:val="both"/>
        <w:rPr>
          <w:rFonts w:hAnsi="宋体"/>
          <w:b/>
          <w:szCs w:val="24"/>
        </w:rPr>
      </w:pPr>
      <w:r>
        <w:rPr>
          <w:rFonts w:hint="eastAsia" w:hAnsi="宋体"/>
        </w:rPr>
        <w:t>本合同执行过程中发生纠纷，双方通过协商解决，如协商不成，可向甲方所在地人民法院提起诉讼。</w:t>
      </w:r>
    </w:p>
    <w:p>
      <w:pPr>
        <w:pStyle w:val="5"/>
        <w:snapToGrid w:val="0"/>
        <w:spacing w:before="0" w:after="0" w:line="360" w:lineRule="auto"/>
        <w:ind w:firstLine="562"/>
        <w:rPr>
          <w:rFonts w:hAnsi="宋体"/>
          <w:bCs/>
          <w:sz w:val="28"/>
          <w:szCs w:val="30"/>
        </w:rPr>
      </w:pPr>
      <w:bookmarkStart w:id="37" w:name="_Toc476643577"/>
      <w:r>
        <w:rPr>
          <w:rFonts w:hint="eastAsia" w:hAnsi="宋体"/>
          <w:bCs/>
          <w:sz w:val="28"/>
          <w:szCs w:val="30"/>
        </w:rPr>
        <w:t>五、合同生效</w:t>
      </w:r>
      <w:bookmarkEnd w:id="37"/>
    </w:p>
    <w:p>
      <w:pPr>
        <w:snapToGrid w:val="0"/>
        <w:ind w:left="555" w:firstLine="480"/>
        <w:jc w:val="both"/>
        <w:rPr>
          <w:rFonts w:hAnsi="宋体"/>
        </w:rPr>
      </w:pPr>
      <w:r>
        <w:rPr>
          <w:rFonts w:hint="eastAsia" w:hAnsi="宋体"/>
        </w:rPr>
        <w:t>本合同由甲乙双方签字盖章后生效。</w:t>
      </w:r>
    </w:p>
    <w:p>
      <w:pPr>
        <w:pStyle w:val="5"/>
        <w:snapToGrid w:val="0"/>
        <w:spacing w:before="0" w:after="0" w:line="360" w:lineRule="auto"/>
        <w:ind w:firstLine="562"/>
        <w:rPr>
          <w:rFonts w:hAnsi="宋体"/>
          <w:bCs/>
          <w:sz w:val="28"/>
          <w:szCs w:val="30"/>
        </w:rPr>
      </w:pPr>
      <w:bookmarkStart w:id="38" w:name="_Toc476643578"/>
      <w:r>
        <w:rPr>
          <w:rFonts w:hint="eastAsia" w:hAnsi="宋体"/>
          <w:bCs/>
          <w:sz w:val="28"/>
          <w:szCs w:val="30"/>
        </w:rPr>
        <w:t>六、合同鉴证</w:t>
      </w:r>
      <w:bookmarkEnd w:id="38"/>
    </w:p>
    <w:p>
      <w:pPr>
        <w:snapToGrid w:val="0"/>
        <w:ind w:firstLine="480"/>
        <w:jc w:val="both"/>
        <w:rPr>
          <w:rFonts w:hAnsi="宋体"/>
          <w:b/>
        </w:rPr>
      </w:pPr>
      <w:r>
        <w:rPr>
          <w:rFonts w:hint="eastAsia" w:hAnsi="宋体"/>
        </w:rPr>
        <w:t>招标代理机构应当在本合同上签章，以证明本合同条款与招标文件、投标文件的相关要求相符并且未对采购内容和技术参数进行实质性修改。</w:t>
      </w:r>
    </w:p>
    <w:p>
      <w:pPr>
        <w:pStyle w:val="5"/>
        <w:snapToGrid w:val="0"/>
        <w:spacing w:before="0" w:after="0" w:line="360" w:lineRule="auto"/>
        <w:ind w:firstLine="562"/>
        <w:rPr>
          <w:rFonts w:hAnsi="宋体"/>
          <w:bCs/>
          <w:sz w:val="28"/>
          <w:szCs w:val="30"/>
        </w:rPr>
      </w:pPr>
      <w:bookmarkStart w:id="39" w:name="_Toc476643579"/>
      <w:r>
        <w:rPr>
          <w:rFonts w:hint="eastAsia" w:hAnsi="宋体"/>
          <w:bCs/>
          <w:sz w:val="28"/>
          <w:szCs w:val="30"/>
        </w:rPr>
        <w:t>七、本合同的组成文件</w:t>
      </w:r>
      <w:bookmarkEnd w:id="39"/>
    </w:p>
    <w:p>
      <w:pPr>
        <w:snapToGrid w:val="0"/>
        <w:ind w:left="555" w:firstLine="480"/>
        <w:jc w:val="both"/>
        <w:rPr>
          <w:rFonts w:hAnsi="宋体"/>
        </w:rPr>
      </w:pPr>
      <w:r>
        <w:rPr>
          <w:rFonts w:hAnsi="宋体"/>
        </w:rPr>
        <w:t>1.</w:t>
      </w:r>
      <w:r>
        <w:rPr>
          <w:rFonts w:hint="eastAsia" w:hAnsi="宋体"/>
        </w:rPr>
        <w:t>合同通用条款和专用条款；</w:t>
      </w:r>
    </w:p>
    <w:p>
      <w:pPr>
        <w:snapToGrid w:val="0"/>
        <w:ind w:left="555" w:firstLine="480"/>
        <w:jc w:val="both"/>
        <w:rPr>
          <w:rFonts w:hAnsi="宋体"/>
        </w:rPr>
      </w:pPr>
      <w:r>
        <w:rPr>
          <w:rFonts w:hAnsi="宋体"/>
        </w:rPr>
        <w:t>2.</w:t>
      </w:r>
      <w:r>
        <w:rPr>
          <w:rFonts w:hint="eastAsia" w:hAnsi="宋体"/>
        </w:rPr>
        <w:t>招标文件、乙方的投标文件和评标时的澄清函（如有）；</w:t>
      </w:r>
    </w:p>
    <w:p>
      <w:pPr>
        <w:snapToGrid w:val="0"/>
        <w:ind w:left="555" w:firstLine="480"/>
        <w:jc w:val="both"/>
        <w:rPr>
          <w:rFonts w:hAnsi="宋体"/>
        </w:rPr>
      </w:pPr>
      <w:r>
        <w:rPr>
          <w:rFonts w:hAnsi="宋体"/>
        </w:rPr>
        <w:t>3.</w:t>
      </w:r>
      <w:r>
        <w:rPr>
          <w:rFonts w:hint="eastAsia" w:hAnsi="宋体"/>
        </w:rPr>
        <w:t>中标通知书；</w:t>
      </w:r>
    </w:p>
    <w:p>
      <w:pPr>
        <w:snapToGrid w:val="0"/>
        <w:ind w:left="555" w:firstLine="480"/>
        <w:jc w:val="both"/>
        <w:rPr>
          <w:rFonts w:hAnsi="宋体"/>
        </w:rPr>
      </w:pPr>
      <w:r>
        <w:rPr>
          <w:rFonts w:hAnsi="宋体"/>
        </w:rPr>
        <w:t>4.</w:t>
      </w:r>
      <w:r>
        <w:rPr>
          <w:rFonts w:hint="eastAsia" w:hAnsi="宋体"/>
        </w:rPr>
        <w:t>甲乙双方商定的其他必要文件。</w:t>
      </w:r>
    </w:p>
    <w:p>
      <w:pPr>
        <w:snapToGrid w:val="0"/>
        <w:ind w:firstLine="480"/>
        <w:jc w:val="both"/>
        <w:rPr>
          <w:rFonts w:hAnsi="宋体"/>
          <w:bCs/>
        </w:rPr>
      </w:pPr>
      <w:r>
        <w:rPr>
          <w:rFonts w:hint="eastAsia" w:hAnsi="宋体"/>
          <w:bCs/>
        </w:rPr>
        <w:t>上述合同文件内容互为补充，如有不明确，由甲方负责解释。</w:t>
      </w:r>
    </w:p>
    <w:p>
      <w:pPr>
        <w:pStyle w:val="5"/>
        <w:snapToGrid w:val="0"/>
        <w:spacing w:before="0" w:after="0" w:line="360" w:lineRule="auto"/>
        <w:ind w:firstLine="562"/>
        <w:rPr>
          <w:rFonts w:hAnsi="宋体"/>
          <w:bCs/>
          <w:sz w:val="28"/>
          <w:szCs w:val="30"/>
        </w:rPr>
      </w:pPr>
      <w:bookmarkStart w:id="40" w:name="_Toc476643580"/>
      <w:r>
        <w:rPr>
          <w:rFonts w:hint="eastAsia" w:hAnsi="宋体"/>
          <w:bCs/>
          <w:sz w:val="28"/>
          <w:szCs w:val="30"/>
        </w:rPr>
        <w:t>八、合同备案</w:t>
      </w:r>
      <w:bookmarkEnd w:id="40"/>
    </w:p>
    <w:p>
      <w:pPr>
        <w:snapToGrid w:val="0"/>
        <w:ind w:firstLine="480"/>
        <w:jc w:val="both"/>
        <w:rPr>
          <w:rFonts w:hAnsi="宋体" w:cs="宋体"/>
        </w:rPr>
      </w:pPr>
      <w:r>
        <w:rPr>
          <w:rFonts w:hint="eastAsia" w:hAnsi="宋体"/>
          <w:bCs/>
        </w:rPr>
        <w:t>本合同一式七份，中文书写。甲方执四份、乙方执一份、招标代理机构执两份，招标代理机构负责报政府采购主管部门备案。</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2"/>
        <w:jc w:val="both"/>
        <w:rPr>
          <w:rFonts w:hAnsi="宋体"/>
        </w:rPr>
      </w:pPr>
      <w:r>
        <w:rPr>
          <w:rFonts w:hint="eastAsia" w:hAnsi="宋体"/>
          <w:b/>
        </w:rPr>
        <w:t>甲方：</w:t>
      </w:r>
      <w:r>
        <w:rPr>
          <w:rFonts w:hint="eastAsia" w:hAnsi="宋体"/>
          <w:b/>
          <w:u w:val="single"/>
        </w:rPr>
        <w:t xml:space="preserve">（盖章）  </w:t>
      </w:r>
      <w:r>
        <w:rPr>
          <w:rFonts w:hint="eastAsia" w:hAnsi="宋体"/>
          <w:b/>
        </w:rPr>
        <w:t xml:space="preserve">             乙方：</w:t>
      </w:r>
      <w:r>
        <w:rPr>
          <w:rFonts w:hint="eastAsia" w:hAnsi="宋体"/>
          <w:b/>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jc w:val="both"/>
        <w:rPr>
          <w:rFonts w:hAnsi="宋体"/>
          <w:u w:val="single"/>
        </w:rPr>
      </w:pPr>
      <w:r>
        <w:rPr>
          <w:rFonts w:hint="eastAsia" w:hAnsi="宋体"/>
        </w:rPr>
        <w:t>地址：                       地址：</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jc w:val="both"/>
        <w:rPr>
          <w:rFonts w:hAnsi="宋体"/>
        </w:rPr>
      </w:pPr>
      <w:r>
        <w:rPr>
          <w:rFonts w:hint="eastAsia" w:hAnsi="宋体"/>
        </w:rPr>
        <w:t>法定（或授权）代表人：       法定（或授权）代表人：</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jc w:val="both"/>
        <w:rPr>
          <w:rFonts w:hAnsi="宋体"/>
        </w:rPr>
      </w:pPr>
      <w:r>
        <w:rPr>
          <w:rFonts w:hint="eastAsia" w:hAnsi="宋体"/>
        </w:rPr>
        <w:t>年月日                       年月日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2"/>
        <w:jc w:val="both"/>
        <w:rPr>
          <w:rFonts w:hAnsi="宋体"/>
          <w:b/>
          <w:sz w:val="28"/>
        </w:rPr>
      </w:pPr>
      <w:r>
        <w:rPr>
          <w:rFonts w:hint="eastAsia" w:hAnsi="宋体"/>
          <w:b/>
          <w:sz w:val="28"/>
        </w:rPr>
        <w:t>招标代理机构声明：本合同标的经海南政鼎招标代理有限公司依法定程序采购，合同主要条款内容与招投标文件的内容一致。</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2"/>
        <w:jc w:val="both"/>
        <w:rPr>
          <w:rFonts w:hAnsi="宋体"/>
          <w:b/>
          <w:sz w:val="28"/>
          <w:u w:val="single"/>
        </w:rPr>
      </w:pPr>
      <w:r>
        <w:rPr>
          <w:rFonts w:hint="eastAsia" w:hAnsi="宋体"/>
          <w:b/>
          <w:sz w:val="28"/>
        </w:rPr>
        <w:t>招标代理机构：</w:t>
      </w:r>
      <w:r>
        <w:rPr>
          <w:rFonts w:hint="eastAsia" w:hAnsi="宋体"/>
          <w:b/>
          <w:sz w:val="28"/>
          <w:u w:val="single"/>
        </w:rPr>
        <w:t>海南政鼎招标代理有限公司（盖章）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sz w:val="28"/>
        </w:rPr>
      </w:pPr>
      <w:r>
        <w:rPr>
          <w:rFonts w:hint="eastAsia" w:hAnsi="宋体"/>
        </w:rPr>
        <w:t>经办人：</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rPr>
      </w:pPr>
      <w:r>
        <w:rPr>
          <w:rFonts w:hint="eastAsia" w:hAnsi="宋体"/>
        </w:rPr>
        <w:t>年月日</w:t>
      </w:r>
    </w:p>
    <w:p>
      <w:pPr>
        <w:pStyle w:val="4"/>
        <w:shd w:val="clear" w:color="auto" w:fill="FFFFFF"/>
        <w:spacing w:line="360" w:lineRule="auto"/>
        <w:ind w:firstLine="1767" w:firstLineChars="400"/>
        <w:jc w:val="both"/>
        <w:rPr>
          <w:rFonts w:hAnsi="宋体"/>
          <w:szCs w:val="44"/>
        </w:rPr>
      </w:pPr>
      <w:bookmarkStart w:id="41" w:name="_Toc476664379"/>
      <w:bookmarkStart w:id="42" w:name="_Toc476643581"/>
      <w:bookmarkStart w:id="43" w:name="_Toc476667950"/>
      <w:r>
        <w:rPr>
          <w:rFonts w:hint="eastAsia" w:hAnsi="宋体"/>
          <w:szCs w:val="44"/>
        </w:rPr>
        <w:t>第五章投标文件内容和格式</w:t>
      </w:r>
      <w:bookmarkEnd w:id="41"/>
      <w:bookmarkEnd w:id="42"/>
      <w:bookmarkEnd w:id="43"/>
    </w:p>
    <w:p>
      <w:pPr>
        <w:pStyle w:val="4"/>
        <w:shd w:val="clear" w:color="auto" w:fill="FFFFFF"/>
        <w:spacing w:line="360" w:lineRule="auto"/>
        <w:ind w:firstLine="3600" w:firstLineChars="1200"/>
        <w:jc w:val="both"/>
        <w:rPr>
          <w:rFonts w:hAnsi="宋体"/>
          <w:b w:val="0"/>
          <w:kern w:val="0"/>
          <w:sz w:val="30"/>
          <w:szCs w:val="30"/>
        </w:rPr>
      </w:pPr>
      <w:r>
        <w:rPr>
          <w:rFonts w:hint="eastAsia" w:hAnsi="宋体"/>
          <w:b w:val="0"/>
          <w:kern w:val="0"/>
          <w:sz w:val="30"/>
          <w:szCs w:val="30"/>
        </w:rPr>
        <w:t>ABC包通用</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rPr>
          <w:rFonts w:hAnsi="宋体"/>
        </w:rPr>
      </w:pPr>
      <w:r>
        <w:rPr>
          <w:rFonts w:hint="eastAsia" w:hAnsi="宋体"/>
        </w:rPr>
        <w:t>请投标人按照以下文件要求的格式、内容制作投标文件，并按以下顺序编制目录及页码，否则可能将影响对投标文件的评价：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rPr>
          <w:rFonts w:hAnsi="宋体"/>
          <w:color w:val="000000"/>
          <w:szCs w:val="24"/>
        </w:rPr>
      </w:pPr>
      <w:r>
        <w:rPr>
          <w:rFonts w:hAnsi="宋体"/>
          <w:color w:val="000000"/>
          <w:szCs w:val="24"/>
        </w:rPr>
        <w:t>1</w:t>
      </w:r>
      <w:r>
        <w:rPr>
          <w:rFonts w:hint="eastAsia" w:hAnsi="宋体"/>
          <w:color w:val="000000"/>
          <w:szCs w:val="24"/>
        </w:rPr>
        <w:t>、投标函（表</w:t>
      </w:r>
      <w:r>
        <w:rPr>
          <w:rFonts w:hAnsi="宋体"/>
          <w:color w:val="000000"/>
          <w:szCs w:val="24"/>
        </w:rPr>
        <w:t>1</w:t>
      </w:r>
      <w:r>
        <w:rPr>
          <w:rFonts w:hint="eastAsia" w:hAnsi="宋体"/>
          <w:color w:val="000000"/>
          <w:szCs w:val="24"/>
        </w:rPr>
        <w:t>）</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rPr>
          <w:rFonts w:hAnsi="宋体"/>
          <w:szCs w:val="24"/>
        </w:rPr>
      </w:pPr>
      <w:r>
        <w:rPr>
          <w:rFonts w:hAnsi="宋体"/>
          <w:szCs w:val="24"/>
        </w:rPr>
        <w:t>2</w:t>
      </w:r>
      <w:r>
        <w:rPr>
          <w:rFonts w:hint="eastAsia" w:hAnsi="宋体"/>
          <w:szCs w:val="24"/>
        </w:rPr>
        <w:t>、开标一览表（表</w:t>
      </w:r>
      <w:r>
        <w:rPr>
          <w:rFonts w:hAnsi="宋体"/>
          <w:szCs w:val="24"/>
        </w:rPr>
        <w:t>2</w:t>
      </w:r>
      <w:r>
        <w:rPr>
          <w:rFonts w:hint="eastAsia" w:hAnsi="宋体"/>
          <w:szCs w:val="24"/>
        </w:rPr>
        <w:t>）</w:t>
      </w:r>
    </w:p>
    <w:p>
      <w:pPr>
        <w:spacing w:line="240" w:lineRule="auto"/>
        <w:ind w:firstLine="480"/>
        <w:rPr>
          <w:rFonts w:hAnsi="宋体"/>
          <w:szCs w:val="24"/>
        </w:rPr>
      </w:pPr>
      <w:r>
        <w:rPr>
          <w:rFonts w:hint="eastAsia" w:hAnsi="宋体"/>
          <w:szCs w:val="24"/>
        </w:rPr>
        <w:t>3、投标报价明细表（表3）</w:t>
      </w:r>
    </w:p>
    <w:p>
      <w:pPr>
        <w:spacing w:line="240" w:lineRule="auto"/>
        <w:ind w:firstLine="480"/>
        <w:rPr>
          <w:rFonts w:hAnsi="宋体"/>
          <w:szCs w:val="24"/>
        </w:rPr>
      </w:pPr>
      <w:r>
        <w:rPr>
          <w:rFonts w:hint="eastAsia" w:hAnsi="宋体"/>
          <w:szCs w:val="24"/>
        </w:rPr>
        <w:t>4、化工学院“双一流”特色优势学科建设项目质量要求响应表（表4）</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rPr>
          <w:rFonts w:hAnsi="宋体"/>
          <w:color w:val="FF0000"/>
        </w:rPr>
      </w:pPr>
      <w:r>
        <w:rPr>
          <w:rFonts w:hint="eastAsia" w:hAnsi="宋体"/>
        </w:rPr>
        <w:t>5、</w:t>
      </w:r>
      <w:r>
        <w:rPr>
          <w:rFonts w:hint="eastAsia" w:hAnsi="宋体"/>
          <w:color w:val="000000"/>
          <w:szCs w:val="24"/>
        </w:rPr>
        <w:t>授权委托书（表，法人或负责人代表、授权代表身份证复印件）</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color w:val="FF0000"/>
        </w:rPr>
      </w:pPr>
      <w:r>
        <w:rPr>
          <w:rFonts w:hint="eastAsia" w:hAnsi="宋体"/>
        </w:rPr>
        <w:t>6、营业执照（三合一新证复印件）</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7、提供</w:t>
      </w:r>
      <w:r>
        <w:rPr>
          <w:rFonts w:hAnsi="宋体"/>
        </w:rPr>
        <w:t>20</w:t>
      </w:r>
      <w:r>
        <w:rPr>
          <w:rFonts w:hint="eastAsia" w:hAnsi="宋体"/>
        </w:rPr>
        <w:t>20年任意3个月社保缴费记录证明</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b/>
          <w:sz w:val="32"/>
          <w:szCs w:val="32"/>
        </w:rPr>
      </w:pPr>
      <w:r>
        <w:rPr>
          <w:rFonts w:hint="eastAsia" w:hAnsi="宋体"/>
        </w:rPr>
        <w:t>8、近三年无违法记录声明书</w:t>
      </w:r>
    </w:p>
    <w:p>
      <w:pPr>
        <w:shd w:val="clear" w:color="auto" w:fill="FFFFFF"/>
        <w:wordWrap w:val="0"/>
        <w:adjustRightInd w:val="0"/>
        <w:snapToGrid w:val="0"/>
        <w:spacing w:line="240" w:lineRule="auto"/>
        <w:ind w:firstLine="480"/>
        <w:rPr>
          <w:rFonts w:hAnsi="宋体"/>
        </w:rPr>
      </w:pPr>
      <w:r>
        <w:rPr>
          <w:rFonts w:hint="eastAsia" w:hAnsi="宋体"/>
        </w:rPr>
        <w:t>9、提供</w:t>
      </w:r>
      <w:r>
        <w:rPr>
          <w:rFonts w:hAnsi="宋体"/>
        </w:rPr>
        <w:t>20</w:t>
      </w:r>
      <w:r>
        <w:rPr>
          <w:rFonts w:hint="eastAsia" w:hAnsi="宋体"/>
        </w:rPr>
        <w:t>20年任意3个月的企业纳税证明</w:t>
      </w:r>
      <w:r>
        <w:rPr>
          <w:rFonts w:hint="eastAsia" w:hAnsi="宋体" w:cs="宋体"/>
        </w:rPr>
        <w:t>或者会计师事务所出具的2019年公司财务审计报告；</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10、保证金缴费记录复印件</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11、中小企业声明函</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12、投标人参加本项目投标无串通投标行为的承诺函</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int="eastAsia" w:hAnsi="宋体"/>
        </w:rPr>
      </w:pPr>
      <w:r>
        <w:rPr>
          <w:rFonts w:hint="eastAsia" w:hAnsi="宋体"/>
        </w:rPr>
        <w:t>13、根据招标文件要求，提供授权书、技术参数确认及售后服务承诺函</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14、具有履行合同所必需的设备和专业技术能力（提供承诺函原件）</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15、投标人投标时提供“国家企业信用信息公示系统”网站（http://www.gsxt.gov.cn/index.html）基础信息中的“股东及出资信息”和“主要人员信息”（提供信息查询结果界面截图，加盖投标人公章）；</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b/>
          <w:sz w:val="32"/>
          <w:szCs w:val="32"/>
        </w:rPr>
      </w:pPr>
      <w:r>
        <w:rPr>
          <w:rFonts w:hint="eastAsia" w:hAnsi="宋体"/>
        </w:rPr>
        <w:t>16、投标时提供本项目投标被授权人近期任意一个月在投标人处缴纳的社保证明复印件；</w:t>
      </w:r>
      <w:r>
        <w:rPr>
          <w:rFonts w:hAnsi="宋体"/>
        </w:rPr>
        <w:t>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17、投标人认为需要的其它材料</w:t>
      </w:r>
    </w:p>
    <w:p>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jc w:val="both"/>
        <w:rPr>
          <w:rFonts w:hAnsi="宋体"/>
        </w:rPr>
      </w:pPr>
      <w:r>
        <w:rPr>
          <w:rFonts w:hint="eastAsia" w:hAnsi="宋体"/>
        </w:rPr>
        <w:t>注：以上复印件均需要加盖公章</w:t>
      </w:r>
    </w:p>
    <w:p>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rPr>
      </w:pPr>
    </w:p>
    <w:p>
      <w:pPr>
        <w:shd w:val="clear" w:color="auto" w:fill="FFFFFF"/>
        <w:spacing w:line="500" w:lineRule="exact"/>
        <w:ind w:firstLine="3534" w:firstLineChars="1100"/>
        <w:jc w:val="both"/>
        <w:rPr>
          <w:rFonts w:hAnsi="宋体"/>
          <w:b/>
          <w:sz w:val="32"/>
          <w:szCs w:val="32"/>
        </w:rPr>
      </w:pPr>
      <w:r>
        <w:rPr>
          <w:rFonts w:hint="eastAsia" w:hAnsi="宋体"/>
          <w:b/>
          <w:sz w:val="32"/>
          <w:szCs w:val="32"/>
        </w:rPr>
        <w:t>表</w:t>
      </w:r>
      <w:r>
        <w:rPr>
          <w:rFonts w:hAnsi="宋体"/>
          <w:b/>
          <w:sz w:val="32"/>
          <w:szCs w:val="32"/>
        </w:rPr>
        <w:t>1</w:t>
      </w:r>
      <w:r>
        <w:rPr>
          <w:rFonts w:hint="eastAsia" w:hAnsi="宋体"/>
          <w:b/>
          <w:sz w:val="32"/>
          <w:szCs w:val="32"/>
        </w:rPr>
        <w:t>、投标函</w:t>
      </w:r>
    </w:p>
    <w:p>
      <w:pPr>
        <w:shd w:val="clear" w:color="auto" w:fill="FFFFFF"/>
        <w:ind w:firstLine="480"/>
      </w:pPr>
    </w:p>
    <w:p>
      <w:pPr>
        <w:shd w:val="clear" w:color="auto" w:fill="FFFFFF"/>
        <w:snapToGrid w:val="0"/>
        <w:spacing w:before="19" w:line="480" w:lineRule="exact"/>
        <w:ind w:firstLine="562"/>
        <w:rPr>
          <w:rFonts w:hAnsi="宋体"/>
          <w:b/>
          <w:sz w:val="28"/>
        </w:rPr>
      </w:pPr>
      <w:r>
        <w:rPr>
          <w:rFonts w:hint="eastAsia" w:hAnsi="宋体"/>
          <w:b/>
          <w:sz w:val="28"/>
        </w:rPr>
        <w:t>致：海南政鼎招标代理有限公司</w:t>
      </w:r>
    </w:p>
    <w:p>
      <w:pPr>
        <w:shd w:val="clear" w:color="auto" w:fill="FFFFFF"/>
        <w:spacing w:before="19"/>
        <w:ind w:firstLine="480"/>
        <w:rPr>
          <w:rFonts w:hAnsi="宋体"/>
        </w:rPr>
      </w:pPr>
    </w:p>
    <w:p>
      <w:pPr>
        <w:shd w:val="clear" w:color="auto" w:fill="FFFFFF"/>
        <w:spacing w:before="19"/>
        <w:ind w:firstLine="480"/>
        <w:rPr>
          <w:rFonts w:hAnsi="宋体"/>
        </w:rPr>
      </w:pPr>
      <w:r>
        <w:rPr>
          <w:rFonts w:hint="eastAsia" w:hAnsi="宋体"/>
        </w:rPr>
        <w:t>根据贵单位项目编号为的投标邀请函，正式授权下述签字人（姓名和职务）代表投标人（投标单位名称）提交投标文件。</w:t>
      </w:r>
    </w:p>
    <w:p>
      <w:pPr>
        <w:shd w:val="clear" w:color="auto" w:fill="FFFFFF"/>
        <w:snapToGrid w:val="0"/>
        <w:spacing w:line="480" w:lineRule="exact"/>
        <w:ind w:firstLine="480"/>
        <w:rPr>
          <w:rFonts w:hAnsi="宋体"/>
        </w:rPr>
      </w:pPr>
      <w:r>
        <w:rPr>
          <w:rFonts w:hint="eastAsia" w:hAnsi="宋体"/>
        </w:rPr>
        <w:t>根据此函，我们宣布同意如下：</w:t>
      </w:r>
    </w:p>
    <w:p>
      <w:pPr>
        <w:shd w:val="clear" w:color="auto" w:fill="FFFFFF"/>
        <w:snapToGrid w:val="0"/>
        <w:spacing w:line="480" w:lineRule="exact"/>
        <w:ind w:firstLine="480"/>
        <w:rPr>
          <w:rFonts w:hAnsi="宋体"/>
        </w:rPr>
      </w:pPr>
      <w:r>
        <w:rPr>
          <w:rFonts w:hAnsi="宋体"/>
        </w:rPr>
        <w:t>1</w:t>
      </w:r>
      <w:r>
        <w:rPr>
          <w:rFonts w:hint="eastAsia" w:hAnsi="宋体"/>
        </w:rPr>
        <w:t>、我方接受招标文件的所有的条款和规定。</w:t>
      </w:r>
    </w:p>
    <w:p>
      <w:pPr>
        <w:shd w:val="clear" w:color="auto" w:fill="FFFFFF"/>
        <w:snapToGrid w:val="0"/>
        <w:spacing w:line="480" w:lineRule="exact"/>
        <w:ind w:firstLine="480"/>
        <w:rPr>
          <w:rFonts w:hAnsi="宋体"/>
        </w:rPr>
      </w:pPr>
      <w:r>
        <w:rPr>
          <w:rFonts w:hAnsi="宋体"/>
        </w:rPr>
        <w:t>2</w:t>
      </w:r>
      <w:r>
        <w:rPr>
          <w:rFonts w:hint="eastAsia" w:hAnsi="宋体"/>
        </w:rPr>
        <w:t>、我方同意按照招标文件第二章“投标人须知”的规定，本投标文件的有效期为从投标截止日期起计算的</w:t>
      </w:r>
      <w:r>
        <w:rPr>
          <w:rFonts w:hAnsi="宋体"/>
          <w:b/>
          <w:bCs/>
          <w:u w:val="single"/>
        </w:rPr>
        <w:t>60</w:t>
      </w:r>
      <w:r>
        <w:rPr>
          <w:rFonts w:hint="eastAsia" w:hAnsi="宋体"/>
          <w:color w:val="000000"/>
          <w:u w:val="single"/>
        </w:rPr>
        <w:t>天</w:t>
      </w:r>
      <w:r>
        <w:rPr>
          <w:rFonts w:hint="eastAsia" w:hAnsi="宋体"/>
        </w:rPr>
        <w:t>，在此期间，本投标文件将始终对我方具有约束力，并可随时被接受。</w:t>
      </w:r>
    </w:p>
    <w:p>
      <w:pPr>
        <w:shd w:val="clear" w:color="auto" w:fill="FFFFFF"/>
        <w:snapToGrid w:val="0"/>
        <w:spacing w:line="480" w:lineRule="exact"/>
        <w:ind w:firstLine="480"/>
        <w:rPr>
          <w:rFonts w:hAnsi="宋体"/>
        </w:rPr>
      </w:pPr>
      <w:r>
        <w:rPr>
          <w:rFonts w:hAnsi="宋体"/>
        </w:rPr>
        <w:t>3</w:t>
      </w:r>
      <w:r>
        <w:rPr>
          <w:rFonts w:hint="eastAsia" w:hAnsi="宋体"/>
        </w:rPr>
        <w:t>、我们同意提供贵单位要求的有关本次投标的所有资料或证据，并保证资料、证据的真实有效性。</w:t>
      </w:r>
    </w:p>
    <w:p>
      <w:pPr>
        <w:shd w:val="clear" w:color="auto" w:fill="FFFFFF"/>
        <w:snapToGrid w:val="0"/>
        <w:spacing w:line="480" w:lineRule="exact"/>
        <w:ind w:firstLine="480"/>
        <w:rPr>
          <w:rFonts w:hAnsi="宋体"/>
        </w:rPr>
      </w:pPr>
      <w:r>
        <w:rPr>
          <w:rFonts w:hAnsi="宋体"/>
        </w:rPr>
        <w:t>4</w:t>
      </w:r>
      <w:r>
        <w:rPr>
          <w:rFonts w:hint="eastAsia" w:hAnsi="宋体"/>
        </w:rPr>
        <w:t>、我方完全理解贵方不一定要接受最低投标价的投标，即最低投标价不是中标的保证。</w:t>
      </w:r>
    </w:p>
    <w:p>
      <w:pPr>
        <w:shd w:val="clear" w:color="auto" w:fill="FFFFFF"/>
        <w:snapToGrid w:val="0"/>
        <w:spacing w:line="480" w:lineRule="exact"/>
        <w:ind w:firstLine="480"/>
        <w:rPr>
          <w:rFonts w:hAnsi="宋体"/>
        </w:rPr>
      </w:pPr>
      <w:r>
        <w:rPr>
          <w:rFonts w:hAnsi="宋体"/>
        </w:rPr>
        <w:t>5</w:t>
      </w:r>
      <w:r>
        <w:rPr>
          <w:rFonts w:hint="eastAsia" w:hAnsi="宋体"/>
        </w:rPr>
        <w:t>、如果我方中标，我们将根据招标文件的规定严格履行自己的责任和义务。</w:t>
      </w:r>
    </w:p>
    <w:p>
      <w:pPr>
        <w:shd w:val="clear" w:color="auto" w:fill="FFFFFF"/>
        <w:snapToGrid w:val="0"/>
        <w:spacing w:line="480" w:lineRule="exact"/>
        <w:ind w:firstLine="480"/>
        <w:rPr>
          <w:rFonts w:hAnsi="宋体"/>
        </w:rPr>
      </w:pPr>
      <w:r>
        <w:rPr>
          <w:rFonts w:hAnsi="宋体"/>
        </w:rPr>
        <w:t>6</w:t>
      </w:r>
      <w:r>
        <w:rPr>
          <w:rFonts w:hint="eastAsia" w:hAnsi="宋体"/>
        </w:rPr>
        <w:t>、如果我方中标，我方将支付本次招标的服务费。</w:t>
      </w:r>
    </w:p>
    <w:p>
      <w:pPr>
        <w:shd w:val="clear" w:color="auto" w:fill="FFFFFF"/>
        <w:snapToGrid w:val="0"/>
        <w:spacing w:line="480" w:lineRule="exact"/>
        <w:ind w:firstLine="480"/>
        <w:rPr>
          <w:rFonts w:hAnsi="宋体"/>
        </w:rPr>
      </w:pPr>
    </w:p>
    <w:p>
      <w:pPr>
        <w:shd w:val="clear" w:color="auto" w:fill="FFFFFF"/>
        <w:snapToGrid w:val="0"/>
        <w:ind w:firstLine="480"/>
        <w:rPr>
          <w:rFonts w:hAnsi="宋体"/>
        </w:rPr>
      </w:pPr>
      <w:r>
        <w:rPr>
          <w:rFonts w:hint="eastAsia" w:hAnsi="宋体"/>
        </w:rPr>
        <w:t>投标人名称：</w:t>
      </w:r>
      <w:r>
        <w:rPr>
          <w:rFonts w:hint="eastAsia" w:hAnsi="宋体"/>
          <w:u w:val="single"/>
        </w:rPr>
        <w:t>（公章）</w:t>
      </w:r>
    </w:p>
    <w:p>
      <w:pPr>
        <w:shd w:val="clear" w:color="auto" w:fill="FFFFFF"/>
        <w:snapToGrid w:val="0"/>
        <w:ind w:firstLine="480"/>
        <w:rPr>
          <w:rFonts w:hAnsi="宋体"/>
          <w:u w:val="single"/>
        </w:rPr>
      </w:pPr>
      <w:r>
        <w:rPr>
          <w:rFonts w:hint="eastAsia" w:hAnsi="宋体"/>
        </w:rPr>
        <w:t>地址：邮编：</w:t>
      </w:r>
    </w:p>
    <w:p>
      <w:pPr>
        <w:shd w:val="clear" w:color="auto" w:fill="FFFFFF"/>
        <w:snapToGrid w:val="0"/>
        <w:ind w:firstLine="480"/>
        <w:rPr>
          <w:rFonts w:hAnsi="宋体"/>
          <w:u w:val="single"/>
        </w:rPr>
      </w:pPr>
      <w:r>
        <w:rPr>
          <w:rFonts w:hint="eastAsia" w:hAnsi="宋体"/>
        </w:rPr>
        <w:t>电话：传真：</w:t>
      </w:r>
    </w:p>
    <w:p>
      <w:pPr>
        <w:shd w:val="clear" w:color="auto" w:fill="FFFFFF"/>
        <w:snapToGrid w:val="0"/>
        <w:ind w:firstLine="480"/>
        <w:rPr>
          <w:rFonts w:hAnsi="宋体"/>
          <w:u w:val="single"/>
        </w:rPr>
      </w:pPr>
      <w:r>
        <w:rPr>
          <w:rFonts w:hint="eastAsia" w:hAnsi="宋体"/>
        </w:rPr>
        <w:t>授权代表：</w:t>
      </w:r>
      <w:r>
        <w:rPr>
          <w:rFonts w:hint="eastAsia" w:hAnsi="宋体"/>
          <w:u w:val="single"/>
        </w:rPr>
        <w:t>（签字或私章）</w:t>
      </w:r>
      <w:r>
        <w:rPr>
          <w:rFonts w:hint="eastAsia" w:hAnsi="宋体"/>
        </w:rPr>
        <w:t>职务：</w:t>
      </w:r>
    </w:p>
    <w:p>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u w:val="single"/>
        </w:rPr>
      </w:pPr>
      <w:r>
        <w:rPr>
          <w:rFonts w:hint="eastAsia" w:hAnsi="宋体"/>
        </w:rPr>
        <w:t>日期：</w:t>
      </w:r>
    </w:p>
    <w:p>
      <w:pPr>
        <w:shd w:val="clear" w:color="auto" w:fill="FFFFFF"/>
        <w:topLinePunct/>
        <w:spacing w:before="4"/>
        <w:ind w:firstLine="480"/>
        <w:rPr>
          <w:rFonts w:hAnsi="宋体"/>
        </w:rPr>
      </w:pPr>
    </w:p>
    <w:p>
      <w:pPr>
        <w:pageBreakBefore/>
        <w:snapToGrid w:val="0"/>
        <w:ind w:firstLine="643"/>
        <w:jc w:val="both"/>
        <w:rPr>
          <w:rFonts w:hAnsi="宋体"/>
          <w:u w:val="single"/>
        </w:rPr>
      </w:pPr>
      <w:r>
        <w:rPr>
          <w:rFonts w:hAnsi="宋体"/>
          <w:b/>
          <w:sz w:val="32"/>
          <w:szCs w:val="32"/>
        </w:rPr>
        <w:t xml:space="preserve">                </w:t>
      </w:r>
      <w:r>
        <w:rPr>
          <w:rFonts w:hint="eastAsia" w:hAnsi="宋体"/>
          <w:b/>
          <w:sz w:val="32"/>
          <w:szCs w:val="32"/>
        </w:rPr>
        <w:t>表</w:t>
      </w:r>
      <w:r>
        <w:rPr>
          <w:rFonts w:hAnsi="宋体"/>
          <w:b/>
          <w:sz w:val="32"/>
          <w:szCs w:val="32"/>
        </w:rPr>
        <w:t>2</w:t>
      </w:r>
      <w:r>
        <w:rPr>
          <w:rFonts w:hint="eastAsia" w:hAnsi="宋体"/>
          <w:b/>
          <w:sz w:val="32"/>
          <w:szCs w:val="32"/>
        </w:rPr>
        <w:t>、开标一览表</w:t>
      </w:r>
    </w:p>
    <w:p>
      <w:pPr>
        <w:shd w:val="clear" w:color="auto" w:fill="FFFFFF"/>
        <w:snapToGrid w:val="0"/>
        <w:ind w:left="1680" w:leftChars="200" w:hanging="1200" w:hangingChars="500"/>
        <w:rPr>
          <w:rFonts w:hAnsi="宋体"/>
        </w:rPr>
      </w:pPr>
    </w:p>
    <w:p>
      <w:pPr>
        <w:shd w:val="clear" w:color="auto" w:fill="FFFFFF"/>
        <w:snapToGrid w:val="0"/>
        <w:ind w:left="1200" w:hanging="1200" w:hangingChars="500"/>
        <w:rPr>
          <w:rFonts w:hAnsi="宋体"/>
          <w:u w:val="single"/>
        </w:rPr>
      </w:pPr>
      <w:r>
        <w:rPr>
          <w:rFonts w:hint="eastAsia" w:hAnsi="宋体"/>
        </w:rPr>
        <w:t>项目名称：</w:t>
      </w:r>
      <w:r>
        <w:rPr>
          <w:rFonts w:hint="eastAsia" w:hAnsi="宋体"/>
          <w:szCs w:val="24"/>
          <w:u w:val="single"/>
        </w:rPr>
        <w:t>化工学院“双一流”特色优势学科建设项目</w:t>
      </w:r>
    </w:p>
    <w:p>
      <w:pPr>
        <w:shd w:val="clear" w:color="auto" w:fill="FFFFFF"/>
        <w:ind w:firstLine="0" w:firstLineChars="0"/>
        <w:rPr>
          <w:rFonts w:hAnsi="宋体"/>
          <w:b/>
          <w:bCs/>
          <w:snapToGrid w:val="0"/>
          <w:color w:val="000000"/>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628</w:t>
      </w:r>
    </w:p>
    <w:tbl>
      <w:tblPr>
        <w:tblStyle w:val="15"/>
        <w:tblW w:w="8934" w:type="dxa"/>
        <w:jc w:val="center"/>
        <w:tblLayout w:type="fixed"/>
        <w:tblCellMar>
          <w:top w:w="0" w:type="dxa"/>
          <w:left w:w="108" w:type="dxa"/>
          <w:bottom w:w="0" w:type="dxa"/>
          <w:right w:w="108" w:type="dxa"/>
        </w:tblCellMar>
      </w:tblPr>
      <w:tblGrid>
        <w:gridCol w:w="2197"/>
        <w:gridCol w:w="6737"/>
      </w:tblGrid>
      <w:tr>
        <w:tblPrEx>
          <w:tblCellMar>
            <w:top w:w="0" w:type="dxa"/>
            <w:left w:w="108" w:type="dxa"/>
            <w:bottom w:w="0" w:type="dxa"/>
            <w:right w:w="108" w:type="dxa"/>
          </w:tblCellMar>
        </w:tblPrEx>
        <w:trPr>
          <w:trHeight w:val="563"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color w:val="000000"/>
              </w:rPr>
            </w:pPr>
            <w:r>
              <w:rPr>
                <w:rFonts w:hint="eastAsia" w:hAnsi="宋体"/>
                <w:snapToGrid w:val="0"/>
                <w:color w:val="000000"/>
              </w:rPr>
              <w:t>项目名称</w:t>
            </w:r>
            <w:r>
              <w:rPr>
                <w:rFonts w:hAnsi="宋体"/>
                <w:snapToGrid w:val="0"/>
                <w:color w:val="000000"/>
              </w:rPr>
              <w:t>/</w:t>
            </w:r>
            <w:r>
              <w:rPr>
                <w:rFonts w:hint="eastAsia" w:hAnsi="宋体"/>
                <w:color w:val="000000"/>
              </w:rPr>
              <w:t>包</w:t>
            </w:r>
          </w:p>
        </w:tc>
        <w:tc>
          <w:tcPr>
            <w:tcW w:w="673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color w:val="000000"/>
              </w:rPr>
            </w:pPr>
          </w:p>
        </w:tc>
      </w:tr>
      <w:tr>
        <w:tblPrEx>
          <w:tblCellMar>
            <w:top w:w="0" w:type="dxa"/>
            <w:left w:w="108" w:type="dxa"/>
            <w:bottom w:w="0" w:type="dxa"/>
            <w:right w:w="108" w:type="dxa"/>
          </w:tblCellMar>
        </w:tblPrEx>
        <w:trPr>
          <w:trHeight w:val="1707"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color w:val="000000"/>
              </w:rPr>
            </w:pPr>
            <w:r>
              <w:rPr>
                <w:rFonts w:hint="eastAsia" w:hAnsi="宋体"/>
                <w:snapToGrid w:val="0"/>
                <w:color w:val="000000"/>
              </w:rPr>
              <w:t>投标报价</w:t>
            </w:r>
          </w:p>
          <w:p>
            <w:pPr>
              <w:ind w:firstLine="480"/>
              <w:rPr>
                <w:rFonts w:hAnsi="宋体"/>
                <w:snapToGrid w:val="0"/>
                <w:color w:val="000000"/>
              </w:rPr>
            </w:pPr>
            <w:r>
              <w:rPr>
                <w:rFonts w:hint="eastAsia" w:hAnsi="宋体"/>
                <w:snapToGrid w:val="0"/>
                <w:color w:val="000000"/>
              </w:rPr>
              <w:t>总计</w:t>
            </w:r>
          </w:p>
        </w:tc>
        <w:tc>
          <w:tcPr>
            <w:tcW w:w="673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color w:val="000000"/>
              </w:rPr>
            </w:pPr>
          </w:p>
          <w:p>
            <w:pPr>
              <w:ind w:firstLine="480"/>
              <w:rPr>
                <w:rFonts w:hAnsi="宋体"/>
                <w:snapToGrid w:val="0"/>
                <w:color w:val="000000"/>
              </w:rPr>
            </w:pPr>
            <w:r>
              <w:rPr>
                <w:rFonts w:hint="eastAsia" w:hAnsi="宋体"/>
                <w:snapToGrid w:val="0"/>
                <w:color w:val="000000"/>
              </w:rPr>
              <w:t>（小写）</w:t>
            </w:r>
            <w:r>
              <w:rPr>
                <w:rFonts w:hAnsi="宋体"/>
                <w:snapToGrid w:val="0"/>
                <w:color w:val="000000"/>
                <w:u w:val="single"/>
              </w:rPr>
              <w:t xml:space="preserve">               </w:t>
            </w:r>
            <w:r>
              <w:rPr>
                <w:rFonts w:hAnsi="宋体"/>
                <w:snapToGrid w:val="0"/>
                <w:color w:val="000000"/>
              </w:rPr>
              <w:t xml:space="preserve">                                                                                                  </w:t>
            </w:r>
          </w:p>
          <w:p>
            <w:pPr>
              <w:ind w:firstLine="480"/>
              <w:rPr>
                <w:rFonts w:hAnsi="宋体"/>
                <w:snapToGrid w:val="0"/>
                <w:color w:val="000000"/>
              </w:rPr>
            </w:pPr>
            <w:r>
              <w:rPr>
                <w:rFonts w:hint="eastAsia" w:hAnsi="宋体"/>
                <w:snapToGrid w:val="0"/>
                <w:color w:val="000000"/>
              </w:rPr>
              <w:t>（大写）</w:t>
            </w:r>
            <w:r>
              <w:rPr>
                <w:rFonts w:hAnsi="宋体"/>
                <w:snapToGrid w:val="0"/>
                <w:color w:val="000000"/>
                <w:u w:val="single"/>
              </w:rPr>
              <w:t xml:space="preserve">               </w:t>
            </w:r>
          </w:p>
          <w:p>
            <w:pPr>
              <w:ind w:firstLine="480"/>
              <w:rPr>
                <w:rFonts w:hAnsi="宋体"/>
                <w:snapToGrid w:val="0"/>
                <w:color w:val="000000"/>
              </w:rPr>
            </w:pPr>
            <w:r>
              <w:rPr>
                <w:rFonts w:hAnsi="宋体"/>
                <w:snapToGrid w:val="0"/>
                <w:color w:val="000000"/>
              </w:rPr>
              <w:t xml:space="preserve"> </w:t>
            </w:r>
          </w:p>
        </w:tc>
      </w:tr>
      <w:tr>
        <w:tblPrEx>
          <w:tblCellMar>
            <w:top w:w="0" w:type="dxa"/>
            <w:left w:w="108" w:type="dxa"/>
            <w:bottom w:w="0" w:type="dxa"/>
            <w:right w:w="108" w:type="dxa"/>
          </w:tblCellMar>
        </w:tblPrEx>
        <w:trPr>
          <w:trHeight w:val="1080"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color w:val="000000"/>
              </w:rPr>
            </w:pPr>
            <w:r>
              <w:rPr>
                <w:rFonts w:hint="eastAsia" w:hAnsi="宋体"/>
                <w:snapToGrid w:val="0"/>
                <w:color w:val="000000"/>
              </w:rPr>
              <w:t>交付时间</w:t>
            </w:r>
          </w:p>
        </w:tc>
        <w:tc>
          <w:tcPr>
            <w:tcW w:w="67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Times New Roman" w:hAnsi="Times New Roman"/>
                <w:szCs w:val="24"/>
              </w:rPr>
            </w:pPr>
            <w:r>
              <w:rPr>
                <w:rFonts w:hint="eastAsia" w:hAnsi="宋体"/>
                <w:szCs w:val="24"/>
              </w:rPr>
              <w:t>化工学院“双一流”特色优势学科建设项目</w:t>
            </w:r>
            <w:r>
              <w:rPr>
                <w:rFonts w:hint="eastAsia" w:hAnsi="宋体"/>
                <w:snapToGrid w:val="0"/>
                <w:color w:val="000000"/>
              </w:rPr>
              <w:t>供货完成时间：签订采购合同起</w:t>
            </w:r>
            <w:r>
              <w:rPr>
                <w:rFonts w:hint="eastAsia" w:ascii="Times New Roman" w:hAnsi="Times New Roman"/>
                <w:szCs w:val="24"/>
              </w:rPr>
              <w:t>进口产品在</w:t>
            </w:r>
            <w:r>
              <w:rPr>
                <w:rFonts w:hint="eastAsia" w:ascii="Times New Roman" w:hAnsi="Times New Roman"/>
                <w:szCs w:val="24"/>
                <w:lang w:val="en-US" w:eastAsia="zh-CN"/>
              </w:rPr>
              <w:t>120</w:t>
            </w:r>
            <w:r>
              <w:rPr>
                <w:rFonts w:hint="eastAsia" w:ascii="Times New Roman" w:hAnsi="Times New Roman"/>
                <w:szCs w:val="24"/>
              </w:rPr>
              <w:t>天内；国内产品在30天内。</w:t>
            </w:r>
          </w:p>
          <w:p>
            <w:pPr>
              <w:shd w:val="clear" w:color="auto" w:fill="FFFFFF"/>
              <w:snapToGrid w:val="0"/>
              <w:spacing w:line="240" w:lineRule="auto"/>
              <w:ind w:firstLine="0" w:firstLineChars="0"/>
              <w:rPr>
                <w:rFonts w:hAnsi="宋体"/>
                <w:snapToGrid w:val="0"/>
                <w:color w:val="000000"/>
              </w:rPr>
            </w:pPr>
          </w:p>
        </w:tc>
      </w:tr>
    </w:tbl>
    <w:p>
      <w:pPr>
        <w:ind w:firstLine="120" w:firstLineChars="50"/>
        <w:rPr>
          <w:rFonts w:hAnsi="宋体"/>
          <w:snapToGrid w:val="0"/>
          <w:color w:val="000000"/>
        </w:rPr>
      </w:pPr>
      <w:r>
        <w:rPr>
          <w:rFonts w:hAnsi="宋体"/>
          <w:snapToGrid w:val="0"/>
          <w:color w:val="000000"/>
        </w:rPr>
        <w:t xml:space="preserve">        </w:t>
      </w:r>
    </w:p>
    <w:p>
      <w:pPr>
        <w:ind w:firstLine="600" w:firstLineChars="250"/>
        <w:rPr>
          <w:rFonts w:hAnsi="宋体"/>
          <w:snapToGrid w:val="0"/>
          <w:color w:val="000000"/>
        </w:rPr>
      </w:pPr>
      <w:r>
        <w:rPr>
          <w:rFonts w:hint="eastAsia" w:hAnsi="宋体"/>
          <w:snapToGrid w:val="0"/>
          <w:color w:val="000000"/>
        </w:rPr>
        <w:t>投标单位全称：（盖章</w:t>
      </w:r>
      <w:r>
        <w:rPr>
          <w:rFonts w:hint="eastAsia" w:hAnsi="宋体"/>
        </w:rPr>
        <w:t xml:space="preserve">）              </w:t>
      </w:r>
    </w:p>
    <w:p>
      <w:pPr>
        <w:ind w:firstLine="480"/>
        <w:rPr>
          <w:rFonts w:hAnsi="宋体"/>
          <w:snapToGrid w:val="0"/>
          <w:color w:val="000000"/>
        </w:rPr>
      </w:pPr>
      <w:r>
        <w:rPr>
          <w:rFonts w:hAnsi="宋体"/>
          <w:snapToGrid w:val="0"/>
          <w:color w:val="000000"/>
        </w:rPr>
        <w:t xml:space="preserve">    </w:t>
      </w:r>
      <w:r>
        <w:rPr>
          <w:rFonts w:hint="eastAsia" w:hAnsi="宋体"/>
          <w:snapToGrid w:val="0"/>
          <w:color w:val="000000"/>
        </w:rPr>
        <w:t>全权代表：</w:t>
      </w:r>
    </w:p>
    <w:p>
      <w:pPr>
        <w:snapToGrid w:val="0"/>
        <w:ind w:firstLine="120" w:firstLineChars="50"/>
        <w:rPr>
          <w:rFonts w:hAnsi="宋体"/>
          <w:color w:val="000000"/>
        </w:rPr>
      </w:pPr>
      <w:r>
        <w:rPr>
          <w:rFonts w:hAnsi="宋体"/>
          <w:color w:val="000000"/>
        </w:rPr>
        <w:t xml:space="preserve">       </w:t>
      </w:r>
      <w:r>
        <w:rPr>
          <w:rFonts w:hint="eastAsia" w:hAnsi="宋体"/>
          <w:color w:val="000000"/>
        </w:rPr>
        <w:t>日</w:t>
      </w:r>
      <w:r>
        <w:rPr>
          <w:rFonts w:hAnsi="宋体"/>
          <w:color w:val="000000"/>
        </w:rPr>
        <w:t xml:space="preserve">    </w:t>
      </w:r>
      <w:r>
        <w:rPr>
          <w:rFonts w:hint="eastAsia" w:hAnsi="宋体"/>
          <w:color w:val="000000"/>
        </w:rPr>
        <w:t>期：</w:t>
      </w:r>
    </w:p>
    <w:p>
      <w:pPr>
        <w:ind w:left="823" w:hanging="823" w:hangingChars="343"/>
        <w:rPr>
          <w:rFonts w:hAnsi="宋体"/>
          <w:b/>
          <w:bCs/>
          <w:color w:val="000000"/>
        </w:rPr>
      </w:pPr>
      <w:r>
        <w:rPr>
          <w:rFonts w:hAnsi="宋体"/>
          <w:snapToGrid w:val="0"/>
          <w:color w:val="000000"/>
        </w:rPr>
        <w:t xml:space="preserve"> </w:t>
      </w:r>
    </w:p>
    <w:p>
      <w:pPr>
        <w:shd w:val="clear" w:color="auto" w:fill="FFFFFF"/>
        <w:spacing w:before="19"/>
        <w:ind w:firstLine="480"/>
        <w:rPr>
          <w:rFonts w:hAnsi="宋体"/>
        </w:rPr>
      </w:pPr>
    </w:p>
    <w:p>
      <w:pPr>
        <w:shd w:val="clear" w:color="auto" w:fill="FFFFFF"/>
        <w:tabs>
          <w:tab w:val="left" w:pos="360"/>
        </w:tabs>
        <w:spacing w:before="67"/>
        <w:ind w:firstLine="482"/>
        <w:rPr>
          <w:rFonts w:hAnsi="宋体"/>
          <w:b/>
        </w:rPr>
      </w:pPr>
      <w:r>
        <w:rPr>
          <w:rFonts w:hint="eastAsia" w:hAnsi="宋体"/>
          <w:b/>
        </w:rPr>
        <w:t>注</w:t>
      </w:r>
      <w:r>
        <w:rPr>
          <w:rFonts w:hAnsi="宋体"/>
          <w:b/>
        </w:rPr>
        <w:t>:1</w:t>
      </w:r>
      <w:r>
        <w:rPr>
          <w:rFonts w:hint="eastAsia" w:hAnsi="宋体"/>
          <w:b/>
        </w:rPr>
        <w:t>、投标总金额包括本招标书中要求的所有服务、税等费用；</w:t>
      </w:r>
    </w:p>
    <w:p>
      <w:pPr>
        <w:numPr>
          <w:ilvl w:val="0"/>
          <w:numId w:val="12"/>
        </w:numPr>
        <w:shd w:val="clear" w:color="auto" w:fill="FFFFFF"/>
        <w:ind w:left="368" w:firstLine="472" w:firstLineChars="196"/>
        <w:rPr>
          <w:rFonts w:hAnsi="宋体"/>
          <w:b/>
        </w:rPr>
      </w:pPr>
      <w:r>
        <w:rPr>
          <w:rFonts w:hint="eastAsia" w:hAnsi="宋体"/>
          <w:b/>
        </w:rPr>
        <w:t>开标一览表格式不得自行改动。</w:t>
      </w:r>
    </w:p>
    <w:p>
      <w:pPr>
        <w:shd w:val="clear" w:color="auto" w:fill="FFFFFF"/>
        <w:ind w:left="470" w:leftChars="196" w:firstLine="0" w:firstLineChars="0"/>
        <w:rPr>
          <w:rFonts w:hAnsi="宋体"/>
          <w:b/>
        </w:rPr>
      </w:pPr>
    </w:p>
    <w:p>
      <w:pPr>
        <w:shd w:val="clear" w:color="auto" w:fill="FFFFFF"/>
        <w:ind w:firstLine="482"/>
        <w:rPr>
          <w:rFonts w:hAnsi="宋体"/>
          <w:b/>
        </w:rPr>
      </w:pPr>
    </w:p>
    <w:p>
      <w:pPr>
        <w:shd w:val="clear" w:color="auto" w:fill="FFFFFF"/>
        <w:snapToGrid w:val="0"/>
        <w:spacing w:after="100" w:afterAutospacing="1"/>
        <w:ind w:firstLine="472" w:firstLineChars="196"/>
        <w:rPr>
          <w:rFonts w:hAnsi="宋体"/>
          <w:b/>
          <w:szCs w:val="24"/>
        </w:rPr>
      </w:pPr>
    </w:p>
    <w:p>
      <w:pPr>
        <w:shd w:val="clear" w:color="auto" w:fill="FFFFFF"/>
        <w:snapToGrid w:val="0"/>
        <w:spacing w:after="100" w:afterAutospacing="1"/>
        <w:ind w:firstLine="472" w:firstLineChars="196"/>
        <w:rPr>
          <w:rFonts w:hAnsi="宋体"/>
          <w:b/>
          <w:szCs w:val="24"/>
        </w:rPr>
      </w:pPr>
    </w:p>
    <w:p>
      <w:pPr>
        <w:shd w:val="clear" w:color="auto" w:fill="FFFFFF"/>
        <w:snapToGrid w:val="0"/>
        <w:spacing w:after="100" w:afterAutospacing="1"/>
        <w:ind w:firstLine="472" w:firstLineChars="196"/>
        <w:rPr>
          <w:rFonts w:hAnsi="宋体"/>
          <w:b/>
          <w:szCs w:val="24"/>
        </w:rPr>
      </w:pPr>
    </w:p>
    <w:p>
      <w:pPr>
        <w:shd w:val="clear" w:color="auto" w:fill="FFFFFF"/>
        <w:ind w:firstLine="472" w:firstLineChars="196"/>
        <w:rPr>
          <w:rFonts w:hAnsi="宋体"/>
          <w:b/>
        </w:rPr>
      </w:pPr>
      <w:r>
        <w:rPr>
          <w:rFonts w:hAnsi="宋体"/>
          <w:b/>
        </w:rPr>
        <w:br w:type="page"/>
      </w:r>
    </w:p>
    <w:p>
      <w:pPr>
        <w:ind w:firstLine="2891" w:firstLineChars="900"/>
        <w:rPr>
          <w:rFonts w:ascii="仿宋_GB2312" w:hAnsi="仿宋_GB2312" w:eastAsia="仿宋_GB2312" w:cs="仿宋_GB2312"/>
          <w:b/>
          <w:color w:val="000000"/>
          <w:sz w:val="32"/>
          <w:szCs w:val="32"/>
        </w:rPr>
      </w:pPr>
      <w:bookmarkStart w:id="44" w:name="OLE_LINK16"/>
      <w:r>
        <w:rPr>
          <w:rFonts w:hint="eastAsia" w:hAnsi="宋体"/>
          <w:b/>
          <w:sz w:val="32"/>
          <w:szCs w:val="32"/>
        </w:rPr>
        <w:t>表</w:t>
      </w:r>
      <w:r>
        <w:rPr>
          <w:rFonts w:hAnsi="宋体"/>
          <w:b/>
          <w:sz w:val="32"/>
          <w:szCs w:val="32"/>
        </w:rPr>
        <w:t>3</w:t>
      </w:r>
      <w:r>
        <w:rPr>
          <w:rFonts w:hint="eastAsia" w:hAnsi="宋体"/>
          <w:b/>
          <w:sz w:val="32"/>
          <w:szCs w:val="32"/>
        </w:rPr>
        <w:t>、投标报价明细表</w:t>
      </w:r>
    </w:p>
    <w:bookmarkEnd w:id="44"/>
    <w:p>
      <w:pPr>
        <w:shd w:val="clear" w:color="auto" w:fill="FFFFFF"/>
        <w:snapToGrid w:val="0"/>
        <w:ind w:left="1205" w:hanging="1205" w:hangingChars="500"/>
        <w:rPr>
          <w:rFonts w:hAnsi="宋体"/>
          <w:b/>
          <w:bCs/>
        </w:rPr>
      </w:pPr>
    </w:p>
    <w:p>
      <w:pPr>
        <w:shd w:val="clear" w:color="auto" w:fill="FFFFFF"/>
        <w:snapToGrid w:val="0"/>
        <w:ind w:left="1205" w:hanging="1205" w:hangingChars="500"/>
        <w:rPr>
          <w:rFonts w:hAnsi="宋体"/>
        </w:rPr>
      </w:pPr>
      <w:r>
        <w:rPr>
          <w:rFonts w:hint="eastAsia" w:hAnsi="宋体"/>
          <w:b/>
          <w:bCs/>
        </w:rPr>
        <w:t>项目名称：             项目编号</w:t>
      </w:r>
      <w:bookmarkStart w:id="45" w:name="OLE_LINK14"/>
      <w:r>
        <w:rPr>
          <w:rFonts w:hint="eastAsia" w:hAnsi="宋体"/>
          <w:b/>
          <w:bCs/>
        </w:rPr>
        <w:t>：</w:t>
      </w:r>
      <w:bookmarkEnd w:id="45"/>
      <w:r>
        <w:rPr>
          <w:rFonts w:hint="eastAsia" w:hAnsi="宋体"/>
          <w:b/>
          <w:bCs/>
        </w:rPr>
        <w:t xml:space="preserve">           包号：</w:t>
      </w:r>
    </w:p>
    <w:tbl>
      <w:tblPr>
        <w:tblStyle w:val="15"/>
        <w:tblW w:w="0" w:type="auto"/>
        <w:tblInd w:w="-199" w:type="dxa"/>
        <w:tblLayout w:type="fixed"/>
        <w:tblCellMar>
          <w:top w:w="0" w:type="dxa"/>
          <w:left w:w="54" w:type="dxa"/>
          <w:bottom w:w="0" w:type="dxa"/>
          <w:right w:w="54" w:type="dxa"/>
        </w:tblCellMar>
      </w:tblPr>
      <w:tblGrid>
        <w:gridCol w:w="797"/>
        <w:gridCol w:w="1109"/>
        <w:gridCol w:w="1168"/>
        <w:gridCol w:w="765"/>
        <w:gridCol w:w="1314"/>
        <w:gridCol w:w="724"/>
        <w:gridCol w:w="745"/>
        <w:gridCol w:w="682"/>
        <w:gridCol w:w="1153"/>
      </w:tblGrid>
      <w:tr>
        <w:tblPrEx>
          <w:tblCellMar>
            <w:top w:w="0" w:type="dxa"/>
            <w:left w:w="54" w:type="dxa"/>
            <w:bottom w:w="0" w:type="dxa"/>
            <w:right w:w="54" w:type="dxa"/>
          </w:tblCellMar>
        </w:tblPrEx>
        <w:trPr>
          <w:cantSplit/>
          <w:trHeight w:val="499" w:hRule="atLeast"/>
        </w:trPr>
        <w:tc>
          <w:tcPr>
            <w:tcW w:w="797"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ind w:left="1205" w:hanging="1205" w:hangingChars="500"/>
              <w:jc w:val="center"/>
              <w:rPr>
                <w:rFonts w:hAnsi="宋体"/>
                <w:b/>
                <w:bCs/>
              </w:rPr>
            </w:pPr>
            <w:r>
              <w:rPr>
                <w:rFonts w:hint="eastAsia" w:hAnsi="宋体"/>
                <w:b/>
                <w:bCs/>
              </w:rPr>
              <w:t>序号</w:t>
            </w:r>
          </w:p>
        </w:tc>
        <w:tc>
          <w:tcPr>
            <w:tcW w:w="1109"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ind w:left="1205" w:hanging="1205" w:hangingChars="500"/>
              <w:rPr>
                <w:rFonts w:hAnsi="宋体"/>
                <w:b/>
                <w:bCs/>
              </w:rPr>
            </w:pPr>
            <w:r>
              <w:rPr>
                <w:rFonts w:hint="eastAsia" w:hAnsi="宋体"/>
                <w:b/>
                <w:bCs/>
              </w:rPr>
              <w:t>项目名称</w:t>
            </w:r>
          </w:p>
        </w:tc>
        <w:tc>
          <w:tcPr>
            <w:tcW w:w="1168"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ind w:left="1205" w:hanging="1205" w:hangingChars="500"/>
              <w:rPr>
                <w:rFonts w:hAnsi="宋体"/>
                <w:b/>
                <w:bCs/>
              </w:rPr>
            </w:pPr>
            <w:r>
              <w:rPr>
                <w:rFonts w:hint="eastAsia" w:hAnsi="宋体"/>
                <w:b/>
                <w:bCs/>
              </w:rPr>
              <w:t xml:space="preserve">品牌规格  </w:t>
            </w:r>
          </w:p>
        </w:tc>
        <w:tc>
          <w:tcPr>
            <w:tcW w:w="765" w:type="dxa"/>
            <w:tcBorders>
              <w:top w:val="single" w:color="auto" w:sz="6" w:space="0"/>
              <w:left w:val="single" w:color="auto" w:sz="4"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产地</w:t>
            </w:r>
          </w:p>
        </w:tc>
        <w:tc>
          <w:tcPr>
            <w:tcW w:w="1314" w:type="dxa"/>
            <w:tcBorders>
              <w:top w:val="single" w:color="auto" w:sz="6" w:space="0"/>
              <w:left w:val="single" w:color="auto" w:sz="4" w:space="0"/>
              <w:bottom w:val="single" w:color="auto" w:sz="6" w:space="0"/>
              <w:right w:val="single" w:color="auto" w:sz="6" w:space="0"/>
            </w:tcBorders>
            <w:vAlign w:val="center"/>
          </w:tcPr>
          <w:p>
            <w:pPr>
              <w:shd w:val="clear" w:color="auto" w:fill="FFFFFF"/>
              <w:snapToGrid w:val="0"/>
              <w:ind w:left="1205" w:hanging="1205" w:hangingChars="500"/>
              <w:rPr>
                <w:rFonts w:hAnsi="宋体"/>
                <w:b/>
                <w:bCs/>
              </w:rPr>
            </w:pPr>
            <w:r>
              <w:rPr>
                <w:rFonts w:hint="eastAsia" w:hAnsi="宋体"/>
                <w:b/>
                <w:bCs/>
              </w:rPr>
              <w:t>采购要求</w:t>
            </w:r>
          </w:p>
        </w:tc>
        <w:tc>
          <w:tcPr>
            <w:tcW w:w="724"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数量</w:t>
            </w:r>
          </w:p>
        </w:tc>
        <w:tc>
          <w:tcPr>
            <w:tcW w:w="745"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单位</w:t>
            </w:r>
          </w:p>
        </w:tc>
        <w:tc>
          <w:tcPr>
            <w:tcW w:w="682"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单价</w:t>
            </w:r>
          </w:p>
        </w:tc>
        <w:tc>
          <w:tcPr>
            <w:tcW w:w="1153"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单项总价</w:t>
            </w:r>
          </w:p>
        </w:tc>
      </w:tr>
      <w:tr>
        <w:tblPrEx>
          <w:tblCellMar>
            <w:top w:w="0" w:type="dxa"/>
            <w:left w:w="54" w:type="dxa"/>
            <w:bottom w:w="0" w:type="dxa"/>
            <w:right w:w="54" w:type="dxa"/>
          </w:tblCellMar>
        </w:tblPrEx>
        <w:trPr>
          <w:cantSplit/>
          <w:trHeight w:val="488" w:hRule="atLeast"/>
        </w:trPr>
        <w:tc>
          <w:tcPr>
            <w:tcW w:w="797" w:type="dxa"/>
            <w:tcBorders>
              <w:top w:val="single" w:color="auto" w:sz="6" w:space="0"/>
              <w:left w:val="single" w:color="auto" w:sz="6" w:space="0"/>
              <w:bottom w:val="single" w:color="auto" w:sz="4" w:space="0"/>
              <w:right w:val="single" w:color="auto" w:sz="6" w:space="0"/>
            </w:tcBorders>
          </w:tcPr>
          <w:p>
            <w:pPr>
              <w:ind w:firstLine="240" w:firstLineChars="100"/>
              <w:jc w:val="both"/>
              <w:rPr>
                <w:rFonts w:ascii="仿宋_GB2312" w:hAnsi="仿宋_GB2312" w:eastAsia="仿宋_GB2312" w:cs="仿宋_GB2312"/>
              </w:rPr>
            </w:pPr>
            <w:r>
              <w:rPr>
                <w:rFonts w:hint="eastAsia" w:ascii="仿宋_GB2312" w:hAnsi="仿宋_GB2312" w:eastAsia="仿宋_GB2312" w:cs="仿宋_GB2312"/>
              </w:rPr>
              <w:t>1</w:t>
            </w:r>
          </w:p>
        </w:tc>
        <w:tc>
          <w:tcPr>
            <w:tcW w:w="1109" w:type="dxa"/>
            <w:tcBorders>
              <w:top w:val="single" w:color="auto" w:sz="6"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1168" w:type="dxa"/>
            <w:tcBorders>
              <w:top w:val="single" w:color="auto" w:sz="6"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765" w:type="dxa"/>
            <w:tcBorders>
              <w:top w:val="single" w:color="auto" w:sz="6" w:space="0"/>
              <w:left w:val="single" w:color="auto" w:sz="4" w:space="0"/>
              <w:bottom w:val="single" w:color="auto" w:sz="4" w:space="0"/>
              <w:right w:val="single" w:color="auto" w:sz="4" w:space="0"/>
            </w:tcBorders>
          </w:tcPr>
          <w:p>
            <w:pPr>
              <w:ind w:firstLine="480"/>
              <w:rPr>
                <w:rFonts w:ascii="仿宋_GB2312" w:hAnsi="仿宋_GB2312" w:eastAsia="仿宋_GB2312" w:cs="仿宋_GB2312"/>
              </w:rPr>
            </w:pPr>
          </w:p>
        </w:tc>
        <w:tc>
          <w:tcPr>
            <w:tcW w:w="1314" w:type="dxa"/>
            <w:tcBorders>
              <w:top w:val="single" w:color="auto" w:sz="6" w:space="0"/>
              <w:left w:val="single" w:color="auto" w:sz="4" w:space="0"/>
              <w:bottom w:val="single" w:color="auto" w:sz="4" w:space="0"/>
              <w:right w:val="single" w:color="auto" w:sz="6" w:space="0"/>
            </w:tcBorders>
          </w:tcPr>
          <w:p>
            <w:pPr>
              <w:ind w:firstLine="480"/>
              <w:rPr>
                <w:rFonts w:ascii="仿宋_GB2312" w:hAnsi="仿宋_GB2312" w:eastAsia="仿宋_GB2312" w:cs="仿宋_GB2312"/>
              </w:rPr>
            </w:pPr>
          </w:p>
        </w:tc>
        <w:tc>
          <w:tcPr>
            <w:tcW w:w="724"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745"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682"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1153"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r>
      <w:tr>
        <w:tblPrEx>
          <w:tblCellMar>
            <w:top w:w="0" w:type="dxa"/>
            <w:left w:w="54" w:type="dxa"/>
            <w:bottom w:w="0" w:type="dxa"/>
            <w:right w:w="54" w:type="dxa"/>
          </w:tblCellMar>
        </w:tblPrEx>
        <w:trPr>
          <w:cantSplit/>
          <w:trHeight w:val="150" w:hRule="atLeast"/>
        </w:trPr>
        <w:tc>
          <w:tcPr>
            <w:tcW w:w="797" w:type="dxa"/>
            <w:tcBorders>
              <w:top w:val="single" w:color="auto" w:sz="4" w:space="0"/>
              <w:left w:val="single" w:color="auto" w:sz="6" w:space="0"/>
              <w:bottom w:val="single" w:color="auto" w:sz="4" w:space="0"/>
              <w:right w:val="single" w:color="auto" w:sz="6" w:space="0"/>
            </w:tcBorders>
          </w:tcPr>
          <w:p>
            <w:pPr>
              <w:ind w:firstLine="240" w:firstLineChars="100"/>
              <w:jc w:val="both"/>
              <w:rPr>
                <w:rFonts w:ascii="仿宋_GB2312" w:hAnsi="仿宋_GB2312" w:eastAsia="仿宋_GB2312" w:cs="仿宋_GB2312"/>
              </w:rPr>
            </w:pPr>
            <w:r>
              <w:rPr>
                <w:rFonts w:hint="eastAsia" w:ascii="仿宋_GB2312" w:hAnsi="仿宋_GB2312" w:eastAsia="仿宋_GB2312" w:cs="仿宋_GB2312"/>
              </w:rPr>
              <w:t>2</w:t>
            </w:r>
          </w:p>
        </w:tc>
        <w:tc>
          <w:tcPr>
            <w:tcW w:w="1109"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1168"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765" w:type="dxa"/>
            <w:tcBorders>
              <w:top w:val="single" w:color="auto" w:sz="4" w:space="0"/>
              <w:left w:val="single" w:color="auto" w:sz="4" w:space="0"/>
              <w:bottom w:val="single" w:color="auto" w:sz="4" w:space="0"/>
              <w:right w:val="single" w:color="auto" w:sz="4" w:space="0"/>
            </w:tcBorders>
          </w:tcPr>
          <w:p>
            <w:pPr>
              <w:ind w:firstLine="480"/>
              <w:rPr>
                <w:rFonts w:ascii="仿宋_GB2312" w:hAnsi="仿宋_GB2312" w:eastAsia="仿宋_GB2312" w:cs="仿宋_GB2312"/>
              </w:rPr>
            </w:pPr>
          </w:p>
        </w:tc>
        <w:tc>
          <w:tcPr>
            <w:tcW w:w="1314" w:type="dxa"/>
            <w:tcBorders>
              <w:top w:val="single" w:color="auto" w:sz="4" w:space="0"/>
              <w:left w:val="single" w:color="auto" w:sz="4" w:space="0"/>
              <w:bottom w:val="single" w:color="auto" w:sz="4" w:space="0"/>
              <w:right w:val="single" w:color="auto" w:sz="6" w:space="0"/>
            </w:tcBorders>
          </w:tcPr>
          <w:p>
            <w:pPr>
              <w:ind w:firstLine="480"/>
              <w:rPr>
                <w:rFonts w:ascii="仿宋_GB2312" w:hAnsi="仿宋_GB2312" w:eastAsia="仿宋_GB2312" w:cs="仿宋_GB2312"/>
              </w:rPr>
            </w:pPr>
          </w:p>
        </w:tc>
        <w:tc>
          <w:tcPr>
            <w:tcW w:w="724"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745"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682"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1153"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r>
      <w:tr>
        <w:tblPrEx>
          <w:tblCellMar>
            <w:top w:w="0" w:type="dxa"/>
            <w:left w:w="54" w:type="dxa"/>
            <w:bottom w:w="0" w:type="dxa"/>
            <w:right w:w="54" w:type="dxa"/>
          </w:tblCellMar>
        </w:tblPrEx>
        <w:trPr>
          <w:cantSplit/>
          <w:trHeight w:val="150" w:hRule="atLeast"/>
        </w:trPr>
        <w:tc>
          <w:tcPr>
            <w:tcW w:w="797" w:type="dxa"/>
            <w:tcBorders>
              <w:top w:val="single" w:color="auto" w:sz="4" w:space="0"/>
              <w:left w:val="single" w:color="auto" w:sz="6" w:space="0"/>
              <w:bottom w:val="single" w:color="auto" w:sz="4" w:space="0"/>
              <w:right w:val="single" w:color="auto" w:sz="6" w:space="0"/>
            </w:tcBorders>
          </w:tcPr>
          <w:p>
            <w:pPr>
              <w:ind w:firstLine="240" w:firstLineChars="100"/>
              <w:jc w:val="both"/>
              <w:rPr>
                <w:rFonts w:ascii="仿宋_GB2312" w:hAnsi="仿宋_GB2312" w:eastAsia="仿宋_GB2312" w:cs="仿宋_GB2312"/>
              </w:rPr>
            </w:pPr>
            <w:r>
              <w:rPr>
                <w:rFonts w:hint="eastAsia" w:ascii="仿宋_GB2312" w:hAnsi="仿宋_GB2312" w:eastAsia="仿宋_GB2312" w:cs="仿宋_GB2312"/>
              </w:rPr>
              <w:t>3</w:t>
            </w:r>
          </w:p>
        </w:tc>
        <w:tc>
          <w:tcPr>
            <w:tcW w:w="1109"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1168"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765" w:type="dxa"/>
            <w:tcBorders>
              <w:top w:val="single" w:color="auto" w:sz="4" w:space="0"/>
              <w:left w:val="single" w:color="auto" w:sz="4" w:space="0"/>
              <w:bottom w:val="single" w:color="auto" w:sz="4" w:space="0"/>
              <w:right w:val="single" w:color="auto" w:sz="4" w:space="0"/>
            </w:tcBorders>
          </w:tcPr>
          <w:p>
            <w:pPr>
              <w:ind w:firstLine="480"/>
              <w:rPr>
                <w:rFonts w:ascii="仿宋_GB2312" w:hAnsi="仿宋_GB2312" w:eastAsia="仿宋_GB2312" w:cs="仿宋_GB2312"/>
              </w:rPr>
            </w:pPr>
          </w:p>
        </w:tc>
        <w:tc>
          <w:tcPr>
            <w:tcW w:w="1314" w:type="dxa"/>
            <w:tcBorders>
              <w:top w:val="single" w:color="auto" w:sz="4" w:space="0"/>
              <w:left w:val="single" w:color="auto" w:sz="4" w:space="0"/>
              <w:bottom w:val="single" w:color="auto" w:sz="4" w:space="0"/>
              <w:right w:val="single" w:color="auto" w:sz="6" w:space="0"/>
            </w:tcBorders>
          </w:tcPr>
          <w:p>
            <w:pPr>
              <w:ind w:firstLine="480"/>
              <w:rPr>
                <w:rFonts w:ascii="仿宋_GB2312" w:hAnsi="仿宋_GB2312" w:eastAsia="仿宋_GB2312" w:cs="仿宋_GB2312"/>
              </w:rPr>
            </w:pPr>
          </w:p>
        </w:tc>
        <w:tc>
          <w:tcPr>
            <w:tcW w:w="724"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745"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682"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1153"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r>
    </w:tbl>
    <w:p>
      <w:pPr>
        <w:shd w:val="clear" w:color="auto" w:fill="FFFFFF"/>
        <w:snapToGrid w:val="0"/>
        <w:spacing w:line="240" w:lineRule="auto"/>
        <w:ind w:firstLine="480"/>
        <w:rPr>
          <w:rFonts w:hAnsi="宋体"/>
        </w:rPr>
      </w:pPr>
      <w:r>
        <w:rPr>
          <w:rFonts w:hint="eastAsia" w:hAnsi="宋体"/>
        </w:rPr>
        <w:t>报价总价合计小写：</w:t>
      </w:r>
    </w:p>
    <w:p>
      <w:pPr>
        <w:shd w:val="clear" w:color="auto" w:fill="FFFFFF"/>
        <w:snapToGrid w:val="0"/>
        <w:spacing w:line="240" w:lineRule="auto"/>
        <w:ind w:firstLine="480"/>
        <w:rPr>
          <w:rFonts w:hAnsi="宋体"/>
        </w:rPr>
      </w:pPr>
      <w:r>
        <w:rPr>
          <w:rFonts w:hint="eastAsia" w:hAnsi="宋体"/>
        </w:rPr>
        <w:t>报价总价合计大写：</w:t>
      </w:r>
    </w:p>
    <w:p>
      <w:pPr>
        <w:shd w:val="clear" w:color="auto" w:fill="FFFFFF"/>
        <w:snapToGrid w:val="0"/>
        <w:spacing w:line="240" w:lineRule="auto"/>
        <w:ind w:firstLine="480"/>
        <w:rPr>
          <w:rFonts w:hAnsi="宋体"/>
        </w:rPr>
      </w:pPr>
      <w:r>
        <w:rPr>
          <w:rFonts w:hint="eastAsia" w:hAnsi="宋体"/>
        </w:rPr>
        <w:t>投标报价人全称： （盖章）</w:t>
      </w:r>
    </w:p>
    <w:p>
      <w:pPr>
        <w:shd w:val="clear" w:color="auto" w:fill="FFFFFF"/>
        <w:snapToGrid w:val="0"/>
        <w:spacing w:line="240" w:lineRule="auto"/>
        <w:ind w:firstLine="480"/>
        <w:rPr>
          <w:rFonts w:hAnsi="宋体"/>
        </w:rPr>
      </w:pPr>
      <w:r>
        <w:rPr>
          <w:rFonts w:hint="eastAsia" w:hAnsi="宋体"/>
        </w:rPr>
        <w:t xml:space="preserve">投标人代表签名：             </w:t>
      </w:r>
    </w:p>
    <w:p>
      <w:pPr>
        <w:shd w:val="clear" w:color="auto" w:fill="FFFFFF"/>
        <w:snapToGrid w:val="0"/>
        <w:spacing w:line="240" w:lineRule="auto"/>
        <w:ind w:firstLine="0" w:firstLineChars="0"/>
        <w:rPr>
          <w:rFonts w:hAnsi="宋体"/>
        </w:rPr>
      </w:pPr>
      <w:r>
        <w:rPr>
          <w:rFonts w:hint="eastAsia" w:hAnsi="宋体"/>
        </w:rPr>
        <w:t xml:space="preserve">    日 期：</w:t>
      </w:r>
    </w:p>
    <w:p>
      <w:pPr>
        <w:shd w:val="clear" w:color="auto" w:fill="FFFFFF"/>
        <w:snapToGrid w:val="0"/>
        <w:spacing w:line="240" w:lineRule="auto"/>
        <w:ind w:firstLine="0" w:firstLineChars="0"/>
        <w:rPr>
          <w:rFonts w:hAnsi="宋体"/>
        </w:rPr>
      </w:pPr>
    </w:p>
    <w:p>
      <w:pPr>
        <w:tabs>
          <w:tab w:val="left" w:pos="654"/>
          <w:tab w:val="left" w:pos="1734"/>
          <w:tab w:val="left" w:pos="2814"/>
          <w:tab w:val="left" w:pos="3894"/>
          <w:tab w:val="left" w:pos="5334"/>
          <w:tab w:val="left" w:pos="6414"/>
          <w:tab w:val="left" w:pos="7254"/>
          <w:tab w:val="left" w:pos="8574"/>
          <w:tab w:val="left" w:pos="9654"/>
        </w:tabs>
        <w:ind w:firstLine="482"/>
        <w:rPr>
          <w:rFonts w:ascii="仿宋_GB2312" w:hAnsi="仿宋_GB2312" w:eastAsia="仿宋_GB2312" w:cs="仿宋_GB2312"/>
          <w:sz w:val="28"/>
          <w:szCs w:val="28"/>
        </w:rPr>
      </w:pPr>
      <w:r>
        <w:rPr>
          <w:rFonts w:hint="eastAsia" w:ascii="仿宋_GB2312" w:hAnsi="仿宋_GB2312" w:eastAsia="仿宋_GB2312" w:cs="仿宋_GB2312"/>
          <w:b/>
        </w:rPr>
        <w:t xml:space="preserve">注： </w:t>
      </w:r>
      <w:r>
        <w:rPr>
          <w:rFonts w:hint="eastAsia" w:ascii="仿宋_GB2312" w:hAnsi="仿宋_GB2312" w:eastAsia="仿宋_GB2312" w:cs="仿宋_GB2312"/>
          <w:bCs/>
        </w:rPr>
        <w:t>1、</w:t>
      </w:r>
      <w:r>
        <w:rPr>
          <w:rFonts w:hint="eastAsia" w:ascii="仿宋_GB2312" w:hAnsi="仿宋_GB2312" w:eastAsia="仿宋_GB2312" w:cs="仿宋_GB2312"/>
          <w:snapToGrid w:val="0"/>
        </w:rPr>
        <w:t>此表为表样，行数可自行添加，但表式不变；</w:t>
      </w:r>
    </w:p>
    <w:p>
      <w:pPr>
        <w:tabs>
          <w:tab w:val="left" w:pos="654"/>
          <w:tab w:val="left" w:pos="1734"/>
          <w:tab w:val="left" w:pos="2814"/>
          <w:tab w:val="left" w:pos="3894"/>
          <w:tab w:val="left" w:pos="5334"/>
          <w:tab w:val="left" w:pos="6414"/>
          <w:tab w:val="left" w:pos="7254"/>
          <w:tab w:val="left" w:pos="8574"/>
          <w:tab w:val="left" w:pos="9654"/>
        </w:tabs>
        <w:ind w:firstLine="600" w:firstLineChars="250"/>
        <w:outlineLvl w:val="0"/>
        <w:rPr>
          <w:rFonts w:ascii="仿宋_GB2312" w:hAnsi="仿宋_GB2312" w:eastAsia="仿宋_GB2312" w:cs="仿宋_GB2312"/>
          <w:bCs/>
        </w:rPr>
      </w:pPr>
      <w:r>
        <w:rPr>
          <w:rFonts w:hint="eastAsia" w:ascii="仿宋_GB2312" w:hAnsi="仿宋_GB2312" w:eastAsia="仿宋_GB2312" w:cs="仿宋_GB2312"/>
          <w:bCs/>
        </w:rPr>
        <w:t>2、所有项目用人民币元报价。</w:t>
      </w:r>
    </w:p>
    <w:p>
      <w:pPr>
        <w:ind w:firstLine="600" w:firstLineChars="250"/>
        <w:rPr>
          <w:rFonts w:ascii="仿宋_GB2312" w:hAnsi="仿宋_GB2312" w:eastAsia="仿宋_GB2312" w:cs="仿宋_GB2312"/>
          <w:bCs/>
        </w:rPr>
      </w:pPr>
      <w:r>
        <w:rPr>
          <w:rFonts w:hint="eastAsia" w:ascii="仿宋_GB2312" w:hAnsi="仿宋_GB2312" w:eastAsia="仿宋_GB2312" w:cs="仿宋_GB2312"/>
          <w:bCs/>
        </w:rPr>
        <w:t>3、单价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tabs>
          <w:tab w:val="left" w:pos="2100"/>
        </w:tabs>
        <w:ind w:left="480" w:leftChars="200" w:firstLine="0" w:firstLineChars="0"/>
        <w:jc w:val="both"/>
        <w:rPr>
          <w:rFonts w:ascii="仿宋_GB2312" w:hAnsi="仿宋_GB2312" w:eastAsia="仿宋_GB2312" w:cs="仿宋_GB2312"/>
          <w:b/>
          <w:sz w:val="30"/>
          <w:szCs w:val="30"/>
        </w:rPr>
      </w:pPr>
      <w:r>
        <w:rPr>
          <w:rFonts w:hint="eastAsia" w:hAnsi="宋体"/>
          <w:b/>
          <w:sz w:val="32"/>
          <w:szCs w:val="32"/>
        </w:rPr>
        <w:t>表4、</w:t>
      </w:r>
      <w:r>
        <w:rPr>
          <w:rFonts w:hint="eastAsia" w:ascii="仿宋_GB2312" w:hAnsi="仿宋_GB2312" w:eastAsia="仿宋_GB2312" w:cs="仿宋_GB2312"/>
          <w:b/>
          <w:sz w:val="30"/>
          <w:szCs w:val="30"/>
        </w:rPr>
        <w:t>化工学院“双一流”特色优势学科建设项目质量要求响应表</w:t>
      </w:r>
    </w:p>
    <w:p>
      <w:pPr>
        <w:pStyle w:val="40"/>
        <w:ind w:firstLine="480"/>
        <w:rPr>
          <w:rFonts w:ascii="仿宋_GB2312" w:hAnsi="仿宋_GB2312" w:eastAsia="仿宋_GB2312" w:cs="仿宋_GB2312"/>
          <w:sz w:val="21"/>
          <w:szCs w:val="21"/>
        </w:rPr>
      </w:pPr>
      <w:r>
        <w:rPr>
          <w:rFonts w:hint="eastAsia" w:ascii="仿宋_GB2312" w:hAnsi="仿宋_GB2312" w:eastAsia="仿宋_GB2312" w:cs="仿宋_GB2312"/>
        </w:rPr>
        <w:t>项目编号</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rPr>
        <w:t xml:space="preserve">   包号：     </w:t>
      </w:r>
      <w:r>
        <w:rPr>
          <w:rFonts w:hint="eastAsia" w:ascii="仿宋_GB2312" w:hAnsi="仿宋_GB2312" w:eastAsia="仿宋_GB2312" w:cs="仿宋_GB2312"/>
          <w:sz w:val="21"/>
          <w:szCs w:val="21"/>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14"/>
        <w:gridCol w:w="2030"/>
        <w:gridCol w:w="1744"/>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pStyle w:val="40"/>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814" w:type="dxa"/>
            <w:vAlign w:val="center"/>
          </w:tcPr>
          <w:p>
            <w:pPr>
              <w:pStyle w:val="40"/>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项目名称</w:t>
            </w:r>
          </w:p>
        </w:tc>
        <w:tc>
          <w:tcPr>
            <w:tcW w:w="2030" w:type="dxa"/>
            <w:vAlign w:val="center"/>
          </w:tcPr>
          <w:p>
            <w:pPr>
              <w:pStyle w:val="40"/>
              <w:ind w:firstLine="210" w:firstLineChars="100"/>
              <w:rPr>
                <w:rFonts w:ascii="仿宋_GB2312" w:hAnsi="仿宋_GB2312" w:eastAsia="仿宋_GB2312" w:cs="仿宋_GB2312"/>
                <w:sz w:val="21"/>
                <w:szCs w:val="21"/>
              </w:rPr>
            </w:pPr>
            <w:r>
              <w:rPr>
                <w:rFonts w:hint="eastAsia" w:ascii="仿宋_GB2312" w:hAnsi="仿宋_GB2312" w:eastAsia="仿宋_GB2312" w:cs="仿宋_GB2312"/>
                <w:sz w:val="21"/>
                <w:szCs w:val="21"/>
              </w:rPr>
              <w:t>招标文件要求</w:t>
            </w:r>
          </w:p>
        </w:tc>
        <w:tc>
          <w:tcPr>
            <w:tcW w:w="1744" w:type="dxa"/>
            <w:vAlign w:val="center"/>
          </w:tcPr>
          <w:p>
            <w:pPr>
              <w:pStyle w:val="40"/>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投标响应</w:t>
            </w:r>
          </w:p>
        </w:tc>
        <w:tc>
          <w:tcPr>
            <w:tcW w:w="2385" w:type="dxa"/>
            <w:vAlign w:val="center"/>
          </w:tcPr>
          <w:p>
            <w:pPr>
              <w:pStyle w:val="40"/>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18"/>
                <w:szCs w:val="18"/>
              </w:rPr>
              <w:t>偏离对服务货物质量的影响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pStyle w:val="40"/>
              <w:ind w:firstLine="420"/>
              <w:rPr>
                <w:rFonts w:ascii="仿宋_GB2312" w:hAnsi="仿宋_GB2312" w:eastAsia="仿宋_GB2312" w:cs="仿宋_GB2312"/>
                <w:sz w:val="21"/>
                <w:szCs w:val="21"/>
              </w:rPr>
            </w:pPr>
          </w:p>
        </w:tc>
        <w:tc>
          <w:tcPr>
            <w:tcW w:w="1814" w:type="dxa"/>
          </w:tcPr>
          <w:p>
            <w:pPr>
              <w:pStyle w:val="40"/>
              <w:ind w:firstLine="420"/>
              <w:rPr>
                <w:rFonts w:ascii="仿宋_GB2312" w:hAnsi="仿宋_GB2312" w:eastAsia="仿宋_GB2312" w:cs="仿宋_GB2312"/>
                <w:sz w:val="21"/>
                <w:szCs w:val="21"/>
              </w:rPr>
            </w:pPr>
          </w:p>
        </w:tc>
        <w:tc>
          <w:tcPr>
            <w:tcW w:w="2030" w:type="dxa"/>
          </w:tcPr>
          <w:p>
            <w:pPr>
              <w:pStyle w:val="40"/>
              <w:ind w:firstLine="420"/>
              <w:rPr>
                <w:rFonts w:ascii="仿宋_GB2312" w:hAnsi="仿宋_GB2312" w:eastAsia="仿宋_GB2312" w:cs="仿宋_GB2312"/>
                <w:sz w:val="21"/>
                <w:szCs w:val="21"/>
              </w:rPr>
            </w:pPr>
          </w:p>
        </w:tc>
        <w:tc>
          <w:tcPr>
            <w:tcW w:w="1744" w:type="dxa"/>
          </w:tcPr>
          <w:p>
            <w:pPr>
              <w:pStyle w:val="40"/>
              <w:ind w:firstLine="420"/>
              <w:rPr>
                <w:rFonts w:ascii="仿宋_GB2312" w:hAnsi="仿宋_GB2312" w:eastAsia="仿宋_GB2312" w:cs="仿宋_GB2312"/>
                <w:sz w:val="21"/>
                <w:szCs w:val="21"/>
              </w:rPr>
            </w:pPr>
          </w:p>
        </w:tc>
        <w:tc>
          <w:tcPr>
            <w:tcW w:w="2385" w:type="dxa"/>
          </w:tcPr>
          <w:p>
            <w:pPr>
              <w:pStyle w:val="40"/>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pStyle w:val="40"/>
              <w:ind w:firstLine="420"/>
              <w:rPr>
                <w:rFonts w:ascii="仿宋_GB2312" w:hAnsi="仿宋_GB2312" w:eastAsia="仿宋_GB2312" w:cs="仿宋_GB2312"/>
                <w:sz w:val="21"/>
                <w:szCs w:val="21"/>
              </w:rPr>
            </w:pPr>
          </w:p>
        </w:tc>
        <w:tc>
          <w:tcPr>
            <w:tcW w:w="1814" w:type="dxa"/>
          </w:tcPr>
          <w:p>
            <w:pPr>
              <w:pStyle w:val="40"/>
              <w:ind w:firstLine="420"/>
              <w:rPr>
                <w:rFonts w:ascii="仿宋_GB2312" w:hAnsi="仿宋_GB2312" w:eastAsia="仿宋_GB2312" w:cs="仿宋_GB2312"/>
                <w:sz w:val="21"/>
                <w:szCs w:val="21"/>
              </w:rPr>
            </w:pPr>
          </w:p>
        </w:tc>
        <w:tc>
          <w:tcPr>
            <w:tcW w:w="2030" w:type="dxa"/>
          </w:tcPr>
          <w:p>
            <w:pPr>
              <w:pStyle w:val="40"/>
              <w:ind w:firstLine="420"/>
              <w:rPr>
                <w:rFonts w:ascii="仿宋_GB2312" w:hAnsi="仿宋_GB2312" w:eastAsia="仿宋_GB2312" w:cs="仿宋_GB2312"/>
                <w:sz w:val="21"/>
                <w:szCs w:val="21"/>
              </w:rPr>
            </w:pPr>
          </w:p>
        </w:tc>
        <w:tc>
          <w:tcPr>
            <w:tcW w:w="1744" w:type="dxa"/>
          </w:tcPr>
          <w:p>
            <w:pPr>
              <w:pStyle w:val="40"/>
              <w:ind w:firstLine="420"/>
              <w:rPr>
                <w:rFonts w:ascii="仿宋_GB2312" w:hAnsi="仿宋_GB2312" w:eastAsia="仿宋_GB2312" w:cs="仿宋_GB2312"/>
                <w:sz w:val="21"/>
                <w:szCs w:val="21"/>
              </w:rPr>
            </w:pPr>
          </w:p>
        </w:tc>
        <w:tc>
          <w:tcPr>
            <w:tcW w:w="2385" w:type="dxa"/>
          </w:tcPr>
          <w:p>
            <w:pPr>
              <w:pStyle w:val="40"/>
              <w:ind w:firstLine="420"/>
              <w:rPr>
                <w:rFonts w:ascii="仿宋_GB2312" w:hAnsi="仿宋_GB2312" w:eastAsia="仿宋_GB2312" w:cs="仿宋_GB2312"/>
                <w:sz w:val="21"/>
                <w:szCs w:val="21"/>
              </w:rPr>
            </w:pPr>
          </w:p>
        </w:tc>
      </w:tr>
    </w:tbl>
    <w:p>
      <w:pPr>
        <w:spacing w:line="400" w:lineRule="exact"/>
        <w:ind w:left="617" w:leftChars="57" w:hanging="480" w:hangingChars="200"/>
        <w:rPr>
          <w:rFonts w:ascii="仿宋_GB2312" w:hAnsi="仿宋_GB2312" w:eastAsia="仿宋_GB2312" w:cs="仿宋_GB2312"/>
        </w:rPr>
      </w:pPr>
      <w:r>
        <w:rPr>
          <w:rFonts w:hint="eastAsia" w:ascii="仿宋_GB2312" w:hAnsi="仿宋_GB2312" w:eastAsia="仿宋_GB2312" w:cs="仿宋_GB2312"/>
        </w:rPr>
        <w:t>注：1.本表只填写投标文件中与招标文件有偏离（包括正偏离和负偏离）的内容，投标文件货物服务指标响应与招标文件要求完全一致的，不用在此表中列出。</w:t>
      </w:r>
    </w:p>
    <w:p>
      <w:pPr>
        <w:spacing w:line="400" w:lineRule="exact"/>
        <w:ind w:firstLine="480"/>
        <w:rPr>
          <w:rFonts w:ascii="仿宋_GB2312" w:hAnsi="仿宋_GB2312" w:eastAsia="仿宋_GB2312" w:cs="仿宋_GB2312"/>
        </w:rPr>
      </w:pPr>
      <w:r>
        <w:rPr>
          <w:rFonts w:hint="eastAsia" w:ascii="仿宋_GB2312" w:hAnsi="仿宋_GB2312" w:eastAsia="仿宋_GB2312" w:cs="仿宋_GB2312"/>
        </w:rPr>
        <w:t>2．供应商必须据实填写，不得虚假响应，否则将取消其投标或中标资格，并按有关规定进行处罚。</w:t>
      </w:r>
    </w:p>
    <w:p>
      <w:pPr>
        <w:adjustRightInd w:val="0"/>
        <w:spacing w:line="400" w:lineRule="exact"/>
        <w:ind w:firstLine="490" w:firstLineChars="175"/>
        <w:rPr>
          <w:rFonts w:ascii="仿宋_GB2312" w:hAnsi="仿宋_GB2312" w:eastAsia="仿宋_GB2312" w:cs="仿宋_GB2312"/>
          <w:bCs/>
          <w:sz w:val="28"/>
          <w:szCs w:val="28"/>
        </w:rPr>
      </w:pPr>
    </w:p>
    <w:p>
      <w:pPr>
        <w:adjustRightInd w:val="0"/>
        <w:spacing w:line="400" w:lineRule="exact"/>
        <w:ind w:firstLine="420" w:firstLineChars="175"/>
        <w:rPr>
          <w:rFonts w:ascii="仿宋_GB2312" w:hAnsi="仿宋_GB2312" w:eastAsia="仿宋_GB2312" w:cs="仿宋_GB2312"/>
          <w:bCs/>
        </w:rPr>
      </w:pPr>
      <w:r>
        <w:rPr>
          <w:rFonts w:hint="eastAsia" w:ascii="仿宋_GB2312" w:hAnsi="仿宋_GB2312" w:eastAsia="仿宋_GB2312" w:cs="仿宋_GB2312"/>
          <w:bCs/>
        </w:rPr>
        <w:t>投标人名称：        （盖章）</w:t>
      </w:r>
    </w:p>
    <w:p>
      <w:pPr>
        <w:adjustRightInd w:val="0"/>
        <w:spacing w:line="400" w:lineRule="exact"/>
        <w:ind w:firstLine="420" w:firstLineChars="175"/>
        <w:rPr>
          <w:rFonts w:ascii="仿宋_GB2312" w:hAnsi="仿宋_GB2312" w:eastAsia="仿宋_GB2312" w:cs="仿宋_GB2312"/>
          <w:bCs/>
        </w:rPr>
      </w:pPr>
      <w:r>
        <w:rPr>
          <w:rFonts w:hint="eastAsia" w:ascii="仿宋_GB2312" w:hAnsi="仿宋_GB2312" w:eastAsia="仿宋_GB2312" w:cs="仿宋_GB2312"/>
        </w:rPr>
        <w:t>法定代表人或授权代表（签字）</w:t>
      </w:r>
      <w:r>
        <w:rPr>
          <w:rFonts w:hint="eastAsia" w:ascii="仿宋_GB2312" w:hAnsi="仿宋_GB2312" w:eastAsia="仿宋_GB2312" w:cs="仿宋_GB2312"/>
          <w:bCs/>
        </w:rPr>
        <w:t>：</w:t>
      </w:r>
    </w:p>
    <w:p>
      <w:pPr>
        <w:spacing w:line="400" w:lineRule="exact"/>
        <w:ind w:firstLine="480"/>
        <w:rPr>
          <w:rFonts w:ascii="仿宋_GB2312" w:hAnsi="仿宋_GB2312" w:eastAsia="仿宋_GB2312" w:cs="仿宋_GB2312"/>
          <w:bCs/>
        </w:rPr>
      </w:pPr>
      <w:r>
        <w:rPr>
          <w:rFonts w:hint="eastAsia" w:ascii="仿宋_GB2312" w:hAnsi="仿宋_GB2312" w:eastAsia="仿宋_GB2312" w:cs="仿宋_GB2312"/>
          <w:bCs/>
        </w:rPr>
        <w:t>投标日期:</w:t>
      </w: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bookmarkStart w:id="46" w:name="OLE_LINK13"/>
      <w:r>
        <w:rPr>
          <w:rFonts w:hint="eastAsia" w:hAnsi="宋体"/>
          <w:b/>
          <w:sz w:val="32"/>
          <w:szCs w:val="32"/>
        </w:rPr>
        <w:t>表5、</w:t>
      </w:r>
      <w:bookmarkEnd w:id="46"/>
      <w:r>
        <w:rPr>
          <w:rFonts w:hint="eastAsia" w:hAnsi="宋体"/>
          <w:b/>
          <w:sz w:val="32"/>
          <w:szCs w:val="32"/>
        </w:rPr>
        <w:t>授权委托书</w:t>
      </w:r>
    </w:p>
    <w:p>
      <w:pPr>
        <w:shd w:val="clear" w:color="auto" w:fill="FFFFFF"/>
        <w:ind w:firstLine="562"/>
        <w:rPr>
          <w:rFonts w:hAnsi="宋体"/>
          <w:b/>
          <w:sz w:val="28"/>
        </w:rPr>
      </w:pPr>
    </w:p>
    <w:p>
      <w:pPr>
        <w:shd w:val="clear" w:color="auto" w:fill="FFFFFF"/>
        <w:ind w:firstLine="562"/>
        <w:rPr>
          <w:rFonts w:hAnsi="宋体"/>
          <w:b/>
          <w:sz w:val="28"/>
        </w:rPr>
      </w:pPr>
      <w:r>
        <w:rPr>
          <w:rFonts w:hint="eastAsia" w:hAnsi="宋体"/>
          <w:b/>
          <w:sz w:val="28"/>
        </w:rPr>
        <w:t>致海南政鼎招标代理有限公司：</w:t>
      </w:r>
    </w:p>
    <w:p>
      <w:pPr>
        <w:shd w:val="clear" w:color="auto" w:fill="FFFFFF"/>
        <w:ind w:firstLine="480"/>
        <w:rPr>
          <w:rFonts w:hAnsi="宋体"/>
        </w:rPr>
      </w:pPr>
      <w:r>
        <w:rPr>
          <w:rFonts w:hint="eastAsia" w:hAnsi="宋体"/>
        </w:rPr>
        <w:t>本授权书声明：</w:t>
      </w:r>
    </w:p>
    <w:p>
      <w:pPr>
        <w:shd w:val="clear" w:color="auto" w:fill="FFFFFF"/>
        <w:snapToGrid w:val="0"/>
        <w:ind w:firstLine="480"/>
        <w:rPr>
          <w:rFonts w:hAnsi="宋体"/>
          <w:u w:val="single"/>
        </w:rPr>
      </w:pPr>
      <w:r>
        <w:rPr>
          <w:rFonts w:hint="eastAsia" w:hAnsi="宋体"/>
        </w:rPr>
        <w:t>委托人：</w:t>
      </w:r>
    </w:p>
    <w:p>
      <w:pPr>
        <w:shd w:val="clear" w:color="auto" w:fill="FFFFFF"/>
        <w:snapToGrid w:val="0"/>
        <w:ind w:firstLine="480"/>
        <w:rPr>
          <w:rFonts w:hAnsi="宋体"/>
        </w:rPr>
      </w:pPr>
      <w:r>
        <w:rPr>
          <w:rFonts w:hint="eastAsia" w:hAnsi="宋体"/>
        </w:rPr>
        <w:t>地址：法定代表（负责）人：</w:t>
      </w:r>
    </w:p>
    <w:p>
      <w:pPr>
        <w:shd w:val="clear" w:color="auto" w:fill="FFFFFF"/>
        <w:snapToGrid w:val="0"/>
        <w:ind w:firstLine="480"/>
        <w:rPr>
          <w:rFonts w:hAnsi="宋体"/>
        </w:rPr>
      </w:pPr>
      <w:r>
        <w:rPr>
          <w:rFonts w:hint="eastAsia" w:hAnsi="宋体"/>
        </w:rPr>
        <w:t>受托人：姓名性别：出生日期：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shd w:val="clear" w:color="auto" w:fill="FFFFFF"/>
        <w:snapToGrid w:val="0"/>
        <w:ind w:firstLine="480"/>
        <w:rPr>
          <w:rFonts w:hAnsi="宋体"/>
        </w:rPr>
      </w:pPr>
      <w:r>
        <w:rPr>
          <w:rFonts w:hint="eastAsia" w:hAnsi="宋体"/>
        </w:rPr>
        <w:t>所在单位：职务：</w:t>
      </w:r>
    </w:p>
    <w:p>
      <w:pPr>
        <w:shd w:val="clear" w:color="auto" w:fill="FFFFFF"/>
        <w:snapToGrid w:val="0"/>
        <w:ind w:firstLine="480"/>
        <w:rPr>
          <w:rFonts w:hAnsi="宋体"/>
        </w:rPr>
      </w:pPr>
      <w:r>
        <w:rPr>
          <w:rFonts w:hint="eastAsia" w:hAnsi="宋体"/>
        </w:rPr>
        <w:t>身份证：联系方式</w:t>
      </w:r>
      <w:r>
        <w:rPr>
          <w:rFonts w:hAnsi="宋体"/>
        </w:rPr>
        <w:t>:</w:t>
      </w:r>
    </w:p>
    <w:p>
      <w:pPr>
        <w:shd w:val="clear" w:color="auto" w:fill="FFFFFF"/>
        <w:snapToGrid w:val="0"/>
        <w:ind w:firstLine="480"/>
        <w:rPr>
          <w:rFonts w:hAnsi="宋体"/>
        </w:rPr>
      </w:pPr>
      <w:r>
        <w:rPr>
          <w:rFonts w:hint="eastAsia" w:hAnsi="宋体"/>
        </w:rPr>
        <w:t>兹委托受托人代表我方参加海南政鼎招标有限公司组织的</w:t>
      </w:r>
      <w:r>
        <w:rPr>
          <w:rFonts w:hint="eastAsia" w:hAnsi="宋体"/>
          <w:szCs w:val="24"/>
          <w:u w:val="single"/>
        </w:rPr>
        <w:t>化工学院“双一流”特色优势学科建设项目</w:t>
      </w:r>
      <w:r>
        <w:rPr>
          <w:rFonts w:hint="eastAsia" w:hAnsi="宋体"/>
          <w:u w:val="single"/>
        </w:rPr>
        <w:t>（项目编号为：</w:t>
      </w:r>
      <w:r>
        <w:rPr>
          <w:rFonts w:hAnsi="宋体"/>
          <w:u w:val="single"/>
        </w:rPr>
        <w:t>ZD20</w:t>
      </w:r>
      <w:r>
        <w:rPr>
          <w:rFonts w:hint="eastAsia" w:hAnsi="宋体"/>
          <w:u w:val="single"/>
        </w:rPr>
        <w:t>20</w:t>
      </w:r>
      <w:r>
        <w:rPr>
          <w:rFonts w:hAnsi="宋体"/>
          <w:u w:val="single"/>
        </w:rPr>
        <w:t>-</w:t>
      </w:r>
      <w:r>
        <w:rPr>
          <w:rFonts w:hint="eastAsia" w:hAnsi="宋体"/>
          <w:u w:val="single"/>
        </w:rPr>
        <w:t>628）</w:t>
      </w:r>
      <w:r>
        <w:rPr>
          <w:rFonts w:hint="eastAsia" w:hAnsi="宋体"/>
        </w:rPr>
        <w:t>的招标活动，并授权其全权办理以下事宜：</w:t>
      </w:r>
    </w:p>
    <w:p>
      <w:pPr>
        <w:shd w:val="clear" w:color="auto" w:fill="FFFFFF"/>
        <w:snapToGrid w:val="0"/>
        <w:ind w:firstLine="480"/>
        <w:rPr>
          <w:rFonts w:hAnsi="宋体"/>
        </w:rPr>
      </w:pPr>
      <w:r>
        <w:rPr>
          <w:rFonts w:hAnsi="宋体"/>
        </w:rPr>
        <w:t>1</w:t>
      </w:r>
      <w:r>
        <w:rPr>
          <w:rFonts w:hint="eastAsia" w:hAnsi="宋体"/>
        </w:rPr>
        <w:t>、参加投标活动；</w:t>
      </w:r>
    </w:p>
    <w:p>
      <w:pPr>
        <w:shd w:val="clear" w:color="auto" w:fill="FFFFFF"/>
        <w:snapToGrid w:val="0"/>
        <w:ind w:firstLine="480"/>
        <w:rPr>
          <w:rFonts w:hAnsi="宋体"/>
        </w:rPr>
      </w:pPr>
      <w:r>
        <w:rPr>
          <w:rFonts w:hAnsi="宋体"/>
        </w:rPr>
        <w:t>2</w:t>
      </w:r>
      <w:r>
        <w:rPr>
          <w:rFonts w:hint="eastAsia" w:hAnsi="宋体"/>
        </w:rPr>
        <w:t>、出席开标评标会议；</w:t>
      </w:r>
    </w:p>
    <w:p>
      <w:pPr>
        <w:shd w:val="clear" w:color="auto" w:fill="FFFFFF"/>
        <w:snapToGrid w:val="0"/>
        <w:ind w:firstLine="480"/>
        <w:rPr>
          <w:rFonts w:hAnsi="宋体"/>
        </w:rPr>
      </w:pPr>
      <w:r>
        <w:rPr>
          <w:rFonts w:hAnsi="宋体"/>
        </w:rPr>
        <w:t>3</w:t>
      </w:r>
      <w:r>
        <w:rPr>
          <w:rFonts w:hint="eastAsia" w:hAnsi="宋体"/>
        </w:rPr>
        <w:t>、签订与中标事宜有关的合同；</w:t>
      </w:r>
    </w:p>
    <w:p>
      <w:pPr>
        <w:shd w:val="clear" w:color="auto" w:fill="FFFFFF"/>
        <w:snapToGrid w:val="0"/>
        <w:ind w:firstLine="480"/>
        <w:rPr>
          <w:rFonts w:hAnsi="宋体"/>
        </w:rPr>
      </w:pPr>
      <w:r>
        <w:rPr>
          <w:rFonts w:hAnsi="宋体"/>
        </w:rPr>
        <w:t>4</w:t>
      </w:r>
      <w:r>
        <w:rPr>
          <w:rFonts w:hint="eastAsia" w:hAnsi="宋体"/>
        </w:rPr>
        <w:t>、负责合同的履行、服务以及在合同履行过程中有关事宜的洽谈和处理。</w:t>
      </w:r>
    </w:p>
    <w:p>
      <w:pPr>
        <w:shd w:val="clear" w:color="auto" w:fill="FFFFFF"/>
        <w:snapToGrid w:val="0"/>
        <w:ind w:firstLine="480"/>
        <w:rPr>
          <w:rFonts w:hAnsi="宋体"/>
        </w:rPr>
      </w:pPr>
      <w:r>
        <w:rPr>
          <w:rFonts w:hint="eastAsia" w:hAnsi="宋体"/>
        </w:rPr>
        <w:t>受托人在办理上述事宜过程中以其自己的名义所签署的所有文件我方均予以承认。受托人无转委托权。</w:t>
      </w:r>
    </w:p>
    <w:p>
      <w:pPr>
        <w:shd w:val="clear" w:color="auto" w:fill="FFFFFF"/>
        <w:snapToGrid w:val="0"/>
        <w:ind w:firstLine="480"/>
        <w:rPr>
          <w:rFonts w:hAnsi="宋体"/>
        </w:rPr>
      </w:pPr>
      <w:r>
        <w:rPr>
          <w:rFonts w:hint="eastAsia" w:hAnsi="宋体"/>
        </w:rPr>
        <w:t>委托期限：至上述事宜处理完毕止。</w:t>
      </w:r>
    </w:p>
    <w:p>
      <w:pPr>
        <w:shd w:val="clear" w:color="auto" w:fill="FFFFFF"/>
        <w:snapToGrid w:val="0"/>
        <w:ind w:firstLine="482"/>
        <w:rPr>
          <w:rFonts w:hAnsi="宋体"/>
          <w:b/>
          <w:bCs/>
        </w:rPr>
      </w:pPr>
    </w:p>
    <w:p>
      <w:pPr>
        <w:shd w:val="clear" w:color="auto" w:fill="FFFFFF"/>
        <w:snapToGrid w:val="0"/>
        <w:ind w:firstLine="482"/>
        <w:rPr>
          <w:rFonts w:hAnsi="宋体"/>
          <w:sz w:val="28"/>
          <w:szCs w:val="28"/>
        </w:rPr>
      </w:pPr>
      <w:r>
        <w:rPr>
          <w:rFonts w:hAnsi="宋体"/>
          <w:b/>
          <w:bCs/>
        </w:rPr>
        <w:t xml:space="preserve">          </w:t>
      </w:r>
      <w:r>
        <w:rPr>
          <w:rFonts w:hint="eastAsia" w:hAnsi="宋体"/>
          <w:b/>
          <w:bCs/>
          <w:sz w:val="28"/>
          <w:szCs w:val="28"/>
        </w:rPr>
        <w:t>（附法人和委托人正反两面身份证复印件）</w:t>
      </w:r>
    </w:p>
    <w:p>
      <w:pPr>
        <w:shd w:val="clear" w:color="auto" w:fill="FFFFFF"/>
        <w:snapToGrid w:val="0"/>
        <w:ind w:firstLine="480"/>
        <w:rPr>
          <w:rFonts w:hAnsi="宋体"/>
        </w:rPr>
      </w:pPr>
    </w:p>
    <w:p>
      <w:pPr>
        <w:shd w:val="clear" w:color="auto" w:fill="FFFFFF"/>
        <w:snapToGrid w:val="0"/>
        <w:ind w:firstLine="480"/>
        <w:rPr>
          <w:rFonts w:hAnsi="宋体"/>
          <w:u w:val="single"/>
        </w:rPr>
      </w:pPr>
      <w:r>
        <w:rPr>
          <w:rFonts w:hint="eastAsia" w:hAnsi="宋体"/>
        </w:rPr>
        <w:t>委托单位</w:t>
      </w:r>
      <w:r>
        <w:rPr>
          <w:rFonts w:hint="eastAsia" w:hAnsi="宋体"/>
          <w:u w:val="single"/>
        </w:rPr>
        <w:t>（公章）</w:t>
      </w:r>
    </w:p>
    <w:p>
      <w:pPr>
        <w:shd w:val="clear" w:color="auto" w:fill="FFFFFF"/>
        <w:snapToGrid w:val="0"/>
        <w:ind w:firstLine="480"/>
        <w:rPr>
          <w:rFonts w:hAnsi="宋体"/>
          <w:u w:val="single"/>
        </w:rPr>
      </w:pPr>
      <w:r>
        <w:rPr>
          <w:rFonts w:hint="eastAsia" w:hAnsi="宋体"/>
        </w:rPr>
        <w:t>法定代表或负责人</w:t>
      </w:r>
      <w:r>
        <w:rPr>
          <w:rFonts w:hint="eastAsia" w:hAnsi="宋体"/>
          <w:u w:val="single"/>
        </w:rPr>
        <w:t>（签名或私章）</w:t>
      </w:r>
    </w:p>
    <w:p>
      <w:pPr>
        <w:shd w:val="clear" w:color="auto" w:fill="FFFFFF"/>
        <w:snapToGrid w:val="0"/>
        <w:ind w:firstLine="480"/>
        <w:rPr>
          <w:rFonts w:hAnsi="宋体"/>
          <w:u w:val="single"/>
        </w:rPr>
      </w:pPr>
      <w:r>
        <w:rPr>
          <w:rFonts w:hint="eastAsia" w:hAnsi="宋体"/>
        </w:rPr>
        <w:t>受托人</w:t>
      </w:r>
      <w:r>
        <w:rPr>
          <w:rFonts w:hint="eastAsia" w:hAnsi="宋体"/>
          <w:u w:val="single"/>
        </w:rPr>
        <w:t>（签名或私章）</w:t>
      </w:r>
    </w:p>
    <w:p>
      <w:pPr>
        <w:shd w:val="clear" w:color="auto" w:fill="FFFFFF"/>
        <w:snapToGrid w:val="0"/>
        <w:ind w:firstLine="480"/>
        <w:rPr>
          <w:rFonts w:hAnsi="宋体"/>
        </w:rPr>
      </w:pPr>
      <w:r>
        <w:rPr>
          <w:rFonts w:hint="eastAsia" w:hAnsi="宋体"/>
        </w:rPr>
        <w:t>年月日</w:t>
      </w:r>
    </w:p>
    <w:p>
      <w:pPr>
        <w:shd w:val="clear" w:color="auto" w:fill="FFFFFF"/>
        <w:snapToGrid w:val="0"/>
        <w:ind w:firstLine="3960" w:firstLineChars="1650"/>
        <w:rPr>
          <w:rFonts w:hAnsi="宋体"/>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0" w:firstLineChars="0"/>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2891" w:firstLineChars="900"/>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3213" w:firstLineChars="1000"/>
        <w:jc w:val="both"/>
        <w:rPr>
          <w:rFonts w:hAnsi="宋体"/>
          <w:b/>
          <w:sz w:val="32"/>
          <w:szCs w:val="32"/>
        </w:rPr>
      </w:pPr>
      <w:r>
        <w:rPr>
          <w:rFonts w:hint="eastAsia" w:hAnsi="宋体"/>
          <w:b/>
          <w:sz w:val="32"/>
          <w:szCs w:val="32"/>
        </w:rPr>
        <w:t>6、营业执照</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643"/>
        <w:jc w:val="both"/>
        <w:rPr>
          <w:rFonts w:hAnsi="宋体"/>
          <w:b/>
          <w:color w:val="000000"/>
          <w:sz w:val="32"/>
          <w:szCs w:val="32"/>
        </w:rPr>
      </w:pPr>
      <w:r>
        <w:rPr>
          <w:rFonts w:hAnsi="宋体"/>
          <w:b/>
          <w:sz w:val="32"/>
          <w:szCs w:val="32"/>
        </w:rPr>
        <w:t xml:space="preserve">             </w:t>
      </w:r>
      <w:r>
        <w:rPr>
          <w:rFonts w:hint="eastAsia" w:hAnsi="宋体"/>
          <w:b/>
          <w:sz w:val="32"/>
          <w:szCs w:val="32"/>
          <w:lang w:val="en-US" w:eastAsia="zh-CN"/>
        </w:rPr>
        <w:t xml:space="preserve"> </w:t>
      </w:r>
      <w:r>
        <w:rPr>
          <w:rFonts w:hint="eastAsia" w:hAnsi="宋体"/>
        </w:rPr>
        <w:t>（三合一新证复印件）</w:t>
      </w:r>
    </w:p>
    <w:p>
      <w:pPr>
        <w:tabs>
          <w:tab w:val="left" w:pos="630"/>
        </w:tabs>
        <w:ind w:firstLine="480"/>
        <w:rPr>
          <w:rFonts w:hAnsi="宋体"/>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643"/>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643"/>
        <w:jc w:val="both"/>
        <w:rPr>
          <w:rFonts w:hAnsi="宋体"/>
          <w:b/>
          <w:color w:val="FF0000"/>
          <w:sz w:val="32"/>
          <w:szCs w:val="32"/>
        </w:rPr>
      </w:pPr>
      <w:r>
        <w:rPr>
          <w:rFonts w:hAnsi="宋体"/>
          <w:b/>
          <w:sz w:val="32"/>
          <w:szCs w:val="32"/>
        </w:rPr>
        <w:t xml:space="preserve">  </w:t>
      </w:r>
      <w:r>
        <w:rPr>
          <w:rFonts w:hint="eastAsia" w:hAnsi="宋体"/>
          <w:b/>
          <w:sz w:val="32"/>
          <w:szCs w:val="32"/>
        </w:rPr>
        <w:t>7、提供</w:t>
      </w:r>
      <w:r>
        <w:rPr>
          <w:rFonts w:hAnsi="宋体"/>
          <w:b/>
          <w:sz w:val="32"/>
          <w:szCs w:val="32"/>
        </w:rPr>
        <w:t>20</w:t>
      </w:r>
      <w:r>
        <w:rPr>
          <w:rFonts w:hint="eastAsia" w:hAnsi="宋体"/>
          <w:b/>
          <w:sz w:val="32"/>
          <w:szCs w:val="32"/>
        </w:rPr>
        <w:t>20年度任意3个月社保缴费记录证明</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0" w:firstLineChars="0"/>
        <w:jc w:val="both"/>
        <w:rPr>
          <w:rFonts w:hAnsi="宋体"/>
          <w:b/>
          <w:sz w:val="32"/>
          <w:szCs w:val="32"/>
        </w:rPr>
      </w:pPr>
      <w:r>
        <w:rPr>
          <w:rFonts w:hAnsi="宋体"/>
          <w:b/>
          <w:sz w:val="32"/>
          <w:szCs w:val="32"/>
        </w:rPr>
        <w:t xml:space="preserve">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0" w:firstLineChars="0"/>
        <w:jc w:val="both"/>
        <w:rPr>
          <w:rFonts w:hAnsi="宋体"/>
          <w:b/>
          <w:sz w:val="32"/>
          <w:szCs w:val="32"/>
        </w:rPr>
      </w:pPr>
      <w:r>
        <w:rPr>
          <w:rFonts w:hAnsi="宋体"/>
          <w:b/>
          <w:sz w:val="32"/>
          <w:szCs w:val="32"/>
        </w:rPr>
        <w:t xml:space="preserve">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1928" w:firstLineChars="600"/>
        <w:jc w:val="both"/>
        <w:rPr>
          <w:rFonts w:hAnsi="宋体"/>
          <w:b/>
          <w:sz w:val="32"/>
          <w:szCs w:val="32"/>
        </w:rPr>
      </w:pPr>
      <w:r>
        <w:rPr>
          <w:rFonts w:hAnsi="宋体"/>
          <w:b/>
          <w:sz w:val="32"/>
          <w:szCs w:val="32"/>
        </w:rPr>
        <w:t xml:space="preserve"> </w:t>
      </w:r>
      <w:r>
        <w:rPr>
          <w:rFonts w:hint="eastAsia" w:hAnsi="宋体"/>
          <w:b/>
          <w:sz w:val="32"/>
          <w:szCs w:val="32"/>
        </w:rPr>
        <w:t>8、近三年无违法记录声明书</w:t>
      </w:r>
    </w:p>
    <w:p>
      <w:pPr>
        <w:ind w:firstLine="480"/>
        <w:rPr>
          <w:rFonts w:ascii="Verdana" w:hAnsi="Verdana" w:cs="Verdana"/>
          <w:szCs w:val="21"/>
        </w:rPr>
      </w:pPr>
    </w:p>
    <w:p>
      <w:pPr>
        <w:spacing w:line="280" w:lineRule="atLeast"/>
        <w:ind w:firstLine="562"/>
        <w:rPr>
          <w:rFonts w:hAnsi="宋体" w:cs="宋体"/>
          <w:b/>
          <w:sz w:val="28"/>
          <w:szCs w:val="28"/>
        </w:rPr>
      </w:pPr>
      <w:r>
        <w:rPr>
          <w:rFonts w:hint="eastAsia" w:hAnsi="宋体" w:cs="宋体"/>
          <w:b/>
          <w:bCs/>
          <w:sz w:val="28"/>
          <w:szCs w:val="28"/>
        </w:rPr>
        <w:t>海南政鼎招标代理有限公司</w:t>
      </w:r>
      <w:r>
        <w:rPr>
          <w:rFonts w:hint="eastAsia" w:hAnsi="宋体" w:cs="宋体"/>
          <w:b/>
          <w:sz w:val="28"/>
          <w:szCs w:val="28"/>
        </w:rPr>
        <w:t>：</w:t>
      </w:r>
    </w:p>
    <w:p>
      <w:pPr>
        <w:spacing w:line="280" w:lineRule="atLeast"/>
        <w:ind w:firstLine="560"/>
        <w:rPr>
          <w:rFonts w:hAnsi="宋体" w:cs="宋体"/>
          <w:sz w:val="28"/>
          <w:szCs w:val="28"/>
        </w:rPr>
      </w:pPr>
      <w:r>
        <w:rPr>
          <w:rFonts w:hAnsi="宋体" w:cs="宋体"/>
          <w:sz w:val="28"/>
          <w:szCs w:val="28"/>
        </w:rPr>
        <w:t xml:space="preserve"> </w:t>
      </w:r>
    </w:p>
    <w:p>
      <w:pPr>
        <w:spacing w:line="280" w:lineRule="atLeast"/>
        <w:ind w:firstLine="560"/>
        <w:rPr>
          <w:rFonts w:hAnsi="宋体" w:cs="宋体"/>
          <w:sz w:val="28"/>
          <w:szCs w:val="28"/>
        </w:rPr>
      </w:pPr>
      <w:r>
        <w:rPr>
          <w:rFonts w:hint="eastAsia" w:hAnsi="宋体" w:cs="宋体"/>
          <w:sz w:val="28"/>
          <w:szCs w:val="28"/>
        </w:rPr>
        <w:t>本公司声明如下：</w:t>
      </w:r>
    </w:p>
    <w:p>
      <w:pPr>
        <w:shd w:val="clear" w:color="auto" w:fill="FFFFFF"/>
        <w:snapToGrid w:val="0"/>
        <w:ind w:firstLine="560"/>
        <w:rPr>
          <w:rFonts w:hAnsi="宋体" w:cs="Arial"/>
          <w:color w:val="000000"/>
          <w:sz w:val="28"/>
          <w:szCs w:val="28"/>
        </w:rPr>
      </w:pPr>
      <w:r>
        <w:rPr>
          <w:rFonts w:hint="eastAsia" w:hAnsi="宋体" w:cs="宋体"/>
          <w:sz w:val="28"/>
          <w:szCs w:val="28"/>
        </w:rPr>
        <w:t>本单位在参加</w:t>
      </w:r>
      <w:r>
        <w:rPr>
          <w:rFonts w:hint="eastAsia" w:hAnsi="宋体" w:cs="Arial"/>
          <w:color w:val="000000"/>
          <w:sz w:val="28"/>
          <w:szCs w:val="28"/>
        </w:rPr>
        <w:t>（采购编号</w:t>
      </w:r>
      <w:r>
        <w:rPr>
          <w:rFonts w:hAnsi="宋体" w:cs="Arial"/>
          <w:color w:val="000000"/>
          <w:sz w:val="28"/>
          <w:szCs w:val="28"/>
        </w:rPr>
        <w:t xml:space="preserve">: </w:t>
      </w:r>
      <w:r>
        <w:rPr>
          <w:rFonts w:hint="eastAsia" w:hAnsi="宋体" w:cs="Arial"/>
          <w:color w:val="000000"/>
          <w:sz w:val="28"/>
          <w:szCs w:val="28"/>
        </w:rPr>
        <w:t>ZD2020-628、化工学院“双一流”特色优势学科建设项目）的政府采购活动近三年内，未有任何违法行为记录。</w:t>
      </w:r>
    </w:p>
    <w:p>
      <w:pPr>
        <w:spacing w:line="280" w:lineRule="atLeast"/>
        <w:ind w:firstLine="560"/>
        <w:rPr>
          <w:rFonts w:hAnsi="宋体" w:cs="宋体"/>
          <w:sz w:val="28"/>
          <w:szCs w:val="28"/>
        </w:rPr>
      </w:pPr>
    </w:p>
    <w:p>
      <w:pPr>
        <w:spacing w:line="280" w:lineRule="atLeast"/>
        <w:ind w:firstLine="3640" w:firstLineChars="1300"/>
        <w:rPr>
          <w:rFonts w:hAnsi="宋体" w:cs="宋体"/>
          <w:sz w:val="28"/>
          <w:szCs w:val="28"/>
        </w:rPr>
      </w:pPr>
      <w:r>
        <w:rPr>
          <w:rFonts w:hint="eastAsia" w:hAnsi="宋体" w:cs="宋体"/>
          <w:sz w:val="28"/>
          <w:szCs w:val="28"/>
        </w:rPr>
        <w:t>承诺人：（投标人公章）：</w:t>
      </w:r>
      <w:r>
        <w:rPr>
          <w:rFonts w:hAnsi="宋体" w:cs="宋体"/>
          <w:sz w:val="28"/>
          <w:szCs w:val="28"/>
        </w:rPr>
        <w:t xml:space="preserve"> </w:t>
      </w:r>
    </w:p>
    <w:p>
      <w:pPr>
        <w:spacing w:line="280" w:lineRule="atLeast"/>
        <w:ind w:firstLine="3500" w:firstLineChars="1250"/>
        <w:rPr>
          <w:rFonts w:hAnsi="宋体" w:cs="宋体"/>
          <w:sz w:val="28"/>
          <w:szCs w:val="28"/>
        </w:rPr>
      </w:pPr>
      <w:r>
        <w:rPr>
          <w:rFonts w:hAnsi="宋体" w:cs="宋体"/>
          <w:sz w:val="28"/>
          <w:szCs w:val="28"/>
        </w:rPr>
        <w:t xml:space="preserve"> </w:t>
      </w:r>
      <w:r>
        <w:rPr>
          <w:rFonts w:hint="eastAsia" w:hAnsi="宋体" w:cs="宋体"/>
          <w:sz w:val="28"/>
          <w:szCs w:val="28"/>
        </w:rPr>
        <w:t>法定代表人或授权委托人（签字）：</w:t>
      </w:r>
    </w:p>
    <w:p>
      <w:pPr>
        <w:spacing w:line="280" w:lineRule="atLeast"/>
        <w:ind w:firstLine="560"/>
        <w:jc w:val="center"/>
        <w:rPr>
          <w:rFonts w:hAnsi="宋体" w:cs="宋体"/>
          <w:sz w:val="28"/>
          <w:szCs w:val="28"/>
        </w:rPr>
      </w:pPr>
      <w:r>
        <w:rPr>
          <w:rFonts w:hAnsi="宋体" w:cs="宋体"/>
          <w:sz w:val="28"/>
          <w:szCs w:val="28"/>
        </w:rPr>
        <w:t xml:space="preserve">          </w:t>
      </w:r>
      <w:r>
        <w:rPr>
          <w:rFonts w:hint="eastAsia" w:hAnsi="宋体" w:cs="宋体"/>
          <w:sz w:val="28"/>
          <w:szCs w:val="28"/>
        </w:rPr>
        <w:t>签发日期：</w:t>
      </w:r>
      <w:r>
        <w:rPr>
          <w:rFonts w:hAnsi="宋体" w:cs="宋体"/>
          <w:sz w:val="28"/>
          <w:szCs w:val="28"/>
        </w:rPr>
        <w:t>20</w:t>
      </w:r>
      <w:r>
        <w:rPr>
          <w:rFonts w:hint="eastAsia" w:hAnsi="宋体" w:cs="宋体"/>
          <w:sz w:val="28"/>
          <w:szCs w:val="28"/>
        </w:rPr>
        <w:t>20年</w:t>
      </w:r>
      <w:r>
        <w:rPr>
          <w:rFonts w:hAnsi="宋体" w:cs="宋体"/>
          <w:sz w:val="28"/>
          <w:szCs w:val="28"/>
        </w:rPr>
        <w:t xml:space="preserve">  </w:t>
      </w:r>
      <w:r>
        <w:rPr>
          <w:rFonts w:hint="eastAsia" w:hAnsi="宋体" w:cs="宋体"/>
          <w:sz w:val="28"/>
          <w:szCs w:val="28"/>
        </w:rPr>
        <w:t>月</w:t>
      </w:r>
      <w:r>
        <w:rPr>
          <w:rFonts w:hAnsi="宋体" w:cs="宋体"/>
          <w:sz w:val="28"/>
          <w:szCs w:val="28"/>
        </w:rPr>
        <w:t xml:space="preserve">  </w:t>
      </w:r>
      <w:r>
        <w:rPr>
          <w:rFonts w:hint="eastAsia" w:hAnsi="宋体" w:cs="宋体"/>
          <w:sz w:val="28"/>
          <w:szCs w:val="28"/>
        </w:rPr>
        <w:t>日</w:t>
      </w:r>
    </w:p>
    <w:p>
      <w:pPr>
        <w:ind w:firstLine="480"/>
        <w:rPr>
          <w:rFonts w:ascii="Verdana" w:hAnsi="Verdana" w:cs="Verdana"/>
          <w:szCs w:val="21"/>
        </w:rPr>
      </w:pPr>
    </w:p>
    <w:p>
      <w:pPr>
        <w:pStyle w:val="31"/>
        <w:snapToGrid w:val="0"/>
        <w:ind w:left="840" w:firstLine="0" w:firstLineChars="0"/>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both"/>
        <w:rPr>
          <w:rFonts w:hAnsi="宋体"/>
          <w:b/>
          <w:sz w:val="32"/>
          <w:szCs w:val="32"/>
        </w:rPr>
      </w:pPr>
      <w:r>
        <w:rPr>
          <w:rFonts w:hAnsi="宋体"/>
          <w:b/>
          <w:sz w:val="32"/>
          <w:szCs w:val="32"/>
        </w:rPr>
        <w:t xml:space="preserve">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321" w:firstLineChars="100"/>
        <w:jc w:val="center"/>
        <w:rPr>
          <w:rFonts w:hAnsi="宋体"/>
          <w:b/>
          <w:color w:val="000000"/>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center"/>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center"/>
        <w:rPr>
          <w:rFonts w:hAnsi="宋体"/>
          <w:b/>
          <w:sz w:val="32"/>
          <w:szCs w:val="32"/>
        </w:rPr>
      </w:pPr>
      <w:r>
        <w:rPr>
          <w:rFonts w:hint="eastAsia" w:hAnsi="宋体"/>
          <w:b/>
          <w:sz w:val="32"/>
          <w:szCs w:val="32"/>
        </w:rPr>
        <w:t>9、提供2020年度任意3个月的企业纳税证明或者会计师事务所出具的2019年公司财务审计报告；</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0" w:firstLineChars="0"/>
        <w:rPr>
          <w:rFonts w:hAnsi="宋体"/>
          <w:b/>
          <w:color w:val="FF0000"/>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center"/>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both"/>
        <w:rPr>
          <w:rFonts w:hAnsi="宋体"/>
        </w:rPr>
      </w:pPr>
      <w:r>
        <w:rPr>
          <w:rFonts w:hAnsi="宋体"/>
          <w:b/>
          <w:sz w:val="32"/>
          <w:szCs w:val="32"/>
        </w:rPr>
        <w:t xml:space="preserve">        </w:t>
      </w:r>
      <w:r>
        <w:rPr>
          <w:rFonts w:hint="eastAsia" w:hAnsi="宋体"/>
          <w:b/>
          <w:sz w:val="32"/>
          <w:szCs w:val="32"/>
        </w:rPr>
        <w:t xml:space="preserve"> 10、保证金缴费记录复印件</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0" w:firstLineChars="0"/>
        <w:rPr>
          <w:rFonts w:hAnsi="宋体"/>
          <w:b/>
          <w:sz w:val="32"/>
          <w:szCs w:val="32"/>
        </w:rPr>
      </w:pPr>
      <w:r>
        <w:rPr>
          <w:rFonts w:hAnsi="宋体"/>
        </w:rPr>
        <w:t xml:space="preserve">   </w:t>
      </w:r>
      <w:r>
        <w:rPr>
          <w:rFonts w:hAnsi="宋体"/>
          <w:b/>
          <w:sz w:val="32"/>
          <w:szCs w:val="32"/>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0" w:firstLineChars="0"/>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2891" w:firstLineChars="900"/>
        <w:jc w:val="both"/>
        <w:rPr>
          <w:rFonts w:hAnsi="宋体"/>
          <w:b/>
          <w:sz w:val="32"/>
          <w:szCs w:val="32"/>
        </w:rPr>
      </w:pPr>
      <w:r>
        <w:rPr>
          <w:rFonts w:hint="eastAsia" w:hAnsi="宋体"/>
          <w:b/>
          <w:sz w:val="32"/>
          <w:szCs w:val="32"/>
        </w:rPr>
        <w:t>11、中小企业声明函</w:t>
      </w:r>
    </w:p>
    <w:p>
      <w:pPr>
        <w:ind w:firstLine="643"/>
        <w:jc w:val="both"/>
        <w:rPr>
          <w:rFonts w:ascii="新宋体" w:hAnsi="新宋体" w:eastAsia="新宋体" w:cs="新宋体"/>
          <w:b/>
          <w:bCs/>
          <w:sz w:val="32"/>
          <w:szCs w:val="32"/>
        </w:rPr>
      </w:pPr>
    </w:p>
    <w:p>
      <w:pPr>
        <w:ind w:firstLine="480"/>
        <w:rPr>
          <w:rFonts w:hAnsi="宋体"/>
        </w:rPr>
      </w:pPr>
      <w:r>
        <w:rPr>
          <w:rFonts w:hint="eastAsia" w:hAnsi="宋体"/>
        </w:rPr>
        <w:t>本公司郑重声明，根据《政府采购促进中小企业发展暂行办法》（财库</w:t>
      </w:r>
      <w:r>
        <w:rPr>
          <w:rFonts w:hAnsi="宋体"/>
        </w:rPr>
        <w:t>[2011]181</w:t>
      </w:r>
      <w:r>
        <w:rPr>
          <w:rFonts w:hint="eastAsia" w:hAnsi="宋体"/>
        </w:rPr>
        <w:t>号）的规定，本公司为</w:t>
      </w:r>
      <w:r>
        <w:rPr>
          <w:rFonts w:hAnsi="宋体"/>
        </w:rPr>
        <w:t xml:space="preserve"> </w:t>
      </w:r>
      <w:r>
        <w:rPr>
          <w:rFonts w:hAnsi="宋体"/>
          <w:u w:val="single"/>
        </w:rPr>
        <w:t xml:space="preserve">                                </w:t>
      </w:r>
      <w:r>
        <w:rPr>
          <w:rFonts w:hint="eastAsia" w:hAnsi="宋体"/>
        </w:rPr>
        <w:t>（请填写：中型、小型、微型）企业。即，本公司同时满足以下条件：</w:t>
      </w:r>
    </w:p>
    <w:p>
      <w:pPr>
        <w:ind w:firstLine="480"/>
        <w:rPr>
          <w:rFonts w:hAnsi="宋体"/>
        </w:rPr>
      </w:pPr>
      <w:r>
        <w:rPr>
          <w:rFonts w:hAnsi="宋体"/>
        </w:rPr>
        <w:t>1</w:t>
      </w:r>
      <w:r>
        <w:rPr>
          <w:rFonts w:hint="eastAsia" w:hAnsi="宋体"/>
        </w:rPr>
        <w:t>、根据《工业和信息部、国家统计局、国家发展和改革委员会、财政部关于印发中小企业划型标准规定的通知》（工信部联企业</w:t>
      </w:r>
      <w:r>
        <w:rPr>
          <w:rFonts w:hAnsi="宋体"/>
        </w:rPr>
        <w:t>[2011]300</w:t>
      </w:r>
      <w:r>
        <w:rPr>
          <w:rFonts w:hint="eastAsia" w:hAnsi="宋体"/>
        </w:rPr>
        <w:t>号）规定的划分标准，本公司为</w:t>
      </w:r>
      <w:r>
        <w:rPr>
          <w:rFonts w:hAnsi="宋体"/>
          <w:u w:val="single"/>
        </w:rPr>
        <w:t xml:space="preserve">                                 </w:t>
      </w:r>
      <w:r>
        <w:rPr>
          <w:rFonts w:hint="eastAsia" w:hAnsi="宋体"/>
        </w:rPr>
        <w:t>（请填写：中型、小型、微型）企业。</w:t>
      </w:r>
    </w:p>
    <w:p>
      <w:pPr>
        <w:ind w:firstLine="480"/>
        <w:rPr>
          <w:rFonts w:hAnsi="宋体"/>
          <w:u w:val="single"/>
        </w:rPr>
      </w:pPr>
      <w:r>
        <w:rPr>
          <w:rFonts w:hAnsi="宋体"/>
        </w:rPr>
        <w:t>2</w:t>
      </w:r>
      <w:r>
        <w:rPr>
          <w:rFonts w:hint="eastAsia" w:hAnsi="宋体"/>
        </w:rPr>
        <w:t>、本公司参加</w:t>
      </w:r>
      <w:r>
        <w:rPr>
          <w:rFonts w:hAnsi="宋体"/>
          <w:u w:val="single"/>
        </w:rPr>
        <w:t xml:space="preserve">                </w:t>
      </w:r>
      <w:r>
        <w:rPr>
          <w:rFonts w:hint="eastAsia" w:hAnsi="宋体"/>
        </w:rPr>
        <w:t>单位的</w:t>
      </w:r>
      <w:r>
        <w:rPr>
          <w:rFonts w:hAnsi="宋体"/>
          <w:u w:val="single"/>
        </w:rPr>
        <w:t xml:space="preserve">                               </w:t>
      </w:r>
    </w:p>
    <w:p>
      <w:pPr>
        <w:ind w:firstLine="480"/>
        <w:rPr>
          <w:rFonts w:hAnsi="宋体"/>
        </w:rPr>
      </w:pPr>
      <w:r>
        <w:rPr>
          <w:rFonts w:hint="eastAsia" w:hAnsi="宋体"/>
        </w:rPr>
        <w:t>项目采购活动提供本企业制造的货物，由本企业承担工程、提供服务，或者提供其他</w:t>
      </w:r>
      <w:r>
        <w:rPr>
          <w:rFonts w:hAnsi="宋体"/>
          <w:u w:val="single"/>
        </w:rPr>
        <w:t xml:space="preserve">        </w:t>
      </w:r>
      <w:r>
        <w:rPr>
          <w:rFonts w:hint="eastAsia" w:hAnsi="宋体"/>
        </w:rPr>
        <w:t>（请填写：中型、小型、微型）企业制造的货物。本条所称货物不包括使用大型企业注册商标的货物。</w:t>
      </w:r>
    </w:p>
    <w:p>
      <w:pPr>
        <w:ind w:firstLine="480"/>
        <w:rPr>
          <w:rFonts w:ascii="新宋体" w:hAnsi="新宋体" w:eastAsia="新宋体" w:cs="新宋体"/>
          <w:sz w:val="28"/>
          <w:szCs w:val="28"/>
        </w:rPr>
      </w:pPr>
      <w:r>
        <w:rPr>
          <w:rFonts w:hint="eastAsia" w:hAnsi="宋体"/>
        </w:rPr>
        <w:t>本公司对上述声明的真实性负责。如有虚假，将依法承担相应责任。</w:t>
      </w:r>
      <w:r>
        <w:rPr>
          <w:rFonts w:ascii="新宋体" w:hAnsi="新宋体" w:eastAsia="新宋体" w:cs="新宋体"/>
          <w:sz w:val="28"/>
          <w:szCs w:val="28"/>
        </w:rPr>
        <w:t xml:space="preserve"> </w:t>
      </w:r>
    </w:p>
    <w:p>
      <w:pPr>
        <w:ind w:left="645" w:firstLine="560"/>
        <w:rPr>
          <w:rFonts w:ascii="新宋体" w:hAnsi="新宋体" w:eastAsia="新宋体" w:cs="新宋体"/>
          <w:sz w:val="28"/>
          <w:szCs w:val="28"/>
        </w:rPr>
      </w:pPr>
    </w:p>
    <w:p>
      <w:pPr>
        <w:ind w:left="645" w:firstLine="560"/>
        <w:rPr>
          <w:rFonts w:ascii="新宋体" w:hAnsi="新宋体" w:eastAsia="新宋体" w:cs="新宋体"/>
          <w:sz w:val="28"/>
          <w:szCs w:val="28"/>
        </w:rPr>
      </w:pPr>
      <w:r>
        <w:rPr>
          <w:rFonts w:ascii="新宋体" w:hAnsi="新宋体" w:eastAsia="新宋体" w:cs="新宋体"/>
          <w:sz w:val="28"/>
          <w:szCs w:val="28"/>
        </w:rPr>
        <w:t xml:space="preserve">                      </w:t>
      </w:r>
      <w:r>
        <w:rPr>
          <w:rFonts w:hint="eastAsia" w:hAnsi="宋体"/>
        </w:rPr>
        <w:t>企业名称（盖章）</w:t>
      </w:r>
      <w:r>
        <w:rPr>
          <w:rFonts w:hint="eastAsia" w:ascii="新宋体" w:hAnsi="新宋体" w:eastAsia="新宋体" w:cs="新宋体"/>
          <w:sz w:val="28"/>
          <w:szCs w:val="28"/>
        </w:rPr>
        <w:t>：</w:t>
      </w:r>
      <w:r>
        <w:rPr>
          <w:rFonts w:ascii="新宋体" w:hAnsi="新宋体" w:eastAsia="新宋体" w:cs="新宋体"/>
          <w:sz w:val="28"/>
          <w:szCs w:val="28"/>
          <w:u w:val="single"/>
        </w:rPr>
        <w:t xml:space="preserve">          </w:t>
      </w:r>
    </w:p>
    <w:p>
      <w:pPr>
        <w:spacing w:line="480" w:lineRule="exact"/>
        <w:ind w:firstLine="560"/>
        <w:jc w:val="center"/>
        <w:rPr>
          <w:rFonts w:ascii="新宋体" w:hAnsi="新宋体" w:eastAsia="新宋体" w:cs="新宋体"/>
          <w:sz w:val="28"/>
          <w:szCs w:val="28"/>
          <w:u w:val="single"/>
        </w:rPr>
      </w:pPr>
      <w:r>
        <w:rPr>
          <w:rFonts w:ascii="新宋体" w:hAnsi="新宋体" w:eastAsia="新宋体" w:cs="新宋体"/>
          <w:sz w:val="28"/>
          <w:szCs w:val="28"/>
        </w:rPr>
        <w:t xml:space="preserve">                   </w:t>
      </w:r>
      <w:r>
        <w:rPr>
          <w:rFonts w:hAnsi="宋体"/>
        </w:rPr>
        <w:t xml:space="preserve"> </w:t>
      </w:r>
      <w:r>
        <w:rPr>
          <w:rFonts w:hint="eastAsia" w:hAnsi="宋体"/>
        </w:rPr>
        <w:t>日</w:t>
      </w:r>
      <w:r>
        <w:rPr>
          <w:rFonts w:hAnsi="宋体"/>
        </w:rPr>
        <w:t xml:space="preserve"> </w:t>
      </w:r>
      <w:r>
        <w:rPr>
          <w:rFonts w:hint="eastAsia" w:hAnsi="宋体"/>
        </w:rPr>
        <w:t>期</w:t>
      </w:r>
      <w:r>
        <w:rPr>
          <w:rFonts w:hint="eastAsia" w:ascii="新宋体" w:hAnsi="新宋体" w:eastAsia="新宋体" w:cs="新宋体"/>
          <w:sz w:val="28"/>
          <w:szCs w:val="28"/>
        </w:rPr>
        <w:t>：</w:t>
      </w:r>
      <w:r>
        <w:rPr>
          <w:rFonts w:ascii="新宋体" w:hAnsi="新宋体" w:eastAsia="新宋体" w:cs="新宋体"/>
          <w:sz w:val="28"/>
          <w:szCs w:val="28"/>
          <w:u w:val="single"/>
        </w:rPr>
        <w:t xml:space="preserve">          </w:t>
      </w:r>
    </w:p>
    <w:p>
      <w:pPr>
        <w:spacing w:line="480" w:lineRule="exact"/>
        <w:ind w:firstLine="560"/>
        <w:jc w:val="center"/>
        <w:rPr>
          <w:rFonts w:ascii="新宋体" w:hAnsi="新宋体" w:eastAsia="新宋体" w:cs="新宋体"/>
          <w:sz w:val="28"/>
          <w:szCs w:val="28"/>
          <w:u w:val="single"/>
        </w:rPr>
      </w:pPr>
    </w:p>
    <w:p>
      <w:pPr>
        <w:ind w:firstLine="643"/>
        <w:rPr>
          <w:rFonts w:hAnsi="宋体"/>
          <w:b/>
          <w:sz w:val="32"/>
          <w:szCs w:val="32"/>
        </w:rPr>
      </w:pPr>
    </w:p>
    <w:p>
      <w:pPr>
        <w:ind w:firstLine="643"/>
        <w:rPr>
          <w:rFonts w:hAnsi="宋体"/>
          <w:b/>
          <w:sz w:val="32"/>
          <w:szCs w:val="32"/>
        </w:rPr>
      </w:pPr>
    </w:p>
    <w:p>
      <w:pPr>
        <w:ind w:firstLine="643"/>
        <w:rPr>
          <w:rFonts w:hAnsi="宋体"/>
          <w:b/>
          <w:sz w:val="32"/>
          <w:szCs w:val="32"/>
        </w:rPr>
      </w:pPr>
    </w:p>
    <w:p>
      <w:pPr>
        <w:ind w:firstLine="964" w:firstLineChars="300"/>
        <w:rPr>
          <w:rFonts w:ascii="Helvetica" w:hAnsi="Helvetica" w:eastAsia="Helvetica" w:cs="Helvetica"/>
          <w:color w:val="000000"/>
          <w:sz w:val="21"/>
          <w:szCs w:val="21"/>
        </w:rPr>
      </w:pPr>
      <w:bookmarkStart w:id="47" w:name="OLE_LINK30"/>
      <w:r>
        <w:rPr>
          <w:rFonts w:hint="eastAsia" w:hAnsi="宋体"/>
          <w:b/>
          <w:sz w:val="32"/>
          <w:szCs w:val="32"/>
        </w:rPr>
        <w:t>12、投标人参加本项目投标无串通投标行为的承诺函</w:t>
      </w:r>
      <w:bookmarkEnd w:id="47"/>
      <w:r>
        <w:rPr>
          <w:rFonts w:hint="eastAsia" w:hAnsi="宋体"/>
          <w:b/>
          <w:sz w:val="32"/>
          <w:szCs w:val="32"/>
        </w:rPr>
        <w:t xml:space="preserve">   </w:t>
      </w:r>
    </w:p>
    <w:p>
      <w:pPr>
        <w:ind w:firstLine="482"/>
        <w:rPr>
          <w:rFonts w:hAnsi="宋体"/>
          <w:b/>
          <w:bCs/>
        </w:rPr>
      </w:pPr>
    </w:p>
    <w:p>
      <w:pPr>
        <w:ind w:firstLine="602"/>
        <w:rPr>
          <w:rFonts w:hAnsi="宋体"/>
        </w:rPr>
      </w:pPr>
      <w:r>
        <w:rPr>
          <w:rFonts w:hint="eastAsia" w:hAnsi="宋体"/>
          <w:b/>
          <w:bCs/>
          <w:sz w:val="30"/>
          <w:szCs w:val="30"/>
        </w:rPr>
        <w:t>海南师范大学：</w:t>
      </w:r>
      <w:r>
        <w:rPr>
          <w:rFonts w:hint="eastAsia" w:hAnsi="宋体"/>
        </w:rPr>
        <w:t xml:space="preserve"> </w:t>
      </w:r>
    </w:p>
    <w:p>
      <w:pPr>
        <w:ind w:firstLine="480"/>
        <w:rPr>
          <w:rFonts w:hAnsi="宋体"/>
        </w:rPr>
      </w:pPr>
      <w:r>
        <w:rPr>
          <w:rFonts w:hint="eastAsia" w:hAnsi="宋体"/>
        </w:rPr>
        <w:t xml:space="preserve">我公司承诺在参加本项目投标中，单位负责人为同一人或者存在直接控股、管理关系的不同供应商，不参加同一合同项下的政府采购活动；并承诺不违反以下情形： </w:t>
      </w:r>
    </w:p>
    <w:p>
      <w:pPr>
        <w:ind w:firstLine="480"/>
        <w:rPr>
          <w:rFonts w:hAnsi="宋体"/>
        </w:rPr>
      </w:pPr>
      <w:r>
        <w:rPr>
          <w:rFonts w:hint="eastAsia" w:hAnsi="宋体"/>
        </w:rPr>
        <w:t xml:space="preserve">（一）不同投标人的投标文件由同一单位或者个人编制； </w:t>
      </w:r>
      <w:bookmarkStart w:id="48" w:name="OLE_LINK29"/>
      <w:r>
        <w:rPr>
          <w:rFonts w:hint="eastAsia" w:hAnsi="宋体"/>
        </w:rPr>
        <w:t>（二）</w:t>
      </w:r>
      <w:bookmarkEnd w:id="48"/>
      <w:r>
        <w:rPr>
          <w:rFonts w:hint="eastAsia" w:hAnsi="宋体"/>
        </w:rPr>
        <w:t xml:space="preserve">不同投标人委托同一单位或者个人办理投标事宜； （三）不同投标人的投标文件载明的项目管理成员或者联系人员为同一人； （四）不同投标人的投标文件异常一致或者投标报价呈规律性差异； （五）不同投标人的投标文件相互混装； （六）不同投标人的投标保证金从同一单位或者个人的账户转出。 </w:t>
      </w:r>
    </w:p>
    <w:p>
      <w:pPr>
        <w:ind w:firstLine="480"/>
        <w:rPr>
          <w:rFonts w:hAnsi="宋体"/>
        </w:rPr>
      </w:pPr>
      <w:r>
        <w:rPr>
          <w:rFonts w:hint="eastAsia" w:hAnsi="宋体"/>
        </w:rPr>
        <w:t xml:space="preserve">特此声明。 </w:t>
      </w:r>
    </w:p>
    <w:p>
      <w:pPr>
        <w:ind w:firstLine="480"/>
        <w:rPr>
          <w:rFonts w:hAnsi="宋体"/>
        </w:rPr>
      </w:pPr>
      <w:r>
        <w:rPr>
          <w:rFonts w:hint="eastAsia" w:hAnsi="宋体"/>
        </w:rPr>
        <w:t xml:space="preserve">法定代表人或被授权人签字： </w:t>
      </w:r>
    </w:p>
    <w:p>
      <w:pPr>
        <w:ind w:firstLine="480"/>
        <w:rPr>
          <w:rFonts w:hAnsi="宋体"/>
        </w:rPr>
      </w:pPr>
      <w:r>
        <w:rPr>
          <w:rFonts w:hint="eastAsia" w:hAnsi="宋体"/>
        </w:rPr>
        <w:t xml:space="preserve">投标人公章： </w:t>
      </w:r>
    </w:p>
    <w:p>
      <w:pPr>
        <w:ind w:firstLine="420"/>
        <w:rPr>
          <w:rFonts w:ascii="Helvetica" w:hAnsi="Helvetica" w:eastAsia="Helvetica" w:cs="Helvetica"/>
          <w:color w:val="000000"/>
          <w:sz w:val="21"/>
          <w:szCs w:val="21"/>
        </w:rPr>
      </w:pPr>
      <w:r>
        <w:rPr>
          <w:rFonts w:ascii="Helvetica" w:hAnsi="Helvetica" w:eastAsia="Helvetica" w:cs="Helvetica"/>
          <w:color w:val="000000"/>
          <w:sz w:val="21"/>
          <w:szCs w:val="21"/>
        </w:rPr>
        <w:t>年    月    日 </w:t>
      </w:r>
    </w:p>
    <w:p>
      <w:pPr>
        <w:ind w:firstLine="420"/>
        <w:rPr>
          <w:rFonts w:ascii="Helvetica" w:hAnsi="Helvetica" w:eastAsia="Helvetica" w:cs="Helvetica"/>
          <w:color w:val="000000"/>
          <w:sz w:val="21"/>
          <w:szCs w:val="21"/>
        </w:rPr>
      </w:pPr>
    </w:p>
    <w:p>
      <w:pPr>
        <w:pStyle w:val="3"/>
        <w:ind w:firstLine="0" w:firstLineChars="0"/>
        <w:rPr>
          <w:rFonts w:hAnsi="宋体"/>
          <w:b/>
          <w:sz w:val="32"/>
          <w:szCs w:val="32"/>
        </w:rPr>
      </w:pPr>
    </w:p>
    <w:p>
      <w:pPr>
        <w:spacing w:line="240" w:lineRule="auto"/>
        <w:ind w:firstLine="321" w:firstLineChars="100"/>
        <w:jc w:val="center"/>
        <w:rPr>
          <w:rFonts w:hAnsi="宋体"/>
          <w:b/>
          <w:color w:val="FF0000"/>
          <w:sz w:val="32"/>
          <w:szCs w:val="32"/>
        </w:rPr>
      </w:pPr>
    </w:p>
    <w:p>
      <w:pPr>
        <w:spacing w:line="240" w:lineRule="auto"/>
        <w:ind w:firstLine="321" w:firstLineChars="100"/>
        <w:jc w:val="center"/>
        <w:rPr>
          <w:rFonts w:hAnsi="宋体"/>
          <w:b/>
          <w:color w:val="auto"/>
          <w:sz w:val="32"/>
          <w:szCs w:val="32"/>
        </w:rPr>
      </w:pPr>
      <w:r>
        <w:rPr>
          <w:rFonts w:hint="eastAsia" w:hAnsi="宋体"/>
          <w:b/>
          <w:color w:val="auto"/>
          <w:sz w:val="32"/>
          <w:szCs w:val="32"/>
        </w:rPr>
        <w:t>13、根据招标文件要求，提供授权书、技术参数确认及售后服务承诺函</w:t>
      </w:r>
    </w:p>
    <w:p>
      <w:pPr>
        <w:pStyle w:val="2"/>
        <w:spacing w:line="240" w:lineRule="auto"/>
        <w:ind w:left="0" w:leftChars="0" w:right="240"/>
        <w:rPr>
          <w:rFonts w:ascii="宋体" w:hAnsi="宋体" w:eastAsia="宋体"/>
          <w:szCs w:val="32"/>
        </w:rPr>
      </w:pPr>
      <w:bookmarkStart w:id="54" w:name="_GoBack"/>
      <w:bookmarkEnd w:id="54"/>
    </w:p>
    <w:p>
      <w:pPr>
        <w:pStyle w:val="2"/>
        <w:spacing w:line="240" w:lineRule="auto"/>
        <w:ind w:left="240" w:right="240" w:firstLine="321" w:firstLineChars="100"/>
        <w:rPr>
          <w:rFonts w:ascii="宋体" w:hAnsi="宋体" w:eastAsia="宋体"/>
          <w:szCs w:val="32"/>
        </w:rPr>
      </w:pPr>
    </w:p>
    <w:p>
      <w:pPr>
        <w:pStyle w:val="2"/>
        <w:spacing w:line="240" w:lineRule="auto"/>
        <w:ind w:left="240" w:right="240" w:firstLine="321" w:firstLineChars="100"/>
        <w:rPr>
          <w:rFonts w:ascii="宋体" w:hAnsi="宋体" w:eastAsia="宋体"/>
          <w:szCs w:val="32"/>
        </w:rPr>
      </w:pPr>
      <w:r>
        <w:rPr>
          <w:rFonts w:hint="eastAsia" w:ascii="宋体" w:hAnsi="宋体" w:eastAsia="宋体"/>
          <w:szCs w:val="32"/>
        </w:rPr>
        <w:t>14、具有履行合同所必需的设备和专业技术能力（提供承诺函原件）</w:t>
      </w:r>
    </w:p>
    <w:p>
      <w:pPr>
        <w:spacing w:line="240" w:lineRule="auto"/>
        <w:ind w:firstLine="643"/>
        <w:rPr>
          <w:rFonts w:hAnsi="宋体"/>
          <w:b/>
          <w:sz w:val="32"/>
          <w:szCs w:val="32"/>
        </w:rPr>
      </w:pPr>
    </w:p>
    <w:p>
      <w:pPr>
        <w:spacing w:line="240" w:lineRule="auto"/>
        <w:ind w:firstLine="643"/>
        <w:rPr>
          <w:rFonts w:hAnsi="宋体"/>
          <w:b/>
          <w:sz w:val="32"/>
          <w:szCs w:val="32"/>
        </w:rPr>
      </w:pPr>
    </w:p>
    <w:p>
      <w:pPr>
        <w:spacing w:line="240" w:lineRule="auto"/>
        <w:ind w:firstLine="643"/>
        <w:rPr>
          <w:rFonts w:hAnsi="宋体"/>
          <w:b/>
          <w:sz w:val="32"/>
          <w:szCs w:val="32"/>
        </w:rPr>
      </w:pPr>
      <w:r>
        <w:rPr>
          <w:rFonts w:hint="eastAsia" w:hAnsi="宋体"/>
          <w:b/>
          <w:sz w:val="32"/>
          <w:szCs w:val="32"/>
        </w:rPr>
        <w:t>15、</w:t>
      </w:r>
      <w:bookmarkStart w:id="49" w:name="OLE_LINK31"/>
      <w:r>
        <w:rPr>
          <w:rFonts w:hint="eastAsia" w:hAnsi="宋体"/>
          <w:b/>
          <w:sz w:val="32"/>
          <w:szCs w:val="32"/>
        </w:rPr>
        <w:t>投标人投标时提供“国家企业信用信息公示系统”网站（http://www.gsxt.gov.cn/index.html）基础信息中的“股东及出资信息”和“主要人员信息”（提供信息查询结果界面截图，加盖投标人公章）；</w:t>
      </w:r>
    </w:p>
    <w:bookmarkEnd w:id="49"/>
    <w:p>
      <w:pPr>
        <w:pStyle w:val="2"/>
        <w:spacing w:line="240" w:lineRule="auto"/>
        <w:ind w:left="240" w:right="240" w:firstLine="321" w:firstLineChars="100"/>
        <w:rPr>
          <w:rFonts w:ascii="宋体" w:hAnsi="宋体" w:eastAsia="宋体"/>
          <w:szCs w:val="32"/>
        </w:rPr>
      </w:pPr>
    </w:p>
    <w:p>
      <w:pPr>
        <w:ind w:firstLine="2570" w:firstLineChars="800"/>
        <w:rPr>
          <w:rFonts w:hAnsi="宋体"/>
          <w:b/>
          <w:sz w:val="32"/>
          <w:szCs w:val="32"/>
        </w:rPr>
      </w:pPr>
    </w:p>
    <w:p>
      <w:pPr>
        <w:ind w:firstLine="643"/>
        <w:rPr>
          <w:rFonts w:hAnsi="宋体"/>
          <w:b/>
          <w:sz w:val="32"/>
          <w:szCs w:val="32"/>
        </w:rPr>
      </w:pPr>
      <w:r>
        <w:rPr>
          <w:rFonts w:hint="eastAsia" w:hAnsi="宋体"/>
          <w:b/>
          <w:sz w:val="32"/>
          <w:szCs w:val="32"/>
        </w:rPr>
        <w:t>16、投标时提供本项目投标被授权人近期任意一个月在投标人处缴纳的社保证明复印件；</w:t>
      </w:r>
      <w:r>
        <w:rPr>
          <w:rFonts w:hAnsi="宋体"/>
          <w:b/>
          <w:sz w:val="32"/>
          <w:szCs w:val="32"/>
        </w:rPr>
        <w:t> </w:t>
      </w:r>
    </w:p>
    <w:p>
      <w:pPr>
        <w:ind w:firstLine="2570" w:firstLineChars="800"/>
        <w:rPr>
          <w:rFonts w:hAnsi="宋体"/>
          <w:b/>
          <w:sz w:val="32"/>
          <w:szCs w:val="32"/>
        </w:rPr>
      </w:pPr>
    </w:p>
    <w:p>
      <w:pPr>
        <w:ind w:firstLine="2570" w:firstLineChars="800"/>
        <w:rPr>
          <w:rFonts w:hAnsi="宋体"/>
          <w:b/>
          <w:sz w:val="32"/>
          <w:szCs w:val="32"/>
        </w:rPr>
      </w:pPr>
    </w:p>
    <w:p>
      <w:pPr>
        <w:ind w:firstLine="2570" w:firstLineChars="800"/>
        <w:rPr>
          <w:rFonts w:hAnsi="宋体"/>
          <w:b/>
          <w:sz w:val="32"/>
          <w:szCs w:val="32"/>
        </w:rPr>
      </w:pPr>
    </w:p>
    <w:p>
      <w:pPr>
        <w:pStyle w:val="3"/>
        <w:ind w:firstLine="400"/>
      </w:pPr>
    </w:p>
    <w:p>
      <w:pPr>
        <w:spacing w:before="360" w:beforeLines="150" w:after="360" w:afterLines="150" w:line="440" w:lineRule="exact"/>
        <w:ind w:right="-480" w:rightChars="-200" w:firstLine="1606" w:firstLineChars="500"/>
        <w:rPr>
          <w:rFonts w:hAnsi="宋体"/>
          <w:b/>
          <w:sz w:val="32"/>
          <w:szCs w:val="32"/>
        </w:rPr>
      </w:pPr>
      <w:r>
        <w:rPr>
          <w:rFonts w:hAnsi="宋体"/>
          <w:b/>
          <w:sz w:val="32"/>
          <w:szCs w:val="32"/>
        </w:rPr>
        <w:t>1</w:t>
      </w:r>
      <w:r>
        <w:rPr>
          <w:rFonts w:hint="eastAsia" w:hAnsi="宋体"/>
          <w:b/>
          <w:sz w:val="32"/>
          <w:szCs w:val="32"/>
        </w:rPr>
        <w:t>7、投标人认为需要的其它材料</w:t>
      </w:r>
    </w:p>
    <w:p>
      <w:pPr>
        <w:pStyle w:val="4"/>
        <w:ind w:firstLine="2209" w:firstLineChars="500"/>
        <w:jc w:val="both"/>
      </w:pPr>
      <w:bookmarkStart w:id="50" w:name="_Toc476664380"/>
      <w:bookmarkStart w:id="51" w:name="_Toc476667951"/>
      <w:r>
        <w:rPr>
          <w:rFonts w:hint="eastAsia"/>
        </w:rPr>
        <w:t>第六章评审办法和程序</w:t>
      </w:r>
      <w:bookmarkEnd w:id="50"/>
      <w:bookmarkEnd w:id="51"/>
    </w:p>
    <w:p>
      <w:pPr>
        <w:pStyle w:val="5"/>
        <w:shd w:val="clear" w:color="auto" w:fill="FFFFFF"/>
        <w:spacing w:before="0" w:after="0" w:line="360" w:lineRule="auto"/>
        <w:ind w:firstLine="643"/>
        <w:rPr>
          <w:rFonts w:hAnsi="宋体"/>
          <w:bCs/>
          <w:szCs w:val="32"/>
        </w:rPr>
      </w:pPr>
      <w:bookmarkStart w:id="52" w:name="_Toc476643583"/>
      <w:r>
        <w:rPr>
          <w:rFonts w:hint="eastAsia" w:hAnsi="宋体"/>
          <w:bCs/>
          <w:szCs w:val="32"/>
        </w:rPr>
        <w:t xml:space="preserve">一、评审办法和步骤 </w:t>
      </w:r>
    </w:p>
    <w:p>
      <w:pPr>
        <w:pStyle w:val="5"/>
        <w:shd w:val="clear" w:color="auto" w:fill="FFFFFF"/>
        <w:spacing w:before="0" w:after="0" w:line="360" w:lineRule="auto"/>
        <w:ind w:firstLine="480"/>
        <w:rPr>
          <w:rFonts w:ascii="宋体" w:hAnsi="宋体"/>
          <w:b w:val="0"/>
          <w:sz w:val="24"/>
        </w:rPr>
      </w:pPr>
      <w:r>
        <w:rPr>
          <w:rFonts w:hint="eastAsia" w:ascii="宋体" w:hAnsi="宋体"/>
          <w:b w:val="0"/>
          <w:sz w:val="24"/>
        </w:rPr>
        <w:t>1.评标办法采用综合评分法。</w:t>
      </w:r>
    </w:p>
    <w:p>
      <w:pPr>
        <w:pStyle w:val="5"/>
        <w:shd w:val="clear" w:color="auto" w:fill="FFFFFF"/>
        <w:spacing w:before="0" w:after="0" w:line="360" w:lineRule="auto"/>
        <w:ind w:firstLine="480"/>
        <w:rPr>
          <w:rFonts w:ascii="宋体" w:hAnsi="宋体"/>
          <w:b w:val="0"/>
          <w:sz w:val="24"/>
        </w:rPr>
      </w:pPr>
      <w:r>
        <w:rPr>
          <w:rFonts w:hint="eastAsia" w:ascii="宋体" w:hAnsi="宋体"/>
          <w:b w:val="0"/>
          <w:sz w:val="24"/>
        </w:rPr>
        <w:t>2.评标步骤：先进行资格审查，然后由评标委员会进行符合性审查以及技术、商务的详细评审。只有通过资格审查、符合性审查的投标人才能进入详细评审。</w:t>
      </w:r>
    </w:p>
    <w:p>
      <w:pPr>
        <w:pStyle w:val="5"/>
        <w:shd w:val="clear" w:color="auto" w:fill="FFFFFF"/>
        <w:spacing w:before="0" w:after="0" w:line="360" w:lineRule="auto"/>
        <w:ind w:firstLine="643"/>
        <w:rPr>
          <w:rFonts w:hAnsi="宋体"/>
          <w:bCs/>
          <w:szCs w:val="32"/>
        </w:rPr>
      </w:pPr>
      <w:r>
        <w:rPr>
          <w:rFonts w:hint="eastAsia" w:hAnsi="宋体"/>
          <w:bCs/>
          <w:szCs w:val="32"/>
        </w:rPr>
        <w:t xml:space="preserve">二、资格审查 </w:t>
      </w:r>
    </w:p>
    <w:p>
      <w:pPr>
        <w:pStyle w:val="5"/>
        <w:shd w:val="clear" w:color="auto" w:fill="FFFFFF"/>
        <w:spacing w:before="0" w:after="0" w:line="360" w:lineRule="auto"/>
        <w:ind w:firstLine="480"/>
        <w:rPr>
          <w:rFonts w:ascii="宋体" w:hAnsi="宋体"/>
          <w:b w:val="0"/>
          <w:sz w:val="24"/>
        </w:rPr>
      </w:pPr>
      <w:r>
        <w:rPr>
          <w:rFonts w:hint="eastAsia" w:ascii="宋体" w:hAnsi="宋体"/>
          <w:b w:val="0"/>
          <w:sz w:val="24"/>
        </w:rPr>
        <w:t>1. 根据财政部第 87 号令第四十四条的规定，采购人、招标代理机构对投标人的资格进行审查。</w:t>
      </w:r>
    </w:p>
    <w:p>
      <w:pPr>
        <w:pStyle w:val="5"/>
        <w:shd w:val="clear" w:color="auto" w:fill="FFFFFF"/>
        <w:spacing w:before="0" w:after="0" w:line="360" w:lineRule="auto"/>
        <w:ind w:firstLine="480"/>
        <w:rPr>
          <w:rFonts w:ascii="宋体" w:hAnsi="宋体"/>
          <w:b w:val="0"/>
          <w:sz w:val="24"/>
        </w:rPr>
      </w:pPr>
      <w:r>
        <w:rPr>
          <w:rFonts w:hint="eastAsia" w:ascii="宋体" w:hAnsi="宋体"/>
          <w:b w:val="0"/>
          <w:sz w:val="24"/>
        </w:rPr>
        <w:t>2.采购人、海南政鼎招标有限公司根据“资格审查表”（附表 1）对投标人的资格性进行评审，只有对“资格评审表”（附表 1）所列各项作出实质性响应的投标文件才能通过资格评审。有以下情况的将不能通过初步评审：</w:t>
      </w:r>
    </w:p>
    <w:p>
      <w:pPr>
        <w:pStyle w:val="5"/>
        <w:shd w:val="clear" w:color="auto" w:fill="FFFFFF"/>
        <w:spacing w:before="0" w:after="0" w:line="360" w:lineRule="auto"/>
        <w:ind w:firstLine="720" w:firstLineChars="300"/>
        <w:jc w:val="left"/>
        <w:rPr>
          <w:rFonts w:ascii="宋体" w:hAnsi="宋体"/>
          <w:b w:val="0"/>
          <w:sz w:val="24"/>
        </w:rPr>
      </w:pPr>
      <w:r>
        <w:rPr>
          <w:rFonts w:hint="eastAsia" w:ascii="宋体" w:hAnsi="宋体"/>
          <w:b w:val="0"/>
          <w:sz w:val="24"/>
        </w:rPr>
        <w:t>a.投标人未能满足投标人资格要求的；</w:t>
      </w:r>
    </w:p>
    <w:p>
      <w:pPr>
        <w:pStyle w:val="5"/>
        <w:shd w:val="clear" w:color="auto" w:fill="FFFFFF"/>
        <w:spacing w:before="0" w:after="0" w:line="360" w:lineRule="auto"/>
        <w:ind w:firstLine="720" w:firstLineChars="300"/>
        <w:jc w:val="left"/>
        <w:rPr>
          <w:rFonts w:ascii="宋体" w:hAnsi="宋体"/>
          <w:b w:val="0"/>
          <w:sz w:val="24"/>
        </w:rPr>
      </w:pPr>
      <w:r>
        <w:rPr>
          <w:rFonts w:hint="eastAsia" w:ascii="宋体" w:hAnsi="宋体"/>
          <w:b w:val="0"/>
          <w:sz w:val="24"/>
        </w:rPr>
        <w:t>b.投标人未按招标文件要求的金额提交投标保证金的；</w:t>
      </w:r>
    </w:p>
    <w:p>
      <w:pPr>
        <w:pStyle w:val="5"/>
        <w:shd w:val="clear" w:color="auto" w:fill="FFFFFF"/>
        <w:spacing w:before="0" w:after="0" w:line="360" w:lineRule="auto"/>
        <w:ind w:firstLine="720" w:firstLineChars="300"/>
        <w:jc w:val="left"/>
        <w:rPr>
          <w:rFonts w:ascii="宋体" w:hAnsi="宋体"/>
          <w:b w:val="0"/>
          <w:sz w:val="24"/>
        </w:rPr>
      </w:pPr>
      <w:r>
        <w:rPr>
          <w:rFonts w:hint="eastAsia" w:ascii="宋体" w:hAnsi="宋体"/>
          <w:b w:val="0"/>
          <w:sz w:val="24"/>
        </w:rPr>
        <w:t>c.投标有效期不足的；</w:t>
      </w:r>
    </w:p>
    <w:p>
      <w:pPr>
        <w:pStyle w:val="5"/>
        <w:shd w:val="clear" w:color="auto" w:fill="FFFFFF"/>
        <w:spacing w:before="0" w:after="0" w:line="360" w:lineRule="auto"/>
        <w:ind w:firstLine="720" w:firstLineChars="300"/>
        <w:jc w:val="left"/>
        <w:rPr>
          <w:rFonts w:ascii="宋体" w:hAnsi="宋体"/>
          <w:b w:val="0"/>
          <w:sz w:val="24"/>
        </w:rPr>
      </w:pPr>
      <w:r>
        <w:rPr>
          <w:rFonts w:hint="eastAsia" w:ascii="宋体" w:hAnsi="宋体"/>
          <w:b w:val="0"/>
          <w:sz w:val="24"/>
        </w:rPr>
        <w:t>d.不符合招标文件规定的其它条件。</w:t>
      </w:r>
    </w:p>
    <w:p>
      <w:pPr>
        <w:pStyle w:val="5"/>
        <w:shd w:val="clear" w:color="auto" w:fill="FFFFFF"/>
        <w:spacing w:before="0" w:after="0" w:line="360" w:lineRule="auto"/>
        <w:ind w:firstLine="480"/>
        <w:rPr>
          <w:rFonts w:ascii="宋体" w:hAnsi="宋体"/>
          <w:b w:val="0"/>
          <w:sz w:val="24"/>
        </w:rPr>
      </w:pPr>
      <w:r>
        <w:rPr>
          <w:rFonts w:hint="eastAsia" w:ascii="宋体" w:hAnsi="宋体"/>
          <w:b w:val="0"/>
          <w:sz w:val="24"/>
        </w:rPr>
        <w:t>3．判断投标文件的响应与否只根据投标文件本身，而不寻求外部证据。</w:t>
      </w:r>
    </w:p>
    <w:p>
      <w:pPr>
        <w:pStyle w:val="5"/>
        <w:shd w:val="clear" w:color="auto" w:fill="FFFFFF"/>
        <w:spacing w:before="0" w:after="0" w:line="360" w:lineRule="auto"/>
        <w:ind w:firstLine="482"/>
        <w:rPr>
          <w:rFonts w:ascii="宋体" w:hAnsi="宋体"/>
          <w:bCs/>
          <w:sz w:val="24"/>
        </w:rPr>
      </w:pPr>
      <w:r>
        <w:rPr>
          <w:rFonts w:hint="eastAsia" w:ascii="宋体" w:hAnsi="宋体"/>
          <w:bCs/>
          <w:sz w:val="24"/>
        </w:rPr>
        <w:t xml:space="preserve">4. 通过资格审查的投标人不足三家，则本次招标失败。 </w:t>
      </w:r>
    </w:p>
    <w:p>
      <w:pPr>
        <w:pStyle w:val="5"/>
        <w:shd w:val="clear" w:color="auto" w:fill="FFFFFF"/>
        <w:spacing w:before="0" w:after="0" w:line="360" w:lineRule="auto"/>
        <w:ind w:firstLine="643"/>
        <w:rPr>
          <w:rFonts w:hAnsi="宋体"/>
          <w:bCs/>
          <w:szCs w:val="32"/>
        </w:rPr>
      </w:pPr>
      <w:r>
        <w:rPr>
          <w:rFonts w:hint="eastAsia" w:hAnsi="宋体"/>
          <w:bCs/>
          <w:szCs w:val="32"/>
        </w:rPr>
        <w:t xml:space="preserve">三、符合性审查 </w:t>
      </w:r>
    </w:p>
    <w:p>
      <w:pPr>
        <w:ind w:firstLine="480"/>
        <w:rPr>
          <w:rFonts w:hAnsi="宋体"/>
        </w:rPr>
      </w:pPr>
      <w:r>
        <w:rPr>
          <w:rFonts w:hint="eastAsia" w:hAnsi="宋体"/>
        </w:rPr>
        <w:t>1.评标委员会根据“符合性审查表” （附表 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ind w:firstLine="480"/>
        <w:rPr>
          <w:rFonts w:hAnsi="宋体"/>
        </w:rPr>
      </w:pPr>
      <w:r>
        <w:rPr>
          <w:rFonts w:hint="eastAsia" w:hAnsi="宋体"/>
        </w:rPr>
        <w:t>2．判断投标文件的响应与否只根据投标文件本身，而不寻求外部证据。</w:t>
      </w:r>
    </w:p>
    <w:p>
      <w:pPr>
        <w:ind w:firstLine="480"/>
        <w:rPr>
          <w:rFonts w:hAnsi="宋体"/>
        </w:rPr>
      </w:pPr>
      <w:r>
        <w:rPr>
          <w:rFonts w:hint="eastAsia" w:hAnsi="宋体"/>
        </w:rPr>
        <w:t>3. 评标委员会在符合性审查中，对算术错误的修正原则如下:</w:t>
      </w:r>
    </w:p>
    <w:p>
      <w:pPr>
        <w:ind w:firstLine="480"/>
        <w:rPr>
          <w:rFonts w:hAnsi="宋体"/>
        </w:rPr>
      </w:pPr>
      <w:r>
        <w:rPr>
          <w:rFonts w:hint="eastAsia" w:hAnsi="宋体"/>
        </w:rPr>
        <w:t>（1）开标一览表内容与投标文件中明细表内容不一致的，以开标一览表为准</w:t>
      </w:r>
    </w:p>
    <w:p>
      <w:pPr>
        <w:ind w:firstLine="480"/>
        <w:rPr>
          <w:rFonts w:hAnsi="宋体"/>
        </w:rPr>
      </w:pPr>
      <w:r>
        <w:rPr>
          <w:rFonts w:hint="eastAsia" w:hAnsi="宋体"/>
        </w:rPr>
        <w:t>（2）投标文件的大写金额和小写金额不一致的，以大写金额为准；</w:t>
      </w:r>
    </w:p>
    <w:p>
      <w:pPr>
        <w:ind w:firstLine="480"/>
        <w:rPr>
          <w:rFonts w:hAnsi="宋体"/>
        </w:rPr>
      </w:pPr>
      <w:r>
        <w:rPr>
          <w:rFonts w:hint="eastAsia" w:hAnsi="宋体"/>
        </w:rPr>
        <w:t>（3）总价金额与按单价汇总金额不一致的，以单价金额计算结果为准；</w:t>
      </w:r>
    </w:p>
    <w:p>
      <w:pPr>
        <w:ind w:firstLine="480"/>
        <w:rPr>
          <w:rFonts w:hAnsi="宋体"/>
        </w:rPr>
      </w:pPr>
      <w:r>
        <w:rPr>
          <w:rFonts w:hint="eastAsia" w:hAnsi="宋体"/>
        </w:rPr>
        <w:t>（4）单价金额小数点有明显错位的，以总价为准并修改单价。</w:t>
      </w:r>
    </w:p>
    <w:p>
      <w:pPr>
        <w:ind w:firstLine="480"/>
        <w:rPr>
          <w:rFonts w:hAnsi="宋体"/>
        </w:rPr>
      </w:pPr>
      <w:r>
        <w:rPr>
          <w:rFonts w:hint="eastAsia" w:hAnsi="宋体"/>
        </w:rPr>
        <w:t>（5）若投标人不同意以上修正，投标文件将视为无效。</w:t>
      </w:r>
    </w:p>
    <w:p>
      <w:pPr>
        <w:ind w:firstLine="480"/>
        <w:rPr>
          <w:rFonts w:hAnsi="宋体"/>
        </w:rPr>
      </w:pPr>
      <w:r>
        <w:rPr>
          <w:rFonts w:hint="eastAsia" w:hAnsi="宋体"/>
        </w:rPr>
        <w:t>4.评标委员会认为投标人的报价明显低于其他通过符合性审查投标人的报价，有可能影响产品质量或者不能诚信履约的，将要求其在评标现场接到通知后 20 分钟内提供书面说明，必要时提交相关证明材料。投标人不能证明其报价合理性的，评标委员会将其作为无效投标处理。</w:t>
      </w:r>
    </w:p>
    <w:p>
      <w:pPr>
        <w:ind w:firstLine="482"/>
        <w:rPr>
          <w:rFonts w:hAnsi="宋体"/>
          <w:b/>
          <w:bCs/>
        </w:rPr>
      </w:pPr>
      <w:r>
        <w:rPr>
          <w:rFonts w:hint="eastAsia" w:hAnsi="宋体"/>
          <w:b/>
          <w:bCs/>
        </w:rPr>
        <w:t>5.通过符合性审查的投标人不足三家，则本次招标失败。</w:t>
      </w:r>
    </w:p>
    <w:p>
      <w:pPr>
        <w:ind w:firstLine="321" w:firstLineChars="100"/>
        <w:rPr>
          <w:rFonts w:hAnsi="宋体"/>
          <w:b/>
          <w:bCs/>
        </w:rPr>
      </w:pPr>
      <w:r>
        <w:rPr>
          <w:rFonts w:hint="eastAsia" w:ascii="Times New Roman" w:hAnsi="宋体"/>
          <w:b/>
          <w:bCs/>
          <w:sz w:val="32"/>
          <w:szCs w:val="32"/>
        </w:rPr>
        <w:t xml:space="preserve">四、详细评审 </w:t>
      </w:r>
    </w:p>
    <w:p>
      <w:pPr>
        <w:ind w:firstLine="480"/>
        <w:rPr>
          <w:rFonts w:hAnsi="宋体"/>
        </w:rPr>
      </w:pPr>
      <w:r>
        <w:rPr>
          <w:rFonts w:hint="eastAsia" w:hAnsi="宋体"/>
        </w:rPr>
        <w:t>1. 评标委员会根据评审办法对通过初步评审的投标文件进行详细评审，并进行技术和商务的评审打分。</w:t>
      </w:r>
    </w:p>
    <w:p>
      <w:pPr>
        <w:ind w:firstLine="480"/>
        <w:rPr>
          <w:rFonts w:hAnsi="宋体"/>
        </w:rPr>
      </w:pPr>
      <w:r>
        <w:rPr>
          <w:rFonts w:hint="eastAsia" w:hAnsi="宋体"/>
        </w:rPr>
        <w:t>2. 技术、商务评分：具体评审的内容详见（附表 3）；</w:t>
      </w:r>
    </w:p>
    <w:p>
      <w:pPr>
        <w:shd w:val="clear" w:color="auto" w:fill="FFFFFF"/>
        <w:tabs>
          <w:tab w:val="left" w:pos="720"/>
        </w:tabs>
        <w:snapToGrid w:val="0"/>
        <w:ind w:firstLine="480"/>
      </w:pPr>
      <w:r>
        <w:rPr>
          <w:rFonts w:hAnsi="宋体"/>
        </w:rPr>
        <w:t>3.</w:t>
      </w:r>
      <w:r>
        <w:rPr>
          <w:rFonts w:hint="eastAsia" w:hAnsi="宋体"/>
        </w:rPr>
        <w:t>价格</w:t>
      </w:r>
      <w:r>
        <w:rPr>
          <w:rFonts w:hint="eastAsia"/>
        </w:rPr>
        <w:t>分统一采用低价优先法计算，将通过初步评审的所有投标人的投标价格，即满足招标文件要求且价格最低的投标价为基准价，其价格分为满分。其他投标人的价格分统一按照下列公式计算：</w:t>
      </w:r>
    </w:p>
    <w:p>
      <w:pPr>
        <w:shd w:val="clear" w:color="auto" w:fill="FFFFFF"/>
        <w:tabs>
          <w:tab w:val="left" w:pos="720"/>
        </w:tabs>
        <w:snapToGrid w:val="0"/>
        <w:ind w:firstLine="720" w:firstLineChars="300"/>
        <w:rPr>
          <w:rFonts w:hAnsi="宋体"/>
        </w:rPr>
      </w:pPr>
      <w:r>
        <w:rPr>
          <w:rFonts w:hint="eastAsia" w:hAnsi="宋体"/>
        </w:rPr>
        <w:t>价格分=(基准价／投标报价)×价格权值×100</w:t>
      </w:r>
    </w:p>
    <w:p>
      <w:pPr>
        <w:shd w:val="clear" w:color="auto" w:fill="FFFFFF"/>
        <w:tabs>
          <w:tab w:val="left" w:pos="720"/>
        </w:tabs>
        <w:snapToGrid w:val="0"/>
        <w:ind w:firstLine="480"/>
        <w:rPr>
          <w:rFonts w:hAnsi="宋体"/>
        </w:rPr>
      </w:pPr>
      <w:r>
        <w:rPr>
          <w:rFonts w:hAnsi="宋体"/>
        </w:rPr>
        <w:t>4.</w:t>
      </w:r>
      <w:r>
        <w:rPr>
          <w:rFonts w:hint="eastAsia" w:hAnsi="宋体"/>
        </w:rPr>
        <w:t>服务及价格权重分配</w:t>
      </w:r>
    </w:p>
    <w:tbl>
      <w:tblPr>
        <w:tblStyle w:val="15"/>
        <w:tblW w:w="4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4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00" w:type="dxa"/>
            <w:vAlign w:val="center"/>
          </w:tcPr>
          <w:p>
            <w:pPr>
              <w:shd w:val="clear" w:color="auto" w:fill="FFFFFF"/>
              <w:snapToGrid w:val="0"/>
              <w:ind w:firstLine="198" w:firstLineChars="82"/>
              <w:jc w:val="center"/>
              <w:rPr>
                <w:rFonts w:hAnsi="宋体"/>
                <w:b/>
              </w:rPr>
            </w:pPr>
            <w:r>
              <w:rPr>
                <w:rFonts w:hint="eastAsia" w:hAnsi="宋体"/>
                <w:b/>
              </w:rPr>
              <w:t>评估因素</w:t>
            </w:r>
          </w:p>
        </w:tc>
        <w:tc>
          <w:tcPr>
            <w:tcW w:w="1646" w:type="dxa"/>
            <w:vAlign w:val="center"/>
          </w:tcPr>
          <w:p>
            <w:pPr>
              <w:shd w:val="clear" w:color="auto" w:fill="FFFFFF"/>
              <w:snapToGrid w:val="0"/>
              <w:ind w:firstLine="0" w:firstLineChars="0"/>
              <w:jc w:val="center"/>
              <w:rPr>
                <w:rFonts w:hAnsi="宋体"/>
                <w:b/>
              </w:rPr>
            </w:pPr>
            <w:r>
              <w:rPr>
                <w:rFonts w:hint="eastAsia" w:hAnsi="宋体"/>
                <w:b/>
              </w:rPr>
              <w:t>技术商务</w:t>
            </w:r>
          </w:p>
        </w:tc>
        <w:tc>
          <w:tcPr>
            <w:tcW w:w="1260" w:type="dxa"/>
            <w:vAlign w:val="center"/>
          </w:tcPr>
          <w:p>
            <w:pPr>
              <w:shd w:val="clear" w:color="auto" w:fill="FFFFFF"/>
              <w:snapToGrid w:val="0"/>
              <w:ind w:firstLine="0" w:firstLineChars="0"/>
              <w:jc w:val="center"/>
              <w:rPr>
                <w:rFonts w:hAnsi="宋体"/>
                <w:b/>
              </w:rPr>
            </w:pPr>
            <w:r>
              <w:rPr>
                <w:rFonts w:hint="eastAsia" w:hAnsi="宋体"/>
                <w:b/>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800" w:type="dxa"/>
            <w:vAlign w:val="center"/>
          </w:tcPr>
          <w:p>
            <w:pPr>
              <w:shd w:val="clear" w:color="auto" w:fill="FFFFFF"/>
              <w:snapToGrid w:val="0"/>
              <w:ind w:firstLine="0" w:firstLineChars="0"/>
              <w:jc w:val="center"/>
              <w:rPr>
                <w:rFonts w:hAnsi="宋体"/>
              </w:rPr>
            </w:pPr>
            <w:r>
              <w:rPr>
                <w:rFonts w:hint="eastAsia" w:hAnsi="宋体"/>
              </w:rPr>
              <w:t>权重</w:t>
            </w:r>
          </w:p>
        </w:tc>
        <w:tc>
          <w:tcPr>
            <w:tcW w:w="1646" w:type="dxa"/>
            <w:vAlign w:val="center"/>
          </w:tcPr>
          <w:p>
            <w:pPr>
              <w:shd w:val="clear" w:color="auto" w:fill="FFFFFF"/>
              <w:snapToGrid w:val="0"/>
              <w:ind w:firstLine="0" w:firstLineChars="0"/>
              <w:jc w:val="center"/>
              <w:rPr>
                <w:rFonts w:hAnsi="宋体"/>
              </w:rPr>
            </w:pPr>
            <w:r>
              <w:rPr>
                <w:rFonts w:hint="eastAsia" w:hAnsi="宋体"/>
              </w:rPr>
              <w:t>7</w:t>
            </w:r>
            <w:r>
              <w:rPr>
                <w:rFonts w:hAnsi="宋体"/>
              </w:rPr>
              <w:t>0%</w:t>
            </w:r>
          </w:p>
        </w:tc>
        <w:tc>
          <w:tcPr>
            <w:tcW w:w="1260" w:type="dxa"/>
            <w:vAlign w:val="center"/>
          </w:tcPr>
          <w:p>
            <w:pPr>
              <w:shd w:val="clear" w:color="auto" w:fill="FFFFFF"/>
              <w:snapToGrid w:val="0"/>
              <w:ind w:firstLine="0" w:firstLineChars="0"/>
              <w:jc w:val="center"/>
              <w:rPr>
                <w:rFonts w:hAnsi="宋体"/>
              </w:rPr>
            </w:pPr>
            <w:r>
              <w:rPr>
                <w:rFonts w:hint="eastAsia" w:hAnsi="宋体"/>
              </w:rPr>
              <w:t>3</w:t>
            </w:r>
            <w:r>
              <w:rPr>
                <w:rFonts w:hAnsi="宋体"/>
              </w:rPr>
              <w:t>0%</w:t>
            </w:r>
          </w:p>
        </w:tc>
      </w:tr>
    </w:tbl>
    <w:p>
      <w:pPr>
        <w:shd w:val="clear" w:color="auto" w:fill="FFFFFF"/>
        <w:tabs>
          <w:tab w:val="left" w:pos="720"/>
        </w:tabs>
        <w:snapToGrid w:val="0"/>
        <w:ind w:firstLine="480"/>
        <w:rPr>
          <w:rFonts w:hAnsi="宋体"/>
        </w:rPr>
      </w:pPr>
    </w:p>
    <w:p>
      <w:pPr>
        <w:ind w:firstLine="480"/>
        <w:rPr>
          <w:rFonts w:hAnsi="宋体"/>
        </w:rPr>
      </w:pPr>
      <w:r>
        <w:rPr>
          <w:rFonts w:hint="eastAsia" w:hAnsi="宋体"/>
        </w:rPr>
        <w:t>5.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r>
        <w:rPr>
          <w:rFonts w:hAnsi="宋体"/>
          <w:b/>
          <w:sz w:val="36"/>
          <w:szCs w:val="36"/>
        </w:rPr>
        <w:br w:type="page"/>
      </w:r>
    </w:p>
    <w:bookmarkEnd w:id="52"/>
    <w:p>
      <w:pPr>
        <w:shd w:val="clear" w:color="auto" w:fill="FFFFFF"/>
        <w:tabs>
          <w:tab w:val="left" w:pos="720"/>
        </w:tabs>
        <w:snapToGrid w:val="0"/>
        <w:ind w:firstLine="0" w:firstLineChars="0"/>
        <w:rPr>
          <w:rFonts w:hAnsi="宋体"/>
          <w:b/>
          <w:sz w:val="36"/>
          <w:szCs w:val="36"/>
        </w:rPr>
      </w:pPr>
      <w:r>
        <w:rPr>
          <w:rFonts w:hint="eastAsia" w:hAnsi="宋体"/>
          <w:b/>
          <w:sz w:val="36"/>
          <w:szCs w:val="36"/>
        </w:rPr>
        <w:t>附表</w:t>
      </w:r>
      <w:r>
        <w:rPr>
          <w:rFonts w:hAnsi="宋体"/>
          <w:b/>
          <w:sz w:val="36"/>
          <w:szCs w:val="36"/>
        </w:rPr>
        <w:t xml:space="preserve">1             </w:t>
      </w:r>
      <w:r>
        <w:rPr>
          <w:rFonts w:hint="eastAsia" w:hAnsi="宋体"/>
          <w:b/>
          <w:sz w:val="36"/>
          <w:szCs w:val="36"/>
        </w:rPr>
        <w:t>资格审查表</w:t>
      </w:r>
    </w:p>
    <w:p>
      <w:pPr>
        <w:shd w:val="clear" w:color="auto" w:fill="FFFFFF"/>
        <w:tabs>
          <w:tab w:val="left" w:pos="720"/>
        </w:tabs>
        <w:snapToGrid w:val="0"/>
        <w:ind w:firstLine="0" w:firstLineChars="0"/>
        <w:rPr>
          <w:rFonts w:hAnsi="宋体"/>
          <w:b/>
          <w:sz w:val="36"/>
          <w:szCs w:val="36"/>
        </w:rPr>
      </w:pPr>
    </w:p>
    <w:p>
      <w:pPr>
        <w:shd w:val="clear" w:color="auto" w:fill="FFFFFF"/>
        <w:snapToGrid w:val="0"/>
        <w:ind w:left="1200" w:hanging="1200" w:hangingChars="500"/>
        <w:rPr>
          <w:rFonts w:hAnsi="宋体"/>
          <w:u w:val="single"/>
        </w:rPr>
      </w:pPr>
      <w:r>
        <w:rPr>
          <w:rFonts w:hint="eastAsia" w:hAnsi="宋体"/>
        </w:rPr>
        <w:t>项目名称：</w:t>
      </w:r>
      <w:r>
        <w:rPr>
          <w:rFonts w:hint="eastAsia" w:hAnsi="宋体"/>
          <w:u w:val="single"/>
        </w:rPr>
        <w:t>化工学院“双一流”特色优势学科建设项目</w:t>
      </w:r>
    </w:p>
    <w:p>
      <w:pPr>
        <w:shd w:val="clear" w:color="auto" w:fill="FFFFFF"/>
        <w:ind w:firstLine="0" w:firstLineChars="0"/>
        <w:rPr>
          <w:rFonts w:hAnsi="宋体"/>
          <w:u w:val="single"/>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628</w:t>
      </w:r>
    </w:p>
    <w:p>
      <w:pPr>
        <w:shd w:val="clear" w:color="auto" w:fill="FFFFFF"/>
        <w:ind w:firstLine="0" w:firstLineChars="0"/>
      </w:pPr>
      <w:bookmarkStart w:id="53" w:name="OLE_LINK2"/>
      <w:r>
        <w:rPr>
          <w:rFonts w:hint="eastAsia" w:hAnsi="宋体"/>
        </w:rPr>
        <w:t>包号：A-C包</w:t>
      </w:r>
      <w:bookmarkEnd w:id="53"/>
    </w:p>
    <w:tbl>
      <w:tblPr>
        <w:tblStyle w:val="15"/>
        <w:tblW w:w="901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1779"/>
        <w:gridCol w:w="3380"/>
        <w:gridCol w:w="1068"/>
        <w:gridCol w:w="1068"/>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1" w:type="dxa"/>
            <w:tcBorders>
              <w:top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序号</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审查项目</w:t>
            </w:r>
          </w:p>
        </w:tc>
        <w:tc>
          <w:tcPr>
            <w:tcW w:w="33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评议内容</w:t>
            </w:r>
            <w:r>
              <w:rPr>
                <w:rFonts w:hint="eastAsia" w:hAnsi="宋体"/>
                <w:sz w:val="22"/>
              </w:rPr>
              <w:t>（无效投标认定条件）</w:t>
            </w:r>
          </w:p>
        </w:tc>
        <w:tc>
          <w:tcPr>
            <w:tcW w:w="106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rFonts w:hAnsi="宋体"/>
                <w:b/>
                <w:sz w:val="22"/>
              </w:rPr>
            </w:pPr>
            <w:r>
              <w:rPr>
                <w:rFonts w:hint="eastAsia" w:hAnsi="宋体"/>
                <w:b/>
                <w:sz w:val="22"/>
              </w:rPr>
              <w:t>投标人</w:t>
            </w:r>
            <w:r>
              <w:rPr>
                <w:rFonts w:hAnsi="宋体"/>
                <w:b/>
                <w:sz w:val="22"/>
              </w:rPr>
              <w:t>1</w:t>
            </w:r>
          </w:p>
        </w:tc>
        <w:tc>
          <w:tcPr>
            <w:tcW w:w="106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sz w:val="22"/>
              </w:rPr>
            </w:pPr>
            <w:r>
              <w:rPr>
                <w:rFonts w:hint="eastAsia" w:hAnsi="宋体"/>
                <w:b/>
                <w:sz w:val="22"/>
              </w:rPr>
              <w:t>投标人</w:t>
            </w:r>
            <w:r>
              <w:rPr>
                <w:rFonts w:hAnsi="宋体"/>
                <w:b/>
                <w:sz w:val="22"/>
              </w:rPr>
              <w:t>2</w:t>
            </w:r>
          </w:p>
        </w:tc>
        <w:tc>
          <w:tcPr>
            <w:tcW w:w="1081" w:type="dxa"/>
            <w:tcBorders>
              <w:top w:val="single" w:color="auto" w:sz="4" w:space="0"/>
              <w:left w:val="single" w:color="auto" w:sz="4" w:space="0"/>
              <w:bottom w:val="single" w:color="auto" w:sz="4" w:space="0"/>
            </w:tcBorders>
            <w:vAlign w:val="center"/>
          </w:tcPr>
          <w:p>
            <w:pPr>
              <w:shd w:val="clear" w:color="auto" w:fill="FFFFFF"/>
              <w:snapToGrid w:val="0"/>
              <w:ind w:firstLine="0" w:firstLineChars="0"/>
              <w:jc w:val="center"/>
              <w:rPr>
                <w:sz w:val="22"/>
              </w:rPr>
            </w:pPr>
            <w:r>
              <w:rPr>
                <w:rFonts w:hint="eastAsia" w:hAnsi="宋体"/>
                <w:b/>
                <w:sz w:val="22"/>
              </w:rPr>
              <w:t>投标人</w:t>
            </w:r>
            <w:r>
              <w:rPr>
                <w:rFonts w:hAnsi="宋体"/>
                <w:b/>
                <w:sz w:val="22"/>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Ansi="宋体"/>
              </w:rPr>
              <w:t>1</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ascii="Tahoma" w:hAnsi="Tahoma"/>
              </w:rPr>
              <w:t>投标人</w:t>
            </w:r>
            <w:r>
              <w:rPr>
                <w:rFonts w:hint="eastAsia" w:hAnsi="宋体"/>
              </w:rPr>
              <w:t>的资格</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是否符合投标</w:t>
            </w:r>
            <w:r>
              <w:rPr>
                <w:rFonts w:hint="eastAsia" w:ascii="Tahoma" w:hAnsi="Tahoma"/>
              </w:rPr>
              <w:t>人基本</w:t>
            </w:r>
            <w:r>
              <w:rPr>
                <w:rFonts w:hint="eastAsia" w:hAnsi="宋体"/>
              </w:rPr>
              <w:t>要求</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2</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保证金</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是否提交保证金的</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3</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投标有效期</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是否满足招标文件要求</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4</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投标报价</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是否超过最高限价或预算金额</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00" w:type="dxa"/>
            <w:gridSpan w:val="3"/>
            <w:tcBorders>
              <w:top w:val="single" w:color="auto" w:sz="4" w:space="0"/>
              <w:bottom w:val="single" w:color="auto" w:sz="4" w:space="0"/>
              <w:right w:val="single" w:color="auto" w:sz="4" w:space="0"/>
            </w:tcBorders>
          </w:tcPr>
          <w:p>
            <w:pPr>
              <w:shd w:val="clear" w:color="auto" w:fill="FFFFFF"/>
              <w:spacing w:line="480" w:lineRule="exact"/>
              <w:ind w:firstLine="482"/>
              <w:jc w:val="center"/>
              <w:rPr>
                <w:rFonts w:hAnsi="宋体"/>
              </w:rPr>
            </w:pPr>
            <w:r>
              <w:rPr>
                <w:rFonts w:hint="eastAsia" w:hAnsi="宋体"/>
                <w:b/>
              </w:rPr>
              <w:t>结论</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bl>
    <w:p>
      <w:pPr>
        <w:shd w:val="clear" w:color="auto" w:fill="FFFFFF"/>
        <w:spacing w:line="480" w:lineRule="exact"/>
        <w:ind w:firstLine="0" w:firstLineChars="0"/>
        <w:rPr>
          <w:rFonts w:hAnsi="宋体"/>
          <w:szCs w:val="21"/>
        </w:rPr>
      </w:pPr>
      <w:r>
        <w:rPr>
          <w:rFonts w:hAnsi="宋体"/>
          <w:szCs w:val="21"/>
        </w:rPr>
        <w:t>1</w:t>
      </w:r>
      <w:r>
        <w:rPr>
          <w:rFonts w:hint="eastAsia" w:hAnsi="宋体"/>
          <w:szCs w:val="21"/>
        </w:rPr>
        <w:t>、表中只需填写“√</w:t>
      </w:r>
      <w:r>
        <w:rPr>
          <w:rFonts w:hAnsi="宋体"/>
          <w:szCs w:val="21"/>
        </w:rPr>
        <w:t>/</w:t>
      </w:r>
      <w:r>
        <w:rPr>
          <w:rFonts w:hint="eastAsia" w:hAnsi="宋体"/>
          <w:szCs w:val="21"/>
        </w:rPr>
        <w:t>通过”或“×</w:t>
      </w:r>
      <w:r>
        <w:rPr>
          <w:rFonts w:hAnsi="宋体"/>
          <w:szCs w:val="21"/>
        </w:rPr>
        <w:t>/</w:t>
      </w:r>
      <w:r>
        <w:rPr>
          <w:rFonts w:hint="eastAsia" w:hAnsi="宋体"/>
          <w:szCs w:val="21"/>
        </w:rPr>
        <w:t>不通过”。</w:t>
      </w:r>
    </w:p>
    <w:p>
      <w:pPr>
        <w:shd w:val="clear" w:color="auto" w:fill="FFFFFF"/>
        <w:spacing w:line="480" w:lineRule="exact"/>
        <w:ind w:firstLine="0" w:firstLineChars="0"/>
        <w:rPr>
          <w:rFonts w:hAnsi="宋体"/>
          <w:szCs w:val="21"/>
        </w:rPr>
      </w:pPr>
      <w:r>
        <w:rPr>
          <w:rFonts w:hAnsi="宋体"/>
          <w:szCs w:val="21"/>
        </w:rPr>
        <w:t>2</w:t>
      </w:r>
      <w:r>
        <w:rPr>
          <w:rFonts w:hint="eastAsia" w:hAnsi="宋体"/>
          <w:szCs w:val="21"/>
        </w:rPr>
        <w:t>、在结论中按“一项否决”的原则，只有全部是√</w:t>
      </w:r>
      <w:r>
        <w:rPr>
          <w:rFonts w:hAnsi="宋体"/>
          <w:szCs w:val="21"/>
        </w:rPr>
        <w:t>/</w:t>
      </w:r>
      <w:r>
        <w:rPr>
          <w:rFonts w:hint="eastAsia" w:hAnsi="宋体"/>
          <w:szCs w:val="21"/>
        </w:rPr>
        <w:t>通过的，填写“合格”；只要其中有一项是×</w:t>
      </w:r>
      <w:r>
        <w:rPr>
          <w:rFonts w:hAnsi="宋体"/>
          <w:szCs w:val="21"/>
        </w:rPr>
        <w:t>/</w:t>
      </w:r>
      <w:r>
        <w:rPr>
          <w:rFonts w:hint="eastAsia" w:hAnsi="宋体"/>
          <w:szCs w:val="21"/>
        </w:rPr>
        <w:t>不通过的，填写“不合格”。</w:t>
      </w:r>
    </w:p>
    <w:p>
      <w:pPr>
        <w:shd w:val="clear" w:color="auto" w:fill="FFFFFF"/>
        <w:spacing w:line="480" w:lineRule="exact"/>
        <w:ind w:firstLine="0" w:firstLineChars="0"/>
        <w:rPr>
          <w:rFonts w:hAnsi="宋体"/>
          <w:szCs w:val="21"/>
        </w:rPr>
      </w:pPr>
      <w:r>
        <w:rPr>
          <w:rFonts w:hAnsi="宋体"/>
          <w:szCs w:val="21"/>
        </w:rPr>
        <w:t>3</w:t>
      </w:r>
      <w:r>
        <w:rPr>
          <w:rFonts w:hint="eastAsia" w:hAnsi="宋体"/>
          <w:szCs w:val="21"/>
        </w:rPr>
        <w:t>、结论是合格的，才能进入下一轮；不合格的被淘汰。</w:t>
      </w:r>
    </w:p>
    <w:p>
      <w:pPr>
        <w:shd w:val="clear" w:color="auto" w:fill="FFFFFF"/>
        <w:spacing w:line="480" w:lineRule="exact"/>
        <w:ind w:firstLine="480"/>
        <w:rPr>
          <w:rFonts w:hAnsi="宋体"/>
          <w:szCs w:val="21"/>
        </w:rPr>
      </w:pPr>
    </w:p>
    <w:p>
      <w:pPr>
        <w:shd w:val="clear" w:color="auto" w:fill="FFFFFF"/>
        <w:spacing w:line="480" w:lineRule="exact"/>
        <w:ind w:firstLine="0" w:firstLineChars="0"/>
        <w:rPr>
          <w:rFonts w:hAnsi="宋体"/>
          <w:szCs w:val="21"/>
        </w:rPr>
      </w:pPr>
    </w:p>
    <w:p>
      <w:pPr>
        <w:shd w:val="clear" w:color="auto" w:fill="FFFFFF"/>
        <w:spacing w:line="480" w:lineRule="exact"/>
        <w:ind w:firstLine="0" w:firstLineChars="0"/>
        <w:rPr>
          <w:rFonts w:hAnsi="宋体"/>
          <w:szCs w:val="21"/>
        </w:rPr>
      </w:pPr>
      <w:r>
        <w:rPr>
          <w:rFonts w:hint="eastAsia" w:hAnsi="宋体"/>
          <w:szCs w:val="21"/>
        </w:rPr>
        <w:t>采购人代表：                         招标代理机构代表：</w:t>
      </w:r>
    </w:p>
    <w:p>
      <w:pPr>
        <w:shd w:val="clear" w:color="auto" w:fill="FFFFFF"/>
        <w:spacing w:line="480" w:lineRule="exact"/>
        <w:ind w:firstLine="480"/>
        <w:rPr>
          <w:rFonts w:hAnsi="宋体"/>
          <w:szCs w:val="21"/>
        </w:rPr>
      </w:pPr>
    </w:p>
    <w:p>
      <w:pPr>
        <w:shd w:val="clear" w:color="auto" w:fill="FFFFFF"/>
        <w:ind w:firstLine="720" w:firstLineChars="300"/>
      </w:pPr>
    </w:p>
    <w:p>
      <w:pPr>
        <w:shd w:val="clear" w:color="auto" w:fill="FFFFFF"/>
        <w:ind w:firstLine="480"/>
      </w:pPr>
    </w:p>
    <w:p>
      <w:pPr>
        <w:shd w:val="clear" w:color="auto" w:fill="FFFFFF"/>
        <w:ind w:firstLine="480"/>
      </w:pPr>
    </w:p>
    <w:p>
      <w:pPr>
        <w:shd w:val="clear" w:color="auto" w:fill="FFFFFF"/>
        <w:snapToGrid w:val="0"/>
        <w:spacing w:after="100" w:afterAutospacing="1" w:line="240" w:lineRule="auto"/>
        <w:ind w:firstLine="4080" w:firstLineChars="1700"/>
        <w:jc w:val="both"/>
        <w:rPr>
          <w:rFonts w:hAnsi="宋体"/>
          <w:szCs w:val="21"/>
        </w:rPr>
      </w:pPr>
      <w:r>
        <w:rPr>
          <w:rFonts w:hint="eastAsia" w:hAnsi="宋体"/>
          <w:szCs w:val="21"/>
        </w:rPr>
        <w:t xml:space="preserve"> 海南政鼎招标代理有限公司</w:t>
      </w:r>
    </w:p>
    <w:p>
      <w:pPr>
        <w:shd w:val="clear" w:color="auto" w:fill="FFFFFF"/>
        <w:snapToGrid w:val="0"/>
        <w:spacing w:after="100" w:afterAutospacing="1" w:line="240" w:lineRule="auto"/>
        <w:ind w:firstLine="4800" w:firstLineChars="2000"/>
        <w:jc w:val="both"/>
        <w:rPr>
          <w:rFonts w:hAnsi="宋体"/>
          <w:szCs w:val="21"/>
        </w:rPr>
      </w:pPr>
      <w:r>
        <w:rPr>
          <w:rFonts w:hint="eastAsia" w:hAnsi="宋体"/>
          <w:szCs w:val="21"/>
        </w:rPr>
        <w:t>2020年  月  日</w:t>
      </w:r>
    </w:p>
    <w:p>
      <w:pPr>
        <w:shd w:val="clear" w:color="auto" w:fill="FFFFFF"/>
        <w:snapToGrid w:val="0"/>
        <w:spacing w:after="100" w:afterAutospacing="1"/>
        <w:ind w:firstLine="0" w:firstLineChars="0"/>
        <w:jc w:val="both"/>
        <w:rPr>
          <w:rFonts w:hAnsi="宋体"/>
          <w:b/>
          <w:sz w:val="36"/>
          <w:szCs w:val="36"/>
        </w:rPr>
      </w:pPr>
    </w:p>
    <w:p>
      <w:pPr>
        <w:shd w:val="clear" w:color="auto" w:fill="FFFFFF"/>
        <w:snapToGrid w:val="0"/>
        <w:spacing w:after="100" w:afterAutospacing="1"/>
        <w:ind w:firstLine="0" w:firstLineChars="0"/>
        <w:jc w:val="both"/>
        <w:rPr>
          <w:rFonts w:hAnsi="宋体"/>
          <w:b/>
          <w:sz w:val="36"/>
          <w:szCs w:val="36"/>
        </w:rPr>
      </w:pPr>
      <w:r>
        <w:rPr>
          <w:rFonts w:hint="eastAsia" w:hAnsi="宋体"/>
          <w:b/>
          <w:sz w:val="36"/>
          <w:szCs w:val="36"/>
        </w:rPr>
        <w:t>附表</w:t>
      </w:r>
      <w:r>
        <w:rPr>
          <w:rFonts w:hAnsi="宋体"/>
          <w:b/>
          <w:sz w:val="36"/>
          <w:szCs w:val="36"/>
        </w:rPr>
        <w:t xml:space="preserve">2             </w:t>
      </w:r>
      <w:r>
        <w:rPr>
          <w:rFonts w:hint="eastAsia" w:hAnsi="宋体"/>
          <w:b/>
          <w:sz w:val="36"/>
          <w:szCs w:val="36"/>
        </w:rPr>
        <w:t>符合性审查表</w:t>
      </w:r>
    </w:p>
    <w:p>
      <w:pPr>
        <w:shd w:val="clear" w:color="auto" w:fill="FFFFFF"/>
        <w:snapToGrid w:val="0"/>
        <w:ind w:left="1200" w:hanging="1200" w:hangingChars="500"/>
        <w:rPr>
          <w:rFonts w:hAnsi="宋体"/>
          <w:u w:val="single"/>
        </w:rPr>
      </w:pPr>
      <w:r>
        <w:rPr>
          <w:rFonts w:hint="eastAsia" w:hAnsi="宋体"/>
        </w:rPr>
        <w:t>项目名称：</w:t>
      </w:r>
      <w:r>
        <w:rPr>
          <w:rFonts w:hint="eastAsia" w:hAnsi="宋体"/>
          <w:u w:val="single"/>
        </w:rPr>
        <w:t>化工学院“双一流”特色优势学科建设项目</w:t>
      </w:r>
    </w:p>
    <w:p>
      <w:pPr>
        <w:shd w:val="clear" w:color="auto" w:fill="FFFFFF"/>
        <w:ind w:firstLine="0" w:firstLineChars="0"/>
        <w:rPr>
          <w:rFonts w:hAnsi="宋体"/>
          <w:u w:val="single"/>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628</w:t>
      </w:r>
    </w:p>
    <w:p>
      <w:pPr>
        <w:shd w:val="clear" w:color="auto" w:fill="FFFFFF"/>
        <w:ind w:firstLine="0" w:firstLineChars="0"/>
        <w:rPr>
          <w:rFonts w:hAnsi="宋体" w:cs="Tahoma"/>
        </w:rPr>
      </w:pPr>
      <w:r>
        <w:rPr>
          <w:rFonts w:hint="eastAsia" w:hAnsi="宋体"/>
        </w:rPr>
        <w:t>包号：A-C包</w:t>
      </w:r>
    </w:p>
    <w:tbl>
      <w:tblPr>
        <w:tblStyle w:val="15"/>
        <w:tblW w:w="94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1926"/>
        <w:gridCol w:w="3704"/>
        <w:gridCol w:w="1021"/>
        <w:gridCol w:w="1020"/>
        <w:gridCol w:w="1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41" w:type="dxa"/>
            <w:tcBorders>
              <w:top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序号</w:t>
            </w:r>
          </w:p>
        </w:tc>
        <w:tc>
          <w:tcPr>
            <w:tcW w:w="192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审查项目</w:t>
            </w:r>
          </w:p>
        </w:tc>
        <w:tc>
          <w:tcPr>
            <w:tcW w:w="370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评议内容</w:t>
            </w:r>
            <w:r>
              <w:rPr>
                <w:rFonts w:hint="eastAsia" w:hAnsi="宋体"/>
                <w:sz w:val="22"/>
              </w:rPr>
              <w:t>（无效投标认定条件）</w:t>
            </w:r>
          </w:p>
        </w:tc>
        <w:tc>
          <w:tcPr>
            <w:tcW w:w="102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rFonts w:hAnsi="宋体"/>
                <w:b/>
                <w:sz w:val="22"/>
              </w:rPr>
            </w:pPr>
            <w:r>
              <w:rPr>
                <w:rFonts w:hint="eastAsia" w:hAnsi="宋体"/>
                <w:b/>
                <w:sz w:val="22"/>
              </w:rPr>
              <w:t>投标人</w:t>
            </w:r>
            <w:r>
              <w:rPr>
                <w:rFonts w:hAnsi="宋体"/>
                <w:b/>
                <w:sz w:val="22"/>
              </w:rPr>
              <w:t>1</w:t>
            </w:r>
          </w:p>
        </w:tc>
        <w:tc>
          <w:tcPr>
            <w:tcW w:w="102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sz w:val="22"/>
              </w:rPr>
            </w:pPr>
            <w:r>
              <w:rPr>
                <w:rFonts w:hint="eastAsia" w:hAnsi="宋体"/>
                <w:b/>
                <w:sz w:val="22"/>
              </w:rPr>
              <w:t>投标人</w:t>
            </w:r>
            <w:r>
              <w:rPr>
                <w:rFonts w:hAnsi="宋体"/>
                <w:b/>
                <w:sz w:val="22"/>
              </w:rPr>
              <w:t>2</w:t>
            </w:r>
          </w:p>
        </w:tc>
        <w:tc>
          <w:tcPr>
            <w:tcW w:w="1125" w:type="dxa"/>
            <w:tcBorders>
              <w:top w:val="single" w:color="auto" w:sz="4" w:space="0"/>
              <w:left w:val="single" w:color="auto" w:sz="4" w:space="0"/>
              <w:bottom w:val="single" w:color="auto" w:sz="4" w:space="0"/>
            </w:tcBorders>
            <w:vAlign w:val="center"/>
          </w:tcPr>
          <w:p>
            <w:pPr>
              <w:shd w:val="clear" w:color="auto" w:fill="FFFFFF"/>
              <w:snapToGrid w:val="0"/>
              <w:ind w:firstLine="0" w:firstLineChars="0"/>
              <w:jc w:val="center"/>
              <w:rPr>
                <w:sz w:val="22"/>
              </w:rPr>
            </w:pPr>
            <w:r>
              <w:rPr>
                <w:rFonts w:hint="eastAsia" w:hAnsi="宋体"/>
                <w:b/>
                <w:sz w:val="22"/>
              </w:rPr>
              <w:t>投标人</w:t>
            </w:r>
            <w:r>
              <w:rPr>
                <w:rFonts w:hAnsi="宋体"/>
                <w:b/>
                <w:sz w:val="22"/>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240" w:firstLineChars="100"/>
              <w:jc w:val="both"/>
              <w:rPr>
                <w:rFonts w:hAnsi="宋体"/>
              </w:rPr>
            </w:pPr>
            <w:r>
              <w:rPr>
                <w:rFonts w:hint="eastAsia" w:hAnsi="宋体"/>
              </w:rPr>
              <w:t>1</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投标文件符合性</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rPr>
                <w:rFonts w:hAnsi="宋体"/>
              </w:rPr>
            </w:pPr>
            <w:r>
              <w:rPr>
                <w:rFonts w:hint="eastAsia" w:hAnsi="宋体"/>
              </w:rPr>
              <w:t>带“●”的重要技术参数及要求是否完全满足招标文件中的要求。</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240" w:firstLineChars="100"/>
              <w:jc w:val="both"/>
              <w:rPr>
                <w:rFonts w:hAnsi="宋体"/>
              </w:rPr>
            </w:pPr>
            <w:r>
              <w:rPr>
                <w:rFonts w:hint="eastAsia" w:hAnsi="宋体"/>
              </w:rPr>
              <w:t>2</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投标文件的有效性、完整性</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rPr>
                <w:rFonts w:hAnsi="宋体"/>
              </w:rPr>
            </w:pPr>
            <w:r>
              <w:rPr>
                <w:rFonts w:hint="eastAsia" w:hAnsi="宋体"/>
              </w:rPr>
              <w:t>是否符合招标文件的式样和签署要求且内容完整无缺漏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240" w:firstLineChars="100"/>
              <w:jc w:val="both"/>
              <w:rPr>
                <w:rFonts w:hAnsi="宋体"/>
              </w:rPr>
            </w:pPr>
            <w:r>
              <w:rPr>
                <w:rFonts w:hint="eastAsia" w:hAnsi="宋体"/>
              </w:rPr>
              <w:t>3</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both"/>
              <w:rPr>
                <w:rFonts w:hAnsi="宋体"/>
              </w:rPr>
            </w:pPr>
            <w:r>
              <w:rPr>
                <w:rFonts w:hint="eastAsia" w:hAnsi="宋体"/>
              </w:rPr>
              <w:t>报价项目完整性</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rPr>
                <w:rFonts w:hAnsi="宋体"/>
                <w:szCs w:val="21"/>
              </w:rPr>
            </w:pPr>
            <w:r>
              <w:rPr>
                <w:rFonts w:hint="eastAsia" w:hAnsi="宋体"/>
                <w:kern w:val="28"/>
                <w:szCs w:val="21"/>
              </w:rPr>
              <w:t>是否对</w:t>
            </w:r>
            <w:r>
              <w:rPr>
                <w:rFonts w:hint="eastAsia" w:hAnsi="宋体" w:cs="Tahoma"/>
                <w:kern w:val="28"/>
                <w:szCs w:val="21"/>
              </w:rPr>
              <w:t>本项目内所有的内容进行投标</w:t>
            </w:r>
            <w:r>
              <w:rPr>
                <w:rFonts w:hint="eastAsia" w:hAnsi="宋体"/>
                <w:kern w:val="28"/>
                <w:szCs w:val="21"/>
              </w:rPr>
              <w:t>，漏报其投标将被拒绝</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4</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 xml:space="preserve">投标报价 </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240" w:lineRule="auto"/>
              <w:ind w:firstLine="0" w:firstLineChars="0"/>
              <w:rPr>
                <w:rFonts w:hAnsi="宋体"/>
              </w:rPr>
            </w:pPr>
            <w:r>
              <w:rPr>
                <w:rFonts w:hint="eastAsia" w:hAnsi="宋体"/>
              </w:rPr>
              <w:t>投标价是否固定价且投标价是唯一的</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5</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交付期</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both"/>
              <w:rPr>
                <w:rFonts w:hAnsi="宋体"/>
              </w:rPr>
            </w:pPr>
            <w:r>
              <w:rPr>
                <w:rFonts w:hint="eastAsia" w:hAnsi="宋体"/>
              </w:rPr>
              <w:t>是否满足招标文件要求</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6</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其它</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both"/>
              <w:rPr>
                <w:rFonts w:hAnsi="宋体"/>
              </w:rPr>
            </w:pPr>
            <w:r>
              <w:rPr>
                <w:rFonts w:hint="eastAsia" w:hAnsi="宋体"/>
              </w:rPr>
              <w:t>无其它无效投标认定条件</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71" w:type="dxa"/>
            <w:gridSpan w:val="3"/>
            <w:tcBorders>
              <w:top w:val="single" w:color="auto" w:sz="4" w:space="0"/>
              <w:bottom w:val="single" w:color="auto" w:sz="4" w:space="0"/>
              <w:right w:val="single" w:color="auto" w:sz="4" w:space="0"/>
            </w:tcBorders>
          </w:tcPr>
          <w:p>
            <w:pPr>
              <w:shd w:val="clear" w:color="auto" w:fill="FFFFFF"/>
              <w:spacing w:line="480" w:lineRule="exact"/>
              <w:ind w:firstLine="482"/>
              <w:jc w:val="center"/>
              <w:rPr>
                <w:rFonts w:hAnsi="宋体"/>
              </w:rPr>
            </w:pPr>
            <w:r>
              <w:rPr>
                <w:rFonts w:hint="eastAsia" w:hAnsi="宋体"/>
                <w:b/>
              </w:rPr>
              <w:t>结   论</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bl>
    <w:p>
      <w:pPr>
        <w:shd w:val="clear" w:color="auto" w:fill="FFFFFF"/>
        <w:spacing w:line="480" w:lineRule="exact"/>
        <w:ind w:firstLine="0" w:firstLineChars="0"/>
        <w:rPr>
          <w:rFonts w:hAnsi="宋体"/>
          <w:szCs w:val="21"/>
        </w:rPr>
      </w:pPr>
      <w:r>
        <w:rPr>
          <w:rFonts w:hAnsi="宋体"/>
          <w:szCs w:val="21"/>
        </w:rPr>
        <w:t>1</w:t>
      </w:r>
      <w:r>
        <w:rPr>
          <w:rFonts w:hint="eastAsia" w:hAnsi="宋体"/>
          <w:szCs w:val="21"/>
        </w:rPr>
        <w:t>、表中只需填写“√</w:t>
      </w:r>
      <w:r>
        <w:rPr>
          <w:rFonts w:hAnsi="宋体"/>
          <w:szCs w:val="21"/>
        </w:rPr>
        <w:t>/</w:t>
      </w:r>
      <w:r>
        <w:rPr>
          <w:rFonts w:hint="eastAsia" w:hAnsi="宋体"/>
          <w:szCs w:val="21"/>
        </w:rPr>
        <w:t>通过”或“×</w:t>
      </w:r>
      <w:r>
        <w:rPr>
          <w:rFonts w:hAnsi="宋体"/>
          <w:szCs w:val="21"/>
        </w:rPr>
        <w:t>/</w:t>
      </w:r>
      <w:r>
        <w:rPr>
          <w:rFonts w:hint="eastAsia" w:hAnsi="宋体"/>
          <w:szCs w:val="21"/>
        </w:rPr>
        <w:t>不通过”。</w:t>
      </w:r>
    </w:p>
    <w:p>
      <w:pPr>
        <w:shd w:val="clear" w:color="auto" w:fill="FFFFFF"/>
        <w:spacing w:line="480" w:lineRule="exact"/>
        <w:ind w:firstLine="0" w:firstLineChars="0"/>
        <w:rPr>
          <w:rFonts w:hAnsi="宋体"/>
          <w:szCs w:val="21"/>
        </w:rPr>
      </w:pPr>
      <w:r>
        <w:rPr>
          <w:rFonts w:hAnsi="宋体"/>
          <w:szCs w:val="21"/>
        </w:rPr>
        <w:t>2</w:t>
      </w:r>
      <w:r>
        <w:rPr>
          <w:rFonts w:hint="eastAsia" w:hAnsi="宋体"/>
          <w:szCs w:val="21"/>
        </w:rPr>
        <w:t>、在结论中按“一项否决”的原则，只有全部是√</w:t>
      </w:r>
      <w:r>
        <w:rPr>
          <w:rFonts w:hAnsi="宋体"/>
          <w:szCs w:val="21"/>
        </w:rPr>
        <w:t>/</w:t>
      </w:r>
      <w:r>
        <w:rPr>
          <w:rFonts w:hint="eastAsia" w:hAnsi="宋体"/>
          <w:szCs w:val="21"/>
        </w:rPr>
        <w:t>通过的，填写“合格”；只要其中有一项是×</w:t>
      </w:r>
      <w:r>
        <w:rPr>
          <w:rFonts w:hAnsi="宋体"/>
          <w:szCs w:val="21"/>
        </w:rPr>
        <w:t>/</w:t>
      </w:r>
      <w:r>
        <w:rPr>
          <w:rFonts w:hint="eastAsia" w:hAnsi="宋体"/>
          <w:szCs w:val="21"/>
        </w:rPr>
        <w:t>不通过的，填写“不合格”。</w:t>
      </w:r>
    </w:p>
    <w:p>
      <w:pPr>
        <w:shd w:val="clear" w:color="auto" w:fill="FFFFFF"/>
        <w:spacing w:line="480" w:lineRule="exact"/>
        <w:ind w:firstLine="0" w:firstLineChars="0"/>
        <w:rPr>
          <w:rFonts w:hAnsi="宋体"/>
          <w:szCs w:val="21"/>
        </w:rPr>
      </w:pPr>
      <w:r>
        <w:rPr>
          <w:rFonts w:hAnsi="宋体"/>
          <w:szCs w:val="21"/>
        </w:rPr>
        <w:t>3</w:t>
      </w:r>
      <w:r>
        <w:rPr>
          <w:rFonts w:hint="eastAsia" w:hAnsi="宋体"/>
          <w:szCs w:val="21"/>
        </w:rPr>
        <w:t>、结论是合格的，才能进入下一轮；不合格的被淘汰。</w:t>
      </w:r>
    </w:p>
    <w:p>
      <w:pPr>
        <w:shd w:val="clear" w:color="auto" w:fill="FFFFFF"/>
        <w:spacing w:line="480" w:lineRule="exact"/>
        <w:ind w:firstLine="480"/>
        <w:rPr>
          <w:rFonts w:hAnsi="宋体"/>
          <w:szCs w:val="21"/>
        </w:rPr>
      </w:pPr>
    </w:p>
    <w:p>
      <w:pPr>
        <w:shd w:val="clear" w:color="auto" w:fill="FFFFFF"/>
        <w:spacing w:line="480" w:lineRule="exact"/>
        <w:ind w:firstLine="480"/>
        <w:rPr>
          <w:rFonts w:hAnsi="宋体"/>
          <w:szCs w:val="21"/>
        </w:rPr>
      </w:pPr>
      <w:r>
        <w:rPr>
          <w:rFonts w:hint="eastAsia" w:hAnsi="宋体"/>
          <w:szCs w:val="21"/>
        </w:rPr>
        <w:t>评委：</w:t>
      </w:r>
    </w:p>
    <w:p>
      <w:pPr>
        <w:shd w:val="clear" w:color="auto" w:fill="FFFFFF"/>
        <w:spacing w:line="480" w:lineRule="exact"/>
        <w:ind w:firstLine="643"/>
        <w:jc w:val="center"/>
        <w:rPr>
          <w:rFonts w:ascii="黑体" w:hAnsi="华文中宋" w:eastAsia="黑体"/>
          <w:b/>
          <w:sz w:val="32"/>
        </w:rPr>
      </w:pPr>
    </w:p>
    <w:p>
      <w:pPr>
        <w:shd w:val="clear" w:color="auto" w:fill="FFFFFF"/>
        <w:ind w:firstLine="480"/>
      </w:pPr>
      <w:r>
        <w:rPr>
          <w:rFonts w:hint="eastAsia"/>
        </w:rPr>
        <w:t>日期：</w:t>
      </w:r>
    </w:p>
    <w:p>
      <w:pPr>
        <w:shd w:val="clear" w:color="auto" w:fill="FFFFFF"/>
        <w:ind w:firstLine="480"/>
      </w:pPr>
    </w:p>
    <w:p>
      <w:pPr>
        <w:shd w:val="clear" w:color="auto" w:fill="FFFFFF"/>
        <w:ind w:firstLine="0" w:firstLineChars="0"/>
        <w:rPr>
          <w:rFonts w:hAnsi="宋体"/>
          <w:b/>
          <w:sz w:val="36"/>
          <w:szCs w:val="36"/>
        </w:rPr>
      </w:pPr>
    </w:p>
    <w:p>
      <w:pPr>
        <w:shd w:val="clear" w:color="auto" w:fill="FFFFFF"/>
        <w:ind w:firstLine="0" w:firstLineChars="0"/>
        <w:rPr>
          <w:rFonts w:hAnsi="宋体"/>
          <w:b/>
          <w:sz w:val="36"/>
          <w:szCs w:val="36"/>
        </w:rPr>
      </w:pPr>
    </w:p>
    <w:p>
      <w:pPr>
        <w:shd w:val="clear" w:color="auto" w:fill="FFFFFF"/>
        <w:ind w:firstLine="0" w:firstLineChars="0"/>
        <w:rPr>
          <w:rFonts w:hAnsi="宋体" w:cs="宋体"/>
          <w:b/>
          <w:bCs/>
          <w:sz w:val="36"/>
          <w:szCs w:val="36"/>
        </w:rPr>
      </w:pPr>
      <w:r>
        <w:rPr>
          <w:rFonts w:hint="eastAsia" w:hAnsi="宋体"/>
          <w:b/>
          <w:sz w:val="36"/>
          <w:szCs w:val="36"/>
        </w:rPr>
        <w:t>附件</w:t>
      </w:r>
      <w:r>
        <w:rPr>
          <w:rFonts w:hAnsi="宋体"/>
          <w:b/>
          <w:sz w:val="36"/>
          <w:szCs w:val="36"/>
        </w:rPr>
        <w:t xml:space="preserve">3            </w:t>
      </w:r>
      <w:r>
        <w:rPr>
          <w:rFonts w:hint="eastAsia" w:hAnsi="宋体" w:cs="宋体"/>
          <w:b/>
          <w:bCs/>
          <w:sz w:val="36"/>
          <w:szCs w:val="36"/>
        </w:rPr>
        <w:t>技术、商务评分表</w:t>
      </w:r>
    </w:p>
    <w:p>
      <w:pPr>
        <w:shd w:val="clear" w:color="auto" w:fill="FFFFFF"/>
        <w:snapToGrid w:val="0"/>
        <w:ind w:left="1200" w:hanging="1200" w:hangingChars="500"/>
        <w:rPr>
          <w:rFonts w:hAnsi="宋体"/>
          <w:u w:val="single"/>
        </w:rPr>
      </w:pPr>
      <w:r>
        <w:rPr>
          <w:rFonts w:hint="eastAsia" w:hAnsi="宋体"/>
        </w:rPr>
        <w:t>项目名称：</w:t>
      </w:r>
      <w:r>
        <w:rPr>
          <w:rFonts w:hint="eastAsia" w:hAnsi="宋体"/>
          <w:u w:val="single"/>
        </w:rPr>
        <w:t>化工学院“双一流”特色优势学科建设项目</w:t>
      </w:r>
    </w:p>
    <w:p>
      <w:pPr>
        <w:shd w:val="clear" w:color="auto" w:fill="FFFFFF"/>
        <w:ind w:firstLine="0" w:firstLineChars="0"/>
        <w:rPr>
          <w:rFonts w:hAnsi="宋体"/>
          <w:u w:val="single"/>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628</w:t>
      </w:r>
    </w:p>
    <w:p>
      <w:pPr>
        <w:ind w:firstLine="0" w:firstLineChars="0"/>
      </w:pPr>
      <w:r>
        <w:rPr>
          <w:rFonts w:hint="eastAsia" w:hAnsi="宋体"/>
        </w:rPr>
        <w:t>包号：A-C包</w:t>
      </w:r>
    </w:p>
    <w:tbl>
      <w:tblPr>
        <w:tblStyle w:val="15"/>
        <w:tblpPr w:leftFromText="180" w:rightFromText="180" w:vertAnchor="text" w:horzAnchor="page" w:tblpX="1537" w:tblpY="617"/>
        <w:tblOverlap w:val="never"/>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649"/>
        <w:gridCol w:w="5252"/>
        <w:gridCol w:w="82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27" w:type="dxa"/>
            <w:vAlign w:val="center"/>
          </w:tcPr>
          <w:p>
            <w:pPr>
              <w:ind w:firstLine="0" w:firstLineChars="0"/>
              <w:rPr>
                <w:b/>
                <w:bCs/>
                <w:szCs w:val="24"/>
              </w:rPr>
            </w:pPr>
            <w:r>
              <w:rPr>
                <w:rFonts w:hint="eastAsia"/>
                <w:b/>
                <w:bCs/>
                <w:szCs w:val="24"/>
              </w:rPr>
              <w:t>序号</w:t>
            </w:r>
          </w:p>
        </w:tc>
        <w:tc>
          <w:tcPr>
            <w:tcW w:w="1649" w:type="dxa"/>
            <w:vAlign w:val="center"/>
          </w:tcPr>
          <w:p>
            <w:pPr>
              <w:ind w:firstLine="0" w:firstLineChars="0"/>
              <w:rPr>
                <w:b/>
                <w:bCs/>
                <w:szCs w:val="24"/>
              </w:rPr>
            </w:pPr>
            <w:r>
              <w:rPr>
                <w:rFonts w:hint="eastAsia"/>
                <w:b/>
                <w:bCs/>
                <w:szCs w:val="24"/>
              </w:rPr>
              <w:t>评审内容</w:t>
            </w:r>
          </w:p>
        </w:tc>
        <w:tc>
          <w:tcPr>
            <w:tcW w:w="5252" w:type="dxa"/>
            <w:vAlign w:val="center"/>
          </w:tcPr>
          <w:p>
            <w:pPr>
              <w:ind w:firstLine="482"/>
              <w:jc w:val="center"/>
              <w:rPr>
                <w:b/>
                <w:bCs/>
                <w:szCs w:val="24"/>
              </w:rPr>
            </w:pPr>
            <w:r>
              <w:rPr>
                <w:rFonts w:hint="eastAsia"/>
                <w:b/>
                <w:bCs/>
                <w:szCs w:val="24"/>
              </w:rPr>
              <w:t>评分标准及分值</w:t>
            </w:r>
          </w:p>
        </w:tc>
        <w:tc>
          <w:tcPr>
            <w:tcW w:w="820" w:type="dxa"/>
            <w:vAlign w:val="center"/>
          </w:tcPr>
          <w:p>
            <w:pPr>
              <w:ind w:firstLine="0" w:firstLineChars="0"/>
              <w:jc w:val="both"/>
              <w:rPr>
                <w:b/>
                <w:bCs/>
                <w:szCs w:val="24"/>
              </w:rPr>
            </w:pPr>
            <w:r>
              <w:rPr>
                <w:rFonts w:hint="eastAsia"/>
                <w:b/>
                <w:bCs/>
                <w:szCs w:val="24"/>
              </w:rPr>
              <w:t>满分</w:t>
            </w:r>
          </w:p>
        </w:tc>
        <w:tc>
          <w:tcPr>
            <w:tcW w:w="1062" w:type="dxa"/>
            <w:vAlign w:val="center"/>
          </w:tcPr>
          <w:p>
            <w:pPr>
              <w:ind w:firstLine="0" w:firstLineChars="0"/>
              <w:jc w:val="both"/>
              <w:rPr>
                <w:b/>
                <w:bCs/>
                <w:szCs w:val="24"/>
              </w:rPr>
            </w:pPr>
            <w:r>
              <w:rPr>
                <w:rFonts w:hint="eastAsia"/>
                <w:b/>
                <w:bCs/>
                <w:szCs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27" w:type="dxa"/>
            <w:vAlign w:val="center"/>
          </w:tcPr>
          <w:p>
            <w:pPr>
              <w:snapToGrid w:val="0"/>
              <w:ind w:firstLine="240" w:firstLineChars="100"/>
              <w:rPr>
                <w:rFonts w:cs="Arial"/>
                <w:szCs w:val="24"/>
              </w:rPr>
            </w:pPr>
            <w:r>
              <w:rPr>
                <w:rFonts w:hint="eastAsia" w:cs="Arial"/>
                <w:szCs w:val="24"/>
              </w:rPr>
              <w:t>1</w:t>
            </w:r>
          </w:p>
        </w:tc>
        <w:tc>
          <w:tcPr>
            <w:tcW w:w="1649" w:type="dxa"/>
            <w:vAlign w:val="center"/>
          </w:tcPr>
          <w:p>
            <w:pPr>
              <w:snapToGrid w:val="0"/>
              <w:ind w:firstLine="0" w:firstLineChars="0"/>
              <w:jc w:val="both"/>
              <w:rPr>
                <w:rFonts w:cs="Arial"/>
                <w:szCs w:val="24"/>
              </w:rPr>
            </w:pPr>
            <w:r>
              <w:rPr>
                <w:rFonts w:hint="eastAsia"/>
                <w:szCs w:val="24"/>
              </w:rPr>
              <w:t>主要规格及技术性能</w:t>
            </w:r>
          </w:p>
        </w:tc>
        <w:tc>
          <w:tcPr>
            <w:tcW w:w="5252" w:type="dxa"/>
            <w:vAlign w:val="center"/>
          </w:tcPr>
          <w:p>
            <w:pPr>
              <w:snapToGrid w:val="0"/>
              <w:spacing w:line="240" w:lineRule="auto"/>
              <w:ind w:firstLine="480"/>
              <w:rPr>
                <w:szCs w:val="24"/>
              </w:rPr>
            </w:pPr>
            <w:r>
              <w:rPr>
                <w:rFonts w:hint="eastAsia"/>
                <w:szCs w:val="24"/>
              </w:rPr>
              <w:t xml:space="preserve">投标人提供的设备技术参数与招标文件中的参照技术参数进行点对点比较，技术参数全部满足用户需求（50分） </w:t>
            </w:r>
          </w:p>
          <w:p>
            <w:pPr>
              <w:snapToGrid w:val="0"/>
              <w:spacing w:line="240" w:lineRule="auto"/>
              <w:ind w:firstLine="480"/>
              <w:rPr>
                <w:szCs w:val="24"/>
              </w:rPr>
            </w:pPr>
            <w:r>
              <w:rPr>
                <w:rFonts w:hint="eastAsia"/>
                <w:szCs w:val="24"/>
              </w:rPr>
              <w:t>1）每项★号重要指标的技术要求不能满足的扣4分，扣完为止；</w:t>
            </w:r>
          </w:p>
          <w:p>
            <w:pPr>
              <w:snapToGrid w:val="0"/>
              <w:spacing w:line="240" w:lineRule="auto"/>
              <w:ind w:firstLine="480"/>
              <w:rPr>
                <w:szCs w:val="24"/>
              </w:rPr>
            </w:pPr>
            <w:r>
              <w:rPr>
                <w:rFonts w:hint="eastAsia"/>
                <w:szCs w:val="24"/>
              </w:rPr>
              <w:t>2）其他指标中每一项不满足，扣2分，扣完为止。</w:t>
            </w:r>
          </w:p>
        </w:tc>
        <w:tc>
          <w:tcPr>
            <w:tcW w:w="820" w:type="dxa"/>
            <w:vAlign w:val="center"/>
          </w:tcPr>
          <w:p>
            <w:pPr>
              <w:snapToGrid w:val="0"/>
              <w:ind w:left="-46" w:leftChars="-19" w:firstLine="45" w:firstLineChars="19"/>
              <w:jc w:val="center"/>
              <w:rPr>
                <w:rFonts w:cs="Arial"/>
                <w:szCs w:val="24"/>
              </w:rPr>
            </w:pPr>
            <w:r>
              <w:rPr>
                <w:rFonts w:hint="eastAsia" w:cs="Arial"/>
                <w:szCs w:val="24"/>
              </w:rPr>
              <w:t>50</w:t>
            </w:r>
          </w:p>
        </w:tc>
        <w:tc>
          <w:tcPr>
            <w:tcW w:w="1062" w:type="dxa"/>
            <w:vAlign w:val="center"/>
          </w:tcPr>
          <w:p>
            <w:pPr>
              <w:snapToGrid w:val="0"/>
              <w:ind w:left="-46" w:leftChars="-19" w:firstLine="45" w:firstLineChars="19"/>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27" w:type="dxa"/>
            <w:vAlign w:val="center"/>
          </w:tcPr>
          <w:p>
            <w:pPr>
              <w:snapToGrid w:val="0"/>
              <w:ind w:firstLine="240" w:firstLineChars="100"/>
              <w:rPr>
                <w:rFonts w:cs="Arial"/>
                <w:szCs w:val="24"/>
              </w:rPr>
            </w:pPr>
            <w:r>
              <w:rPr>
                <w:rFonts w:hint="eastAsia" w:cs="Arial"/>
                <w:szCs w:val="24"/>
              </w:rPr>
              <w:t>2</w:t>
            </w:r>
          </w:p>
        </w:tc>
        <w:tc>
          <w:tcPr>
            <w:tcW w:w="1649" w:type="dxa"/>
            <w:vAlign w:val="center"/>
          </w:tcPr>
          <w:p>
            <w:pPr>
              <w:spacing w:line="280" w:lineRule="exact"/>
              <w:ind w:firstLine="0" w:firstLineChars="0"/>
              <w:rPr>
                <w:rFonts w:hAnsi="宋体" w:cs="宋体"/>
                <w:szCs w:val="24"/>
              </w:rPr>
            </w:pPr>
            <w:r>
              <w:rPr>
                <w:rFonts w:hint="eastAsia" w:hAnsi="宋体" w:cs="宋体"/>
                <w:szCs w:val="24"/>
              </w:rPr>
              <w:t>提供所投产品厂家彩页及技术指标佐证材料情况</w:t>
            </w:r>
          </w:p>
        </w:tc>
        <w:tc>
          <w:tcPr>
            <w:tcW w:w="5252" w:type="dxa"/>
            <w:vAlign w:val="center"/>
          </w:tcPr>
          <w:p>
            <w:pPr>
              <w:spacing w:line="240" w:lineRule="exact"/>
              <w:ind w:firstLine="480" w:firstLineChars="0"/>
              <w:jc w:val="both"/>
              <w:rPr>
                <w:rFonts w:hAnsi="宋体" w:cs="宋体"/>
                <w:szCs w:val="24"/>
              </w:rPr>
            </w:pPr>
            <w:r>
              <w:rPr>
                <w:rFonts w:hint="eastAsia" w:hAnsi="宋体" w:cs="宋体"/>
                <w:szCs w:val="24"/>
              </w:rPr>
              <w:t>投标人提供的所投产品的厂家彩页及技术指标佐证材料情况，优得</w:t>
            </w:r>
            <w:r>
              <w:rPr>
                <w:rFonts w:hAnsi="宋体" w:cs="宋体"/>
                <w:szCs w:val="24"/>
              </w:rPr>
              <w:t>5</w:t>
            </w:r>
            <w:r>
              <w:rPr>
                <w:rFonts w:hint="eastAsia" w:hAnsi="宋体" w:cs="宋体"/>
                <w:szCs w:val="24"/>
              </w:rPr>
              <w:t>分，良得</w:t>
            </w:r>
            <w:r>
              <w:rPr>
                <w:rFonts w:hAnsi="宋体" w:cs="宋体"/>
                <w:szCs w:val="24"/>
              </w:rPr>
              <w:t>2-4</w:t>
            </w:r>
            <w:r>
              <w:rPr>
                <w:rFonts w:hint="eastAsia" w:hAnsi="宋体" w:cs="宋体"/>
                <w:szCs w:val="24"/>
              </w:rPr>
              <w:t>分，一般得</w:t>
            </w:r>
            <w:r>
              <w:rPr>
                <w:rFonts w:hAnsi="宋体" w:cs="宋体"/>
                <w:szCs w:val="24"/>
              </w:rPr>
              <w:t>1</w:t>
            </w:r>
            <w:r>
              <w:rPr>
                <w:rFonts w:hint="eastAsia" w:hAnsi="宋体" w:cs="宋体"/>
                <w:szCs w:val="24"/>
              </w:rPr>
              <w:t>分，差得</w:t>
            </w:r>
            <w:r>
              <w:rPr>
                <w:rFonts w:hAnsi="宋体" w:cs="宋体"/>
                <w:szCs w:val="24"/>
              </w:rPr>
              <w:t>0</w:t>
            </w:r>
            <w:r>
              <w:rPr>
                <w:rFonts w:hint="eastAsia" w:hAnsi="宋体" w:cs="宋体"/>
                <w:szCs w:val="24"/>
              </w:rPr>
              <w:t>分</w:t>
            </w:r>
          </w:p>
        </w:tc>
        <w:tc>
          <w:tcPr>
            <w:tcW w:w="820" w:type="dxa"/>
            <w:vAlign w:val="center"/>
          </w:tcPr>
          <w:p>
            <w:pPr>
              <w:spacing w:line="280" w:lineRule="exact"/>
              <w:ind w:firstLineChars="0"/>
              <w:rPr>
                <w:rFonts w:hAnsi="宋体" w:cs="宋体"/>
                <w:szCs w:val="24"/>
              </w:rPr>
            </w:pPr>
            <w:r>
              <w:rPr>
                <w:rFonts w:hAnsi="宋体" w:cs="宋体"/>
                <w:szCs w:val="24"/>
              </w:rPr>
              <w:t>5</w:t>
            </w:r>
          </w:p>
        </w:tc>
        <w:tc>
          <w:tcPr>
            <w:tcW w:w="1062" w:type="dxa"/>
            <w:vAlign w:val="center"/>
          </w:tcPr>
          <w:p>
            <w:pPr>
              <w:snapToGrid w:val="0"/>
              <w:ind w:left="-46" w:leftChars="-19" w:firstLine="45" w:firstLineChars="19"/>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27" w:type="dxa"/>
            <w:vAlign w:val="center"/>
          </w:tcPr>
          <w:p>
            <w:pPr>
              <w:snapToGrid w:val="0"/>
              <w:ind w:firstLine="240" w:firstLineChars="100"/>
              <w:rPr>
                <w:rFonts w:cs="Arial"/>
                <w:szCs w:val="24"/>
              </w:rPr>
            </w:pPr>
            <w:r>
              <w:rPr>
                <w:rFonts w:hint="eastAsia" w:cs="Arial"/>
                <w:szCs w:val="24"/>
              </w:rPr>
              <w:t>3</w:t>
            </w:r>
          </w:p>
        </w:tc>
        <w:tc>
          <w:tcPr>
            <w:tcW w:w="1649" w:type="dxa"/>
            <w:vAlign w:val="center"/>
          </w:tcPr>
          <w:p>
            <w:pPr>
              <w:spacing w:line="380" w:lineRule="exact"/>
              <w:ind w:firstLine="0" w:firstLineChars="0"/>
              <w:rPr>
                <w:rFonts w:hAnsi="Times New Roman" w:cs="宋体"/>
                <w:szCs w:val="24"/>
              </w:rPr>
            </w:pPr>
            <w:r>
              <w:rPr>
                <w:rFonts w:hint="eastAsia" w:hAnsi="宋体" w:cs="宋体"/>
                <w:szCs w:val="24"/>
              </w:rPr>
              <w:t>投标人业绩</w:t>
            </w:r>
          </w:p>
        </w:tc>
        <w:tc>
          <w:tcPr>
            <w:tcW w:w="5252" w:type="dxa"/>
            <w:vAlign w:val="center"/>
          </w:tcPr>
          <w:p>
            <w:pPr>
              <w:spacing w:line="380" w:lineRule="exact"/>
              <w:ind w:firstLine="480" w:firstLineChars="0"/>
              <w:jc w:val="both"/>
              <w:rPr>
                <w:rFonts w:hAnsi="Times New Roman" w:cs="Times New Roman"/>
                <w:szCs w:val="24"/>
              </w:rPr>
            </w:pPr>
            <w:r>
              <w:rPr>
                <w:rFonts w:hint="eastAsia" w:hAnsi="宋体" w:cs="Times New Roman"/>
                <w:szCs w:val="24"/>
              </w:rPr>
              <w:t>投标人具有类似项目成功案例（近三年），提供一宗单笔业绩者得2分，满分6分（以提供盖章的合同复印件为准）。</w:t>
            </w:r>
          </w:p>
        </w:tc>
        <w:tc>
          <w:tcPr>
            <w:tcW w:w="820" w:type="dxa"/>
            <w:vAlign w:val="center"/>
          </w:tcPr>
          <w:p>
            <w:pPr>
              <w:spacing w:line="380" w:lineRule="exact"/>
              <w:ind w:firstLineChars="0"/>
              <w:rPr>
                <w:rFonts w:hAnsi="宋体" w:cs="Times New Roman"/>
                <w:szCs w:val="24"/>
              </w:rPr>
            </w:pPr>
            <w:r>
              <w:rPr>
                <w:rFonts w:hAnsi="宋体" w:cs="Times New Roman"/>
                <w:szCs w:val="24"/>
              </w:rPr>
              <w:t>6</w:t>
            </w:r>
          </w:p>
        </w:tc>
        <w:tc>
          <w:tcPr>
            <w:tcW w:w="1062" w:type="dxa"/>
            <w:vAlign w:val="center"/>
          </w:tcPr>
          <w:p>
            <w:pPr>
              <w:snapToGrid w:val="0"/>
              <w:ind w:left="-46" w:leftChars="-19" w:firstLine="45" w:firstLineChars="19"/>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7" w:type="dxa"/>
            <w:vMerge w:val="restart"/>
            <w:vAlign w:val="center"/>
          </w:tcPr>
          <w:p>
            <w:pPr>
              <w:snapToGrid w:val="0"/>
              <w:ind w:firstLine="240" w:firstLineChars="100"/>
              <w:rPr>
                <w:rFonts w:cs="Arial"/>
                <w:szCs w:val="24"/>
              </w:rPr>
            </w:pPr>
            <w:r>
              <w:rPr>
                <w:rFonts w:hint="eastAsia" w:cs="Arial"/>
                <w:szCs w:val="24"/>
              </w:rPr>
              <w:t>4</w:t>
            </w:r>
          </w:p>
        </w:tc>
        <w:tc>
          <w:tcPr>
            <w:tcW w:w="1649" w:type="dxa"/>
            <w:vMerge w:val="restart"/>
            <w:vAlign w:val="center"/>
          </w:tcPr>
          <w:p>
            <w:pPr>
              <w:spacing w:line="380" w:lineRule="exact"/>
              <w:ind w:firstLine="0" w:firstLineChars="0"/>
              <w:rPr>
                <w:rFonts w:hAnsi="宋体" w:cs="宋体"/>
                <w:szCs w:val="24"/>
              </w:rPr>
            </w:pPr>
            <w:r>
              <w:rPr>
                <w:rFonts w:hint="eastAsia" w:hAnsi="宋体" w:cs="宋体"/>
                <w:szCs w:val="24"/>
              </w:rPr>
              <w:t>售后服务</w:t>
            </w:r>
          </w:p>
        </w:tc>
        <w:tc>
          <w:tcPr>
            <w:tcW w:w="5252" w:type="dxa"/>
            <w:vAlign w:val="center"/>
          </w:tcPr>
          <w:p>
            <w:pPr>
              <w:widowControl w:val="0"/>
              <w:spacing w:line="380" w:lineRule="exact"/>
              <w:ind w:firstLine="480" w:firstLineChars="0"/>
              <w:jc w:val="both"/>
              <w:rPr>
                <w:rFonts w:hAnsi="Times New Roman" w:cs="宋体"/>
                <w:szCs w:val="24"/>
              </w:rPr>
            </w:pPr>
            <w:r>
              <w:rPr>
                <w:rFonts w:hint="eastAsia" w:hAnsi="宋体" w:cs="Times New Roman"/>
                <w:szCs w:val="24"/>
              </w:rPr>
              <w:t>服务措施具体完整、可行性高、维修响应时间短、保障措施有力、定期巡察等措施，维修能力强，且投标人在本地内常住技术人员。优得7分，良得3-6分，一般得1-2分</w:t>
            </w:r>
          </w:p>
        </w:tc>
        <w:tc>
          <w:tcPr>
            <w:tcW w:w="820" w:type="dxa"/>
            <w:vAlign w:val="center"/>
          </w:tcPr>
          <w:p>
            <w:pPr>
              <w:snapToGrid w:val="0"/>
              <w:ind w:firstLine="240" w:firstLineChars="100"/>
              <w:rPr>
                <w:rFonts w:cs="Arial"/>
                <w:szCs w:val="24"/>
              </w:rPr>
            </w:pPr>
            <w:r>
              <w:rPr>
                <w:rFonts w:hint="eastAsia" w:cs="Arial"/>
                <w:szCs w:val="24"/>
              </w:rPr>
              <w:t>7</w:t>
            </w:r>
          </w:p>
        </w:tc>
        <w:tc>
          <w:tcPr>
            <w:tcW w:w="1062" w:type="dxa"/>
            <w:vAlign w:val="center"/>
          </w:tcPr>
          <w:p>
            <w:pPr>
              <w:snapToGrid w:val="0"/>
              <w:ind w:firstLine="480"/>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7" w:type="dxa"/>
            <w:vMerge w:val="continue"/>
            <w:vAlign w:val="center"/>
          </w:tcPr>
          <w:p>
            <w:pPr>
              <w:snapToGrid w:val="0"/>
              <w:ind w:firstLine="240" w:firstLineChars="100"/>
              <w:rPr>
                <w:rFonts w:cs="Arial"/>
                <w:szCs w:val="24"/>
              </w:rPr>
            </w:pPr>
          </w:p>
        </w:tc>
        <w:tc>
          <w:tcPr>
            <w:tcW w:w="1649" w:type="dxa"/>
            <w:vMerge w:val="continue"/>
            <w:vAlign w:val="center"/>
          </w:tcPr>
          <w:p>
            <w:pPr>
              <w:snapToGrid w:val="0"/>
              <w:ind w:firstLine="480"/>
              <w:jc w:val="center"/>
              <w:rPr>
                <w:szCs w:val="24"/>
              </w:rPr>
            </w:pPr>
          </w:p>
        </w:tc>
        <w:tc>
          <w:tcPr>
            <w:tcW w:w="5252" w:type="dxa"/>
            <w:vAlign w:val="center"/>
          </w:tcPr>
          <w:p>
            <w:pPr>
              <w:snapToGrid w:val="0"/>
              <w:ind w:firstLine="0" w:firstLineChars="0"/>
              <w:rPr>
                <w:bCs/>
                <w:szCs w:val="24"/>
              </w:rPr>
            </w:pPr>
            <w:r>
              <w:rPr>
                <w:rFonts w:hint="eastAsia" w:hAnsi="宋体" w:cs="宋体"/>
                <w:szCs w:val="24"/>
              </w:rPr>
              <w:t>投标商设有售后服务机构及机制健全或代理售后服务机构，酌情打分。</w:t>
            </w:r>
          </w:p>
        </w:tc>
        <w:tc>
          <w:tcPr>
            <w:tcW w:w="820" w:type="dxa"/>
            <w:vAlign w:val="center"/>
          </w:tcPr>
          <w:p>
            <w:pPr>
              <w:snapToGrid w:val="0"/>
              <w:ind w:firstLine="240" w:firstLineChars="100"/>
              <w:rPr>
                <w:rFonts w:cs="Arial"/>
                <w:szCs w:val="24"/>
              </w:rPr>
            </w:pPr>
            <w:r>
              <w:rPr>
                <w:rFonts w:hint="eastAsia" w:cs="Arial"/>
                <w:szCs w:val="24"/>
              </w:rPr>
              <w:t>2</w:t>
            </w:r>
          </w:p>
        </w:tc>
        <w:tc>
          <w:tcPr>
            <w:tcW w:w="1062" w:type="dxa"/>
            <w:vAlign w:val="center"/>
          </w:tcPr>
          <w:p>
            <w:pPr>
              <w:snapToGrid w:val="0"/>
              <w:ind w:firstLine="480"/>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7" w:type="dxa"/>
            <w:vAlign w:val="center"/>
          </w:tcPr>
          <w:p>
            <w:pPr>
              <w:snapToGrid w:val="0"/>
              <w:ind w:firstLine="240" w:firstLineChars="100"/>
              <w:rPr>
                <w:rFonts w:cs="Arial"/>
                <w:szCs w:val="24"/>
              </w:rPr>
            </w:pPr>
            <w:r>
              <w:rPr>
                <w:rFonts w:hint="eastAsia" w:cs="Arial"/>
                <w:szCs w:val="24"/>
              </w:rPr>
              <w:t>5</w:t>
            </w:r>
          </w:p>
        </w:tc>
        <w:tc>
          <w:tcPr>
            <w:tcW w:w="1649" w:type="dxa"/>
            <w:vAlign w:val="center"/>
          </w:tcPr>
          <w:p>
            <w:pPr>
              <w:snapToGrid w:val="0"/>
              <w:spacing w:line="240" w:lineRule="auto"/>
              <w:ind w:firstLine="199" w:firstLineChars="83"/>
              <w:jc w:val="both"/>
              <w:rPr>
                <w:rFonts w:cs="Arial"/>
                <w:szCs w:val="24"/>
              </w:rPr>
            </w:pPr>
            <w:r>
              <w:rPr>
                <w:rFonts w:hint="eastAsia" w:cs="Arial"/>
                <w:szCs w:val="24"/>
              </w:rPr>
              <w:t>价格分</w:t>
            </w:r>
          </w:p>
        </w:tc>
        <w:tc>
          <w:tcPr>
            <w:tcW w:w="5252" w:type="dxa"/>
            <w:vAlign w:val="center"/>
          </w:tcPr>
          <w:p>
            <w:pPr>
              <w:snapToGrid w:val="0"/>
              <w:spacing w:line="240" w:lineRule="auto"/>
              <w:ind w:firstLine="480"/>
              <w:rPr>
                <w:rFonts w:cs="Arial"/>
                <w:szCs w:val="24"/>
              </w:rPr>
            </w:pPr>
            <w:r>
              <w:rPr>
                <w:rFonts w:hint="eastAsia"/>
                <w:bCs/>
                <w:szCs w:val="24"/>
              </w:rPr>
              <w:t>满足招标文件要求且价格最低的投标价为基准价，价格分统一按照下列公式计算：价格分=(基准价／投标报价)×价格权值×100。</w:t>
            </w:r>
          </w:p>
        </w:tc>
        <w:tc>
          <w:tcPr>
            <w:tcW w:w="820" w:type="dxa"/>
            <w:vAlign w:val="center"/>
          </w:tcPr>
          <w:p>
            <w:pPr>
              <w:snapToGrid w:val="0"/>
              <w:spacing w:line="240" w:lineRule="auto"/>
              <w:ind w:firstLine="120" w:firstLineChars="50"/>
              <w:jc w:val="both"/>
              <w:rPr>
                <w:rFonts w:cs="Arial"/>
                <w:szCs w:val="24"/>
              </w:rPr>
            </w:pPr>
            <w:r>
              <w:rPr>
                <w:rFonts w:hint="eastAsia" w:cs="Arial"/>
                <w:szCs w:val="24"/>
              </w:rPr>
              <w:t>30</w:t>
            </w:r>
          </w:p>
        </w:tc>
        <w:tc>
          <w:tcPr>
            <w:tcW w:w="1062" w:type="dxa"/>
            <w:vAlign w:val="center"/>
          </w:tcPr>
          <w:p>
            <w:pPr>
              <w:snapToGrid w:val="0"/>
              <w:ind w:firstLine="480"/>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7" w:type="dxa"/>
            <w:vAlign w:val="center"/>
          </w:tcPr>
          <w:p>
            <w:pPr>
              <w:snapToGrid w:val="0"/>
              <w:ind w:firstLine="480"/>
              <w:jc w:val="center"/>
              <w:rPr>
                <w:rFonts w:cs="Arial"/>
                <w:szCs w:val="24"/>
              </w:rPr>
            </w:pPr>
          </w:p>
        </w:tc>
        <w:tc>
          <w:tcPr>
            <w:tcW w:w="1649" w:type="dxa"/>
            <w:vAlign w:val="center"/>
          </w:tcPr>
          <w:p>
            <w:pPr>
              <w:snapToGrid w:val="0"/>
              <w:ind w:firstLine="480"/>
              <w:jc w:val="both"/>
              <w:rPr>
                <w:rFonts w:cs="Arial"/>
                <w:szCs w:val="24"/>
              </w:rPr>
            </w:pPr>
            <w:r>
              <w:rPr>
                <w:rFonts w:hint="eastAsia" w:cs="Arial"/>
                <w:szCs w:val="24"/>
              </w:rPr>
              <w:t>合计</w:t>
            </w:r>
          </w:p>
        </w:tc>
        <w:tc>
          <w:tcPr>
            <w:tcW w:w="5252" w:type="dxa"/>
            <w:vAlign w:val="center"/>
          </w:tcPr>
          <w:p>
            <w:pPr>
              <w:snapToGrid w:val="0"/>
              <w:ind w:firstLine="480"/>
              <w:jc w:val="center"/>
              <w:rPr>
                <w:rFonts w:cs="Arial"/>
                <w:szCs w:val="24"/>
              </w:rPr>
            </w:pPr>
          </w:p>
        </w:tc>
        <w:tc>
          <w:tcPr>
            <w:tcW w:w="820" w:type="dxa"/>
            <w:vAlign w:val="center"/>
          </w:tcPr>
          <w:p>
            <w:pPr>
              <w:snapToGrid w:val="0"/>
              <w:ind w:firstLine="0" w:firstLineChars="0"/>
              <w:jc w:val="center"/>
              <w:rPr>
                <w:rFonts w:cs="Arial"/>
                <w:szCs w:val="24"/>
              </w:rPr>
            </w:pPr>
            <w:r>
              <w:rPr>
                <w:rFonts w:hint="eastAsia" w:cs="Arial"/>
                <w:szCs w:val="24"/>
              </w:rPr>
              <w:t>100</w:t>
            </w:r>
          </w:p>
        </w:tc>
        <w:tc>
          <w:tcPr>
            <w:tcW w:w="1062" w:type="dxa"/>
            <w:vAlign w:val="center"/>
          </w:tcPr>
          <w:p>
            <w:pPr>
              <w:snapToGrid w:val="0"/>
              <w:ind w:firstLine="480"/>
              <w:jc w:val="center"/>
              <w:rPr>
                <w:rFonts w:cs="Arial"/>
                <w:szCs w:val="24"/>
              </w:rPr>
            </w:pPr>
          </w:p>
        </w:tc>
      </w:tr>
    </w:tbl>
    <w:p>
      <w:pPr>
        <w:widowControl w:val="0"/>
        <w:shd w:val="clear" w:color="auto" w:fill="FFFFFF"/>
        <w:tabs>
          <w:tab w:val="left" w:pos="720"/>
        </w:tabs>
        <w:snapToGrid w:val="0"/>
        <w:ind w:right="630" w:firstLine="0" w:firstLineChars="0"/>
        <w:rPr>
          <w:rFonts w:hAnsi="宋体"/>
        </w:rPr>
      </w:pPr>
    </w:p>
    <w:p>
      <w:pPr>
        <w:widowControl w:val="0"/>
        <w:shd w:val="clear" w:color="auto" w:fill="FFFFFF"/>
        <w:tabs>
          <w:tab w:val="left" w:pos="720"/>
        </w:tabs>
        <w:snapToGrid w:val="0"/>
        <w:ind w:right="630" w:firstLine="480"/>
        <w:rPr>
          <w:rFonts w:hAnsi="宋体"/>
        </w:rPr>
      </w:pPr>
      <w:r>
        <w:rPr>
          <w:rFonts w:hint="eastAsia" w:hAnsi="宋体"/>
        </w:rPr>
        <w:t xml:space="preserve"> </w:t>
      </w:r>
    </w:p>
    <w:p>
      <w:pPr>
        <w:widowControl w:val="0"/>
        <w:shd w:val="clear" w:color="auto" w:fill="FFFFFF"/>
        <w:tabs>
          <w:tab w:val="left" w:pos="720"/>
        </w:tabs>
        <w:snapToGrid w:val="0"/>
        <w:ind w:right="630" w:firstLine="480"/>
        <w:rPr>
          <w:rFonts w:ascii="黑体" w:eastAsia="黑体"/>
        </w:rPr>
      </w:pPr>
      <w:r>
        <w:rPr>
          <w:rFonts w:hint="eastAsia" w:hAnsi="宋体"/>
        </w:rPr>
        <w:t>评委</w:t>
      </w:r>
      <w:r>
        <w:rPr>
          <w:rFonts w:hint="eastAsia" w:ascii="黑体" w:eastAsia="黑体"/>
        </w:rPr>
        <w:t>：</w:t>
      </w:r>
    </w:p>
    <w:p>
      <w:pPr>
        <w:shd w:val="clear" w:color="auto" w:fill="FFFFFF"/>
        <w:ind w:firstLine="480"/>
        <w:rPr>
          <w:rFonts w:hAnsi="宋体"/>
          <w:u w:val="single"/>
        </w:rPr>
      </w:pPr>
      <w:r>
        <w:rPr>
          <w:rFonts w:hint="eastAsia" w:hAnsi="宋体"/>
          <w:szCs w:val="24"/>
        </w:rPr>
        <w:t>日期：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560"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新宋体">
    <w:panose1 w:val="02010609030101010101"/>
    <w:charset w:val="86"/>
    <w:family w:val="modern"/>
    <w:pitch w:val="default"/>
    <w:sig w:usb0="00000003" w:usb1="288F0000" w:usb2="00000006" w:usb3="00000000" w:csb0="00040001" w:csb1="00000000"/>
  </w:font>
  <w:font w:name="Dotum">
    <w:panose1 w:val="020B0600000101010101"/>
    <w:charset w:val="81"/>
    <w:family w:val="swiss"/>
    <w:pitch w:val="default"/>
    <w:sig w:usb0="B00002AF" w:usb1="69D77CFB" w:usb2="00000030" w:usb3="00000000" w:csb0="4008009F" w:csb1="DFD70000"/>
  </w:font>
  <w:font w:name="仿宋_GB2312">
    <w:altName w:val="仿宋"/>
    <w:panose1 w:val="00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pict>
        <v:rect id="文本框 2" o:spid="_x0000_s4098"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ind w:firstLine="480"/>
                  <w:rPr>
                    <w:sz w:val="18"/>
                  </w:rPr>
                </w:pPr>
                <w:r>
                  <w:fldChar w:fldCharType="begin"/>
                </w:r>
                <w:r>
                  <w:instrText xml:space="preserve"> PAGE  \* MERGEFORMAT </w:instrText>
                </w:r>
                <w:r>
                  <w:fldChar w:fldCharType="separate"/>
                </w:r>
                <w:r>
                  <w:t>4</w:t>
                </w:r>
                <w:r>
                  <w:fldChar w:fldCharType="end"/>
                </w:r>
              </w:p>
            </w:txbxContent>
          </v:textbox>
        </v:rect>
      </w:pic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ind w:firstLine="360"/>
      <w:jc w:val="center"/>
    </w:pPr>
    <w:r>
      <w:pict>
        <v:rect id="文本框 1" o:spid="_x0000_s4097"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ind w:firstLine="480"/>
                  <w:rPr>
                    <w:sz w:val="18"/>
                  </w:rPr>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0" w:firstLineChars="0"/>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4725E"/>
    <w:multiLevelType w:val="singleLevel"/>
    <w:tmpl w:val="9274725E"/>
    <w:lvl w:ilvl="0" w:tentative="0">
      <w:start w:val="20"/>
      <w:numFmt w:val="decimal"/>
      <w:suff w:val="nothing"/>
      <w:lvlText w:val="%1．"/>
      <w:lvlJc w:val="left"/>
    </w:lvl>
  </w:abstractNum>
  <w:abstractNum w:abstractNumId="1">
    <w:nsid w:val="C77DA110"/>
    <w:multiLevelType w:val="singleLevel"/>
    <w:tmpl w:val="C77DA110"/>
    <w:lvl w:ilvl="0" w:tentative="0">
      <w:start w:val="1"/>
      <w:numFmt w:val="decimal"/>
      <w:suff w:val="nothing"/>
      <w:lvlText w:val="%1、"/>
      <w:lvlJc w:val="left"/>
    </w:lvl>
  </w:abstractNum>
  <w:abstractNum w:abstractNumId="2">
    <w:nsid w:val="D5C144B7"/>
    <w:multiLevelType w:val="singleLevel"/>
    <w:tmpl w:val="D5C144B7"/>
    <w:lvl w:ilvl="0" w:tentative="0">
      <w:start w:val="1"/>
      <w:numFmt w:val="decimal"/>
      <w:suff w:val="nothing"/>
      <w:lvlText w:val="%1、"/>
      <w:lvlJc w:val="left"/>
    </w:lvl>
  </w:abstractNum>
  <w:abstractNum w:abstractNumId="3">
    <w:nsid w:val="DF852CE9"/>
    <w:multiLevelType w:val="singleLevel"/>
    <w:tmpl w:val="DF852CE9"/>
    <w:lvl w:ilvl="0" w:tentative="0">
      <w:start w:val="2"/>
      <w:numFmt w:val="decimal"/>
      <w:suff w:val="nothing"/>
      <w:lvlText w:val="%1、"/>
      <w:lvlJc w:val="left"/>
    </w:lvl>
  </w:abstractNum>
  <w:abstractNum w:abstractNumId="4">
    <w:nsid w:val="F4CD4E4B"/>
    <w:multiLevelType w:val="singleLevel"/>
    <w:tmpl w:val="F4CD4E4B"/>
    <w:lvl w:ilvl="0" w:tentative="0">
      <w:start w:val="1"/>
      <w:numFmt w:val="chineseCounting"/>
      <w:suff w:val="nothing"/>
      <w:lvlText w:val="（%1）"/>
      <w:lvlJc w:val="left"/>
      <w:rPr>
        <w:rFonts w:hint="eastAsia"/>
      </w:rPr>
    </w:lvl>
  </w:abstractNum>
  <w:abstractNum w:abstractNumId="5">
    <w:nsid w:val="F596DE36"/>
    <w:multiLevelType w:val="singleLevel"/>
    <w:tmpl w:val="F596DE36"/>
    <w:lvl w:ilvl="0" w:tentative="0">
      <w:start w:val="2"/>
      <w:numFmt w:val="decimal"/>
      <w:suff w:val="nothing"/>
      <w:lvlText w:val="%1、"/>
      <w:lvlJc w:val="left"/>
    </w:lvl>
  </w:abstractNum>
  <w:abstractNum w:abstractNumId="6">
    <w:nsid w:val="0796E0F5"/>
    <w:multiLevelType w:val="singleLevel"/>
    <w:tmpl w:val="0796E0F5"/>
    <w:lvl w:ilvl="0" w:tentative="0">
      <w:start w:val="21"/>
      <w:numFmt w:val="decimal"/>
      <w:suff w:val="nothing"/>
      <w:lvlText w:val="%1．"/>
      <w:lvlJc w:val="left"/>
    </w:lvl>
  </w:abstractNum>
  <w:abstractNum w:abstractNumId="7">
    <w:nsid w:val="25AF7BFD"/>
    <w:multiLevelType w:val="singleLevel"/>
    <w:tmpl w:val="25AF7BFD"/>
    <w:lvl w:ilvl="0" w:tentative="0">
      <w:start w:val="1"/>
      <w:numFmt w:val="decimal"/>
      <w:suff w:val="space"/>
      <w:lvlText w:val="%1、"/>
      <w:lvlJc w:val="left"/>
    </w:lvl>
  </w:abstractNum>
  <w:abstractNum w:abstractNumId="8">
    <w:nsid w:val="575DFC03"/>
    <w:multiLevelType w:val="singleLevel"/>
    <w:tmpl w:val="575DFC03"/>
    <w:lvl w:ilvl="0" w:tentative="0">
      <w:start w:val="1"/>
      <w:numFmt w:val="lowerLetter"/>
      <w:suff w:val="nothing"/>
      <w:lvlText w:val="%1."/>
      <w:lvlJc w:val="left"/>
    </w:lvl>
  </w:abstractNum>
  <w:abstractNum w:abstractNumId="9">
    <w:nsid w:val="575DFC38"/>
    <w:multiLevelType w:val="singleLevel"/>
    <w:tmpl w:val="575DFC38"/>
    <w:lvl w:ilvl="0" w:tentative="0">
      <w:start w:val="1"/>
      <w:numFmt w:val="lowerLetter"/>
      <w:suff w:val="space"/>
      <w:lvlText w:val="%1."/>
      <w:lvlJc w:val="left"/>
    </w:lvl>
  </w:abstractNum>
  <w:abstractNum w:abstractNumId="10">
    <w:nsid w:val="76643C17"/>
    <w:multiLevelType w:val="multilevel"/>
    <w:tmpl w:val="76643C17"/>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B2ACEEA"/>
    <w:multiLevelType w:val="singleLevel"/>
    <w:tmpl w:val="7B2ACEEA"/>
    <w:lvl w:ilvl="0" w:tentative="0">
      <w:start w:val="1"/>
      <w:numFmt w:val="chineseCounting"/>
      <w:suff w:val="nothing"/>
      <w:lvlText w:val="（%1）"/>
      <w:lvlJc w:val="left"/>
      <w:rPr>
        <w:rFonts w:hint="eastAsia"/>
      </w:rPr>
    </w:lvl>
  </w:abstractNum>
  <w:num w:numId="1">
    <w:abstractNumId w:val="0"/>
  </w:num>
  <w:num w:numId="2">
    <w:abstractNumId w:val="6"/>
  </w:num>
  <w:num w:numId="3">
    <w:abstractNumId w:val="8"/>
  </w:num>
  <w:num w:numId="4">
    <w:abstractNumId w:val="9"/>
  </w:num>
  <w:num w:numId="5">
    <w:abstractNumId w:val="2"/>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03A"/>
    <w:rsid w:val="0000140F"/>
    <w:rsid w:val="0003014A"/>
    <w:rsid w:val="0004324D"/>
    <w:rsid w:val="000B4426"/>
    <w:rsid w:val="001109FB"/>
    <w:rsid w:val="001B1AEF"/>
    <w:rsid w:val="001D522C"/>
    <w:rsid w:val="00252C19"/>
    <w:rsid w:val="002C0A09"/>
    <w:rsid w:val="00322F1C"/>
    <w:rsid w:val="003E777C"/>
    <w:rsid w:val="00436E27"/>
    <w:rsid w:val="00463397"/>
    <w:rsid w:val="00480AD4"/>
    <w:rsid w:val="004B0DAF"/>
    <w:rsid w:val="004B7E58"/>
    <w:rsid w:val="004C0037"/>
    <w:rsid w:val="004C3A98"/>
    <w:rsid w:val="005A4FB1"/>
    <w:rsid w:val="00605AC9"/>
    <w:rsid w:val="00633E13"/>
    <w:rsid w:val="006D60CE"/>
    <w:rsid w:val="00732E6F"/>
    <w:rsid w:val="00823F19"/>
    <w:rsid w:val="008625E1"/>
    <w:rsid w:val="008B7ED4"/>
    <w:rsid w:val="008D0C0E"/>
    <w:rsid w:val="0090435E"/>
    <w:rsid w:val="009A003A"/>
    <w:rsid w:val="00A12A5D"/>
    <w:rsid w:val="00A22803"/>
    <w:rsid w:val="00A32291"/>
    <w:rsid w:val="00B37CA7"/>
    <w:rsid w:val="00B740F1"/>
    <w:rsid w:val="00B76CD1"/>
    <w:rsid w:val="00B90828"/>
    <w:rsid w:val="00B961D2"/>
    <w:rsid w:val="00BA5145"/>
    <w:rsid w:val="00C4478F"/>
    <w:rsid w:val="00C65E46"/>
    <w:rsid w:val="00C844CB"/>
    <w:rsid w:val="00C91DD8"/>
    <w:rsid w:val="00CE1B7B"/>
    <w:rsid w:val="00D24089"/>
    <w:rsid w:val="00D40DAB"/>
    <w:rsid w:val="00D61591"/>
    <w:rsid w:val="00DB12EC"/>
    <w:rsid w:val="00EA3339"/>
    <w:rsid w:val="00EC527D"/>
    <w:rsid w:val="00F0044F"/>
    <w:rsid w:val="00F3098A"/>
    <w:rsid w:val="00F443F8"/>
    <w:rsid w:val="00FB0F05"/>
    <w:rsid w:val="012240CA"/>
    <w:rsid w:val="012A1D5D"/>
    <w:rsid w:val="01733A3D"/>
    <w:rsid w:val="018873BF"/>
    <w:rsid w:val="01892B33"/>
    <w:rsid w:val="018F0111"/>
    <w:rsid w:val="01D45CD9"/>
    <w:rsid w:val="01E54AFC"/>
    <w:rsid w:val="01EB29C2"/>
    <w:rsid w:val="0292142A"/>
    <w:rsid w:val="02C12B82"/>
    <w:rsid w:val="02C22EEB"/>
    <w:rsid w:val="02F64307"/>
    <w:rsid w:val="031502E4"/>
    <w:rsid w:val="031768EE"/>
    <w:rsid w:val="03180533"/>
    <w:rsid w:val="033D6735"/>
    <w:rsid w:val="036C76BB"/>
    <w:rsid w:val="03971C6E"/>
    <w:rsid w:val="03C847CA"/>
    <w:rsid w:val="03D5758C"/>
    <w:rsid w:val="04296C22"/>
    <w:rsid w:val="0435417C"/>
    <w:rsid w:val="04360598"/>
    <w:rsid w:val="043A2287"/>
    <w:rsid w:val="04C35C30"/>
    <w:rsid w:val="058A479B"/>
    <w:rsid w:val="05E17CC9"/>
    <w:rsid w:val="05EA27A9"/>
    <w:rsid w:val="05EF49B7"/>
    <w:rsid w:val="0614041D"/>
    <w:rsid w:val="062F4EFC"/>
    <w:rsid w:val="067908A2"/>
    <w:rsid w:val="06922D9F"/>
    <w:rsid w:val="069B605B"/>
    <w:rsid w:val="06BB5FF6"/>
    <w:rsid w:val="06BF544C"/>
    <w:rsid w:val="06D33D23"/>
    <w:rsid w:val="06FB7156"/>
    <w:rsid w:val="071352D7"/>
    <w:rsid w:val="07456DB7"/>
    <w:rsid w:val="07741603"/>
    <w:rsid w:val="07823C3D"/>
    <w:rsid w:val="078C1E59"/>
    <w:rsid w:val="07A2160C"/>
    <w:rsid w:val="07E40696"/>
    <w:rsid w:val="08047CF9"/>
    <w:rsid w:val="08093E19"/>
    <w:rsid w:val="081A3195"/>
    <w:rsid w:val="08323E7A"/>
    <w:rsid w:val="083C6E23"/>
    <w:rsid w:val="08611B25"/>
    <w:rsid w:val="086E20DB"/>
    <w:rsid w:val="0887220B"/>
    <w:rsid w:val="08A2625A"/>
    <w:rsid w:val="08BC2BED"/>
    <w:rsid w:val="08D34C35"/>
    <w:rsid w:val="08E03766"/>
    <w:rsid w:val="08E81F9A"/>
    <w:rsid w:val="09057D22"/>
    <w:rsid w:val="091C176A"/>
    <w:rsid w:val="09212E23"/>
    <w:rsid w:val="09282CCD"/>
    <w:rsid w:val="093B6854"/>
    <w:rsid w:val="09816611"/>
    <w:rsid w:val="0984057C"/>
    <w:rsid w:val="0989352C"/>
    <w:rsid w:val="09A27DBF"/>
    <w:rsid w:val="09F018F8"/>
    <w:rsid w:val="09F222A0"/>
    <w:rsid w:val="0A0909AD"/>
    <w:rsid w:val="0A1F3283"/>
    <w:rsid w:val="0A3A7E57"/>
    <w:rsid w:val="0A8C04AB"/>
    <w:rsid w:val="0A8C7400"/>
    <w:rsid w:val="0A9F4A59"/>
    <w:rsid w:val="0AAA7BF7"/>
    <w:rsid w:val="0AB52E5C"/>
    <w:rsid w:val="0ACC2C8B"/>
    <w:rsid w:val="0AD0187C"/>
    <w:rsid w:val="0AD37418"/>
    <w:rsid w:val="0AF76999"/>
    <w:rsid w:val="0B087B20"/>
    <w:rsid w:val="0B167B64"/>
    <w:rsid w:val="0B1C7ECC"/>
    <w:rsid w:val="0B726246"/>
    <w:rsid w:val="0B7B5B2C"/>
    <w:rsid w:val="0BA035B1"/>
    <w:rsid w:val="0BA84485"/>
    <w:rsid w:val="0BCE7BB8"/>
    <w:rsid w:val="0BF145C9"/>
    <w:rsid w:val="0C0C3BD1"/>
    <w:rsid w:val="0C114764"/>
    <w:rsid w:val="0C1D12C4"/>
    <w:rsid w:val="0C5D7E36"/>
    <w:rsid w:val="0C7D092A"/>
    <w:rsid w:val="0C841570"/>
    <w:rsid w:val="0CCB326C"/>
    <w:rsid w:val="0D17244C"/>
    <w:rsid w:val="0D545958"/>
    <w:rsid w:val="0D8E1E06"/>
    <w:rsid w:val="0D9278C7"/>
    <w:rsid w:val="0DB270A3"/>
    <w:rsid w:val="0DB40589"/>
    <w:rsid w:val="0DBA2885"/>
    <w:rsid w:val="0DBE2FA1"/>
    <w:rsid w:val="0DC23A16"/>
    <w:rsid w:val="0DD33D66"/>
    <w:rsid w:val="0DE02A54"/>
    <w:rsid w:val="0DEA7CF2"/>
    <w:rsid w:val="0DED62A8"/>
    <w:rsid w:val="0E0A56D6"/>
    <w:rsid w:val="0E1C658C"/>
    <w:rsid w:val="0E627C1B"/>
    <w:rsid w:val="0E635515"/>
    <w:rsid w:val="0E8D63C7"/>
    <w:rsid w:val="0EC83807"/>
    <w:rsid w:val="0ED764F7"/>
    <w:rsid w:val="0EDD6024"/>
    <w:rsid w:val="0EFA576D"/>
    <w:rsid w:val="0EFF0BF9"/>
    <w:rsid w:val="0F092235"/>
    <w:rsid w:val="0F1618B2"/>
    <w:rsid w:val="0F1A65C1"/>
    <w:rsid w:val="0F2C7432"/>
    <w:rsid w:val="0F4A3382"/>
    <w:rsid w:val="0F547303"/>
    <w:rsid w:val="0FD96954"/>
    <w:rsid w:val="10214079"/>
    <w:rsid w:val="10237156"/>
    <w:rsid w:val="108251AD"/>
    <w:rsid w:val="108664F6"/>
    <w:rsid w:val="10AF626B"/>
    <w:rsid w:val="10BF6090"/>
    <w:rsid w:val="10FA7140"/>
    <w:rsid w:val="11061FA2"/>
    <w:rsid w:val="110A2A30"/>
    <w:rsid w:val="114E0505"/>
    <w:rsid w:val="116F793D"/>
    <w:rsid w:val="11773EA5"/>
    <w:rsid w:val="11782E61"/>
    <w:rsid w:val="11823364"/>
    <w:rsid w:val="11A72C1B"/>
    <w:rsid w:val="11E13BDE"/>
    <w:rsid w:val="11FA758B"/>
    <w:rsid w:val="1206155D"/>
    <w:rsid w:val="120B7048"/>
    <w:rsid w:val="120D4F04"/>
    <w:rsid w:val="121017D6"/>
    <w:rsid w:val="124B1723"/>
    <w:rsid w:val="12914D93"/>
    <w:rsid w:val="12A03435"/>
    <w:rsid w:val="12D31CB3"/>
    <w:rsid w:val="12D9269C"/>
    <w:rsid w:val="12EC0E02"/>
    <w:rsid w:val="130F43F3"/>
    <w:rsid w:val="131E1F88"/>
    <w:rsid w:val="132941C2"/>
    <w:rsid w:val="132E2EA2"/>
    <w:rsid w:val="13333478"/>
    <w:rsid w:val="13354471"/>
    <w:rsid w:val="134A5C55"/>
    <w:rsid w:val="1397197F"/>
    <w:rsid w:val="13BA14FD"/>
    <w:rsid w:val="13DD29AC"/>
    <w:rsid w:val="13F34343"/>
    <w:rsid w:val="13FC3C1C"/>
    <w:rsid w:val="14062429"/>
    <w:rsid w:val="14117B3A"/>
    <w:rsid w:val="141E159F"/>
    <w:rsid w:val="141F4515"/>
    <w:rsid w:val="147B0A58"/>
    <w:rsid w:val="147B26F0"/>
    <w:rsid w:val="14962700"/>
    <w:rsid w:val="14CE23F6"/>
    <w:rsid w:val="14E0045E"/>
    <w:rsid w:val="14F13300"/>
    <w:rsid w:val="14FF530F"/>
    <w:rsid w:val="150B661C"/>
    <w:rsid w:val="152E2E09"/>
    <w:rsid w:val="154168BE"/>
    <w:rsid w:val="15693C3D"/>
    <w:rsid w:val="15917050"/>
    <w:rsid w:val="15CC346B"/>
    <w:rsid w:val="15EE699D"/>
    <w:rsid w:val="1622365A"/>
    <w:rsid w:val="1654277A"/>
    <w:rsid w:val="166C6DAE"/>
    <w:rsid w:val="167701D2"/>
    <w:rsid w:val="16810303"/>
    <w:rsid w:val="16953F44"/>
    <w:rsid w:val="16B155A8"/>
    <w:rsid w:val="16CF768E"/>
    <w:rsid w:val="16EA49AA"/>
    <w:rsid w:val="17351C2E"/>
    <w:rsid w:val="174B75AA"/>
    <w:rsid w:val="174E6451"/>
    <w:rsid w:val="17642CB2"/>
    <w:rsid w:val="17723858"/>
    <w:rsid w:val="17761739"/>
    <w:rsid w:val="17BA011D"/>
    <w:rsid w:val="17DD5B96"/>
    <w:rsid w:val="18002204"/>
    <w:rsid w:val="180734A0"/>
    <w:rsid w:val="18280AAF"/>
    <w:rsid w:val="184239FA"/>
    <w:rsid w:val="187E6C7F"/>
    <w:rsid w:val="18821C46"/>
    <w:rsid w:val="18833906"/>
    <w:rsid w:val="189C0914"/>
    <w:rsid w:val="18C444E1"/>
    <w:rsid w:val="19140600"/>
    <w:rsid w:val="191C1583"/>
    <w:rsid w:val="192E6A53"/>
    <w:rsid w:val="195158A2"/>
    <w:rsid w:val="196E2895"/>
    <w:rsid w:val="19744E27"/>
    <w:rsid w:val="19D54363"/>
    <w:rsid w:val="19F23515"/>
    <w:rsid w:val="1A230D58"/>
    <w:rsid w:val="1A3C744C"/>
    <w:rsid w:val="1A6B3A57"/>
    <w:rsid w:val="1ABB06E3"/>
    <w:rsid w:val="1ABE2F62"/>
    <w:rsid w:val="1AF00890"/>
    <w:rsid w:val="1AF00B26"/>
    <w:rsid w:val="1AFD2943"/>
    <w:rsid w:val="1B001680"/>
    <w:rsid w:val="1B176823"/>
    <w:rsid w:val="1B1A409A"/>
    <w:rsid w:val="1B35170B"/>
    <w:rsid w:val="1B5C422F"/>
    <w:rsid w:val="1B692C1D"/>
    <w:rsid w:val="1B771BEA"/>
    <w:rsid w:val="1B7972EA"/>
    <w:rsid w:val="1B830D46"/>
    <w:rsid w:val="1BA9324E"/>
    <w:rsid w:val="1BDF783B"/>
    <w:rsid w:val="1C027BF6"/>
    <w:rsid w:val="1C315E48"/>
    <w:rsid w:val="1C481817"/>
    <w:rsid w:val="1C49364D"/>
    <w:rsid w:val="1C754543"/>
    <w:rsid w:val="1CA96690"/>
    <w:rsid w:val="1CB25F3B"/>
    <w:rsid w:val="1CDE05C6"/>
    <w:rsid w:val="1CE85753"/>
    <w:rsid w:val="1D095162"/>
    <w:rsid w:val="1D160050"/>
    <w:rsid w:val="1D1B37F9"/>
    <w:rsid w:val="1D541C5C"/>
    <w:rsid w:val="1D67131C"/>
    <w:rsid w:val="1DB1095F"/>
    <w:rsid w:val="1DB13347"/>
    <w:rsid w:val="1DD44DD8"/>
    <w:rsid w:val="1DF44C57"/>
    <w:rsid w:val="1E0D39C5"/>
    <w:rsid w:val="1E412D8D"/>
    <w:rsid w:val="1E4F593A"/>
    <w:rsid w:val="1F2C129C"/>
    <w:rsid w:val="1F2D6A52"/>
    <w:rsid w:val="1F383E02"/>
    <w:rsid w:val="1F52306F"/>
    <w:rsid w:val="1F5A6DD4"/>
    <w:rsid w:val="1F7C134B"/>
    <w:rsid w:val="1FCD3866"/>
    <w:rsid w:val="1FE40C1F"/>
    <w:rsid w:val="1FE603C3"/>
    <w:rsid w:val="1FEC3546"/>
    <w:rsid w:val="201B25EB"/>
    <w:rsid w:val="201C1893"/>
    <w:rsid w:val="202D3C9D"/>
    <w:rsid w:val="203D5853"/>
    <w:rsid w:val="209B0F60"/>
    <w:rsid w:val="20AB3EC1"/>
    <w:rsid w:val="20E56710"/>
    <w:rsid w:val="21011848"/>
    <w:rsid w:val="213A5DEF"/>
    <w:rsid w:val="21934AAB"/>
    <w:rsid w:val="21A26BD7"/>
    <w:rsid w:val="21B961E0"/>
    <w:rsid w:val="21CE76A7"/>
    <w:rsid w:val="21FC0B19"/>
    <w:rsid w:val="22041C52"/>
    <w:rsid w:val="22162C8C"/>
    <w:rsid w:val="22331A1A"/>
    <w:rsid w:val="224915B7"/>
    <w:rsid w:val="225649E7"/>
    <w:rsid w:val="227E7DA4"/>
    <w:rsid w:val="2288145D"/>
    <w:rsid w:val="22975F0C"/>
    <w:rsid w:val="22CE136D"/>
    <w:rsid w:val="22DF3EFF"/>
    <w:rsid w:val="22E8504C"/>
    <w:rsid w:val="23104060"/>
    <w:rsid w:val="231A045B"/>
    <w:rsid w:val="23271C2C"/>
    <w:rsid w:val="23352000"/>
    <w:rsid w:val="233538C6"/>
    <w:rsid w:val="235A2F8A"/>
    <w:rsid w:val="235B0908"/>
    <w:rsid w:val="23974394"/>
    <w:rsid w:val="239C2A3A"/>
    <w:rsid w:val="23A30288"/>
    <w:rsid w:val="23BC3FDE"/>
    <w:rsid w:val="23BF0467"/>
    <w:rsid w:val="23C05F2D"/>
    <w:rsid w:val="23C4047B"/>
    <w:rsid w:val="23E03094"/>
    <w:rsid w:val="24030919"/>
    <w:rsid w:val="240868E2"/>
    <w:rsid w:val="244F59F3"/>
    <w:rsid w:val="248B21AE"/>
    <w:rsid w:val="24A411ED"/>
    <w:rsid w:val="24C33C2E"/>
    <w:rsid w:val="24EF0EC0"/>
    <w:rsid w:val="252E3D88"/>
    <w:rsid w:val="25334141"/>
    <w:rsid w:val="25552EA6"/>
    <w:rsid w:val="25625543"/>
    <w:rsid w:val="2579246A"/>
    <w:rsid w:val="25895FD5"/>
    <w:rsid w:val="25943A12"/>
    <w:rsid w:val="25A26B23"/>
    <w:rsid w:val="25C35C71"/>
    <w:rsid w:val="262A658E"/>
    <w:rsid w:val="2635688E"/>
    <w:rsid w:val="26E45080"/>
    <w:rsid w:val="26E502BE"/>
    <w:rsid w:val="27287FC1"/>
    <w:rsid w:val="273851EF"/>
    <w:rsid w:val="274B3219"/>
    <w:rsid w:val="274E02F5"/>
    <w:rsid w:val="276E10D0"/>
    <w:rsid w:val="27737587"/>
    <w:rsid w:val="277D729B"/>
    <w:rsid w:val="27A858F9"/>
    <w:rsid w:val="28067A5F"/>
    <w:rsid w:val="28184608"/>
    <w:rsid w:val="281C5B74"/>
    <w:rsid w:val="284D0A79"/>
    <w:rsid w:val="285540BC"/>
    <w:rsid w:val="286B70F2"/>
    <w:rsid w:val="28803650"/>
    <w:rsid w:val="289D6254"/>
    <w:rsid w:val="28F80B68"/>
    <w:rsid w:val="29186957"/>
    <w:rsid w:val="293E1895"/>
    <w:rsid w:val="295729CB"/>
    <w:rsid w:val="29736B4E"/>
    <w:rsid w:val="298F611D"/>
    <w:rsid w:val="29D3407E"/>
    <w:rsid w:val="29F6391D"/>
    <w:rsid w:val="2A3F253F"/>
    <w:rsid w:val="2A5017DD"/>
    <w:rsid w:val="2A5E4ADB"/>
    <w:rsid w:val="2A965B86"/>
    <w:rsid w:val="2ADA0AE5"/>
    <w:rsid w:val="2AED357B"/>
    <w:rsid w:val="2B105CB3"/>
    <w:rsid w:val="2B1B2192"/>
    <w:rsid w:val="2B2351D3"/>
    <w:rsid w:val="2B2D0392"/>
    <w:rsid w:val="2B6D78E3"/>
    <w:rsid w:val="2B6E7185"/>
    <w:rsid w:val="2B704F2D"/>
    <w:rsid w:val="2B7407C0"/>
    <w:rsid w:val="2B8557A7"/>
    <w:rsid w:val="2B940272"/>
    <w:rsid w:val="2BD840C2"/>
    <w:rsid w:val="2C116F8C"/>
    <w:rsid w:val="2C123849"/>
    <w:rsid w:val="2C751586"/>
    <w:rsid w:val="2C755DDA"/>
    <w:rsid w:val="2C927837"/>
    <w:rsid w:val="2CE2362C"/>
    <w:rsid w:val="2D166D52"/>
    <w:rsid w:val="2D3521F4"/>
    <w:rsid w:val="2D595FEA"/>
    <w:rsid w:val="2D5D559A"/>
    <w:rsid w:val="2D711B50"/>
    <w:rsid w:val="2D731D02"/>
    <w:rsid w:val="2D996A0F"/>
    <w:rsid w:val="2DA9433F"/>
    <w:rsid w:val="2DB82EAD"/>
    <w:rsid w:val="2DBD26B1"/>
    <w:rsid w:val="2DC0242B"/>
    <w:rsid w:val="2DD806CD"/>
    <w:rsid w:val="2DEC484A"/>
    <w:rsid w:val="2E170CBF"/>
    <w:rsid w:val="2E1D309C"/>
    <w:rsid w:val="2E5E74BF"/>
    <w:rsid w:val="2EA848D7"/>
    <w:rsid w:val="2EBB43E2"/>
    <w:rsid w:val="2EBE213E"/>
    <w:rsid w:val="2F2C1F6B"/>
    <w:rsid w:val="2F512F33"/>
    <w:rsid w:val="2F706B73"/>
    <w:rsid w:val="2F944ADE"/>
    <w:rsid w:val="2FE73147"/>
    <w:rsid w:val="3009342C"/>
    <w:rsid w:val="30120F96"/>
    <w:rsid w:val="304B033C"/>
    <w:rsid w:val="3062360B"/>
    <w:rsid w:val="30650130"/>
    <w:rsid w:val="306C4ED1"/>
    <w:rsid w:val="30B249EB"/>
    <w:rsid w:val="30D75062"/>
    <w:rsid w:val="31030122"/>
    <w:rsid w:val="310C1CD5"/>
    <w:rsid w:val="31110114"/>
    <w:rsid w:val="312B146C"/>
    <w:rsid w:val="31335DB3"/>
    <w:rsid w:val="3141661F"/>
    <w:rsid w:val="3147396A"/>
    <w:rsid w:val="319852A5"/>
    <w:rsid w:val="31AF1141"/>
    <w:rsid w:val="31BB3615"/>
    <w:rsid w:val="31DA2E10"/>
    <w:rsid w:val="31EA150E"/>
    <w:rsid w:val="31EA3A48"/>
    <w:rsid w:val="31EF0C56"/>
    <w:rsid w:val="32203AE2"/>
    <w:rsid w:val="322760BB"/>
    <w:rsid w:val="322A3422"/>
    <w:rsid w:val="32511672"/>
    <w:rsid w:val="3253238F"/>
    <w:rsid w:val="327C4DE9"/>
    <w:rsid w:val="327E372F"/>
    <w:rsid w:val="32B262CC"/>
    <w:rsid w:val="32C9158F"/>
    <w:rsid w:val="32F85A04"/>
    <w:rsid w:val="330C7215"/>
    <w:rsid w:val="33191572"/>
    <w:rsid w:val="33236BC1"/>
    <w:rsid w:val="332C4CBE"/>
    <w:rsid w:val="33337D0D"/>
    <w:rsid w:val="333503E0"/>
    <w:rsid w:val="334F2147"/>
    <w:rsid w:val="336F4A49"/>
    <w:rsid w:val="33884EAE"/>
    <w:rsid w:val="33A429D2"/>
    <w:rsid w:val="33BE6C91"/>
    <w:rsid w:val="33C54BEB"/>
    <w:rsid w:val="33F17561"/>
    <w:rsid w:val="33F96F0C"/>
    <w:rsid w:val="33FD71B0"/>
    <w:rsid w:val="341C5F25"/>
    <w:rsid w:val="342E6368"/>
    <w:rsid w:val="3454281F"/>
    <w:rsid w:val="346D0278"/>
    <w:rsid w:val="347E441C"/>
    <w:rsid w:val="349A4220"/>
    <w:rsid w:val="34A450B4"/>
    <w:rsid w:val="34D0782C"/>
    <w:rsid w:val="34F33753"/>
    <w:rsid w:val="35146C43"/>
    <w:rsid w:val="351F5D0C"/>
    <w:rsid w:val="35362AE6"/>
    <w:rsid w:val="353722F7"/>
    <w:rsid w:val="35605EB0"/>
    <w:rsid w:val="35776243"/>
    <w:rsid w:val="35790122"/>
    <w:rsid w:val="3589154D"/>
    <w:rsid w:val="35D531E8"/>
    <w:rsid w:val="35DF015B"/>
    <w:rsid w:val="36003D0D"/>
    <w:rsid w:val="36644E34"/>
    <w:rsid w:val="3685617A"/>
    <w:rsid w:val="3689301A"/>
    <w:rsid w:val="368E450A"/>
    <w:rsid w:val="36ED4C8B"/>
    <w:rsid w:val="370F65AB"/>
    <w:rsid w:val="373C7A5D"/>
    <w:rsid w:val="37452899"/>
    <w:rsid w:val="37481668"/>
    <w:rsid w:val="375E0EA0"/>
    <w:rsid w:val="377D1A37"/>
    <w:rsid w:val="37872B08"/>
    <w:rsid w:val="37960ABC"/>
    <w:rsid w:val="37A721EE"/>
    <w:rsid w:val="37B0782E"/>
    <w:rsid w:val="37CE2B54"/>
    <w:rsid w:val="37E9185B"/>
    <w:rsid w:val="380E1E85"/>
    <w:rsid w:val="38260E68"/>
    <w:rsid w:val="38314EA4"/>
    <w:rsid w:val="38A36457"/>
    <w:rsid w:val="38AC1FB4"/>
    <w:rsid w:val="38B33020"/>
    <w:rsid w:val="38CD4BC7"/>
    <w:rsid w:val="38DB676B"/>
    <w:rsid w:val="38EE5E29"/>
    <w:rsid w:val="39273B06"/>
    <w:rsid w:val="39362E77"/>
    <w:rsid w:val="394B6922"/>
    <w:rsid w:val="396F4106"/>
    <w:rsid w:val="39781EF6"/>
    <w:rsid w:val="398C1F5C"/>
    <w:rsid w:val="39A26AB7"/>
    <w:rsid w:val="39AD5153"/>
    <w:rsid w:val="39DF580C"/>
    <w:rsid w:val="39E31379"/>
    <w:rsid w:val="39EE0038"/>
    <w:rsid w:val="3A356C85"/>
    <w:rsid w:val="3A40347A"/>
    <w:rsid w:val="3A5C0B43"/>
    <w:rsid w:val="3A6F1EB9"/>
    <w:rsid w:val="3A8239FF"/>
    <w:rsid w:val="3AA411C3"/>
    <w:rsid w:val="3AF15349"/>
    <w:rsid w:val="3B2B2161"/>
    <w:rsid w:val="3B3201DE"/>
    <w:rsid w:val="3B4A52EE"/>
    <w:rsid w:val="3B6D6F1F"/>
    <w:rsid w:val="3B8264AC"/>
    <w:rsid w:val="3BA1260A"/>
    <w:rsid w:val="3BE663A6"/>
    <w:rsid w:val="3C1A58A2"/>
    <w:rsid w:val="3C246B25"/>
    <w:rsid w:val="3C2D7D8C"/>
    <w:rsid w:val="3C3314CB"/>
    <w:rsid w:val="3C483632"/>
    <w:rsid w:val="3CE972F4"/>
    <w:rsid w:val="3CEC4D5D"/>
    <w:rsid w:val="3D01183E"/>
    <w:rsid w:val="3D415F52"/>
    <w:rsid w:val="3D487954"/>
    <w:rsid w:val="3D4C155B"/>
    <w:rsid w:val="3D5B1538"/>
    <w:rsid w:val="3D5C56BD"/>
    <w:rsid w:val="3D684EE5"/>
    <w:rsid w:val="3D84509C"/>
    <w:rsid w:val="3D9A32E8"/>
    <w:rsid w:val="3D9C1A03"/>
    <w:rsid w:val="3DE02BF3"/>
    <w:rsid w:val="3E4E36A8"/>
    <w:rsid w:val="3E791A3C"/>
    <w:rsid w:val="3EC1562F"/>
    <w:rsid w:val="3EC85CAC"/>
    <w:rsid w:val="3EF34E10"/>
    <w:rsid w:val="3EF46DF7"/>
    <w:rsid w:val="3F35291A"/>
    <w:rsid w:val="3F607EF4"/>
    <w:rsid w:val="3F9D53AD"/>
    <w:rsid w:val="3FC12306"/>
    <w:rsid w:val="3FCB7D02"/>
    <w:rsid w:val="3FD41892"/>
    <w:rsid w:val="3FEF5DDA"/>
    <w:rsid w:val="400401BC"/>
    <w:rsid w:val="4025363A"/>
    <w:rsid w:val="404B3F88"/>
    <w:rsid w:val="4057051B"/>
    <w:rsid w:val="406473D2"/>
    <w:rsid w:val="40F41C08"/>
    <w:rsid w:val="40FA3FE5"/>
    <w:rsid w:val="41191D7F"/>
    <w:rsid w:val="41354704"/>
    <w:rsid w:val="41455FB0"/>
    <w:rsid w:val="4166687C"/>
    <w:rsid w:val="41967F3D"/>
    <w:rsid w:val="41FA499B"/>
    <w:rsid w:val="420B7419"/>
    <w:rsid w:val="42242BE7"/>
    <w:rsid w:val="42340A2E"/>
    <w:rsid w:val="424F4A62"/>
    <w:rsid w:val="425B4E83"/>
    <w:rsid w:val="425B5332"/>
    <w:rsid w:val="42652626"/>
    <w:rsid w:val="42CF2E1F"/>
    <w:rsid w:val="42E61618"/>
    <w:rsid w:val="42EE7A4A"/>
    <w:rsid w:val="43093452"/>
    <w:rsid w:val="43146C80"/>
    <w:rsid w:val="434E4968"/>
    <w:rsid w:val="4359321E"/>
    <w:rsid w:val="43610CF4"/>
    <w:rsid w:val="437465C2"/>
    <w:rsid w:val="43A44629"/>
    <w:rsid w:val="43A56485"/>
    <w:rsid w:val="43C74217"/>
    <w:rsid w:val="43FE60A7"/>
    <w:rsid w:val="443514C0"/>
    <w:rsid w:val="443976E7"/>
    <w:rsid w:val="443B7275"/>
    <w:rsid w:val="44CF0A80"/>
    <w:rsid w:val="44D20727"/>
    <w:rsid w:val="44D80A8A"/>
    <w:rsid w:val="44FF45C0"/>
    <w:rsid w:val="45040AF8"/>
    <w:rsid w:val="451378D7"/>
    <w:rsid w:val="45150F31"/>
    <w:rsid w:val="451D73A5"/>
    <w:rsid w:val="45390ED8"/>
    <w:rsid w:val="45490C6D"/>
    <w:rsid w:val="454E2B62"/>
    <w:rsid w:val="457E6E24"/>
    <w:rsid w:val="45AE2F39"/>
    <w:rsid w:val="45BA006E"/>
    <w:rsid w:val="45C12301"/>
    <w:rsid w:val="464C1D51"/>
    <w:rsid w:val="465C7622"/>
    <w:rsid w:val="46A01F18"/>
    <w:rsid w:val="46B91D6A"/>
    <w:rsid w:val="46C7115A"/>
    <w:rsid w:val="46D87186"/>
    <w:rsid w:val="46DA29BB"/>
    <w:rsid w:val="46DE231F"/>
    <w:rsid w:val="46F62062"/>
    <w:rsid w:val="46FC34D9"/>
    <w:rsid w:val="47335517"/>
    <w:rsid w:val="473C1F4B"/>
    <w:rsid w:val="47924B12"/>
    <w:rsid w:val="479C1C70"/>
    <w:rsid w:val="47A80336"/>
    <w:rsid w:val="47DD289B"/>
    <w:rsid w:val="48064142"/>
    <w:rsid w:val="484457E5"/>
    <w:rsid w:val="488E3A12"/>
    <w:rsid w:val="48973DD9"/>
    <w:rsid w:val="48C42F7E"/>
    <w:rsid w:val="48D300B4"/>
    <w:rsid w:val="48F005FF"/>
    <w:rsid w:val="49021C78"/>
    <w:rsid w:val="4905037E"/>
    <w:rsid w:val="49102B6C"/>
    <w:rsid w:val="49122868"/>
    <w:rsid w:val="491C2F42"/>
    <w:rsid w:val="49234E1B"/>
    <w:rsid w:val="493D6513"/>
    <w:rsid w:val="495E5C3C"/>
    <w:rsid w:val="49991F1C"/>
    <w:rsid w:val="49D428AC"/>
    <w:rsid w:val="4A555008"/>
    <w:rsid w:val="4A572F29"/>
    <w:rsid w:val="4A837243"/>
    <w:rsid w:val="4A911DF5"/>
    <w:rsid w:val="4AA04350"/>
    <w:rsid w:val="4AB40191"/>
    <w:rsid w:val="4AE55983"/>
    <w:rsid w:val="4AE641C7"/>
    <w:rsid w:val="4AF12311"/>
    <w:rsid w:val="4B132754"/>
    <w:rsid w:val="4B1A581E"/>
    <w:rsid w:val="4B68574A"/>
    <w:rsid w:val="4B69673E"/>
    <w:rsid w:val="4B6B3B8C"/>
    <w:rsid w:val="4B793A15"/>
    <w:rsid w:val="4BC44719"/>
    <w:rsid w:val="4BD5154A"/>
    <w:rsid w:val="4BD53D66"/>
    <w:rsid w:val="4BD66F6C"/>
    <w:rsid w:val="4C27587A"/>
    <w:rsid w:val="4C63595D"/>
    <w:rsid w:val="4C712D2F"/>
    <w:rsid w:val="4C853819"/>
    <w:rsid w:val="4C9C4FC3"/>
    <w:rsid w:val="4CA670DB"/>
    <w:rsid w:val="4CB067E9"/>
    <w:rsid w:val="4CC3448C"/>
    <w:rsid w:val="4CD55B14"/>
    <w:rsid w:val="4CE252B2"/>
    <w:rsid w:val="4CFE0554"/>
    <w:rsid w:val="4D03026C"/>
    <w:rsid w:val="4D59728C"/>
    <w:rsid w:val="4D711404"/>
    <w:rsid w:val="4D82633F"/>
    <w:rsid w:val="4D9213E1"/>
    <w:rsid w:val="4DAF20AF"/>
    <w:rsid w:val="4DCD5857"/>
    <w:rsid w:val="4DD94FDC"/>
    <w:rsid w:val="4DF53EAB"/>
    <w:rsid w:val="4E015B43"/>
    <w:rsid w:val="4E1209E3"/>
    <w:rsid w:val="4E370988"/>
    <w:rsid w:val="4E397B82"/>
    <w:rsid w:val="4E543B96"/>
    <w:rsid w:val="4E583BBC"/>
    <w:rsid w:val="4E940E39"/>
    <w:rsid w:val="4EB0384B"/>
    <w:rsid w:val="4EB77AD9"/>
    <w:rsid w:val="4EC319F7"/>
    <w:rsid w:val="4F144811"/>
    <w:rsid w:val="4F22619F"/>
    <w:rsid w:val="4F4F5C6A"/>
    <w:rsid w:val="4F5442D3"/>
    <w:rsid w:val="4FC66F50"/>
    <w:rsid w:val="4FC97685"/>
    <w:rsid w:val="4FD521CF"/>
    <w:rsid w:val="501D494B"/>
    <w:rsid w:val="50455839"/>
    <w:rsid w:val="5068551B"/>
    <w:rsid w:val="50845AF5"/>
    <w:rsid w:val="50C54F29"/>
    <w:rsid w:val="50CE07C9"/>
    <w:rsid w:val="51391BA4"/>
    <w:rsid w:val="513D0F79"/>
    <w:rsid w:val="515018FE"/>
    <w:rsid w:val="516F3447"/>
    <w:rsid w:val="517522C4"/>
    <w:rsid w:val="51A75033"/>
    <w:rsid w:val="51F36D4F"/>
    <w:rsid w:val="51F503B5"/>
    <w:rsid w:val="520F55C3"/>
    <w:rsid w:val="52416FB0"/>
    <w:rsid w:val="52634380"/>
    <w:rsid w:val="527C6880"/>
    <w:rsid w:val="528D4A6F"/>
    <w:rsid w:val="52BE1663"/>
    <w:rsid w:val="52EA086C"/>
    <w:rsid w:val="52F55805"/>
    <w:rsid w:val="53016AFA"/>
    <w:rsid w:val="531B13E0"/>
    <w:rsid w:val="53304F10"/>
    <w:rsid w:val="53352D88"/>
    <w:rsid w:val="536877F0"/>
    <w:rsid w:val="53713208"/>
    <w:rsid w:val="540C0926"/>
    <w:rsid w:val="54141C7E"/>
    <w:rsid w:val="541449F4"/>
    <w:rsid w:val="541630CE"/>
    <w:rsid w:val="541A6300"/>
    <w:rsid w:val="545C10C1"/>
    <w:rsid w:val="54B4244F"/>
    <w:rsid w:val="54CC02BF"/>
    <w:rsid w:val="54DC5CBA"/>
    <w:rsid w:val="54FD7EC4"/>
    <w:rsid w:val="55263427"/>
    <w:rsid w:val="56035BA1"/>
    <w:rsid w:val="560F0523"/>
    <w:rsid w:val="56674689"/>
    <w:rsid w:val="5668425E"/>
    <w:rsid w:val="56913249"/>
    <w:rsid w:val="56CD0CE5"/>
    <w:rsid w:val="56E73350"/>
    <w:rsid w:val="56EE4500"/>
    <w:rsid w:val="57014AEE"/>
    <w:rsid w:val="57087BAE"/>
    <w:rsid w:val="570E6C1E"/>
    <w:rsid w:val="57125DA6"/>
    <w:rsid w:val="57483B6E"/>
    <w:rsid w:val="577F7828"/>
    <w:rsid w:val="578832CB"/>
    <w:rsid w:val="57C726B2"/>
    <w:rsid w:val="586E4A1E"/>
    <w:rsid w:val="588A704D"/>
    <w:rsid w:val="58AF6E00"/>
    <w:rsid w:val="58C95CC3"/>
    <w:rsid w:val="58D01275"/>
    <w:rsid w:val="58F175A3"/>
    <w:rsid w:val="591D69DF"/>
    <w:rsid w:val="594A4E8E"/>
    <w:rsid w:val="594E1B72"/>
    <w:rsid w:val="595C5D7E"/>
    <w:rsid w:val="595F0F58"/>
    <w:rsid w:val="59AC68B1"/>
    <w:rsid w:val="59D2134A"/>
    <w:rsid w:val="59E50ED8"/>
    <w:rsid w:val="59F91440"/>
    <w:rsid w:val="5A155F79"/>
    <w:rsid w:val="5A186827"/>
    <w:rsid w:val="5A282B7B"/>
    <w:rsid w:val="5A4C731D"/>
    <w:rsid w:val="5A7E3DF0"/>
    <w:rsid w:val="5B0F7B8D"/>
    <w:rsid w:val="5B184331"/>
    <w:rsid w:val="5B377DE0"/>
    <w:rsid w:val="5B6931ED"/>
    <w:rsid w:val="5B994858"/>
    <w:rsid w:val="5BA65BE2"/>
    <w:rsid w:val="5BD70EBB"/>
    <w:rsid w:val="5C451B0F"/>
    <w:rsid w:val="5C725DD3"/>
    <w:rsid w:val="5CA93C1F"/>
    <w:rsid w:val="5CCF593C"/>
    <w:rsid w:val="5D0D757F"/>
    <w:rsid w:val="5D1631A5"/>
    <w:rsid w:val="5D443182"/>
    <w:rsid w:val="5D5F2AEE"/>
    <w:rsid w:val="5D6274C1"/>
    <w:rsid w:val="5D667E25"/>
    <w:rsid w:val="5D792185"/>
    <w:rsid w:val="5D7F6562"/>
    <w:rsid w:val="5D8D09C2"/>
    <w:rsid w:val="5D8F2CEE"/>
    <w:rsid w:val="5D986F11"/>
    <w:rsid w:val="5D9D32E5"/>
    <w:rsid w:val="5DA67113"/>
    <w:rsid w:val="5DBE3698"/>
    <w:rsid w:val="5DC50B7E"/>
    <w:rsid w:val="5DC527DC"/>
    <w:rsid w:val="5E0A76EE"/>
    <w:rsid w:val="5E197686"/>
    <w:rsid w:val="5E315D9E"/>
    <w:rsid w:val="5E341D5A"/>
    <w:rsid w:val="5EAA5D3A"/>
    <w:rsid w:val="5F143092"/>
    <w:rsid w:val="5F266768"/>
    <w:rsid w:val="5F366A59"/>
    <w:rsid w:val="5F4B30B3"/>
    <w:rsid w:val="5F5F28E3"/>
    <w:rsid w:val="5F84044A"/>
    <w:rsid w:val="5FEC396E"/>
    <w:rsid w:val="5FF33CA7"/>
    <w:rsid w:val="60505C7C"/>
    <w:rsid w:val="605E0799"/>
    <w:rsid w:val="606F0F82"/>
    <w:rsid w:val="60700445"/>
    <w:rsid w:val="607B53D6"/>
    <w:rsid w:val="6085083C"/>
    <w:rsid w:val="608C3184"/>
    <w:rsid w:val="60CC0520"/>
    <w:rsid w:val="60DF6F0C"/>
    <w:rsid w:val="611F6A9E"/>
    <w:rsid w:val="61406AA9"/>
    <w:rsid w:val="61436A0C"/>
    <w:rsid w:val="61613CA8"/>
    <w:rsid w:val="616A64A3"/>
    <w:rsid w:val="61965052"/>
    <w:rsid w:val="61A00825"/>
    <w:rsid w:val="61C13E62"/>
    <w:rsid w:val="621447CD"/>
    <w:rsid w:val="623050E0"/>
    <w:rsid w:val="626B4594"/>
    <w:rsid w:val="626F1C8C"/>
    <w:rsid w:val="627763B5"/>
    <w:rsid w:val="629F03EA"/>
    <w:rsid w:val="6309301C"/>
    <w:rsid w:val="63276E0E"/>
    <w:rsid w:val="63744CEC"/>
    <w:rsid w:val="63844DCD"/>
    <w:rsid w:val="63A74B8F"/>
    <w:rsid w:val="63AA6AF9"/>
    <w:rsid w:val="63AD4B96"/>
    <w:rsid w:val="63AF2217"/>
    <w:rsid w:val="63C903E0"/>
    <w:rsid w:val="63DD208D"/>
    <w:rsid w:val="63E630FE"/>
    <w:rsid w:val="641B4D1F"/>
    <w:rsid w:val="64237317"/>
    <w:rsid w:val="646849BA"/>
    <w:rsid w:val="647D14F6"/>
    <w:rsid w:val="648C1D91"/>
    <w:rsid w:val="64A657F4"/>
    <w:rsid w:val="64AE6BA9"/>
    <w:rsid w:val="64EA6DB1"/>
    <w:rsid w:val="650523DD"/>
    <w:rsid w:val="655D295B"/>
    <w:rsid w:val="65855A4A"/>
    <w:rsid w:val="65C67918"/>
    <w:rsid w:val="65D51249"/>
    <w:rsid w:val="65EC53A9"/>
    <w:rsid w:val="65ED04A4"/>
    <w:rsid w:val="66042201"/>
    <w:rsid w:val="66060625"/>
    <w:rsid w:val="66090290"/>
    <w:rsid w:val="66313DBC"/>
    <w:rsid w:val="663152AA"/>
    <w:rsid w:val="66487E9A"/>
    <w:rsid w:val="666C6CE4"/>
    <w:rsid w:val="66733F6F"/>
    <w:rsid w:val="66850513"/>
    <w:rsid w:val="6695637E"/>
    <w:rsid w:val="66B0300C"/>
    <w:rsid w:val="66D26484"/>
    <w:rsid w:val="66F030C3"/>
    <w:rsid w:val="67120635"/>
    <w:rsid w:val="673149D3"/>
    <w:rsid w:val="673B24FE"/>
    <w:rsid w:val="674375C6"/>
    <w:rsid w:val="67680596"/>
    <w:rsid w:val="677701BB"/>
    <w:rsid w:val="678B7F34"/>
    <w:rsid w:val="67D415C0"/>
    <w:rsid w:val="67EE53AA"/>
    <w:rsid w:val="67F24090"/>
    <w:rsid w:val="680254CE"/>
    <w:rsid w:val="68273CB3"/>
    <w:rsid w:val="686260AA"/>
    <w:rsid w:val="686E00E4"/>
    <w:rsid w:val="68720535"/>
    <w:rsid w:val="68810158"/>
    <w:rsid w:val="689C5886"/>
    <w:rsid w:val="68B8197B"/>
    <w:rsid w:val="68C921C3"/>
    <w:rsid w:val="69062F70"/>
    <w:rsid w:val="690C1C9C"/>
    <w:rsid w:val="695C4201"/>
    <w:rsid w:val="69605868"/>
    <w:rsid w:val="697A16CF"/>
    <w:rsid w:val="69B54CE3"/>
    <w:rsid w:val="69D210D7"/>
    <w:rsid w:val="69F20074"/>
    <w:rsid w:val="6A012096"/>
    <w:rsid w:val="6A507CF8"/>
    <w:rsid w:val="6A577161"/>
    <w:rsid w:val="6A930501"/>
    <w:rsid w:val="6AE62B45"/>
    <w:rsid w:val="6AE93506"/>
    <w:rsid w:val="6B3A1C4C"/>
    <w:rsid w:val="6B640041"/>
    <w:rsid w:val="6B893284"/>
    <w:rsid w:val="6B931EA2"/>
    <w:rsid w:val="6B9C3830"/>
    <w:rsid w:val="6BA0754F"/>
    <w:rsid w:val="6BD16B05"/>
    <w:rsid w:val="6C143879"/>
    <w:rsid w:val="6C2E3C4C"/>
    <w:rsid w:val="6C407130"/>
    <w:rsid w:val="6C53453C"/>
    <w:rsid w:val="6C546B0E"/>
    <w:rsid w:val="6C716096"/>
    <w:rsid w:val="6C7349FF"/>
    <w:rsid w:val="6CC0561D"/>
    <w:rsid w:val="6CE36912"/>
    <w:rsid w:val="6CEC60FD"/>
    <w:rsid w:val="6CF56559"/>
    <w:rsid w:val="6D083746"/>
    <w:rsid w:val="6D2B3D6B"/>
    <w:rsid w:val="6D5863D5"/>
    <w:rsid w:val="6DB1230D"/>
    <w:rsid w:val="6E0C4A96"/>
    <w:rsid w:val="6E1801E5"/>
    <w:rsid w:val="6E3F5679"/>
    <w:rsid w:val="6E460F38"/>
    <w:rsid w:val="6E5F6D97"/>
    <w:rsid w:val="6E7C1C1A"/>
    <w:rsid w:val="6E9D262C"/>
    <w:rsid w:val="6EA608C3"/>
    <w:rsid w:val="6EB47277"/>
    <w:rsid w:val="6EB744BF"/>
    <w:rsid w:val="6EFE0703"/>
    <w:rsid w:val="6F67476F"/>
    <w:rsid w:val="6F713B1D"/>
    <w:rsid w:val="6F765382"/>
    <w:rsid w:val="6F8732FE"/>
    <w:rsid w:val="6F8E3955"/>
    <w:rsid w:val="6F9549FF"/>
    <w:rsid w:val="6F9E20CC"/>
    <w:rsid w:val="6FD806A2"/>
    <w:rsid w:val="6FD95DB0"/>
    <w:rsid w:val="6FEF3AAD"/>
    <w:rsid w:val="6FF71894"/>
    <w:rsid w:val="6FF75E2A"/>
    <w:rsid w:val="70106A1D"/>
    <w:rsid w:val="702164E6"/>
    <w:rsid w:val="702D21A4"/>
    <w:rsid w:val="70361F08"/>
    <w:rsid w:val="70415F60"/>
    <w:rsid w:val="708E682F"/>
    <w:rsid w:val="7097344C"/>
    <w:rsid w:val="70977E6D"/>
    <w:rsid w:val="70A11233"/>
    <w:rsid w:val="70A55528"/>
    <w:rsid w:val="70BC496E"/>
    <w:rsid w:val="70C428C5"/>
    <w:rsid w:val="70D037F1"/>
    <w:rsid w:val="70F625E3"/>
    <w:rsid w:val="71077AB7"/>
    <w:rsid w:val="712C5C99"/>
    <w:rsid w:val="713B7740"/>
    <w:rsid w:val="714A2AAB"/>
    <w:rsid w:val="714C61FB"/>
    <w:rsid w:val="715D001E"/>
    <w:rsid w:val="719471F0"/>
    <w:rsid w:val="71A513E4"/>
    <w:rsid w:val="71AA13E1"/>
    <w:rsid w:val="71BA18C0"/>
    <w:rsid w:val="71BA1FD2"/>
    <w:rsid w:val="71CD3F17"/>
    <w:rsid w:val="71E649FE"/>
    <w:rsid w:val="722454C5"/>
    <w:rsid w:val="72315510"/>
    <w:rsid w:val="72520245"/>
    <w:rsid w:val="726962C4"/>
    <w:rsid w:val="72900E69"/>
    <w:rsid w:val="72944333"/>
    <w:rsid w:val="729E6240"/>
    <w:rsid w:val="72B62D7C"/>
    <w:rsid w:val="72DF2B76"/>
    <w:rsid w:val="72EE4459"/>
    <w:rsid w:val="73270463"/>
    <w:rsid w:val="732F02D6"/>
    <w:rsid w:val="733F48F4"/>
    <w:rsid w:val="736E16EB"/>
    <w:rsid w:val="739D7151"/>
    <w:rsid w:val="73B721C0"/>
    <w:rsid w:val="73BE5ACA"/>
    <w:rsid w:val="73DF64EB"/>
    <w:rsid w:val="73E263F1"/>
    <w:rsid w:val="742A085D"/>
    <w:rsid w:val="744B702E"/>
    <w:rsid w:val="745913DF"/>
    <w:rsid w:val="749F619F"/>
    <w:rsid w:val="74C435E2"/>
    <w:rsid w:val="74D235A9"/>
    <w:rsid w:val="74D44D4C"/>
    <w:rsid w:val="74E329CC"/>
    <w:rsid w:val="75011F53"/>
    <w:rsid w:val="75110663"/>
    <w:rsid w:val="754606FB"/>
    <w:rsid w:val="756A1F09"/>
    <w:rsid w:val="75AC7313"/>
    <w:rsid w:val="75B12C6E"/>
    <w:rsid w:val="75B67D2B"/>
    <w:rsid w:val="75BD0061"/>
    <w:rsid w:val="75DD7136"/>
    <w:rsid w:val="760B6429"/>
    <w:rsid w:val="76156891"/>
    <w:rsid w:val="7676001C"/>
    <w:rsid w:val="767D6D9B"/>
    <w:rsid w:val="76D600C8"/>
    <w:rsid w:val="76D9794F"/>
    <w:rsid w:val="770B7D63"/>
    <w:rsid w:val="770D2B5C"/>
    <w:rsid w:val="771A68C2"/>
    <w:rsid w:val="772C0864"/>
    <w:rsid w:val="77497540"/>
    <w:rsid w:val="77942677"/>
    <w:rsid w:val="77E1651F"/>
    <w:rsid w:val="780B204F"/>
    <w:rsid w:val="781B1814"/>
    <w:rsid w:val="78254C0E"/>
    <w:rsid w:val="783C0799"/>
    <w:rsid w:val="7863505F"/>
    <w:rsid w:val="78A94D35"/>
    <w:rsid w:val="78BC28F0"/>
    <w:rsid w:val="78BC57D2"/>
    <w:rsid w:val="78BC62EB"/>
    <w:rsid w:val="78BD3476"/>
    <w:rsid w:val="78C9295A"/>
    <w:rsid w:val="78D97318"/>
    <w:rsid w:val="78EB1420"/>
    <w:rsid w:val="79035DF3"/>
    <w:rsid w:val="79110E41"/>
    <w:rsid w:val="791C18A6"/>
    <w:rsid w:val="79692566"/>
    <w:rsid w:val="798D0381"/>
    <w:rsid w:val="799611DD"/>
    <w:rsid w:val="79A40962"/>
    <w:rsid w:val="79A4237E"/>
    <w:rsid w:val="79AF4348"/>
    <w:rsid w:val="79D32F3C"/>
    <w:rsid w:val="79E66A4C"/>
    <w:rsid w:val="79EC02A6"/>
    <w:rsid w:val="7A135EAF"/>
    <w:rsid w:val="7A1910C0"/>
    <w:rsid w:val="7A3870C2"/>
    <w:rsid w:val="7A5E10D0"/>
    <w:rsid w:val="7A79088D"/>
    <w:rsid w:val="7A80555B"/>
    <w:rsid w:val="7AB83DD2"/>
    <w:rsid w:val="7ABF619B"/>
    <w:rsid w:val="7AE07359"/>
    <w:rsid w:val="7B0E5B4A"/>
    <w:rsid w:val="7B430AC2"/>
    <w:rsid w:val="7B743178"/>
    <w:rsid w:val="7B867629"/>
    <w:rsid w:val="7BC03FDA"/>
    <w:rsid w:val="7BF611C4"/>
    <w:rsid w:val="7BF62B7B"/>
    <w:rsid w:val="7BFA5E78"/>
    <w:rsid w:val="7C115017"/>
    <w:rsid w:val="7C2C219A"/>
    <w:rsid w:val="7C373561"/>
    <w:rsid w:val="7CC07D8F"/>
    <w:rsid w:val="7D3B6D0E"/>
    <w:rsid w:val="7DC27CEC"/>
    <w:rsid w:val="7DCB5842"/>
    <w:rsid w:val="7DDC35BC"/>
    <w:rsid w:val="7E724C63"/>
    <w:rsid w:val="7E835136"/>
    <w:rsid w:val="7E9C1E04"/>
    <w:rsid w:val="7EB30C71"/>
    <w:rsid w:val="7EC75FAF"/>
    <w:rsid w:val="7EDC6FF7"/>
    <w:rsid w:val="7F1A23AD"/>
    <w:rsid w:val="7F8138AB"/>
    <w:rsid w:val="7FBD76BB"/>
    <w:rsid w:val="7FEF50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宋体" w:hAnsi="Calibri" w:eastAsia="宋体" w:cs="黑体"/>
      <w:sz w:val="24"/>
      <w:szCs w:val="22"/>
      <w:lang w:val="en-US" w:eastAsia="zh-CN" w:bidi="ar-SA"/>
    </w:rPr>
  </w:style>
  <w:style w:type="paragraph" w:styleId="4">
    <w:name w:val="heading 1"/>
    <w:basedOn w:val="1"/>
    <w:next w:val="1"/>
    <w:link w:val="20"/>
    <w:qFormat/>
    <w:uiPriority w:val="99"/>
    <w:pPr>
      <w:keepNext/>
      <w:keepLines/>
      <w:widowControl w:val="0"/>
      <w:spacing w:before="120" w:after="240" w:line="576" w:lineRule="auto"/>
      <w:ind w:firstLine="0" w:firstLineChars="0"/>
      <w:jc w:val="center"/>
      <w:outlineLvl w:val="0"/>
    </w:pPr>
    <w:rPr>
      <w:b/>
      <w:kern w:val="44"/>
      <w:sz w:val="44"/>
    </w:rPr>
  </w:style>
  <w:style w:type="paragraph" w:styleId="2">
    <w:name w:val="heading 2"/>
    <w:basedOn w:val="1"/>
    <w:next w:val="3"/>
    <w:link w:val="21"/>
    <w:qFormat/>
    <w:uiPriority w:val="99"/>
    <w:pPr>
      <w:keepNext/>
      <w:keepLines/>
      <w:widowControl w:val="0"/>
      <w:spacing w:before="600" w:after="240"/>
      <w:ind w:left="100" w:leftChars="100" w:right="100" w:rightChars="100" w:firstLine="0" w:firstLineChars="0"/>
      <w:outlineLvl w:val="1"/>
    </w:pPr>
    <w:rPr>
      <w:rFonts w:ascii="Arial" w:hAnsi="Arial" w:eastAsia="黑体"/>
      <w:b/>
      <w:sz w:val="32"/>
    </w:rPr>
  </w:style>
  <w:style w:type="paragraph" w:styleId="5">
    <w:name w:val="heading 3"/>
    <w:basedOn w:val="1"/>
    <w:next w:val="1"/>
    <w:link w:val="22"/>
    <w:qFormat/>
    <w:uiPriority w:val="99"/>
    <w:pPr>
      <w:keepNext/>
      <w:keepLines/>
      <w:widowControl w:val="0"/>
      <w:spacing w:before="260" w:after="260" w:line="413" w:lineRule="auto"/>
      <w:jc w:val="both"/>
      <w:outlineLvl w:val="2"/>
    </w:pPr>
    <w:rPr>
      <w:rFonts w:ascii="Times New Roman"/>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sz w:val="20"/>
    </w:rPr>
  </w:style>
  <w:style w:type="paragraph" w:styleId="6">
    <w:name w:val="annotation text"/>
    <w:basedOn w:val="1"/>
    <w:link w:val="23"/>
    <w:qFormat/>
    <w:uiPriority w:val="99"/>
  </w:style>
  <w:style w:type="paragraph" w:styleId="7">
    <w:name w:val="Body Text"/>
    <w:basedOn w:val="1"/>
    <w:link w:val="25"/>
    <w:qFormat/>
    <w:uiPriority w:val="99"/>
    <w:pPr>
      <w:spacing w:after="120"/>
    </w:pPr>
    <w:rPr>
      <w:rFonts w:ascii="Times New Roman"/>
      <w:sz w:val="20"/>
    </w:rPr>
  </w:style>
  <w:style w:type="paragraph" w:styleId="8">
    <w:name w:val="Body Text Indent"/>
    <w:basedOn w:val="1"/>
    <w:link w:val="26"/>
    <w:qFormat/>
    <w:uiPriority w:val="99"/>
    <w:pPr>
      <w:spacing w:after="120"/>
      <w:ind w:left="420" w:leftChars="200"/>
    </w:pPr>
    <w:rPr>
      <w:rFonts w:ascii="Times New Roman"/>
      <w:sz w:val="20"/>
    </w:rPr>
  </w:style>
  <w:style w:type="paragraph" w:styleId="9">
    <w:name w:val="Balloon Text"/>
    <w:basedOn w:val="1"/>
    <w:link w:val="27"/>
    <w:qFormat/>
    <w:uiPriority w:val="99"/>
    <w:pPr>
      <w:spacing w:line="240" w:lineRule="auto"/>
    </w:pPr>
    <w:rPr>
      <w:sz w:val="18"/>
      <w:szCs w:val="18"/>
    </w:rPr>
  </w:style>
  <w:style w:type="paragraph" w:styleId="10">
    <w:name w:val="footer"/>
    <w:basedOn w:val="1"/>
    <w:link w:val="28"/>
    <w:qFormat/>
    <w:uiPriority w:val="99"/>
    <w:pPr>
      <w:widowControl w:val="0"/>
      <w:tabs>
        <w:tab w:val="center" w:pos="4153"/>
        <w:tab w:val="right" w:pos="8306"/>
      </w:tabs>
      <w:autoSpaceDE w:val="0"/>
      <w:autoSpaceDN w:val="0"/>
      <w:adjustRightInd w:val="0"/>
      <w:snapToGrid w:val="0"/>
    </w:pPr>
    <w:rPr>
      <w:sz w:val="18"/>
    </w:rPr>
  </w:style>
  <w:style w:type="paragraph" w:styleId="11">
    <w:name w:val="header"/>
    <w:basedOn w:val="1"/>
    <w:link w:val="29"/>
    <w:qFormat/>
    <w:uiPriority w:val="99"/>
    <w:pPr>
      <w:widowControl w:val="0"/>
      <w:pBdr>
        <w:bottom w:val="single" w:color="auto" w:sz="6" w:space="1"/>
      </w:pBdr>
      <w:tabs>
        <w:tab w:val="center" w:pos="4153"/>
        <w:tab w:val="right" w:pos="8306"/>
      </w:tabs>
      <w:autoSpaceDE w:val="0"/>
      <w:autoSpaceDN w:val="0"/>
      <w:adjustRightInd w:val="0"/>
      <w:snapToGrid w:val="0"/>
      <w:jc w:val="center"/>
    </w:pPr>
    <w:rPr>
      <w:sz w:val="18"/>
    </w:rPr>
  </w:style>
  <w:style w:type="paragraph" w:styleId="12">
    <w:name w:val="Body Text Indent 3"/>
    <w:basedOn w:val="1"/>
    <w:qFormat/>
    <w:uiPriority w:val="0"/>
    <w:pPr>
      <w:widowControl w:val="0"/>
      <w:spacing w:line="300" w:lineRule="auto"/>
      <w:ind w:firstLine="480"/>
    </w:pPr>
    <w:rPr>
      <w:rFonts w:ascii="Calibri" w:cs="Times New Roman"/>
      <w:kern w:val="2"/>
    </w:rPr>
  </w:style>
  <w:style w:type="paragraph" w:styleId="13">
    <w:name w:val="Normal (Web)"/>
    <w:basedOn w:val="1"/>
    <w:qFormat/>
    <w:uiPriority w:val="0"/>
    <w:pPr>
      <w:spacing w:beforeAutospacing="1" w:afterAutospacing="1"/>
    </w:pPr>
    <w:rPr>
      <w:rFonts w:cs="Times New Roman"/>
    </w:rPr>
  </w:style>
  <w:style w:type="paragraph" w:styleId="14">
    <w:name w:val="annotation subject"/>
    <w:basedOn w:val="6"/>
    <w:next w:val="6"/>
    <w:link w:val="24"/>
    <w:qFormat/>
    <w:uiPriority w:val="99"/>
    <w:rPr>
      <w:b/>
      <w:bCs/>
    </w:rPr>
  </w:style>
  <w:style w:type="table" w:styleId="16">
    <w:name w:val="Table Grid"/>
    <w:basedOn w:val="1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szCs w:val="21"/>
    </w:rPr>
  </w:style>
  <w:style w:type="character" w:customStyle="1" w:styleId="20">
    <w:name w:val="标题 1 Char"/>
    <w:link w:val="4"/>
    <w:qFormat/>
    <w:uiPriority w:val="9"/>
    <w:rPr>
      <w:rFonts w:ascii="宋体" w:hAnsi="Calibri" w:cs="黑体"/>
      <w:b/>
      <w:bCs/>
      <w:kern w:val="44"/>
      <w:sz w:val="44"/>
      <w:szCs w:val="44"/>
    </w:rPr>
  </w:style>
  <w:style w:type="character" w:customStyle="1" w:styleId="21">
    <w:name w:val="标题 2 Char"/>
    <w:link w:val="2"/>
    <w:semiHidden/>
    <w:qFormat/>
    <w:uiPriority w:val="9"/>
    <w:rPr>
      <w:rFonts w:ascii="Cambria" w:hAnsi="Cambria" w:eastAsia="宋体" w:cs="Times New Roman"/>
      <w:b/>
      <w:bCs/>
      <w:kern w:val="0"/>
      <w:sz w:val="32"/>
      <w:szCs w:val="32"/>
    </w:rPr>
  </w:style>
  <w:style w:type="character" w:customStyle="1" w:styleId="22">
    <w:name w:val="标题 3 Char"/>
    <w:link w:val="5"/>
    <w:semiHidden/>
    <w:qFormat/>
    <w:uiPriority w:val="9"/>
    <w:rPr>
      <w:rFonts w:ascii="宋体" w:hAnsi="Calibri" w:cs="黑体"/>
      <w:b/>
      <w:bCs/>
      <w:kern w:val="0"/>
      <w:sz w:val="32"/>
      <w:szCs w:val="32"/>
    </w:rPr>
  </w:style>
  <w:style w:type="character" w:customStyle="1" w:styleId="23">
    <w:name w:val="批注文字 Char"/>
    <w:link w:val="6"/>
    <w:qFormat/>
    <w:locked/>
    <w:uiPriority w:val="99"/>
    <w:rPr>
      <w:rFonts w:ascii="宋体" w:cs="Times New Roman"/>
      <w:sz w:val="22"/>
      <w:szCs w:val="22"/>
    </w:rPr>
  </w:style>
  <w:style w:type="character" w:customStyle="1" w:styleId="24">
    <w:name w:val="批注主题 Char"/>
    <w:link w:val="14"/>
    <w:qFormat/>
    <w:locked/>
    <w:uiPriority w:val="99"/>
    <w:rPr>
      <w:rFonts w:ascii="宋体" w:cs="Times New Roman"/>
      <w:b/>
      <w:bCs/>
      <w:sz w:val="22"/>
      <w:szCs w:val="22"/>
    </w:rPr>
  </w:style>
  <w:style w:type="character" w:customStyle="1" w:styleId="25">
    <w:name w:val="正文文本 Char"/>
    <w:link w:val="7"/>
    <w:semiHidden/>
    <w:qFormat/>
    <w:uiPriority w:val="99"/>
    <w:rPr>
      <w:rFonts w:ascii="宋体" w:hAnsi="Calibri" w:cs="黑体"/>
      <w:kern w:val="0"/>
      <w:sz w:val="24"/>
    </w:rPr>
  </w:style>
  <w:style w:type="character" w:customStyle="1" w:styleId="26">
    <w:name w:val="正文文本缩进 Char"/>
    <w:link w:val="8"/>
    <w:semiHidden/>
    <w:qFormat/>
    <w:uiPriority w:val="99"/>
    <w:rPr>
      <w:rFonts w:ascii="宋体" w:hAnsi="Calibri" w:cs="黑体"/>
      <w:kern w:val="0"/>
      <w:sz w:val="24"/>
    </w:rPr>
  </w:style>
  <w:style w:type="character" w:customStyle="1" w:styleId="27">
    <w:name w:val="批注框文本 Char"/>
    <w:link w:val="9"/>
    <w:qFormat/>
    <w:locked/>
    <w:uiPriority w:val="99"/>
    <w:rPr>
      <w:rFonts w:ascii="宋体" w:cs="Times New Roman"/>
      <w:sz w:val="18"/>
      <w:szCs w:val="18"/>
    </w:rPr>
  </w:style>
  <w:style w:type="character" w:customStyle="1" w:styleId="28">
    <w:name w:val="页脚 Char"/>
    <w:link w:val="10"/>
    <w:semiHidden/>
    <w:qFormat/>
    <w:uiPriority w:val="99"/>
    <w:rPr>
      <w:rFonts w:ascii="宋体" w:hAnsi="Calibri" w:cs="黑体"/>
      <w:kern w:val="0"/>
      <w:sz w:val="18"/>
      <w:szCs w:val="18"/>
    </w:rPr>
  </w:style>
  <w:style w:type="character" w:customStyle="1" w:styleId="29">
    <w:name w:val="页眉 Char"/>
    <w:link w:val="11"/>
    <w:semiHidden/>
    <w:qFormat/>
    <w:uiPriority w:val="99"/>
    <w:rPr>
      <w:rFonts w:ascii="宋体" w:hAnsi="Calibri" w:cs="黑体"/>
      <w:kern w:val="0"/>
      <w:sz w:val="18"/>
      <w:szCs w:val="18"/>
    </w:rPr>
  </w:style>
  <w:style w:type="paragraph" w:customStyle="1" w:styleId="30">
    <w:name w:val="普通正文"/>
    <w:basedOn w:val="1"/>
    <w:qFormat/>
    <w:uiPriority w:val="99"/>
    <w:pPr>
      <w:widowControl w:val="0"/>
      <w:snapToGrid w:val="0"/>
      <w:spacing w:before="120" w:after="120" w:line="360" w:lineRule="atLeast"/>
      <w:ind w:firstLine="425"/>
      <w:jc w:val="both"/>
    </w:pPr>
    <w:rPr>
      <w:kern w:val="21"/>
    </w:rPr>
  </w:style>
  <w:style w:type="paragraph" w:customStyle="1" w:styleId="31">
    <w:name w:val="p0"/>
    <w:basedOn w:val="1"/>
    <w:qFormat/>
    <w:uiPriority w:val="99"/>
    <w:pPr>
      <w:jc w:val="both"/>
    </w:pPr>
    <w:rPr>
      <w:szCs w:val="21"/>
    </w:rPr>
  </w:style>
  <w:style w:type="paragraph" w:customStyle="1" w:styleId="32">
    <w:name w:val="正文首行缩进两字符"/>
    <w:basedOn w:val="1"/>
    <w:qFormat/>
    <w:uiPriority w:val="99"/>
    <w:pPr>
      <w:widowControl w:val="0"/>
      <w:jc w:val="both"/>
    </w:pPr>
    <w:rPr>
      <w:rFonts w:ascii="Times New Roman"/>
    </w:rPr>
  </w:style>
  <w:style w:type="paragraph" w:customStyle="1" w:styleId="33">
    <w:name w:val="Default"/>
    <w:qFormat/>
    <w:uiPriority w:val="99"/>
    <w:pPr>
      <w:widowControl w:val="0"/>
      <w:autoSpaceDE w:val="0"/>
      <w:autoSpaceDN w:val="0"/>
      <w:adjustRightInd w:val="0"/>
    </w:pPr>
    <w:rPr>
      <w:rFonts w:ascii="宋体" w:hAnsi="Times New Roman" w:eastAsia="宋体" w:cs="Times New Roman"/>
      <w:sz w:val="21"/>
      <w:szCs w:val="22"/>
      <w:lang w:val="en-US" w:eastAsia="zh-CN" w:bidi="ar-SA"/>
    </w:rPr>
  </w:style>
  <w:style w:type="paragraph" w:customStyle="1" w:styleId="34">
    <w:name w:val="条款正文"/>
    <w:basedOn w:val="1"/>
    <w:qFormat/>
    <w:uiPriority w:val="99"/>
    <w:pPr>
      <w:adjustRightInd w:val="0"/>
      <w:snapToGrid w:val="0"/>
      <w:ind w:left="840" w:leftChars="400" w:firstLine="420"/>
    </w:pPr>
    <w:rPr>
      <w:rFonts w:ascii="Times New Roman" w:hAnsi="Times New Roman"/>
      <w:szCs w:val="20"/>
    </w:rPr>
  </w:style>
  <w:style w:type="paragraph" w:customStyle="1" w:styleId="35">
    <w:name w:val="列出段落1"/>
    <w:basedOn w:val="1"/>
    <w:qFormat/>
    <w:uiPriority w:val="99"/>
    <w:pPr>
      <w:ind w:firstLine="420"/>
    </w:pPr>
  </w:style>
  <w:style w:type="character" w:customStyle="1" w:styleId="36">
    <w:name w:val="bord3"/>
    <w:basedOn w:val="17"/>
    <w:qFormat/>
    <w:uiPriority w:val="99"/>
  </w:style>
  <w:style w:type="paragraph" w:customStyle="1" w:styleId="37">
    <w:name w:val="列出段落3"/>
    <w:basedOn w:val="1"/>
    <w:qFormat/>
    <w:uiPriority w:val="34"/>
    <w:pPr>
      <w:widowControl w:val="0"/>
      <w:ind w:firstLine="420"/>
      <w:jc w:val="both"/>
    </w:pPr>
    <w:rPr>
      <w:rFonts w:ascii="Tahoma" w:hAnsi="Tahoma"/>
      <w:kern w:val="2"/>
    </w:rPr>
  </w:style>
  <w:style w:type="paragraph" w:customStyle="1" w:styleId="38">
    <w:name w:val="纯文本1"/>
    <w:basedOn w:val="1"/>
    <w:qFormat/>
    <w:uiPriority w:val="0"/>
    <w:pPr>
      <w:widowControl w:val="0"/>
      <w:adjustRightInd w:val="0"/>
      <w:jc w:val="both"/>
      <w:textAlignment w:val="baseline"/>
    </w:pPr>
    <w:rPr>
      <w:rFonts w:hAnsi="Courier New" w:eastAsia="楷体_GB2312" w:cs="Times New Roman"/>
      <w:kern w:val="2"/>
      <w:sz w:val="26"/>
    </w:rPr>
  </w:style>
  <w:style w:type="character" w:customStyle="1" w:styleId="39">
    <w:name w:val="font01"/>
    <w:qFormat/>
    <w:uiPriority w:val="0"/>
    <w:rPr>
      <w:rFonts w:hint="eastAsia" w:ascii="宋体" w:hAnsi="宋体" w:eastAsia="宋体" w:cs="宋体"/>
      <w:color w:val="000000"/>
      <w:sz w:val="21"/>
      <w:szCs w:val="21"/>
      <w:u w:val="none"/>
    </w:rPr>
  </w:style>
  <w:style w:type="paragraph" w:customStyle="1" w:styleId="40">
    <w:name w:val="表格"/>
    <w:basedOn w:val="1"/>
    <w:qFormat/>
    <w:uiPriority w:val="0"/>
    <w:pPr>
      <w:spacing w:line="400" w:lineRule="exact"/>
    </w:pPr>
  </w:style>
  <w:style w:type="paragraph" w:customStyle="1" w:styleId="41">
    <w:name w:val="招标文件"/>
    <w:basedOn w:val="1"/>
    <w:qFormat/>
    <w:uiPriority w:val="0"/>
    <w:pPr>
      <w:spacing w:line="400" w:lineRule="exact"/>
      <w:ind w:firstLine="420"/>
    </w:pPr>
    <w:rPr>
      <w:rFonts w:hAnsi="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58A19-0099-418C-8C82-022E53B04A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4323</Words>
  <Characters>24647</Characters>
  <Lines>205</Lines>
  <Paragraphs>57</Paragraphs>
  <TotalTime>67</TotalTime>
  <ScaleCrop>false</ScaleCrop>
  <LinksUpToDate>false</LinksUpToDate>
  <CharactersWithSpaces>28913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cp:lastModifiedBy>
  <cp:lastPrinted>2018-05-14T02:40:00Z</cp:lastPrinted>
  <dcterms:modified xsi:type="dcterms:W3CDTF">2020-08-09T02:02:11Z</dcterms:modified>
  <dc:title> </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