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黑体" w:hAnsi="黑体" w:eastAsia="黑体" w:cs="黑体"/>
          <w:b/>
          <w:color w:val="auto"/>
          <w:sz w:val="20"/>
          <w:szCs w:val="20"/>
        </w:rPr>
      </w:pPr>
      <w:r>
        <w:rPr>
          <w:rFonts w:hint="eastAsia" w:ascii="黑体" w:hAnsi="黑体" w:eastAsia="黑体" w:cs="黑体"/>
          <w:b/>
          <w:color w:val="auto"/>
          <w:sz w:val="32"/>
          <w:szCs w:val="32"/>
        </w:rPr>
        <w:t>采购需求</w:t>
      </w:r>
    </w:p>
    <w:p>
      <w:pPr>
        <w:numPr>
          <w:ilvl w:val="0"/>
          <w:numId w:val="0"/>
        </w:numPr>
        <w:tabs>
          <w:tab w:val="left" w:pos="0"/>
        </w:tabs>
        <w:spacing w:line="360" w:lineRule="auto"/>
        <w:ind w:leftChars="0"/>
        <w:rPr>
          <w:rFonts w:hint="eastAsia" w:asciiTheme="minorEastAsia" w:hAnsiTheme="minorEastAsia" w:eastAsiaTheme="minorEastAsia" w:cstheme="minorEastAsia"/>
          <w:b/>
          <w:color w:val="auto"/>
          <w:sz w:val="24"/>
          <w:lang w:val="en-US" w:eastAsia="zh-CN"/>
        </w:rPr>
      </w:pPr>
      <w:r>
        <w:rPr>
          <w:rFonts w:hint="eastAsia" w:asciiTheme="minorEastAsia" w:hAnsiTheme="minorEastAsia" w:eastAsiaTheme="minorEastAsia" w:cstheme="minorEastAsia"/>
          <w:b/>
          <w:color w:val="auto"/>
          <w:sz w:val="24"/>
          <w:lang w:eastAsia="zh-CN"/>
        </w:rPr>
        <w:t>一、</w:t>
      </w:r>
      <w:r>
        <w:rPr>
          <w:rFonts w:hint="eastAsia" w:asciiTheme="minorEastAsia" w:hAnsiTheme="minorEastAsia" w:eastAsiaTheme="minorEastAsia" w:cstheme="minorEastAsia"/>
          <w:b/>
          <w:color w:val="auto"/>
          <w:sz w:val="24"/>
        </w:rPr>
        <w:t>项目背景</w:t>
      </w:r>
    </w:p>
    <w:p>
      <w:pPr>
        <w:adjustRightInd w:val="0"/>
        <w:snapToGrid w:val="0"/>
        <w:spacing w:line="360" w:lineRule="auto"/>
        <w:ind w:firstLine="480"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val="0"/>
          <w:bCs/>
          <w:color w:val="auto"/>
          <w:sz w:val="24"/>
          <w:szCs w:val="24"/>
          <w:lang w:eastAsia="zh-CN"/>
        </w:rPr>
        <w:t>采购人所管辖的市政排水井盖每年均有因老化、重车碾压等原因造成损坏，为及时更换损坏的井盖，采购人拟确定一家投标人供应一批</w:t>
      </w:r>
      <w:r>
        <w:rPr>
          <w:rFonts w:hint="eastAsia" w:asciiTheme="minorEastAsia" w:hAnsiTheme="minorEastAsia" w:eastAsiaTheme="minorEastAsia" w:cstheme="minorEastAsia"/>
          <w:b w:val="0"/>
          <w:bCs/>
          <w:color w:val="auto"/>
          <w:sz w:val="24"/>
          <w:szCs w:val="24"/>
          <w:lang w:val="en-US" w:eastAsia="zh-CN"/>
        </w:rPr>
        <w:t>井盖货物。</w:t>
      </w:r>
    </w:p>
    <w:p>
      <w:pPr>
        <w:numPr>
          <w:ilvl w:val="0"/>
          <w:numId w:val="0"/>
        </w:numPr>
        <w:tabs>
          <w:tab w:val="left" w:pos="0"/>
        </w:tabs>
        <w:adjustRightInd w:val="0"/>
        <w:snapToGrid w:val="0"/>
        <w:spacing w:line="360" w:lineRule="auto"/>
        <w:ind w:leftChars="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lang w:eastAsia="zh-CN"/>
        </w:rPr>
        <w:t>二、技术需求</w:t>
      </w:r>
    </w:p>
    <w:p>
      <w:pPr>
        <w:tabs>
          <w:tab w:val="left" w:pos="0"/>
        </w:tabs>
        <w:adjustRightInd w:val="0"/>
        <w:snapToGrid w:val="0"/>
        <w:spacing w:line="360" w:lineRule="auto"/>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（一）采购品目技术规格一览表</w:t>
      </w:r>
    </w:p>
    <w:tbl>
      <w:tblPr>
        <w:tblStyle w:val="9"/>
        <w:tblW w:w="895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2016"/>
        <w:gridCol w:w="678"/>
        <w:gridCol w:w="707"/>
        <w:gridCol w:w="1807"/>
        <w:gridCol w:w="222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序号</w:t>
            </w:r>
          </w:p>
        </w:tc>
        <w:tc>
          <w:tcPr>
            <w:tcW w:w="2016"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采购品目名称</w:t>
            </w:r>
          </w:p>
        </w:tc>
        <w:tc>
          <w:tcPr>
            <w:tcW w:w="678"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单位</w:t>
            </w:r>
          </w:p>
        </w:tc>
        <w:tc>
          <w:tcPr>
            <w:tcW w:w="707"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计划数量</w:t>
            </w:r>
          </w:p>
        </w:tc>
        <w:tc>
          <w:tcPr>
            <w:tcW w:w="1807"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规格</w:t>
            </w:r>
          </w:p>
        </w:tc>
        <w:tc>
          <w:tcPr>
            <w:tcW w:w="2225"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技术参数</w:t>
            </w:r>
          </w:p>
        </w:tc>
        <w:tc>
          <w:tcPr>
            <w:tcW w:w="1071"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2016"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检查井盖</w:t>
            </w:r>
          </w:p>
        </w:tc>
        <w:tc>
          <w:tcPr>
            <w:tcW w:w="678"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套</w:t>
            </w:r>
          </w:p>
        </w:tc>
        <w:tc>
          <w:tcPr>
            <w:tcW w:w="707" w:type="dxa"/>
            <w:vAlign w:val="center"/>
          </w:tcPr>
          <w:p>
            <w:pPr>
              <w:keepNext w:val="0"/>
              <w:keepLines w:val="0"/>
              <w:widowControl/>
              <w:suppressLineNumbers w:val="0"/>
              <w:jc w:val="center"/>
              <w:textAlignment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bidi="ar-SA"/>
              </w:rPr>
              <w:t>537</w:t>
            </w:r>
          </w:p>
        </w:tc>
        <w:tc>
          <w:tcPr>
            <w:tcW w:w="1807"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★Φ700*100</w:t>
            </w:r>
          </w:p>
        </w:tc>
        <w:tc>
          <w:tcPr>
            <w:tcW w:w="2225"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球墨铸铁(</w:t>
            </w:r>
            <w:r>
              <w:rPr>
                <w:rFonts w:asciiTheme="minorEastAsia" w:hAnsiTheme="minorEastAsia" w:eastAsiaTheme="minorEastAsia" w:cstheme="minorEastAsia"/>
                <w:bCs/>
                <w:color w:val="auto"/>
                <w:sz w:val="24"/>
                <w:szCs w:val="24"/>
              </w:rPr>
              <w:t>E</w:t>
            </w:r>
            <w:r>
              <w:rPr>
                <w:rFonts w:hint="eastAsia" w:asciiTheme="minorEastAsia" w:hAnsiTheme="minorEastAsia" w:eastAsiaTheme="minorEastAsia" w:cstheme="minorEastAsia"/>
                <w:bCs/>
                <w:color w:val="auto"/>
                <w:sz w:val="24"/>
                <w:szCs w:val="24"/>
              </w:rPr>
              <w:t>600KN)带防盗功能</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带静音条</w:t>
            </w:r>
          </w:p>
        </w:tc>
        <w:tc>
          <w:tcPr>
            <w:tcW w:w="1071" w:type="dxa"/>
            <w:vMerge w:val="restart"/>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最终采购数量以实际使用数量为准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50"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w:t>
            </w:r>
          </w:p>
        </w:tc>
        <w:tc>
          <w:tcPr>
            <w:tcW w:w="2016"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进水井盖</w:t>
            </w:r>
          </w:p>
        </w:tc>
        <w:tc>
          <w:tcPr>
            <w:tcW w:w="678"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套</w:t>
            </w:r>
          </w:p>
        </w:tc>
        <w:tc>
          <w:tcPr>
            <w:tcW w:w="707" w:type="dxa"/>
            <w:vAlign w:val="center"/>
          </w:tcPr>
          <w:p>
            <w:pPr>
              <w:keepNext w:val="0"/>
              <w:keepLines w:val="0"/>
              <w:widowControl/>
              <w:suppressLineNumbers w:val="0"/>
              <w:jc w:val="center"/>
              <w:textAlignment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bidi="ar-SA"/>
              </w:rPr>
              <w:t>500</w:t>
            </w:r>
          </w:p>
        </w:tc>
        <w:tc>
          <w:tcPr>
            <w:tcW w:w="1807"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★450×750mm</w:t>
            </w:r>
          </w:p>
        </w:tc>
        <w:tc>
          <w:tcPr>
            <w:tcW w:w="2225"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球墨铸铁（C</w:t>
            </w:r>
            <w:r>
              <w:rPr>
                <w:rFonts w:asciiTheme="minorEastAsia" w:hAnsiTheme="minorEastAsia" w:eastAsiaTheme="minorEastAsia" w:cstheme="minorEastAsia"/>
                <w:bCs/>
                <w:color w:val="auto"/>
                <w:sz w:val="24"/>
                <w:szCs w:val="24"/>
              </w:rPr>
              <w:t>250</w:t>
            </w:r>
            <w:r>
              <w:rPr>
                <w:rFonts w:hint="eastAsia" w:asciiTheme="minorEastAsia" w:hAnsiTheme="minorEastAsia" w:eastAsiaTheme="minorEastAsia" w:cstheme="minorEastAsia"/>
                <w:bCs/>
                <w:color w:val="auto"/>
                <w:sz w:val="24"/>
                <w:szCs w:val="24"/>
              </w:rPr>
              <w:t>KN）带静音功能</w:t>
            </w:r>
          </w:p>
        </w:tc>
        <w:tc>
          <w:tcPr>
            <w:tcW w:w="1071" w:type="dxa"/>
            <w:vMerge w:val="continue"/>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50"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w:t>
            </w:r>
          </w:p>
        </w:tc>
        <w:tc>
          <w:tcPr>
            <w:tcW w:w="2016"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防沉降一体化检查井</w:t>
            </w:r>
          </w:p>
        </w:tc>
        <w:tc>
          <w:tcPr>
            <w:tcW w:w="678"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套</w:t>
            </w:r>
          </w:p>
        </w:tc>
        <w:tc>
          <w:tcPr>
            <w:tcW w:w="707" w:type="dxa"/>
            <w:vAlign w:val="center"/>
          </w:tcPr>
          <w:p>
            <w:pPr>
              <w:keepNext w:val="0"/>
              <w:keepLines w:val="0"/>
              <w:widowControl/>
              <w:suppressLineNumbers w:val="0"/>
              <w:jc w:val="center"/>
              <w:textAlignment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bidi="ar-SA"/>
              </w:rPr>
              <w:t>985</w:t>
            </w:r>
          </w:p>
        </w:tc>
        <w:tc>
          <w:tcPr>
            <w:tcW w:w="1807"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★Ф650*160</w:t>
            </w:r>
          </w:p>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(700井口)</w:t>
            </w:r>
          </w:p>
        </w:tc>
        <w:tc>
          <w:tcPr>
            <w:tcW w:w="2225"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球墨铸铁（E600KN）带弹簧臂锁定装置、带防盗功能、带静音条</w:t>
            </w:r>
          </w:p>
        </w:tc>
        <w:tc>
          <w:tcPr>
            <w:tcW w:w="1071" w:type="dxa"/>
            <w:vMerge w:val="continue"/>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50"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w:t>
            </w:r>
          </w:p>
        </w:tc>
        <w:tc>
          <w:tcPr>
            <w:tcW w:w="2016"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p>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防沉降一体化进水井</w:t>
            </w:r>
          </w:p>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p>
        </w:tc>
        <w:tc>
          <w:tcPr>
            <w:tcW w:w="678"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套</w:t>
            </w:r>
          </w:p>
        </w:tc>
        <w:tc>
          <w:tcPr>
            <w:tcW w:w="707" w:type="dxa"/>
            <w:vAlign w:val="center"/>
          </w:tcPr>
          <w:p>
            <w:pPr>
              <w:keepNext w:val="0"/>
              <w:keepLines w:val="0"/>
              <w:widowControl/>
              <w:suppressLineNumbers w:val="0"/>
              <w:jc w:val="center"/>
              <w:textAlignment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bidi="ar-SA"/>
              </w:rPr>
              <w:t>1025</w:t>
            </w:r>
          </w:p>
        </w:tc>
        <w:tc>
          <w:tcPr>
            <w:tcW w:w="1807"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★750×500mm</w:t>
            </w:r>
          </w:p>
        </w:tc>
        <w:tc>
          <w:tcPr>
            <w:tcW w:w="2225" w:type="dxa"/>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球墨铸铁</w:t>
            </w:r>
          </w:p>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（C</w:t>
            </w:r>
            <w:r>
              <w:rPr>
                <w:rFonts w:asciiTheme="minorEastAsia" w:hAnsiTheme="minorEastAsia" w:eastAsiaTheme="minorEastAsia" w:cstheme="minorEastAsia"/>
                <w:bCs/>
                <w:color w:val="auto"/>
                <w:sz w:val="24"/>
                <w:szCs w:val="24"/>
              </w:rPr>
              <w:t>250</w:t>
            </w:r>
            <w:r>
              <w:rPr>
                <w:rFonts w:hint="eastAsia" w:asciiTheme="minorEastAsia" w:hAnsiTheme="minorEastAsia" w:eastAsiaTheme="minorEastAsia" w:cstheme="minorEastAsia"/>
                <w:bCs/>
                <w:color w:val="auto"/>
                <w:sz w:val="24"/>
                <w:szCs w:val="24"/>
              </w:rPr>
              <w:t>KN）带弹簧臂锁定装置、带防盗功能、带静音功能</w:t>
            </w:r>
          </w:p>
        </w:tc>
        <w:tc>
          <w:tcPr>
            <w:tcW w:w="1071" w:type="dxa"/>
            <w:vMerge w:val="continue"/>
            <w:vAlign w:val="center"/>
          </w:tcPr>
          <w:p>
            <w:pPr>
              <w:widowControl w:val="0"/>
              <w:tabs>
                <w:tab w:val="left" w:pos="0"/>
              </w:tabs>
              <w:adjustRightInd w:val="0"/>
              <w:snapToGrid w:val="0"/>
              <w:spacing w:line="360" w:lineRule="auto"/>
              <w:jc w:val="center"/>
              <w:rPr>
                <w:rFonts w:asciiTheme="minorEastAsia" w:hAnsiTheme="minorEastAsia" w:eastAsiaTheme="minorEastAsia" w:cstheme="minorEastAsia"/>
                <w:bCs/>
                <w:color w:val="auto"/>
                <w:sz w:val="24"/>
                <w:szCs w:val="24"/>
              </w:rPr>
            </w:pPr>
          </w:p>
        </w:tc>
      </w:tr>
    </w:tbl>
    <w:p>
      <w:pPr>
        <w:tabs>
          <w:tab w:val="left" w:pos="0"/>
        </w:tabs>
        <w:adjustRightInd w:val="0"/>
        <w:snapToGrid w:val="0"/>
        <w:spacing w:line="360" w:lineRule="auto"/>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（二）球墨铸铁井盖主要技术参数及性能要求：</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（1）★本次采购的井盖须符合GB/T 23858-2009 ；铸件尺寸公差执行GB/T6414；铸件重量公差执行GB/T11351。</w:t>
      </w:r>
    </w:p>
    <w:p>
      <w:pPr>
        <w:widowControl w:val="0"/>
        <w:tabs>
          <w:tab w:val="left" w:pos="0"/>
        </w:tabs>
        <w:adjustRightInd w:val="0"/>
        <w:snapToGrid w:val="0"/>
        <w:spacing w:line="360" w:lineRule="auto"/>
        <w:ind w:firstLine="480" w:firstLineChars="200"/>
        <w:jc w:val="both"/>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（2）★所用球墨铸铁材料必须符合国家GB/T 1348-2009，材质QT500-7；</w:t>
      </w:r>
    </w:p>
    <w:p>
      <w:pPr>
        <w:widowControl w:val="0"/>
        <w:tabs>
          <w:tab w:val="left" w:pos="0"/>
        </w:tabs>
        <w:adjustRightInd w:val="0"/>
        <w:snapToGrid w:val="0"/>
        <w:spacing w:line="360" w:lineRule="auto"/>
        <w:ind w:firstLine="480" w:firstLineChars="200"/>
        <w:jc w:val="both"/>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（3）承载要求：本次采购的井盖及进水盖板荷载等级为E600，D400，C250；</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（4）▲所采购的所有重型普通圆井盖须带静音条，在球墨铸铁基础框边上开设燕尾槽安装.</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（5）限位凸块，盖板边缘均匀分布小凸块，紧贴支座，起到固定作用，防止盖板因外力冲击水平移动而与支座侧壁碰撞产生响声；</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（6）▲防沉降井盖带弹簧臂锁定装置，减少冲击、防止响声；</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（7）雨水篦子须均布有下水孔。</w:t>
      </w:r>
    </w:p>
    <w:p>
      <w:pPr>
        <w:pStyle w:val="3"/>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（8）井盖设施必须经过防锈处理。</w:t>
      </w:r>
    </w:p>
    <w:p>
      <w:pPr>
        <w:widowControl w:val="0"/>
        <w:tabs>
          <w:tab w:val="left" w:pos="0"/>
        </w:tabs>
        <w:adjustRightInd w:val="0"/>
        <w:snapToGrid w:val="0"/>
        <w:spacing w:line="360" w:lineRule="auto"/>
        <w:ind w:firstLine="480" w:firstLineChars="200"/>
        <w:jc w:val="both"/>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（三）一体化球墨铸铁防沉降型检查井盖主要技术参数及性能要求：</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(1)盖板尺寸650mm，厚度13mm，井盖框高 </w:t>
      </w:r>
      <w:r>
        <w:rPr>
          <w:rFonts w:hint="eastAsia" w:asciiTheme="minorEastAsia" w:hAnsiTheme="minorEastAsia" w:eastAsiaTheme="minorEastAsia" w:cstheme="minorEastAsia"/>
          <w:bCs/>
          <w:color w:val="auto"/>
          <w:sz w:val="24"/>
          <w:szCs w:val="24"/>
          <w:lang w:val="en-US" w:eastAsia="zh-CN"/>
        </w:rPr>
        <w:t>160</w:t>
      </w:r>
      <w:r>
        <w:rPr>
          <w:rFonts w:hint="eastAsia" w:asciiTheme="minorEastAsia" w:hAnsiTheme="minorEastAsia" w:eastAsiaTheme="minorEastAsia" w:cstheme="minorEastAsia"/>
          <w:bCs/>
          <w:color w:val="auto"/>
          <w:sz w:val="24"/>
          <w:szCs w:val="24"/>
        </w:rPr>
        <w:t>mm，井框直径</w:t>
      </w:r>
      <w:r>
        <w:rPr>
          <w:rFonts w:hint="eastAsia" w:asciiTheme="minorEastAsia" w:hAnsiTheme="minorEastAsia" w:eastAsiaTheme="minorEastAsia" w:cstheme="minorEastAsia"/>
          <w:bCs/>
          <w:color w:val="auto"/>
          <w:sz w:val="24"/>
          <w:szCs w:val="24"/>
          <w:lang w:val="en-US" w:eastAsia="zh-CN"/>
        </w:rPr>
        <w:t>830</w:t>
      </w:r>
      <w:r>
        <w:rPr>
          <w:rFonts w:hint="eastAsia" w:asciiTheme="minorEastAsia" w:hAnsiTheme="minorEastAsia" w:eastAsiaTheme="minorEastAsia" w:cstheme="minorEastAsia"/>
          <w:bCs/>
          <w:color w:val="auto"/>
          <w:sz w:val="24"/>
          <w:szCs w:val="24"/>
        </w:rPr>
        <w:t>mm，井框下口外径660~670mm，直筒型井框结构，带防坠格栅</w:t>
      </w:r>
      <w:r>
        <w:rPr>
          <w:rFonts w:hint="eastAsia" w:asciiTheme="minorEastAsia" w:hAnsiTheme="minorEastAsia" w:eastAsiaTheme="minorEastAsia" w:cstheme="minorEastAsia"/>
          <w:bCs/>
          <w:color w:val="auto"/>
          <w:sz w:val="24"/>
          <w:szCs w:val="24"/>
          <w:lang w:eastAsia="zh-CN"/>
        </w:rPr>
        <w:t>，配调节环，每</w:t>
      </w:r>
      <w:r>
        <w:rPr>
          <w:rFonts w:hint="eastAsia" w:asciiTheme="minorEastAsia" w:hAnsiTheme="minorEastAsia" w:eastAsiaTheme="minorEastAsia" w:cstheme="minorEastAsia"/>
          <w:bCs/>
          <w:color w:val="auto"/>
          <w:sz w:val="24"/>
          <w:szCs w:val="24"/>
          <w:lang w:val="en-US" w:eastAsia="zh-CN"/>
        </w:rPr>
        <w:t>100套井盖要求至少提</w:t>
      </w:r>
      <w:r>
        <w:rPr>
          <w:rFonts w:hint="eastAsia" w:asciiTheme="minorEastAsia" w:hAnsiTheme="minorEastAsia" w:eastAsiaTheme="minorEastAsia" w:cstheme="minorEastAsia"/>
          <w:color w:val="auto"/>
          <w:kern w:val="2"/>
          <w:sz w:val="24"/>
          <w:szCs w:val="24"/>
          <w:lang w:val="en-US" w:eastAsia="zh-CN"/>
        </w:rPr>
        <w:t>供一个安装框，带锁具</w:t>
      </w:r>
      <w:r>
        <w:rPr>
          <w:rFonts w:hint="eastAsia" w:asciiTheme="minorEastAsia" w:hAnsiTheme="minorEastAsia" w:eastAsiaTheme="minorEastAsia" w:cstheme="minorEastAsia"/>
          <w:color w:val="auto"/>
          <w:kern w:val="2"/>
          <w:sz w:val="24"/>
          <w:szCs w:val="24"/>
        </w:rPr>
        <w:t>。</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(2)铸件材质：QT500-7，球化率达三级及以上，承载试验执行GB/T 23858-2009 </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井盖采用隐藏式防盗结构，井盖可开启至180度。隐藏式防盗结构应采用可拆式设计，在井盖损坏的时候，可在不拆除井盖整体的情况下，通过拆除隐藏式防盗结构完成井盖板的更换。</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3</w:t>
      </w:r>
      <w:r>
        <w:rPr>
          <w:rFonts w:hint="eastAsia" w:asciiTheme="minorEastAsia" w:hAnsiTheme="minorEastAsia" w:eastAsiaTheme="minorEastAsia" w:cstheme="minorEastAsia"/>
          <w:bCs/>
          <w:color w:val="auto"/>
          <w:sz w:val="24"/>
          <w:szCs w:val="24"/>
        </w:rPr>
        <w:t>）胶垫厚度不应小于10mm，外露井座表面宜为2mm。</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bCs/>
          <w:color w:val="auto"/>
          <w:sz w:val="24"/>
          <w:szCs w:val="24"/>
        </w:rPr>
        <w:t>）盖板宜采用弹性锁定结构设计，闭合后紧扣井座、不会意外开启或跳动发出响声，具备防噪、减振、防弹跳的锁紧功能。</w:t>
      </w:r>
    </w:p>
    <w:p>
      <w:pPr>
        <w:widowControl w:val="0"/>
        <w:tabs>
          <w:tab w:val="left" w:pos="0"/>
        </w:tabs>
        <w:adjustRightInd w:val="0"/>
        <w:snapToGrid w:val="0"/>
        <w:spacing w:line="360" w:lineRule="auto"/>
        <w:ind w:firstLine="480" w:firstLineChars="200"/>
        <w:jc w:val="both"/>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）井盖设施的连接轴应采用实心的不锈钢螺栓或销钉，直径不小于14mm。</w:t>
      </w:r>
    </w:p>
    <w:p>
      <w:pPr>
        <w:pStyle w:val="6"/>
        <w:widowControl w:val="0"/>
        <w:numPr>
          <w:ilvl w:val="0"/>
          <w:numId w:val="1"/>
        </w:numPr>
        <w:spacing w:line="360" w:lineRule="auto"/>
        <w:ind w:firstLine="0" w:firstLineChars="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一体化球墨铸铁防沉降型进水井盖主要技术参数及性能要求：</w:t>
      </w:r>
    </w:p>
    <w:p>
      <w:pPr>
        <w:pStyle w:val="6"/>
        <w:widowControl w:val="0"/>
        <w:numPr>
          <w:ilvl w:val="0"/>
          <w:numId w:val="2"/>
        </w:numPr>
        <w:spacing w:line="360" w:lineRule="auto"/>
        <w:ind w:firstLine="240"/>
        <w:rPr>
          <w:rFonts w:hint="eastAsia" w:asciiTheme="minorEastAsia" w:hAnsiTheme="minorEastAsia" w:eastAsiaTheme="minorEastAsia" w:cstheme="minorEastAsia"/>
          <w:bCs/>
          <w:color w:val="auto"/>
          <w:sz w:val="24"/>
          <w:szCs w:val="24"/>
          <w:lang w:val="en-US" w:eastAsia="zh-CN" w:bidi="ar-SA"/>
        </w:rPr>
      </w:pPr>
      <w:r>
        <w:rPr>
          <w:rFonts w:hint="eastAsia" w:asciiTheme="minorEastAsia" w:hAnsiTheme="minorEastAsia" w:eastAsiaTheme="minorEastAsia" w:cstheme="minorEastAsia"/>
          <w:bCs/>
          <w:color w:val="auto"/>
          <w:kern w:val="2"/>
          <w:sz w:val="24"/>
          <w:szCs w:val="24"/>
        </w:rPr>
        <w:t>雨水口篦子采用球墨铸铁重型防盗型箅盖及箅座，</w:t>
      </w:r>
      <w:r>
        <w:rPr>
          <w:rFonts w:hint="eastAsia" w:asciiTheme="minorEastAsia" w:hAnsiTheme="minorEastAsia" w:eastAsiaTheme="minorEastAsia" w:cstheme="minorEastAsia"/>
          <w:bCs/>
          <w:color w:val="auto"/>
          <w:sz w:val="24"/>
          <w:szCs w:val="24"/>
          <w:lang w:val="en-US" w:eastAsia="zh-CN" w:bidi="ar-SA"/>
        </w:rPr>
        <w:t>篦子盖600×400</w:t>
      </w:r>
      <w:r>
        <w:rPr>
          <w:rFonts w:hint="eastAsia" w:asciiTheme="minorEastAsia" w:hAnsiTheme="minorEastAsia" w:eastAsiaTheme="minorEastAsia" w:cstheme="minorEastAsia"/>
          <w:bCs/>
          <w:color w:val="auto"/>
          <w:sz w:val="24"/>
          <w:szCs w:val="24"/>
        </w:rPr>
        <w:t>mm</w:t>
      </w:r>
      <w:r>
        <w:rPr>
          <w:rFonts w:hint="eastAsia" w:asciiTheme="minorEastAsia" w:hAnsiTheme="minorEastAsia" w:eastAsiaTheme="minorEastAsia" w:cstheme="minorEastAsia"/>
          <w:bCs/>
          <w:color w:val="auto"/>
          <w:sz w:val="24"/>
          <w:szCs w:val="24"/>
          <w:lang w:val="en-US" w:eastAsia="zh-CN" w:bidi="ar-SA"/>
        </w:rPr>
        <w:t>，净开口600×350</w:t>
      </w:r>
      <w:r>
        <w:rPr>
          <w:rFonts w:hint="eastAsia" w:asciiTheme="minorEastAsia" w:hAnsiTheme="minorEastAsia" w:eastAsiaTheme="minorEastAsia" w:cstheme="minorEastAsia"/>
          <w:bCs/>
          <w:color w:val="auto"/>
          <w:sz w:val="24"/>
          <w:szCs w:val="24"/>
        </w:rPr>
        <w:t>mm</w:t>
      </w:r>
      <w:r>
        <w:rPr>
          <w:rFonts w:hint="eastAsia" w:asciiTheme="minorEastAsia" w:hAnsiTheme="minorEastAsia" w:eastAsiaTheme="minorEastAsia" w:cstheme="minorEastAsia"/>
          <w:bCs/>
          <w:color w:val="auto"/>
          <w:sz w:val="24"/>
          <w:szCs w:val="24"/>
          <w:lang w:val="en-US" w:eastAsia="zh-CN" w:bidi="ar-SA"/>
        </w:rPr>
        <w:t>，框750×500</w:t>
      </w:r>
      <w:r>
        <w:rPr>
          <w:rFonts w:hint="eastAsia" w:asciiTheme="minorEastAsia" w:hAnsiTheme="minorEastAsia" w:eastAsiaTheme="minorEastAsia" w:cstheme="minorEastAsia"/>
          <w:bCs/>
          <w:color w:val="auto"/>
          <w:sz w:val="24"/>
          <w:szCs w:val="24"/>
        </w:rPr>
        <w:t>mm</w:t>
      </w:r>
      <w:r>
        <w:rPr>
          <w:rFonts w:hint="eastAsia" w:asciiTheme="minorEastAsia" w:hAnsiTheme="minorEastAsia" w:eastAsiaTheme="minorEastAsia" w:cstheme="minorEastAsia"/>
          <w:bCs/>
          <w:color w:val="auto"/>
          <w:sz w:val="24"/>
          <w:szCs w:val="24"/>
          <w:lang w:val="en-US" w:eastAsia="zh-CN" w:bidi="ar-SA"/>
        </w:rPr>
        <w:t>，框高≥86</w:t>
      </w:r>
      <w:r>
        <w:rPr>
          <w:rFonts w:hint="eastAsia" w:asciiTheme="minorEastAsia" w:hAnsiTheme="minorEastAsia" w:eastAsiaTheme="minorEastAsia" w:cstheme="minorEastAsia"/>
          <w:bCs/>
          <w:color w:val="auto"/>
          <w:sz w:val="24"/>
          <w:szCs w:val="24"/>
        </w:rPr>
        <w:t>mm</w:t>
      </w:r>
      <w:r>
        <w:rPr>
          <w:rFonts w:hint="eastAsia" w:asciiTheme="minorEastAsia" w:hAnsiTheme="minorEastAsia" w:eastAsiaTheme="minorEastAsia" w:cstheme="minorEastAsia"/>
          <w:bCs/>
          <w:color w:val="auto"/>
          <w:sz w:val="24"/>
          <w:szCs w:val="24"/>
          <w:lang w:val="en-US" w:eastAsia="zh-CN" w:bidi="ar-SA"/>
        </w:rPr>
        <w:t>，下口415×615</w:t>
      </w:r>
      <w:r>
        <w:rPr>
          <w:rFonts w:hint="eastAsia" w:asciiTheme="minorEastAsia" w:hAnsiTheme="minorEastAsia" w:eastAsiaTheme="minorEastAsia" w:cstheme="minorEastAsia"/>
          <w:bCs/>
          <w:color w:val="auto"/>
          <w:sz w:val="24"/>
          <w:szCs w:val="24"/>
        </w:rPr>
        <w:t>mm</w:t>
      </w:r>
      <w:r>
        <w:rPr>
          <w:rFonts w:hint="eastAsia" w:asciiTheme="minorEastAsia" w:hAnsiTheme="minorEastAsia" w:eastAsiaTheme="minorEastAsia" w:cstheme="minorEastAsia"/>
          <w:bCs/>
          <w:color w:val="auto"/>
          <w:sz w:val="24"/>
          <w:szCs w:val="24"/>
          <w:lang w:val="en-US" w:eastAsia="zh-CN" w:bidi="ar-SA"/>
        </w:rPr>
        <w:t>。</w:t>
      </w:r>
    </w:p>
    <w:p>
      <w:pPr>
        <w:pStyle w:val="7"/>
        <w:spacing w:line="360" w:lineRule="auto"/>
        <w:ind w:left="0" w:leftChars="0" w:firstLine="240" w:firstLineChars="1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）井座净开孔区域的篦子过水缝隙应均匀分布，应保证篦子的泄水能力，过水缝隙的总面积不得小于井座净开孔区域面积的40%。</w:t>
      </w:r>
    </w:p>
    <w:p>
      <w:pPr>
        <w:pStyle w:val="7"/>
        <w:spacing w:line="360" w:lineRule="auto"/>
        <w:ind w:left="0" w:leftChars="0" w:firstLine="240" w:firstLineChars="1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3</w:t>
      </w:r>
      <w:r>
        <w:rPr>
          <w:rFonts w:hint="eastAsia" w:asciiTheme="minorEastAsia" w:hAnsiTheme="minorEastAsia" w:eastAsiaTheme="minorEastAsia" w:cstheme="minorEastAsia"/>
          <w:bCs/>
          <w:color w:val="auto"/>
          <w:sz w:val="24"/>
          <w:szCs w:val="24"/>
        </w:rPr>
        <w:t>）连接轴应采用实心的不锈钢螺栓或销钉。</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right="0" w:rightChars="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（五）井盖上必须具有清楚且永久性的下列标志：</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（1）检查井盖专用符号标志：应标志“市政排水”、“雨水”或“污水”字样；采购人有权要求定制井盖，中标人须按采购人要求对井盖上的字样和式样进行定制；</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（2）所属承载等级标志：用“重”或“E600””D400”表示重型检查井盖；</w:t>
      </w:r>
    </w:p>
    <w:p>
      <w:pPr>
        <w:pStyle w:val="2"/>
        <w:rPr>
          <w:rFonts w:hint="eastAsia" w:asciiTheme="minorEastAsia" w:hAnsiTheme="minorEastAsia" w:eastAsiaTheme="minorEastAsia" w:cstheme="minorEastAsia"/>
          <w:b w:val="0"/>
          <w:bCs/>
          <w:color w:val="auto"/>
          <w:sz w:val="24"/>
          <w:szCs w:val="24"/>
          <w:lang w:eastAsia="zh-CN"/>
        </w:rPr>
      </w:pPr>
    </w:p>
    <w:p>
      <w:pPr>
        <w:pStyle w:val="3"/>
        <w:rPr>
          <w:rFonts w:hint="eastAsia" w:asciiTheme="minorEastAsia" w:hAnsiTheme="minorEastAsia" w:eastAsiaTheme="minorEastAsia" w:cstheme="minorEastAsia"/>
          <w:b w:val="0"/>
          <w:bCs/>
          <w:color w:val="auto"/>
          <w:sz w:val="24"/>
          <w:szCs w:val="24"/>
          <w:lang w:eastAsia="zh-CN"/>
        </w:rPr>
      </w:pPr>
    </w:p>
    <w:p>
      <w:pPr>
        <w:pStyle w:val="3"/>
        <w:rPr>
          <w:rFonts w:hint="eastAsia" w:asciiTheme="minorEastAsia" w:hAnsiTheme="minorEastAsia" w:eastAsiaTheme="minorEastAsia" w:cstheme="minorEastAsia"/>
          <w:b w:val="0"/>
          <w:bCs/>
          <w:color w:val="auto"/>
          <w:sz w:val="24"/>
          <w:szCs w:val="24"/>
          <w:lang w:eastAsia="zh-CN"/>
        </w:rPr>
      </w:pPr>
    </w:p>
    <w:p>
      <w:pPr>
        <w:pStyle w:val="3"/>
        <w:rPr>
          <w:rFonts w:hint="eastAsia" w:asciiTheme="minorEastAsia" w:hAnsiTheme="minorEastAsia" w:eastAsiaTheme="minorEastAsia" w:cstheme="minorEastAsia"/>
          <w:b w:val="0"/>
          <w:bCs/>
          <w:color w:val="auto"/>
          <w:sz w:val="24"/>
          <w:szCs w:val="24"/>
          <w:lang w:eastAsia="zh-CN"/>
        </w:rPr>
      </w:pPr>
    </w:p>
    <w:p>
      <w:pPr>
        <w:pStyle w:val="3"/>
        <w:rPr>
          <w:rFonts w:hint="eastAsia" w:asciiTheme="minorEastAsia" w:hAnsiTheme="minorEastAsia" w:eastAsiaTheme="minorEastAsia" w:cstheme="minorEastAsia"/>
          <w:b w:val="0"/>
          <w:bCs/>
          <w:color w:val="auto"/>
          <w:sz w:val="24"/>
          <w:szCs w:val="24"/>
          <w:lang w:eastAsia="zh-CN"/>
        </w:rPr>
      </w:pPr>
    </w:p>
    <w:p>
      <w:pPr>
        <w:pStyle w:val="3"/>
        <w:rPr>
          <w:rFonts w:hint="eastAsia" w:asciiTheme="minorEastAsia" w:hAnsiTheme="minorEastAsia" w:eastAsiaTheme="minorEastAsia" w:cstheme="minorEastAsia"/>
          <w:b w:val="0"/>
          <w:bCs/>
          <w:color w:val="auto"/>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（3）用汉字标明制造厂名称。</w:t>
      </w:r>
    </w:p>
    <w:p>
      <w:pPr>
        <w:numPr>
          <w:ilvl w:val="0"/>
          <w:numId w:val="0"/>
        </w:numPr>
        <w:spacing w:line="360" w:lineRule="auto"/>
        <w:rPr>
          <w:rFonts w:hint="eastAsia" w:asciiTheme="minorEastAsia" w:hAnsiTheme="minorEastAsia" w:eastAsiaTheme="minorEastAsia" w:cstheme="minorEastAsia"/>
          <w:b/>
          <w:color w:val="auto"/>
          <w:sz w:val="24"/>
          <w:lang w:eastAsia="zh-CN"/>
        </w:rPr>
      </w:pPr>
      <w:r>
        <w:rPr>
          <w:rFonts w:hint="eastAsia" w:asciiTheme="minorEastAsia" w:hAnsiTheme="minorEastAsia" w:eastAsiaTheme="minorEastAsia" w:cstheme="minorEastAsia"/>
          <w:b/>
          <w:color w:val="auto"/>
          <w:sz w:val="24"/>
          <w:lang w:eastAsia="zh-CN"/>
        </w:rPr>
        <w:t>三、样品要求</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Cs/>
          <w:color w:val="auto"/>
          <w:sz w:val="24"/>
          <w:szCs w:val="22"/>
          <w:highlight w:val="none"/>
        </w:rPr>
      </w:pPr>
      <w:r>
        <w:rPr>
          <w:rFonts w:hint="eastAsia" w:asciiTheme="minorEastAsia" w:hAnsiTheme="minorEastAsia" w:eastAsiaTheme="minorEastAsia" w:cstheme="minorEastAsia"/>
          <w:bCs/>
          <w:color w:val="auto"/>
          <w:sz w:val="24"/>
          <w:szCs w:val="22"/>
          <w:highlight w:val="none"/>
        </w:rPr>
        <w:t>投标人需提供</w:t>
      </w:r>
      <w:r>
        <w:rPr>
          <w:rFonts w:hint="eastAsia" w:asciiTheme="minorEastAsia" w:hAnsiTheme="minorEastAsia" w:eastAsiaTheme="minorEastAsia" w:cstheme="minorEastAsia"/>
          <w:bCs/>
          <w:color w:val="auto"/>
          <w:sz w:val="24"/>
          <w:szCs w:val="22"/>
          <w:highlight w:val="none"/>
          <w:lang w:eastAsia="zh-CN"/>
        </w:rPr>
        <w:t>检查井盖（Φ700*100）、进水井盖（450×750mm）、</w:t>
      </w:r>
      <w:r>
        <w:rPr>
          <w:rFonts w:hint="eastAsia" w:asciiTheme="minorEastAsia" w:hAnsiTheme="minorEastAsia" w:eastAsiaTheme="minorEastAsia" w:cstheme="minorEastAsia"/>
          <w:bCs/>
          <w:color w:val="auto"/>
          <w:sz w:val="24"/>
          <w:szCs w:val="22"/>
          <w:highlight w:val="none"/>
        </w:rPr>
        <w:t>防沉降一体化检查井</w:t>
      </w:r>
      <w:r>
        <w:rPr>
          <w:rFonts w:hint="eastAsia" w:asciiTheme="minorEastAsia" w:hAnsiTheme="minorEastAsia" w:eastAsiaTheme="minorEastAsia" w:cstheme="minorEastAsia"/>
          <w:bCs/>
          <w:color w:val="auto"/>
          <w:sz w:val="24"/>
          <w:szCs w:val="22"/>
          <w:highlight w:val="none"/>
          <w:lang w:eastAsia="zh-CN"/>
        </w:rPr>
        <w:t>（</w:t>
      </w:r>
      <w:r>
        <w:rPr>
          <w:rFonts w:hint="eastAsia" w:asciiTheme="minorEastAsia" w:hAnsiTheme="minorEastAsia" w:eastAsiaTheme="minorEastAsia" w:cstheme="minorEastAsia"/>
          <w:bCs/>
          <w:color w:val="auto"/>
          <w:sz w:val="24"/>
          <w:szCs w:val="22"/>
          <w:highlight w:val="none"/>
        </w:rPr>
        <w:t>Ф</w:t>
      </w:r>
      <w:r>
        <w:rPr>
          <w:rFonts w:hint="eastAsia" w:asciiTheme="minorEastAsia" w:hAnsiTheme="minorEastAsia" w:eastAsiaTheme="minorEastAsia" w:cstheme="minorEastAsia"/>
          <w:bCs/>
          <w:color w:val="auto"/>
          <w:sz w:val="24"/>
          <w:szCs w:val="22"/>
          <w:highlight w:val="none"/>
          <w:lang w:val="en-US" w:eastAsia="zh-CN"/>
        </w:rPr>
        <w:t>650</w:t>
      </w:r>
      <w:r>
        <w:rPr>
          <w:rFonts w:hint="eastAsia" w:asciiTheme="minorEastAsia" w:hAnsiTheme="minorEastAsia" w:eastAsiaTheme="minorEastAsia" w:cstheme="minorEastAsia"/>
          <w:bCs/>
          <w:color w:val="auto"/>
          <w:sz w:val="24"/>
          <w:szCs w:val="22"/>
          <w:highlight w:val="none"/>
        </w:rPr>
        <w:t>*160</w:t>
      </w:r>
      <w:r>
        <w:rPr>
          <w:rFonts w:hint="eastAsia" w:asciiTheme="minorEastAsia" w:hAnsiTheme="minorEastAsia" w:eastAsiaTheme="minorEastAsia" w:cstheme="minorEastAsia"/>
          <w:bCs/>
          <w:color w:val="auto"/>
          <w:sz w:val="24"/>
          <w:szCs w:val="22"/>
          <w:highlight w:val="none"/>
          <w:lang w:eastAsia="zh-CN"/>
        </w:rPr>
        <w:t>）、防沉降一体化进水井（750×500mm）各</w:t>
      </w:r>
      <w:r>
        <w:rPr>
          <w:rFonts w:hint="eastAsia" w:asciiTheme="minorEastAsia" w:hAnsiTheme="minorEastAsia" w:eastAsiaTheme="minorEastAsia" w:cstheme="minorEastAsia"/>
          <w:bCs/>
          <w:color w:val="auto"/>
          <w:sz w:val="24"/>
          <w:szCs w:val="22"/>
          <w:highlight w:val="none"/>
        </w:rPr>
        <w:t>一套。</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投标样品须提供单独的纸质样品清单，注明项目名称、</w:t>
      </w:r>
      <w:r>
        <w:rPr>
          <w:rFonts w:hint="eastAsia" w:asciiTheme="minorEastAsia" w:hAnsiTheme="minorEastAsia" w:eastAsiaTheme="minorEastAsia" w:cstheme="minorEastAsia"/>
          <w:bCs/>
          <w:color w:val="auto"/>
          <w:sz w:val="24"/>
          <w:highlight w:val="none"/>
          <w:lang w:eastAsia="zh-CN"/>
        </w:rPr>
        <w:t>项目</w:t>
      </w:r>
      <w:r>
        <w:rPr>
          <w:rFonts w:hint="eastAsia" w:asciiTheme="minorEastAsia" w:hAnsiTheme="minorEastAsia" w:eastAsiaTheme="minorEastAsia" w:cstheme="minorEastAsia"/>
          <w:bCs/>
          <w:color w:val="auto"/>
          <w:sz w:val="24"/>
          <w:highlight w:val="none"/>
        </w:rPr>
        <w:t>编号、样品名称及数量、投标人名称，与投标样品摆放在一起。</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评审采用盲样</w:t>
      </w:r>
      <w:r>
        <w:rPr>
          <w:rFonts w:hint="eastAsia" w:asciiTheme="minorEastAsia" w:hAnsiTheme="minorEastAsia" w:eastAsiaTheme="minorEastAsia" w:cstheme="minorEastAsia"/>
          <w:bCs/>
          <w:color w:val="auto"/>
          <w:sz w:val="24"/>
          <w:highlight w:val="none"/>
          <w:lang w:eastAsia="zh-CN"/>
        </w:rPr>
        <w:t>。开标结束后代理机构将在现场监督见证下对样品进行处理如移除任何可以</w:t>
      </w:r>
      <w:r>
        <w:rPr>
          <w:rFonts w:hint="eastAsia" w:asciiTheme="minorEastAsia" w:hAnsiTheme="minorEastAsia" w:eastAsiaTheme="minorEastAsia" w:cstheme="minorEastAsia"/>
          <w:bCs/>
          <w:color w:val="auto"/>
          <w:sz w:val="24"/>
          <w:highlight w:val="none"/>
        </w:rPr>
        <w:t>识别投标人的标志与标识</w:t>
      </w:r>
      <w:r>
        <w:rPr>
          <w:rFonts w:hint="eastAsia" w:asciiTheme="minorEastAsia" w:hAnsiTheme="minorEastAsia" w:eastAsiaTheme="minorEastAsia" w:cstheme="minorEastAsia"/>
          <w:bCs/>
          <w:color w:val="auto"/>
          <w:sz w:val="24"/>
          <w:highlight w:val="none"/>
          <w:lang w:eastAsia="zh-CN"/>
        </w:rPr>
        <w:t>（如有），并进行随机编号后进入评审环节。</w:t>
      </w:r>
    </w:p>
    <w:p>
      <w:pPr>
        <w:pStyle w:val="6"/>
        <w:ind w:firstLine="480" w:firstLineChars="200"/>
        <w:rPr>
          <w:rFonts w:hint="eastAsia" w:asciiTheme="minorEastAsia" w:hAnsiTheme="minorEastAsia" w:eastAsiaTheme="minorEastAsia" w:cstheme="minorEastAsia"/>
          <w:bCs/>
          <w:color w:val="auto"/>
          <w:sz w:val="24"/>
          <w:szCs w:val="22"/>
          <w:highlight w:val="none"/>
          <w:lang w:val="en-US" w:eastAsia="zh-CN" w:bidi="ar-SA"/>
        </w:rPr>
      </w:pPr>
      <w:r>
        <w:rPr>
          <w:rFonts w:hint="eastAsia" w:asciiTheme="minorEastAsia" w:hAnsiTheme="minorEastAsia" w:eastAsiaTheme="minorEastAsia" w:cstheme="minorEastAsia"/>
          <w:bCs/>
          <w:color w:val="auto"/>
          <w:sz w:val="24"/>
          <w:szCs w:val="22"/>
          <w:highlight w:val="none"/>
          <w:lang w:val="en-US" w:eastAsia="zh-CN" w:bidi="ar-SA"/>
        </w:rPr>
        <w:t>4、评标委员会将对投标样品的质量、外观样式、工艺等方面进行综合评比。</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right="0" w:rightChars="0" w:firstLine="480" w:firstLineChars="200"/>
        <w:jc w:val="both"/>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highlight w:val="none"/>
          <w:lang w:val="en-US" w:eastAsia="zh-CN"/>
        </w:rPr>
        <w:t>5、</w:t>
      </w:r>
      <w:r>
        <w:rPr>
          <w:rFonts w:hint="eastAsia" w:asciiTheme="minorEastAsia" w:hAnsiTheme="minorEastAsia" w:eastAsiaTheme="minorEastAsia" w:cstheme="minorEastAsia"/>
          <w:bCs/>
          <w:color w:val="auto"/>
          <w:sz w:val="24"/>
          <w:szCs w:val="24"/>
          <w:lang w:val="en-US" w:eastAsia="zh-CN"/>
        </w:rPr>
        <w:t>评标结束后，评审排名前三的中标候选人的样品由代理机构暂时封存，中标公告发布七个工作日后，中标单位自行将样品送至采购单位作为货物验收的依据；其余未中标人自行取回样品。</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right="0" w:rightChars="0" w:firstLine="480" w:firstLineChars="200"/>
        <w:jc w:val="both"/>
        <w:outlineLvl w:val="9"/>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kern w:val="28"/>
          <w:sz w:val="24"/>
          <w:szCs w:val="24"/>
          <w:lang w:val="en-US" w:eastAsia="zh-CN"/>
        </w:rPr>
        <w:t>6、</w:t>
      </w:r>
      <w:r>
        <w:rPr>
          <w:rFonts w:hint="eastAsia" w:asciiTheme="minorEastAsia" w:hAnsiTheme="minorEastAsia" w:eastAsiaTheme="minorEastAsia" w:cstheme="minorEastAsia"/>
          <w:bCs/>
          <w:color w:val="auto"/>
          <w:sz w:val="24"/>
          <w:szCs w:val="24"/>
        </w:rPr>
        <w:t>样品的生产、安装、运输费、保管费等一切费用由</w:t>
      </w:r>
      <w:r>
        <w:rPr>
          <w:rFonts w:hint="eastAsia" w:asciiTheme="minorEastAsia" w:hAnsiTheme="minorEastAsia" w:eastAsiaTheme="minorEastAsia" w:cstheme="minorEastAsia"/>
          <w:bCs/>
          <w:color w:val="auto"/>
          <w:sz w:val="24"/>
          <w:szCs w:val="24"/>
          <w:lang w:eastAsia="zh-CN"/>
        </w:rPr>
        <w:t>投标人</w:t>
      </w:r>
      <w:r>
        <w:rPr>
          <w:rFonts w:hint="eastAsia" w:asciiTheme="minorEastAsia" w:hAnsiTheme="minorEastAsia" w:eastAsiaTheme="minorEastAsia" w:cstheme="minorEastAsia"/>
          <w:bCs/>
          <w:color w:val="auto"/>
          <w:sz w:val="24"/>
          <w:szCs w:val="24"/>
        </w:rPr>
        <w:t>自理</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eastAsiaTheme="minorEastAsia" w:cstheme="minorEastAsia"/>
          <w:bCs/>
          <w:color w:val="auto"/>
          <w:sz w:val="24"/>
          <w:highlight w:val="none"/>
          <w:lang w:val="en-US" w:eastAsia="zh-CN"/>
        </w:rPr>
        <w:t>7、</w:t>
      </w:r>
      <w:r>
        <w:rPr>
          <w:rFonts w:hint="eastAsia" w:asciiTheme="minorEastAsia" w:hAnsiTheme="minorEastAsia" w:eastAsiaTheme="minorEastAsia" w:cstheme="minorEastAsia"/>
          <w:bCs/>
          <w:color w:val="auto"/>
          <w:sz w:val="24"/>
          <w:highlight w:val="none"/>
        </w:rPr>
        <w:t>送样时间：</w:t>
      </w:r>
      <w:r>
        <w:rPr>
          <w:rFonts w:hint="eastAsia" w:asciiTheme="minorEastAsia" w:hAnsiTheme="minorEastAsia" w:eastAsiaTheme="minorEastAsia" w:cstheme="minorEastAsia"/>
          <w:bCs/>
          <w:color w:val="auto"/>
          <w:sz w:val="24"/>
          <w:highlight w:val="none"/>
          <w:lang w:eastAsia="zh-CN"/>
        </w:rPr>
        <w:t>随投标文件一并递交，</w:t>
      </w:r>
      <w:r>
        <w:rPr>
          <w:rFonts w:hint="eastAsia" w:asciiTheme="minorEastAsia" w:hAnsiTheme="minorEastAsia" w:eastAsiaTheme="minorEastAsia" w:cstheme="minorEastAsia"/>
          <w:bCs/>
          <w:color w:val="auto"/>
          <w:sz w:val="24"/>
          <w:highlight w:val="none"/>
        </w:rPr>
        <w:t>投标截止时间前摆放完毕</w:t>
      </w:r>
      <w:r>
        <w:rPr>
          <w:rFonts w:hint="eastAsia" w:asciiTheme="minorEastAsia" w:hAnsiTheme="minorEastAsia" w:eastAsiaTheme="minorEastAsia" w:cstheme="minorEastAsia"/>
          <w:bCs/>
          <w:color w:val="auto"/>
          <w:sz w:val="24"/>
          <w:highlight w:val="none"/>
          <w:lang w:eastAsia="zh-CN"/>
        </w:rPr>
        <w:t>，投标截止时间后送达的样品将不予接收。</w:t>
      </w:r>
    </w:p>
    <w:p>
      <w:pPr>
        <w:spacing w:line="360" w:lineRule="auto"/>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lang w:eastAsia="zh-CN"/>
        </w:rPr>
        <w:t>四、</w:t>
      </w:r>
      <w:r>
        <w:rPr>
          <w:rFonts w:hint="eastAsia" w:asciiTheme="minorEastAsia" w:hAnsiTheme="minorEastAsia" w:eastAsiaTheme="minorEastAsia" w:cstheme="minorEastAsia"/>
          <w:b/>
          <w:color w:val="auto"/>
          <w:sz w:val="24"/>
        </w:rPr>
        <w:t>商务要求</w:t>
      </w:r>
    </w:p>
    <w:p>
      <w:pPr>
        <w:spacing w:line="360" w:lineRule="auto"/>
        <w:rPr>
          <w:rFonts w:hint="eastAsia" w:asciiTheme="minorEastAsia" w:hAnsiTheme="minorEastAsia" w:eastAsiaTheme="minorEastAsia" w:cstheme="minorEastAsia"/>
          <w:b/>
          <w:color w:val="auto"/>
          <w:sz w:val="24"/>
          <w:lang w:val="en-US" w:eastAsia="zh-CN"/>
        </w:rPr>
      </w:pPr>
      <w:r>
        <w:rPr>
          <w:rFonts w:hint="eastAsia" w:asciiTheme="minorEastAsia" w:hAnsiTheme="minorEastAsia" w:eastAsiaTheme="minorEastAsia" w:cstheme="minorEastAsia"/>
          <w:b/>
          <w:color w:val="auto"/>
          <w:sz w:val="24"/>
          <w:lang w:val="en-US" w:eastAsia="zh-CN"/>
        </w:rPr>
        <w:t>（一）售后服务要求：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1、本项目免费质保期为两年，质保期内因中标人责任造成的产品质量问题，由中标人免费更换。因人为因素、使用不当出现的故障不在免费保修范围内，费用由采购人承担。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2、质保期外服务：中标人接到采购人问题反馈的通知后，在24小时内进行处理。维修时费用实行优惠，只收部件成本费。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3、维修使用的备品备件及易损件应为原厂配件，未经采购人同意不得使用非原厂配件。</w:t>
      </w:r>
    </w:p>
    <w:p>
      <w:pPr>
        <w:spacing w:line="360" w:lineRule="auto"/>
        <w:rPr>
          <w:rFonts w:hint="eastAsia" w:asciiTheme="minorEastAsia" w:hAnsiTheme="minorEastAsia" w:eastAsiaTheme="minorEastAsia" w:cstheme="minorEastAsia"/>
          <w:b/>
          <w:bCs w:val="0"/>
          <w:color w:val="auto"/>
          <w:sz w:val="24"/>
          <w:lang w:val="en-US" w:eastAsia="zh-CN"/>
        </w:rPr>
      </w:pPr>
      <w:r>
        <w:rPr>
          <w:rFonts w:hint="eastAsia" w:asciiTheme="minorEastAsia" w:hAnsiTheme="minorEastAsia" w:eastAsiaTheme="minorEastAsia" w:cstheme="minorEastAsia"/>
          <w:b/>
          <w:bCs w:val="0"/>
          <w:color w:val="auto"/>
          <w:sz w:val="24"/>
          <w:lang w:val="en-US" w:eastAsia="zh-CN"/>
        </w:rPr>
        <w:t>（二）安装调试及培训</w:t>
      </w:r>
    </w:p>
    <w:p>
      <w:pPr>
        <w:spacing w:line="360" w:lineRule="auto"/>
        <w:ind w:firstLine="480" w:firstLineChars="200"/>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中标人对其提供产品的使用和操作应尽培训义务。中标人应提供对采购人的基本免费培训（至少5场），使采购人使用人员能够正常操作。</w:t>
      </w:r>
    </w:p>
    <w:p>
      <w:pPr>
        <w:spacing w:line="360" w:lineRule="auto"/>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color w:val="auto"/>
          <w:sz w:val="24"/>
          <w:lang w:val="en-US" w:eastAsia="zh-CN"/>
        </w:rPr>
        <w:t>（三）</w:t>
      </w:r>
      <w:r>
        <w:rPr>
          <w:rFonts w:hint="eastAsia" w:asciiTheme="minorEastAsia" w:hAnsiTheme="minorEastAsia" w:eastAsiaTheme="minorEastAsia" w:cstheme="minorEastAsia"/>
          <w:b/>
          <w:color w:val="auto"/>
          <w:sz w:val="24"/>
          <w:lang w:eastAsia="zh-CN"/>
        </w:rPr>
        <w:t>交货方式及交货地点</w:t>
      </w:r>
      <w:r>
        <w:rPr>
          <w:rFonts w:hint="eastAsia" w:asciiTheme="minorEastAsia" w:hAnsiTheme="minorEastAsia" w:eastAsiaTheme="minorEastAsia" w:cstheme="minorEastAsia"/>
          <w:b/>
          <w:color w:val="auto"/>
          <w:sz w:val="24"/>
        </w:rPr>
        <w:t>：</w:t>
      </w:r>
      <w:r>
        <w:rPr>
          <w:rFonts w:hint="eastAsia" w:asciiTheme="minorEastAsia" w:hAnsiTheme="minorEastAsia" w:eastAsiaTheme="minorEastAsia" w:cstheme="minorEastAsia"/>
          <w:b w:val="0"/>
          <w:bCs/>
          <w:color w:val="auto"/>
          <w:sz w:val="24"/>
        </w:rPr>
        <w:t>采购人</w:t>
      </w:r>
      <w:r>
        <w:rPr>
          <w:rFonts w:hint="eastAsia" w:asciiTheme="minorEastAsia" w:hAnsiTheme="minorEastAsia" w:eastAsiaTheme="minorEastAsia" w:cstheme="minorEastAsia"/>
          <w:b w:val="0"/>
          <w:bCs/>
          <w:color w:val="auto"/>
          <w:sz w:val="24"/>
          <w:lang w:eastAsia="zh-CN"/>
        </w:rPr>
        <w:t>根据实际使用需求提</w:t>
      </w:r>
      <w:r>
        <w:rPr>
          <w:rFonts w:hint="eastAsia" w:asciiTheme="minorEastAsia" w:hAnsiTheme="minorEastAsia" w:eastAsiaTheme="minorEastAsia" w:cstheme="minorEastAsia"/>
          <w:b w:val="0"/>
          <w:bCs/>
          <w:color w:val="auto"/>
          <w:sz w:val="24"/>
        </w:rPr>
        <w:t>前一星期电话通知中标人</w:t>
      </w:r>
      <w:r>
        <w:rPr>
          <w:rFonts w:hint="eastAsia" w:asciiTheme="minorEastAsia" w:hAnsiTheme="minorEastAsia" w:eastAsiaTheme="minorEastAsia" w:cstheme="minorEastAsia"/>
          <w:b w:val="0"/>
          <w:bCs/>
          <w:color w:val="auto"/>
          <w:sz w:val="24"/>
          <w:lang w:eastAsia="zh-CN"/>
        </w:rPr>
        <w:t>需供应的井盖规格、数量及供货地点，</w:t>
      </w:r>
      <w:r>
        <w:rPr>
          <w:rFonts w:hint="eastAsia" w:asciiTheme="minorEastAsia" w:hAnsiTheme="minorEastAsia" w:eastAsiaTheme="minorEastAsia" w:cstheme="minorEastAsia"/>
          <w:b w:val="0"/>
          <w:bCs/>
          <w:color w:val="auto"/>
          <w:sz w:val="24"/>
          <w:lang w:val="en-US" w:eastAsia="zh-CN"/>
        </w:rPr>
        <w:t>中标人在规定时间内用车辆将产品送到采购人指定地点（送货费用包含在本次报价中）。</w:t>
      </w:r>
    </w:p>
    <w:p>
      <w:pPr>
        <w:spacing w:line="360" w:lineRule="auto"/>
        <w:ind w:firstLine="241" w:firstLineChars="100"/>
        <w:rPr>
          <w:rFonts w:hint="default" w:asciiTheme="minorEastAsia" w:hAnsiTheme="minorEastAsia" w:eastAsiaTheme="minorEastAsia" w:cstheme="minorEastAsia"/>
          <w:b w:val="0"/>
          <w:bCs/>
          <w:color w:val="auto"/>
          <w:sz w:val="24"/>
          <w:szCs w:val="22"/>
          <w:lang w:val="en-US" w:eastAsia="zh-CN"/>
        </w:rPr>
      </w:pPr>
      <w:r>
        <w:rPr>
          <w:rFonts w:hint="eastAsia" w:asciiTheme="minorEastAsia" w:hAnsiTheme="minorEastAsia" w:eastAsiaTheme="minorEastAsia" w:cstheme="minorEastAsia"/>
          <w:b/>
          <w:color w:val="auto"/>
          <w:sz w:val="24"/>
          <w:lang w:val="en-US" w:eastAsia="zh-CN"/>
        </w:rPr>
        <w:t>（四）项目完成时间：</w:t>
      </w:r>
      <w:r>
        <w:rPr>
          <w:rFonts w:hint="eastAsia" w:asciiTheme="minorEastAsia" w:hAnsiTheme="minorEastAsia" w:eastAsiaTheme="minorEastAsia" w:cstheme="minorEastAsia"/>
          <w:b w:val="0"/>
          <w:bCs/>
          <w:color w:val="auto"/>
          <w:sz w:val="24"/>
          <w:szCs w:val="22"/>
          <w:lang w:val="en-US" w:eastAsia="zh-CN"/>
        </w:rPr>
        <w:t>根据采购人的需求量分批次及时送货，直至本次所采购的数量全部供应完毕。</w:t>
      </w:r>
    </w:p>
    <w:p>
      <w:pPr>
        <w:spacing w:line="360" w:lineRule="auto"/>
        <w:rPr>
          <w:rFonts w:hint="eastAsia" w:asciiTheme="minorEastAsia" w:hAnsiTheme="minorEastAsia" w:eastAsiaTheme="minorEastAsia" w:cstheme="minorEastAsia"/>
          <w:b/>
          <w:color w:val="auto"/>
          <w:sz w:val="24"/>
          <w:szCs w:val="22"/>
          <w:lang w:val="en-US" w:eastAsia="zh-CN"/>
        </w:rPr>
      </w:pPr>
      <w:r>
        <w:rPr>
          <w:rFonts w:hint="eastAsia" w:asciiTheme="minorEastAsia" w:hAnsiTheme="minorEastAsia" w:eastAsiaTheme="minorEastAsia" w:cstheme="minorEastAsia"/>
          <w:b/>
          <w:color w:val="auto"/>
          <w:sz w:val="24"/>
          <w:szCs w:val="22"/>
          <w:lang w:val="en-US" w:eastAsia="zh-CN"/>
        </w:rPr>
        <w:t>★（五）付款方式（具体以合同约定为准）：</w:t>
      </w:r>
    </w:p>
    <w:p>
      <w:pPr>
        <w:spacing w:line="360" w:lineRule="auto"/>
        <w:ind w:firstLine="240" w:firstLineChars="100"/>
        <w:rPr>
          <w:rFonts w:hint="eastAsia" w:asciiTheme="minorEastAsia" w:hAnsiTheme="minorEastAsia" w:eastAsiaTheme="minorEastAsia" w:cstheme="minorEastAsia"/>
          <w:b w:val="0"/>
          <w:bCs/>
          <w:color w:val="auto"/>
          <w:sz w:val="24"/>
          <w:szCs w:val="22"/>
          <w:lang w:val="en-US" w:eastAsia="zh-CN"/>
        </w:rPr>
      </w:pPr>
      <w:r>
        <w:rPr>
          <w:rFonts w:hint="eastAsia" w:asciiTheme="minorEastAsia" w:hAnsiTheme="minorEastAsia" w:eastAsiaTheme="minorEastAsia" w:cstheme="minorEastAsia"/>
          <w:b w:val="0"/>
          <w:bCs/>
          <w:color w:val="auto"/>
          <w:sz w:val="24"/>
          <w:szCs w:val="22"/>
          <w:lang w:val="en-US" w:eastAsia="zh-CN"/>
        </w:rPr>
        <w:t>1、每月结算一次，结算金额＝每月供应各项材料数量×中标单价。</w:t>
      </w:r>
    </w:p>
    <w:p>
      <w:pPr>
        <w:spacing w:line="360" w:lineRule="auto"/>
        <w:ind w:firstLine="240" w:firstLineChars="100"/>
        <w:rPr>
          <w:rFonts w:hint="eastAsia" w:asciiTheme="minorEastAsia" w:hAnsiTheme="minorEastAsia" w:eastAsiaTheme="minorEastAsia" w:cstheme="minorEastAsia"/>
          <w:b w:val="0"/>
          <w:bCs/>
          <w:color w:val="auto"/>
          <w:sz w:val="24"/>
          <w:szCs w:val="22"/>
          <w:lang w:val="en-US" w:eastAsia="zh-CN"/>
        </w:rPr>
      </w:pPr>
      <w:r>
        <w:rPr>
          <w:rFonts w:hint="eastAsia" w:asciiTheme="minorEastAsia" w:hAnsiTheme="minorEastAsia" w:eastAsiaTheme="minorEastAsia" w:cstheme="minorEastAsia"/>
          <w:b w:val="0"/>
          <w:bCs/>
          <w:color w:val="auto"/>
          <w:sz w:val="24"/>
          <w:szCs w:val="22"/>
          <w:lang w:val="en-US" w:eastAsia="zh-CN"/>
        </w:rPr>
        <w:t>2、采购人原则上于次月10日前将上月实际结算费用支付给中标人，但中标人必须提前开具正式发票查询核实后方可支付。</w:t>
      </w:r>
    </w:p>
    <w:p>
      <w:pPr>
        <w:spacing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szCs w:val="22"/>
          <w:lang w:val="en-US" w:eastAsia="zh-CN"/>
        </w:rPr>
        <w:t>★（六）合同履行阶段以此次中标单价进行费用结算，并采购人有权拒绝中标人提出的因各种因素导致的价格浮动等条款。</w:t>
      </w:r>
    </w:p>
    <w:p>
      <w:pPr>
        <w:spacing w:line="360" w:lineRule="auto"/>
        <w:ind w:firstLine="241" w:firstLineChars="100"/>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lang w:val="en-US" w:eastAsia="zh-CN"/>
        </w:rPr>
        <w:t>（七）</w:t>
      </w:r>
      <w:r>
        <w:rPr>
          <w:rFonts w:hint="eastAsia" w:asciiTheme="minorEastAsia" w:hAnsiTheme="minorEastAsia" w:eastAsiaTheme="minorEastAsia" w:cstheme="minorEastAsia"/>
          <w:b/>
          <w:color w:val="auto"/>
          <w:sz w:val="24"/>
        </w:rPr>
        <w:t>验收</w:t>
      </w:r>
      <w:r>
        <w:rPr>
          <w:rFonts w:hint="eastAsia" w:asciiTheme="minorEastAsia" w:hAnsiTheme="minorEastAsia" w:eastAsiaTheme="minorEastAsia" w:cstheme="minorEastAsia"/>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1、随车批次应当附有出厂合格证或质量检测合格证（生产厂家的鲜章）等资料；也可向采购人提供第三方认证机构（盖有鲜章）出具的合格资料。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2、中标人将材料运抵采购人指定地点，采购人安排实验人员对材料进行检测，具体说明如下：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（1）采购人会对每批次送料进行抽检。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中标人供应的材料质量应符合相关材料技术规范要求，如采购人对技术指标有明文规定的按照采购人要求执行。如抽检结果达不到招标文件要求的，采购人有权立即终止合同，且不承担任何法律责任，同时保留对供货商索赔的权利。</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如在检测中发现有不合格、不满足以上技术要求的，中标人有争议的可经过第三方单位检测（在双方均认可的检测机构），费用由相应责任方（如合格费用由采购人支付，如不合格费用由中标人支付）支付负责。如属于中标人责任，已产生质量责任事故的，中标人须承担产生的损失。</w:t>
      </w:r>
    </w:p>
    <w:p>
      <w:pPr>
        <w:pStyle w:val="6"/>
        <w:numPr>
          <w:ilvl w:val="0"/>
          <w:numId w:val="0"/>
        </w:numPr>
        <w:rPr>
          <w:rFonts w:hint="eastAsia" w:asciiTheme="minorEastAsia" w:hAnsiTheme="minorEastAsia" w:eastAsiaTheme="minorEastAsia" w:cstheme="minorEastAsia"/>
          <w:b/>
          <w:color w:val="auto"/>
          <w:sz w:val="24"/>
          <w:szCs w:val="22"/>
          <w:lang w:val="en-US" w:eastAsia="zh-CN" w:bidi="ar-SA"/>
        </w:rPr>
      </w:pPr>
      <w:r>
        <w:rPr>
          <w:rFonts w:hint="eastAsia" w:asciiTheme="minorEastAsia" w:hAnsiTheme="minorEastAsia" w:eastAsiaTheme="minorEastAsia" w:cstheme="minorEastAsia"/>
          <w:b/>
          <w:color w:val="auto"/>
          <w:sz w:val="24"/>
          <w:szCs w:val="22"/>
          <w:lang w:val="en-US" w:eastAsia="zh-CN"/>
        </w:rPr>
        <w:t>★（八）</w:t>
      </w:r>
      <w:r>
        <w:rPr>
          <w:rFonts w:hint="eastAsia" w:asciiTheme="minorEastAsia" w:hAnsiTheme="minorEastAsia" w:eastAsiaTheme="minorEastAsia" w:cstheme="minorEastAsia"/>
          <w:b/>
          <w:color w:val="auto"/>
          <w:sz w:val="24"/>
          <w:szCs w:val="22"/>
          <w:lang w:val="en-US" w:eastAsia="zh-CN" w:bidi="ar-SA"/>
        </w:rPr>
        <w:t>其他要求：</w:t>
      </w:r>
    </w:p>
    <w:p>
      <w:pPr>
        <w:pStyle w:val="4"/>
        <w:numPr>
          <w:ilvl w:val="0"/>
          <w:numId w:val="5"/>
        </w:numPr>
        <w:spacing w:line="360" w:lineRule="auto"/>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中标人须对本项目配备至少一名售后服务技术人员，该技术人员须掌握防沉降一体化</w:t>
      </w:r>
      <w:r>
        <w:rPr>
          <w:rFonts w:hint="eastAsia" w:asciiTheme="minorEastAsia" w:hAnsiTheme="minorEastAsia" w:eastAsiaTheme="minorEastAsia" w:cstheme="minorEastAsia"/>
          <w:b w:val="0"/>
          <w:bCs/>
          <w:color w:val="auto"/>
          <w:sz w:val="24"/>
          <w:szCs w:val="24"/>
          <w:vertAlign w:val="baseline"/>
          <w:lang w:eastAsia="zh-CN"/>
        </w:rPr>
        <w:t>检查井及</w:t>
      </w:r>
      <w:r>
        <w:rPr>
          <w:rFonts w:hint="eastAsia" w:asciiTheme="minorEastAsia" w:hAnsiTheme="minorEastAsia" w:eastAsiaTheme="minorEastAsia" w:cstheme="minorEastAsia"/>
          <w:b w:val="0"/>
          <w:bCs/>
          <w:color w:val="auto"/>
          <w:sz w:val="24"/>
          <w:lang w:val="en-US" w:eastAsia="zh-CN"/>
        </w:rPr>
        <w:t>防沉降一体化</w:t>
      </w:r>
      <w:r>
        <w:rPr>
          <w:rFonts w:hint="eastAsia" w:asciiTheme="minorEastAsia" w:hAnsiTheme="minorEastAsia" w:eastAsiaTheme="minorEastAsia" w:cstheme="minorEastAsia"/>
          <w:b w:val="0"/>
          <w:bCs/>
          <w:color w:val="auto"/>
          <w:sz w:val="24"/>
          <w:szCs w:val="24"/>
          <w:vertAlign w:val="baseline"/>
          <w:lang w:eastAsia="zh-CN"/>
        </w:rPr>
        <w:t>进水井的安装方法及流程，在采购人安装井盖时提供</w:t>
      </w:r>
      <w:r>
        <w:rPr>
          <w:rFonts w:hint="eastAsia" w:asciiTheme="minorEastAsia" w:hAnsiTheme="minorEastAsia" w:eastAsiaTheme="minorEastAsia" w:cstheme="minorEastAsia"/>
          <w:b w:val="0"/>
          <w:bCs/>
          <w:color w:val="auto"/>
          <w:sz w:val="24"/>
          <w:szCs w:val="24"/>
          <w:vertAlign w:val="baseline"/>
          <w:lang w:val="en-US" w:eastAsia="zh-CN"/>
        </w:rPr>
        <w:t>7*24小时</w:t>
      </w:r>
      <w:r>
        <w:rPr>
          <w:rFonts w:hint="eastAsia" w:asciiTheme="minorEastAsia" w:hAnsiTheme="minorEastAsia" w:eastAsiaTheme="minorEastAsia" w:cstheme="minorEastAsia"/>
          <w:b w:val="0"/>
          <w:bCs/>
          <w:color w:val="auto"/>
          <w:sz w:val="24"/>
          <w:lang w:val="en-US" w:eastAsia="zh-CN"/>
        </w:rPr>
        <w:t>免费现场安装技术支持与指导。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color w:val="auto"/>
          <w:lang w:val="en-US" w:eastAsia="zh-CN"/>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lang w:val="en-US" w:eastAsia="zh-CN"/>
        </w:rPr>
        <w:t>中标人须在项目所在地有固定场地存放本次所采购的井盖，在采购人有需求时按需分批次供货。设备出现故障时，接到报障通知后，30分钟内有效响应，2小时内上门服务。（提供在项目所在地有固定场地的有效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val="0"/>
          <w:color w:val="auto"/>
          <w:sz w:val="24"/>
          <w:lang w:val="en-US" w:eastAsia="zh-CN"/>
        </w:rPr>
      </w:pPr>
      <w:r>
        <w:rPr>
          <w:rFonts w:hint="eastAsia" w:asciiTheme="minorEastAsia" w:hAnsiTheme="minorEastAsia" w:eastAsiaTheme="minorEastAsia" w:cstheme="minorEastAsia"/>
          <w:b/>
          <w:bCs w:val="0"/>
          <w:color w:val="auto"/>
          <w:sz w:val="24"/>
          <w:lang w:val="en-US" w:eastAsia="zh-CN"/>
        </w:rPr>
        <w:t>五、其他</w:t>
      </w:r>
    </w:p>
    <w:p>
      <w:pPr>
        <w:spacing w:line="360" w:lineRule="auto"/>
        <w:ind w:firstLine="480" w:firstLineChars="200"/>
        <w:rPr>
          <w:rFonts w:hint="eastAsia"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1、投标人须以保证优质的货物质量为目标，不得恶意低价竞标。评标委员会认为投标人的报价明显低于其他通过符合性审查的中标人的报价，有可能影响货物质量或者不能诚信履约的，将要求其在评标现场合理的时间内提供书面说明，必要时提交相关证明材料；投标人不能证明其报价合理性的，评标委员会将其作为无效投标处理。</w:t>
      </w:r>
    </w:p>
    <w:p>
      <w:pPr>
        <w:spacing w:line="360" w:lineRule="auto"/>
        <w:ind w:firstLine="480" w:firstLineChars="200"/>
        <w:rPr>
          <w:rFonts w:hint="eastAsia"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lang w:val="en-US" w:eastAsia="zh-CN"/>
        </w:rPr>
        <w:t>2</w:t>
      </w:r>
      <w:r>
        <w:rPr>
          <w:rFonts w:hint="eastAsia" w:asciiTheme="minorEastAsia" w:hAnsiTheme="minorEastAsia" w:eastAsiaTheme="minorEastAsia" w:cstheme="minorEastAsia"/>
          <w:b w:val="0"/>
          <w:bCs/>
          <w:color w:val="auto"/>
          <w:sz w:val="24"/>
        </w:rPr>
        <w:t>、其他未尽事宜以合同约定为准。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9E68E"/>
    <w:multiLevelType w:val="singleLevel"/>
    <w:tmpl w:val="A929E68E"/>
    <w:lvl w:ilvl="0" w:tentative="0">
      <w:start w:val="4"/>
      <w:numFmt w:val="chineseCounting"/>
      <w:suff w:val="nothing"/>
      <w:lvlText w:val="（%1）"/>
      <w:lvlJc w:val="left"/>
      <w:rPr>
        <w:rFonts w:hint="eastAsia"/>
      </w:rPr>
    </w:lvl>
  </w:abstractNum>
  <w:abstractNum w:abstractNumId="1">
    <w:nsid w:val="BBF40BFA"/>
    <w:multiLevelType w:val="singleLevel"/>
    <w:tmpl w:val="BBF40BFA"/>
    <w:lvl w:ilvl="0" w:tentative="0">
      <w:start w:val="2"/>
      <w:numFmt w:val="decimal"/>
      <w:suff w:val="nothing"/>
      <w:lvlText w:val="（%1）"/>
      <w:lvlJc w:val="left"/>
    </w:lvl>
  </w:abstractNum>
  <w:abstractNum w:abstractNumId="2">
    <w:nsid w:val="394A6D83"/>
    <w:multiLevelType w:val="singleLevel"/>
    <w:tmpl w:val="394A6D83"/>
    <w:lvl w:ilvl="0" w:tentative="0">
      <w:start w:val="1"/>
      <w:numFmt w:val="decimal"/>
      <w:suff w:val="nothing"/>
      <w:lvlText w:val="%1、"/>
      <w:lvlJc w:val="left"/>
    </w:lvl>
  </w:abstractNum>
  <w:abstractNum w:abstractNumId="3">
    <w:nsid w:val="4C6C969F"/>
    <w:multiLevelType w:val="singleLevel"/>
    <w:tmpl w:val="4C6C969F"/>
    <w:lvl w:ilvl="0" w:tentative="0">
      <w:start w:val="1"/>
      <w:numFmt w:val="decimal"/>
      <w:suff w:val="nothing"/>
      <w:lvlText w:val="（%1）"/>
      <w:lvlJc w:val="left"/>
    </w:lvl>
  </w:abstractNum>
  <w:abstractNum w:abstractNumId="4">
    <w:nsid w:val="6E8D8678"/>
    <w:multiLevelType w:val="singleLevel"/>
    <w:tmpl w:val="6E8D8678"/>
    <w:lvl w:ilvl="0" w:tentative="0">
      <w:start w:val="1"/>
      <w:numFmt w:val="decimal"/>
      <w:suff w:val="nothing"/>
      <w:lvlText w:val="（%1）"/>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830A2"/>
    <w:rsid w:val="34E8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pPr>
      <w:widowControl w:val="0"/>
      <w:jc w:val="both"/>
    </w:pPr>
    <w:rPr>
      <w:kern w:val="2"/>
      <w:sz w:val="28"/>
    </w:rPr>
  </w:style>
  <w:style w:type="paragraph" w:styleId="4">
    <w:name w:val="Normal Indent"/>
    <w:basedOn w:val="1"/>
    <w:next w:val="1"/>
    <w:qFormat/>
    <w:uiPriority w:val="0"/>
    <w:pPr>
      <w:widowControl w:val="0"/>
      <w:ind w:firstLine="420"/>
      <w:jc w:val="both"/>
    </w:pPr>
    <w:rPr>
      <w:rFonts w:ascii="Calibri" w:hAnsi="Calibri"/>
      <w:kern w:val="2"/>
    </w:rPr>
  </w:style>
  <w:style w:type="paragraph" w:styleId="5">
    <w:name w:val="Body Text Indent"/>
    <w:basedOn w:val="1"/>
    <w:next w:val="1"/>
    <w:qFormat/>
    <w:uiPriority w:val="0"/>
    <w:pPr>
      <w:widowControl w:val="0"/>
      <w:ind w:firstLine="630"/>
      <w:jc w:val="both"/>
    </w:pPr>
    <w:rPr>
      <w:rFonts w:ascii="宋体" w:hAnsi="Calibri"/>
      <w:kern w:val="2"/>
      <w:sz w:val="28"/>
    </w:rPr>
  </w:style>
  <w:style w:type="paragraph" w:styleId="6">
    <w:name w:val="Body Text First Indent"/>
    <w:basedOn w:val="2"/>
    <w:next w:val="7"/>
    <w:qFormat/>
    <w:uiPriority w:val="0"/>
    <w:pPr>
      <w:ind w:firstLine="420" w:firstLineChars="100"/>
    </w:pPr>
  </w:style>
  <w:style w:type="paragraph" w:styleId="7">
    <w:name w:val="Body Text First Indent 2"/>
    <w:basedOn w:val="5"/>
    <w:qFormat/>
    <w:uiPriority w:val="0"/>
    <w:pPr>
      <w:widowControl/>
      <w:spacing w:after="120"/>
      <w:ind w:left="420" w:leftChars="200" w:firstLine="420" w:firstLineChars="200"/>
      <w:jc w:val="left"/>
    </w:pPr>
    <w:rPr>
      <w:rFonts w:ascii="Calibri"/>
      <w:sz w:val="21"/>
      <w:szCs w:val="2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2020-08-11T08:50:00Z</dcterms:created>
  <dc:creator>政辉</dc:creator>
  <cp:lastModifiedBy>政辉</cp:lastModifiedBy>
  <dcterms:modified xsi:type="dcterms:W3CDTF">2020-08-11T08:50:53Z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