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100" w:line="440" w:lineRule="exact"/>
        <w:ind w:firstLine="0" w:firstLineChars="0"/>
        <w:rPr>
          <w:rFonts w:ascii="Georgia" w:hAnsi="Georgia"/>
          <w:bCs/>
          <w:i/>
          <w:iCs/>
          <w:sz w:val="84"/>
          <w:szCs w:val="84"/>
        </w:rPr>
      </w:pPr>
    </w:p>
    <w:p>
      <w:pPr>
        <w:snapToGrid w:val="0"/>
        <w:spacing w:beforeLines="100" w:line="440" w:lineRule="exact"/>
        <w:ind w:firstLine="0" w:firstLineChars="0"/>
        <w:rPr>
          <w:rFonts w:ascii="楷体_GB2312" w:hAnsi="新宋体" w:eastAsia="楷体_GB2312"/>
          <w:b/>
          <w:sz w:val="48"/>
          <w:szCs w:val="48"/>
        </w:rPr>
      </w:pPr>
      <w:r>
        <w:rPr>
          <w:rFonts w:ascii="Georgia" w:hAnsi="Georgia"/>
          <w:b/>
          <w:i/>
          <w:iCs/>
          <w:sz w:val="84"/>
          <w:szCs w:val="84"/>
        </w:rPr>
        <w:t xml:space="preserve"> </w:t>
      </w:r>
      <w:r>
        <w:rPr>
          <w:rFonts w:hint="eastAsia" w:ascii="Georgia" w:hAnsi="Georgia"/>
          <w:b/>
          <w:i/>
          <w:iCs/>
          <w:sz w:val="84"/>
          <w:szCs w:val="84"/>
        </w:rPr>
        <w:t xml:space="preserve"> </w:t>
      </w:r>
      <w:r>
        <w:rPr>
          <w:rFonts w:ascii="Georgia" w:hAnsi="Georgia" w:eastAsia="Dotum"/>
          <w:b/>
          <w:i/>
          <w:iCs/>
          <w:sz w:val="84"/>
          <w:szCs w:val="84"/>
        </w:rPr>
        <w:t>ZD</w:t>
      </w:r>
      <w:r>
        <w:rPr>
          <w:rFonts w:hint="eastAsia" w:ascii="楷体_GB2312" w:hAnsi="新宋体" w:eastAsia="楷体_GB2312"/>
          <w:b/>
          <w:sz w:val="48"/>
          <w:szCs w:val="48"/>
        </w:rPr>
        <w:t>海南政鼎招标代理有限公司</w:t>
      </w:r>
    </w:p>
    <w:p>
      <w:pPr>
        <w:spacing w:line="440" w:lineRule="exact"/>
        <w:ind w:firstLine="643"/>
        <w:jc w:val="center"/>
        <w:rPr>
          <w:rFonts w:hAnsi="宋体"/>
          <w:b/>
          <w:i/>
          <w:sz w:val="32"/>
          <w:szCs w:val="32"/>
        </w:rPr>
      </w:pPr>
      <w:r>
        <w:rPr>
          <w:rFonts w:hint="eastAsia" w:hAnsi="宋体"/>
          <w:b/>
          <w:i/>
          <w:sz w:val="32"/>
          <w:szCs w:val="32"/>
        </w:rPr>
        <w:t xml:space="preserve">  </w:t>
      </w:r>
      <w:r>
        <w:rPr>
          <w:rFonts w:hAnsi="宋体"/>
          <w:b/>
          <w:i/>
          <w:sz w:val="32"/>
          <w:szCs w:val="32"/>
        </w:rPr>
        <w:t>HAINAN ZHENGDING ZHAOBIAODAILI CO.LTD</w:t>
      </w:r>
    </w:p>
    <w:p>
      <w:pPr>
        <w:ind w:firstLine="1044"/>
        <w:jc w:val="center"/>
        <w:rPr>
          <w:rFonts w:hAnsi="宋体"/>
          <w:b/>
          <w:bCs/>
          <w:sz w:val="52"/>
          <w:szCs w:val="52"/>
        </w:rPr>
      </w:pPr>
    </w:p>
    <w:p>
      <w:pPr>
        <w:ind w:firstLine="2088" w:firstLineChars="400"/>
        <w:jc w:val="both"/>
        <w:rPr>
          <w:rFonts w:hAnsi="宋体"/>
          <w:b/>
          <w:bCs/>
          <w:sz w:val="52"/>
          <w:szCs w:val="52"/>
        </w:rPr>
      </w:pPr>
      <w:r>
        <w:rPr>
          <w:rFonts w:hint="eastAsia" w:hAnsi="宋体"/>
          <w:b/>
          <w:bCs/>
          <w:sz w:val="52"/>
          <w:szCs w:val="52"/>
        </w:rPr>
        <w:t>政府采购公开招标文件</w:t>
      </w:r>
    </w:p>
    <w:p>
      <w:pPr>
        <w:ind w:firstLine="1044"/>
        <w:jc w:val="center"/>
        <w:rPr>
          <w:rFonts w:hAnsi="宋体"/>
          <w:b/>
          <w:bCs/>
          <w:sz w:val="52"/>
          <w:szCs w:val="52"/>
        </w:rPr>
      </w:pPr>
    </w:p>
    <w:p>
      <w:pPr>
        <w:ind w:firstLine="0" w:firstLineChars="0"/>
        <w:jc w:val="center"/>
        <w:rPr>
          <w:rFonts w:hAnsi="宋体"/>
          <w:b/>
          <w:bCs/>
          <w:sz w:val="44"/>
          <w:szCs w:val="44"/>
        </w:rPr>
      </w:pPr>
      <w:r>
        <w:rPr>
          <w:rFonts w:hint="eastAsia" w:hAnsi="宋体"/>
          <w:b/>
          <w:bCs/>
          <w:sz w:val="44"/>
          <w:szCs w:val="44"/>
        </w:rPr>
        <w:t xml:space="preserve">项目名称:地理信息系统实验室建设项目 </w:t>
      </w:r>
    </w:p>
    <w:p>
      <w:pPr>
        <w:ind w:firstLine="0" w:firstLineChars="0"/>
        <w:jc w:val="center"/>
        <w:rPr>
          <w:rFonts w:hAnsi="宋体"/>
          <w:b/>
          <w:bCs/>
          <w:sz w:val="44"/>
          <w:szCs w:val="44"/>
        </w:rPr>
      </w:pPr>
    </w:p>
    <w:p>
      <w:pPr>
        <w:ind w:firstLine="0" w:firstLineChars="0"/>
        <w:jc w:val="center"/>
        <w:rPr>
          <w:rFonts w:hAnsi="宋体"/>
          <w:b/>
          <w:bCs/>
          <w:sz w:val="44"/>
          <w:szCs w:val="44"/>
        </w:rPr>
      </w:pPr>
      <w:r>
        <w:rPr>
          <w:rFonts w:hint="eastAsia" w:hAnsi="宋体"/>
          <w:b/>
          <w:bCs/>
          <w:sz w:val="44"/>
          <w:szCs w:val="44"/>
        </w:rPr>
        <w:t>项目编号：ZD2020-640</w:t>
      </w:r>
    </w:p>
    <w:p>
      <w:pPr>
        <w:ind w:firstLine="883"/>
        <w:jc w:val="center"/>
        <w:rPr>
          <w:rFonts w:hAnsi="宋体" w:cs="宋体"/>
          <w:b/>
          <w:bCs/>
          <w:sz w:val="44"/>
          <w:szCs w:val="44"/>
        </w:rPr>
      </w:pPr>
    </w:p>
    <w:p>
      <w:pPr>
        <w:ind w:firstLine="2209" w:firstLineChars="500"/>
        <w:jc w:val="both"/>
        <w:rPr>
          <w:rFonts w:hAnsi="宋体"/>
          <w:b/>
          <w:bCs/>
          <w:sz w:val="44"/>
          <w:szCs w:val="44"/>
        </w:rPr>
      </w:pPr>
      <w:r>
        <w:rPr>
          <w:rFonts w:hint="eastAsia" w:hAnsi="宋体"/>
          <w:b/>
          <w:bCs/>
          <w:sz w:val="44"/>
          <w:szCs w:val="44"/>
        </w:rPr>
        <w:t>采购人:海南师范大学</w:t>
      </w:r>
    </w:p>
    <w:p>
      <w:pPr>
        <w:ind w:firstLine="1928" w:firstLineChars="400"/>
        <w:jc w:val="both"/>
        <w:rPr>
          <w:rFonts w:hAnsi="宋体"/>
          <w:b/>
          <w:bCs/>
          <w:sz w:val="48"/>
          <w:szCs w:val="48"/>
        </w:rPr>
      </w:pPr>
    </w:p>
    <w:p>
      <w:pPr>
        <w:pStyle w:val="30"/>
        <w:spacing w:line="480" w:lineRule="auto"/>
        <w:ind w:firstLine="3092" w:firstLineChars="700"/>
        <w:rPr>
          <w:rFonts w:hAnsi="宋体" w:cs="宋体"/>
          <w:b/>
          <w:bCs/>
          <w:kern w:val="0"/>
          <w:sz w:val="44"/>
          <w:szCs w:val="44"/>
        </w:rPr>
      </w:pPr>
      <w:bookmarkStart w:id="0" w:name="OLE_LINK12"/>
      <w:r>
        <w:rPr>
          <w:rFonts w:hint="eastAsia" w:hAnsi="宋体" w:cs="宋体"/>
          <w:b/>
          <w:bCs/>
          <w:kern w:val="0"/>
          <w:sz w:val="44"/>
          <w:szCs w:val="44"/>
        </w:rPr>
        <w:t>二</w:t>
      </w:r>
      <w:r>
        <w:rPr>
          <w:rFonts w:hAnsi="宋体" w:cs="宋体"/>
          <w:b/>
          <w:bCs/>
          <w:kern w:val="0"/>
          <w:sz w:val="44"/>
          <w:szCs w:val="44"/>
        </w:rPr>
        <w:t>0</w:t>
      </w:r>
      <w:bookmarkEnd w:id="0"/>
      <w:r>
        <w:rPr>
          <w:rFonts w:hint="eastAsia" w:hAnsi="宋体" w:cs="宋体"/>
          <w:b/>
          <w:bCs/>
          <w:kern w:val="0"/>
          <w:sz w:val="44"/>
          <w:szCs w:val="44"/>
        </w:rPr>
        <w:t>二</w:t>
      </w:r>
      <w:r>
        <w:rPr>
          <w:rFonts w:hAnsi="宋体" w:cs="宋体"/>
          <w:b/>
          <w:bCs/>
          <w:kern w:val="0"/>
          <w:sz w:val="44"/>
          <w:szCs w:val="44"/>
        </w:rPr>
        <w:t>0</w:t>
      </w:r>
      <w:r>
        <w:rPr>
          <w:rFonts w:hint="eastAsia" w:hAnsi="宋体" w:cs="宋体"/>
          <w:b/>
          <w:bCs/>
          <w:kern w:val="0"/>
          <w:sz w:val="44"/>
          <w:szCs w:val="44"/>
        </w:rPr>
        <w:t>年六月</w:t>
      </w:r>
    </w:p>
    <w:p>
      <w:pPr>
        <w:ind w:firstLine="1044"/>
        <w:jc w:val="both"/>
        <w:rPr>
          <w:rFonts w:hAnsi="宋体"/>
          <w:b/>
          <w:bCs/>
          <w:sz w:val="52"/>
          <w:szCs w:val="52"/>
        </w:rPr>
      </w:pPr>
    </w:p>
    <w:p>
      <w:pPr>
        <w:pStyle w:val="2"/>
        <w:spacing w:line="360" w:lineRule="exact"/>
        <w:ind w:left="240" w:right="240"/>
        <w:rPr>
          <w:rFonts w:ascii="宋体" w:hAnsi="宋体"/>
          <w:bCs w:val="0"/>
          <w:sz w:val="44"/>
          <w:szCs w:val="44"/>
        </w:rPr>
      </w:pPr>
      <w:r>
        <w:rPr>
          <w:rFonts w:ascii="宋体" w:hAnsi="宋体"/>
          <w:bCs w:val="0"/>
          <w:sz w:val="44"/>
          <w:szCs w:val="44"/>
        </w:rPr>
        <w:t xml:space="preserve">                </w:t>
      </w:r>
    </w:p>
    <w:p>
      <w:pPr>
        <w:pStyle w:val="2"/>
        <w:spacing w:line="360" w:lineRule="exact"/>
        <w:ind w:left="240" w:right="240"/>
        <w:rPr>
          <w:rFonts w:ascii="宋体" w:hAnsi="宋体"/>
          <w:bCs w:val="0"/>
          <w:sz w:val="44"/>
          <w:szCs w:val="44"/>
        </w:rPr>
      </w:pPr>
      <w:r>
        <w:rPr>
          <w:rFonts w:ascii="宋体" w:hAnsi="宋体"/>
          <w:bCs w:val="0"/>
          <w:sz w:val="44"/>
          <w:szCs w:val="44"/>
        </w:rPr>
        <w:t xml:space="preserve">               </w:t>
      </w:r>
      <w:r>
        <w:rPr>
          <w:rFonts w:hint="eastAsia" w:ascii="宋体" w:hAnsi="宋体"/>
          <w:bCs w:val="0"/>
          <w:sz w:val="44"/>
          <w:szCs w:val="44"/>
        </w:rPr>
        <w:t>目</w:t>
      </w:r>
      <w:r>
        <w:rPr>
          <w:rFonts w:ascii="宋体" w:hAnsi="宋体"/>
          <w:bCs w:val="0"/>
          <w:sz w:val="44"/>
          <w:szCs w:val="44"/>
        </w:rPr>
        <w:t xml:space="preserve">    </w:t>
      </w:r>
      <w:r>
        <w:rPr>
          <w:rFonts w:hint="eastAsia" w:ascii="宋体" w:hAnsi="宋体"/>
          <w:bCs w:val="0"/>
          <w:sz w:val="44"/>
          <w:szCs w:val="44"/>
        </w:rPr>
        <w:t>录</w:t>
      </w:r>
    </w:p>
    <w:p>
      <w:pPr>
        <w:pStyle w:val="2"/>
        <w:spacing w:line="360" w:lineRule="exact"/>
        <w:ind w:left="240" w:right="240" w:firstLine="640" w:firstLineChars="200"/>
        <w:rPr>
          <w:rFonts w:ascii="宋体" w:hAnsi="宋体"/>
          <w:b w:val="0"/>
          <w:bCs w:val="0"/>
          <w:szCs w:val="28"/>
        </w:rPr>
      </w:pPr>
    </w:p>
    <w:p>
      <w:pPr>
        <w:pStyle w:val="2"/>
        <w:spacing w:line="240" w:lineRule="auto"/>
        <w:ind w:left="240" w:right="240"/>
        <w:rPr>
          <w:rFonts w:ascii="宋体" w:hAnsi="宋体"/>
          <w:szCs w:val="28"/>
        </w:rPr>
      </w:pPr>
      <w:r>
        <w:rPr>
          <w:rFonts w:ascii="宋体" w:hAnsi="宋体"/>
          <w:szCs w:val="28"/>
        </w:rPr>
        <w:t xml:space="preserve">   </w:t>
      </w:r>
      <w:r>
        <w:rPr>
          <w:rFonts w:hint="eastAsia" w:ascii="宋体" w:hAnsi="宋体"/>
          <w:szCs w:val="28"/>
        </w:rPr>
        <w:t>第一章</w:t>
      </w:r>
      <w:r>
        <w:rPr>
          <w:rFonts w:ascii="宋体" w:hAnsi="宋体"/>
          <w:szCs w:val="28"/>
        </w:rPr>
        <w:t xml:space="preserve"> </w:t>
      </w:r>
      <w:r>
        <w:rPr>
          <w:rFonts w:hint="eastAsia" w:ascii="宋体" w:hAnsi="宋体"/>
          <w:szCs w:val="28"/>
        </w:rPr>
        <w:t>投标邀请函………………………………………</w:t>
      </w:r>
      <w:r>
        <w:rPr>
          <w:rFonts w:ascii="宋体" w:hAnsi="宋体"/>
          <w:szCs w:val="28"/>
        </w:rPr>
        <w:t>3</w:t>
      </w:r>
    </w:p>
    <w:p>
      <w:pPr>
        <w:pStyle w:val="2"/>
        <w:spacing w:line="240" w:lineRule="auto"/>
        <w:ind w:leftChars="0" w:right="240"/>
        <w:rPr>
          <w:rFonts w:ascii="宋体" w:hAnsi="宋体"/>
          <w:szCs w:val="28"/>
        </w:rPr>
      </w:pPr>
      <w:r>
        <w:rPr>
          <w:rFonts w:ascii="宋体" w:hAnsi="宋体"/>
          <w:szCs w:val="28"/>
        </w:rPr>
        <w:t xml:space="preserve">    </w:t>
      </w:r>
      <w:r>
        <w:rPr>
          <w:rFonts w:hint="eastAsia" w:ascii="宋体" w:hAnsi="宋体"/>
          <w:szCs w:val="28"/>
        </w:rPr>
        <w:t>第二章</w:t>
      </w:r>
      <w:r>
        <w:rPr>
          <w:rFonts w:ascii="宋体" w:hAnsi="宋体"/>
          <w:szCs w:val="28"/>
        </w:rPr>
        <w:t xml:space="preserve"> </w:t>
      </w:r>
      <w:r>
        <w:rPr>
          <w:rFonts w:hint="eastAsia" w:ascii="宋体" w:hAnsi="宋体"/>
          <w:szCs w:val="28"/>
        </w:rPr>
        <w:t>投标人须知………………………………………5</w:t>
      </w:r>
    </w:p>
    <w:p>
      <w:pPr>
        <w:pStyle w:val="2"/>
        <w:spacing w:line="240" w:lineRule="auto"/>
        <w:ind w:leftChars="0" w:right="240"/>
        <w:rPr>
          <w:rFonts w:ascii="宋体" w:hAnsi="宋体"/>
          <w:szCs w:val="28"/>
        </w:rPr>
      </w:pPr>
      <w:r>
        <w:rPr>
          <w:rFonts w:ascii="宋体" w:hAnsi="宋体"/>
          <w:szCs w:val="28"/>
        </w:rPr>
        <w:t xml:space="preserve">    </w:t>
      </w:r>
      <w:r>
        <w:rPr>
          <w:rFonts w:hint="eastAsia" w:ascii="宋体" w:hAnsi="宋体"/>
          <w:szCs w:val="28"/>
        </w:rPr>
        <w:t>第三章</w:t>
      </w:r>
      <w:r>
        <w:rPr>
          <w:rFonts w:ascii="宋体" w:hAnsi="宋体"/>
          <w:szCs w:val="28"/>
        </w:rPr>
        <w:t xml:space="preserve"> </w:t>
      </w:r>
      <w:r>
        <w:rPr>
          <w:rFonts w:hint="eastAsia" w:ascii="宋体" w:hAnsi="宋体"/>
          <w:szCs w:val="28"/>
        </w:rPr>
        <w:t>用户需求书 ……………………………………</w:t>
      </w:r>
      <w:r>
        <w:rPr>
          <w:rFonts w:ascii="宋体" w:hAnsi="宋体"/>
          <w:szCs w:val="28"/>
        </w:rPr>
        <w:t>1</w:t>
      </w:r>
      <w:r>
        <w:rPr>
          <w:rFonts w:hint="eastAsia" w:ascii="宋体" w:hAnsi="宋体"/>
          <w:szCs w:val="28"/>
        </w:rPr>
        <w:t>1</w:t>
      </w:r>
    </w:p>
    <w:p>
      <w:pPr>
        <w:pStyle w:val="2"/>
        <w:spacing w:line="240" w:lineRule="auto"/>
        <w:ind w:leftChars="0" w:right="240"/>
        <w:rPr>
          <w:rFonts w:ascii="宋体" w:hAnsi="宋体"/>
          <w:szCs w:val="28"/>
        </w:rPr>
      </w:pPr>
      <w:r>
        <w:rPr>
          <w:rFonts w:ascii="宋体" w:hAnsi="宋体"/>
          <w:szCs w:val="28"/>
        </w:rPr>
        <w:t xml:space="preserve">    </w:t>
      </w:r>
      <w:r>
        <w:rPr>
          <w:rFonts w:hint="eastAsia" w:ascii="宋体" w:hAnsi="宋体"/>
          <w:szCs w:val="28"/>
        </w:rPr>
        <w:t>第四章</w:t>
      </w:r>
      <w:r>
        <w:rPr>
          <w:rFonts w:ascii="宋体" w:hAnsi="宋体"/>
          <w:szCs w:val="28"/>
        </w:rPr>
        <w:t xml:space="preserve"> </w:t>
      </w:r>
      <w:r>
        <w:rPr>
          <w:rFonts w:hint="eastAsia" w:ascii="宋体" w:hAnsi="宋体"/>
          <w:szCs w:val="28"/>
        </w:rPr>
        <w:t>合同条款 ………………………………………31</w:t>
      </w:r>
    </w:p>
    <w:p>
      <w:pPr>
        <w:pStyle w:val="2"/>
        <w:spacing w:line="240" w:lineRule="auto"/>
        <w:ind w:leftChars="0" w:right="240" w:firstLine="642"/>
        <w:rPr>
          <w:rFonts w:ascii="宋体" w:hAnsi="宋体"/>
          <w:szCs w:val="28"/>
        </w:rPr>
      </w:pPr>
      <w:r>
        <w:rPr>
          <w:rFonts w:hint="eastAsia" w:ascii="宋体" w:hAnsi="宋体"/>
          <w:szCs w:val="28"/>
        </w:rPr>
        <w:t>第五章</w:t>
      </w:r>
      <w:r>
        <w:rPr>
          <w:rFonts w:ascii="宋体" w:hAnsi="宋体"/>
          <w:szCs w:val="28"/>
        </w:rPr>
        <w:t xml:space="preserve"> </w:t>
      </w:r>
      <w:r>
        <w:rPr>
          <w:rFonts w:hint="eastAsia" w:ascii="宋体" w:hAnsi="宋体" w:cs="宋体"/>
        </w:rPr>
        <w:t>投标文件内容和格式</w:t>
      </w:r>
      <w:r>
        <w:rPr>
          <w:rFonts w:ascii="宋体" w:hAnsi="宋体" w:cs="宋体"/>
        </w:rPr>
        <w:t xml:space="preserve"> </w:t>
      </w:r>
      <w:r>
        <w:rPr>
          <w:rFonts w:hint="eastAsia" w:ascii="宋体" w:hAnsi="宋体"/>
          <w:szCs w:val="28"/>
        </w:rPr>
        <w:t>…………………………33</w:t>
      </w:r>
      <w:r>
        <w:rPr>
          <w:rFonts w:ascii="宋体" w:hAnsi="宋体"/>
          <w:szCs w:val="28"/>
        </w:rPr>
        <w:t xml:space="preserve">    </w:t>
      </w:r>
    </w:p>
    <w:p>
      <w:pPr>
        <w:pStyle w:val="2"/>
        <w:spacing w:line="240" w:lineRule="auto"/>
        <w:ind w:leftChars="0" w:right="240" w:firstLine="642"/>
        <w:rPr>
          <w:rFonts w:ascii="宋体" w:hAnsi="宋体"/>
          <w:szCs w:val="28"/>
        </w:rPr>
      </w:pPr>
      <w:r>
        <w:rPr>
          <w:rFonts w:hint="eastAsia" w:ascii="宋体" w:hAnsi="宋体"/>
          <w:szCs w:val="28"/>
        </w:rPr>
        <w:t>第六章</w:t>
      </w:r>
      <w:r>
        <w:rPr>
          <w:rFonts w:ascii="宋体" w:hAnsi="宋体" w:cs="宋体"/>
          <w:szCs w:val="28"/>
        </w:rPr>
        <w:t xml:space="preserve"> </w:t>
      </w:r>
      <w:r>
        <w:rPr>
          <w:rFonts w:hint="eastAsia" w:ascii="宋体" w:hAnsi="宋体" w:cs="宋体"/>
        </w:rPr>
        <w:t xml:space="preserve">评审方法和程序 </w:t>
      </w:r>
      <w:r>
        <w:rPr>
          <w:rFonts w:hint="eastAsia" w:ascii="宋体" w:hAnsi="宋体"/>
          <w:szCs w:val="28"/>
        </w:rPr>
        <w:t>………………………………43</w:t>
      </w:r>
    </w:p>
    <w:p>
      <w:pPr>
        <w:pStyle w:val="2"/>
        <w:spacing w:line="240" w:lineRule="auto"/>
        <w:ind w:left="240" w:right="240"/>
        <w:rPr>
          <w:rFonts w:ascii="宋体" w:hAnsi="宋体"/>
          <w:szCs w:val="28"/>
        </w:rPr>
      </w:pPr>
      <w:r>
        <w:rPr>
          <w:rFonts w:ascii="宋体" w:hAnsi="宋体" w:cs="宋体"/>
          <w:bCs w:val="0"/>
        </w:rPr>
        <w:t xml:space="preserve">          </w:t>
      </w:r>
      <w:r>
        <w:rPr>
          <w:rFonts w:hint="eastAsia" w:ascii="宋体" w:hAnsi="宋体" w:cs="宋体"/>
          <w:bCs w:val="0"/>
        </w:rPr>
        <w:t>附表</w:t>
      </w:r>
      <w:r>
        <w:rPr>
          <w:rFonts w:ascii="宋体" w:hAnsi="宋体" w:cs="宋体"/>
          <w:bCs w:val="0"/>
        </w:rPr>
        <w:t>1</w:t>
      </w:r>
      <w:r>
        <w:rPr>
          <w:rFonts w:hint="eastAsia" w:ascii="宋体" w:hAnsi="宋体" w:cs="宋体"/>
          <w:bCs w:val="0"/>
        </w:rPr>
        <w:t xml:space="preserve">资格审查表 </w:t>
      </w:r>
      <w:r>
        <w:rPr>
          <w:rFonts w:hint="eastAsia" w:ascii="宋体" w:hAnsi="宋体"/>
          <w:szCs w:val="28"/>
        </w:rPr>
        <w:t>……………………………45</w:t>
      </w:r>
    </w:p>
    <w:p>
      <w:pPr>
        <w:pStyle w:val="2"/>
        <w:spacing w:line="240" w:lineRule="auto"/>
        <w:ind w:left="240" w:right="240" w:firstLine="1606" w:firstLineChars="500"/>
        <w:rPr>
          <w:rFonts w:ascii="宋体" w:hAnsi="宋体" w:cs="宋体"/>
          <w:bCs w:val="0"/>
        </w:rPr>
      </w:pPr>
      <w:r>
        <w:rPr>
          <w:rFonts w:hint="eastAsia" w:ascii="宋体" w:hAnsi="宋体" w:cs="宋体"/>
          <w:bCs w:val="0"/>
        </w:rPr>
        <w:t>附表</w:t>
      </w:r>
      <w:r>
        <w:rPr>
          <w:rFonts w:ascii="宋体" w:hAnsi="宋体" w:cs="宋体"/>
          <w:bCs w:val="0"/>
        </w:rPr>
        <w:t>2</w:t>
      </w:r>
      <w:r>
        <w:rPr>
          <w:rFonts w:hint="eastAsia" w:ascii="宋体" w:hAnsi="宋体" w:cs="宋体"/>
          <w:bCs w:val="0"/>
        </w:rPr>
        <w:t>符合性审查表 …………………………46</w:t>
      </w:r>
    </w:p>
    <w:p>
      <w:pPr>
        <w:pStyle w:val="2"/>
        <w:spacing w:line="240" w:lineRule="auto"/>
        <w:ind w:left="240" w:right="240"/>
        <w:rPr>
          <w:rFonts w:ascii="宋体" w:hAnsi="宋体"/>
          <w:szCs w:val="28"/>
        </w:rPr>
      </w:pPr>
      <w:r>
        <w:rPr>
          <w:rFonts w:hAnsi="宋体" w:cs="宋体"/>
          <w:bCs w:val="0"/>
        </w:rPr>
        <w:t xml:space="preserve">         </w:t>
      </w:r>
      <w:r>
        <w:rPr>
          <w:rFonts w:ascii="宋体" w:hAnsi="宋体" w:cs="宋体"/>
          <w:bCs w:val="0"/>
        </w:rPr>
        <w:t xml:space="preserve"> </w:t>
      </w:r>
      <w:r>
        <w:rPr>
          <w:rFonts w:hint="eastAsia" w:ascii="宋体" w:hAnsi="宋体" w:cs="宋体"/>
          <w:bCs w:val="0"/>
        </w:rPr>
        <w:t>附表</w:t>
      </w:r>
      <w:r>
        <w:rPr>
          <w:rFonts w:ascii="宋体" w:hAnsi="宋体" w:cs="宋体"/>
          <w:bCs w:val="0"/>
        </w:rPr>
        <w:t>3</w:t>
      </w:r>
      <w:r>
        <w:rPr>
          <w:rFonts w:hint="eastAsia" w:ascii="宋体" w:hAnsi="宋体" w:cs="宋体"/>
          <w:bCs w:val="0"/>
        </w:rPr>
        <w:t xml:space="preserve">技术、商务评分表 </w:t>
      </w:r>
      <w:r>
        <w:rPr>
          <w:rFonts w:hint="eastAsia" w:ascii="宋体" w:hAnsi="宋体"/>
          <w:szCs w:val="28"/>
        </w:rPr>
        <w:t>……………………47</w:t>
      </w:r>
    </w:p>
    <w:p>
      <w:pPr>
        <w:shd w:val="clear" w:color="auto" w:fill="FFFFFF"/>
        <w:spacing w:line="240" w:lineRule="auto"/>
        <w:ind w:firstLine="643"/>
        <w:rPr>
          <w:rFonts w:hAnsi="宋体" w:cs="宋体"/>
          <w:b/>
          <w:bCs/>
          <w:sz w:val="32"/>
          <w:szCs w:val="32"/>
        </w:rPr>
      </w:pPr>
    </w:p>
    <w:p>
      <w:pPr>
        <w:pStyle w:val="3"/>
        <w:ind w:firstLine="400"/>
        <w:rPr>
          <w:rFonts w:hint="eastAsia"/>
        </w:rPr>
      </w:pPr>
    </w:p>
    <w:p>
      <w:pPr>
        <w:pStyle w:val="8"/>
        <w:shd w:val="clear" w:color="auto" w:fill="FFFFFF"/>
        <w:snapToGrid w:val="0"/>
        <w:spacing w:after="0"/>
        <w:ind w:left="0" w:leftChars="0" w:firstLine="720"/>
        <w:rPr>
          <w:rFonts w:hint="eastAsia" w:cs="宋体"/>
          <w:sz w:val="36"/>
          <w:szCs w:val="36"/>
        </w:rPr>
      </w:pPr>
      <w:r>
        <w:rPr>
          <w:rFonts w:hAnsi="宋体" w:cs="宋体"/>
          <w:sz w:val="36"/>
          <w:szCs w:val="36"/>
        </w:rPr>
        <w:t xml:space="preserve">              </w:t>
      </w:r>
    </w:p>
    <w:p>
      <w:pPr>
        <w:pStyle w:val="8"/>
        <w:shd w:val="clear" w:color="auto" w:fill="FFFFFF"/>
        <w:snapToGrid w:val="0"/>
        <w:spacing w:after="0"/>
        <w:ind w:left="0" w:leftChars="0" w:firstLine="720"/>
        <w:rPr>
          <w:rFonts w:hint="eastAsia" w:cs="宋体"/>
          <w:sz w:val="36"/>
          <w:szCs w:val="36"/>
        </w:rPr>
      </w:pPr>
    </w:p>
    <w:p>
      <w:pPr>
        <w:pStyle w:val="8"/>
        <w:shd w:val="clear" w:color="auto" w:fill="FFFFFF"/>
        <w:snapToGrid w:val="0"/>
        <w:spacing w:after="0"/>
        <w:ind w:left="0" w:leftChars="0" w:firstLine="720"/>
        <w:rPr>
          <w:rFonts w:hint="eastAsia"/>
        </w:rPr>
      </w:pPr>
      <w:r>
        <w:rPr>
          <w:rFonts w:hAnsi="宋体" w:cs="宋体"/>
          <w:sz w:val="36"/>
          <w:szCs w:val="36"/>
        </w:rPr>
        <w:t xml:space="preserve">          </w:t>
      </w:r>
      <w:r>
        <w:rPr>
          <w:rFonts w:hint="eastAsia"/>
          <w:b/>
          <w:kern w:val="44"/>
          <w:sz w:val="44"/>
        </w:rPr>
        <w:t xml:space="preserve"> </w:t>
      </w:r>
      <w:bookmarkStart w:id="1" w:name="_Toc476643557"/>
      <w:bookmarkStart w:id="2" w:name="_Toc476664366"/>
      <w:bookmarkStart w:id="3" w:name="_Toc476667946"/>
      <w:r>
        <w:rPr>
          <w:rFonts w:hint="eastAsia"/>
          <w:b/>
          <w:kern w:val="44"/>
          <w:sz w:val="44"/>
        </w:rPr>
        <w:t>第一章投标邀请函</w:t>
      </w:r>
      <w:bookmarkEnd w:id="1"/>
      <w:bookmarkEnd w:id="2"/>
      <w:bookmarkEnd w:id="3"/>
    </w:p>
    <w:p>
      <w:pPr>
        <w:ind w:firstLine="0" w:firstLineChars="0"/>
        <w:rPr>
          <w:rFonts w:hint="eastAsia"/>
          <w:szCs w:val="24"/>
        </w:rPr>
      </w:pPr>
      <w:r>
        <w:rPr>
          <w:rFonts w:hint="eastAsia" w:hAnsi="宋体"/>
          <w:szCs w:val="24"/>
        </w:rPr>
        <w:t xml:space="preserve">    受</w:t>
      </w:r>
      <w:bookmarkStart w:id="4" w:name="OLE_LINK18"/>
      <w:r>
        <w:rPr>
          <w:rFonts w:hint="eastAsia" w:hAnsi="宋体"/>
          <w:szCs w:val="24"/>
        </w:rPr>
        <w:t>海南师范大学</w:t>
      </w:r>
      <w:bookmarkEnd w:id="4"/>
      <w:r>
        <w:rPr>
          <w:rFonts w:hint="eastAsia" w:hAnsi="宋体"/>
          <w:szCs w:val="24"/>
        </w:rPr>
        <w:t>的委托，海南政鼎招标代理有限公司就</w:t>
      </w:r>
      <w:r>
        <w:rPr>
          <w:rFonts w:hint="eastAsia" w:hAnsi="宋体"/>
          <w:kern w:val="28"/>
          <w:szCs w:val="24"/>
        </w:rPr>
        <w:t>地理信息系统实验室建设项目</w:t>
      </w:r>
      <w:r>
        <w:rPr>
          <w:rFonts w:hint="eastAsia" w:hAnsi="宋体"/>
          <w:szCs w:val="24"/>
        </w:rPr>
        <w:t>（</w:t>
      </w:r>
      <w:bookmarkStart w:id="5" w:name="OLE_LINK6"/>
      <w:r>
        <w:rPr>
          <w:rFonts w:hint="eastAsia" w:hAnsi="宋体"/>
          <w:szCs w:val="24"/>
        </w:rPr>
        <w:t>项目编号：ZD2020-</w:t>
      </w:r>
      <w:bookmarkEnd w:id="5"/>
      <w:r>
        <w:rPr>
          <w:rFonts w:hint="eastAsia" w:hAnsi="宋体"/>
          <w:szCs w:val="24"/>
        </w:rPr>
        <w:t>640）所需的货物及相关服务组织</w:t>
      </w:r>
      <w:bookmarkStart w:id="6" w:name="OLE_LINK19"/>
      <w:r>
        <w:rPr>
          <w:rFonts w:hint="eastAsia" w:hAnsi="宋体"/>
          <w:szCs w:val="24"/>
        </w:rPr>
        <w:t>公开招标</w:t>
      </w:r>
      <w:bookmarkEnd w:id="6"/>
      <w:r>
        <w:rPr>
          <w:rFonts w:hint="eastAsia" w:hAnsi="宋体"/>
          <w:szCs w:val="24"/>
        </w:rPr>
        <w:t>，欢迎</w:t>
      </w:r>
      <w:r>
        <w:rPr>
          <w:rFonts w:hint="eastAsia" w:hAnsi="宋体"/>
          <w:kern w:val="28"/>
          <w:szCs w:val="24"/>
        </w:rPr>
        <w:t>合格的投标人前来投标。有关事项如下：</w:t>
      </w:r>
    </w:p>
    <w:p>
      <w:pPr>
        <w:shd w:val="clear" w:color="auto" w:fill="FFFFFF"/>
        <w:snapToGrid w:val="0"/>
        <w:ind w:firstLine="643"/>
        <w:rPr>
          <w:rFonts w:hAnsi="宋体"/>
          <w:b/>
          <w:sz w:val="32"/>
          <w:szCs w:val="32"/>
        </w:rPr>
      </w:pPr>
      <w:r>
        <w:rPr>
          <w:rFonts w:hint="eastAsia" w:hAnsi="宋体"/>
          <w:b/>
          <w:sz w:val="32"/>
          <w:szCs w:val="32"/>
        </w:rPr>
        <w:t>一、招标项目</w:t>
      </w:r>
    </w:p>
    <w:p>
      <w:pPr>
        <w:shd w:val="clear" w:color="auto" w:fill="FFFFFF"/>
        <w:snapToGrid w:val="0"/>
        <w:ind w:firstLine="480"/>
        <w:rPr>
          <w:rFonts w:hAnsi="宋体"/>
          <w:kern w:val="28"/>
          <w:szCs w:val="24"/>
        </w:rPr>
      </w:pPr>
      <w:r>
        <w:rPr>
          <w:rFonts w:hAnsi="宋体"/>
          <w:kern w:val="28"/>
          <w:szCs w:val="24"/>
        </w:rPr>
        <w:t>1</w:t>
      </w:r>
      <w:r>
        <w:rPr>
          <w:rFonts w:hint="eastAsia" w:hAnsi="宋体"/>
          <w:kern w:val="28"/>
          <w:szCs w:val="24"/>
        </w:rPr>
        <w:t>、名称：</w:t>
      </w:r>
      <w:bookmarkStart w:id="7" w:name="OLE_LINK17"/>
      <w:bookmarkStart w:id="8" w:name="OLE_LINK49"/>
      <w:r>
        <w:rPr>
          <w:rFonts w:hint="eastAsia" w:hAnsi="宋体"/>
          <w:kern w:val="28"/>
          <w:szCs w:val="24"/>
        </w:rPr>
        <w:t>地理信息系统实验室建设项目</w:t>
      </w:r>
      <w:bookmarkEnd w:id="7"/>
      <w:r>
        <w:rPr>
          <w:rFonts w:hint="eastAsia" w:hAnsi="宋体"/>
          <w:kern w:val="28"/>
          <w:szCs w:val="24"/>
        </w:rPr>
        <w:t xml:space="preserve"> </w:t>
      </w:r>
    </w:p>
    <w:bookmarkEnd w:id="8"/>
    <w:p>
      <w:pPr>
        <w:shd w:val="clear" w:color="auto" w:fill="FFFFFF"/>
        <w:snapToGrid w:val="0"/>
        <w:ind w:firstLine="480"/>
        <w:rPr>
          <w:rFonts w:hAnsi="宋体"/>
          <w:szCs w:val="24"/>
        </w:rPr>
      </w:pPr>
      <w:r>
        <w:rPr>
          <w:rFonts w:hint="eastAsia" w:hAnsi="宋体"/>
          <w:kern w:val="28"/>
          <w:szCs w:val="24"/>
        </w:rPr>
        <w:t xml:space="preserve">    </w:t>
      </w:r>
      <w:r>
        <w:rPr>
          <w:rFonts w:hint="eastAsia" w:hAnsi="宋体"/>
          <w:szCs w:val="24"/>
        </w:rPr>
        <w:t>A包：</w:t>
      </w:r>
      <w:r>
        <w:rPr>
          <w:rFonts w:hint="eastAsia" w:hAnsi="宋体"/>
          <w:kern w:val="28"/>
          <w:szCs w:val="24"/>
        </w:rPr>
        <w:t>地理信息系统实验室-电脑室建设：144.916万元</w:t>
      </w:r>
    </w:p>
    <w:p>
      <w:pPr>
        <w:shd w:val="clear" w:color="auto" w:fill="FFFFFF"/>
        <w:snapToGrid w:val="0"/>
        <w:ind w:firstLine="480"/>
        <w:rPr>
          <w:rFonts w:hAnsi="宋体"/>
          <w:szCs w:val="24"/>
        </w:rPr>
      </w:pPr>
      <w:r>
        <w:rPr>
          <w:rFonts w:hint="eastAsia" w:hAnsi="宋体"/>
          <w:szCs w:val="24"/>
        </w:rPr>
        <w:t xml:space="preserve">    B包：</w:t>
      </w:r>
      <w:r>
        <w:rPr>
          <w:rFonts w:hint="eastAsia" w:hAnsi="宋体"/>
          <w:kern w:val="28"/>
          <w:szCs w:val="24"/>
        </w:rPr>
        <w:t>地理信息系统实验室-地理信息系统桌面软件采购：95万元</w:t>
      </w:r>
    </w:p>
    <w:p>
      <w:pPr>
        <w:shd w:val="clear" w:color="auto" w:fill="FFFFFF"/>
        <w:snapToGrid w:val="0"/>
        <w:ind w:firstLine="480"/>
        <w:rPr>
          <w:rFonts w:hAnsi="宋体"/>
          <w:kern w:val="28"/>
          <w:szCs w:val="24"/>
        </w:rPr>
      </w:pPr>
      <w:r>
        <w:rPr>
          <w:rFonts w:hAnsi="宋体"/>
          <w:kern w:val="28"/>
          <w:szCs w:val="24"/>
        </w:rPr>
        <w:t>2</w:t>
      </w:r>
      <w:r>
        <w:rPr>
          <w:rFonts w:hint="eastAsia" w:hAnsi="宋体"/>
          <w:kern w:val="28"/>
          <w:szCs w:val="24"/>
        </w:rPr>
        <w:t>、用途：</w:t>
      </w:r>
      <w:r>
        <w:rPr>
          <w:rFonts w:hint="eastAsia" w:hAnsi="宋体"/>
          <w:szCs w:val="24"/>
        </w:rPr>
        <w:t>海南师范大学</w:t>
      </w:r>
      <w:r>
        <w:rPr>
          <w:rFonts w:hint="eastAsia" w:hAnsi="宋体" w:cs="Tahoma"/>
          <w:szCs w:val="24"/>
        </w:rPr>
        <w:t>工作需要</w:t>
      </w:r>
    </w:p>
    <w:p>
      <w:pPr>
        <w:shd w:val="clear" w:color="auto" w:fill="FFFFFF"/>
        <w:snapToGrid w:val="0"/>
        <w:ind w:firstLine="480"/>
        <w:rPr>
          <w:rFonts w:hAnsi="宋体"/>
          <w:kern w:val="28"/>
          <w:szCs w:val="24"/>
        </w:rPr>
      </w:pPr>
      <w:r>
        <w:rPr>
          <w:rFonts w:hAnsi="宋体"/>
          <w:kern w:val="28"/>
          <w:szCs w:val="24"/>
        </w:rPr>
        <w:t>3</w:t>
      </w:r>
      <w:r>
        <w:rPr>
          <w:rFonts w:hint="eastAsia" w:hAnsi="宋体"/>
          <w:kern w:val="28"/>
          <w:szCs w:val="24"/>
        </w:rPr>
        <w:t>、项目要求：见“用户需求书”</w:t>
      </w:r>
    </w:p>
    <w:p>
      <w:pPr>
        <w:shd w:val="clear" w:color="auto" w:fill="FFFFFF"/>
        <w:snapToGrid w:val="0"/>
        <w:ind w:firstLine="480"/>
        <w:rPr>
          <w:rFonts w:hAnsi="宋体"/>
          <w:kern w:val="28"/>
          <w:szCs w:val="24"/>
        </w:rPr>
      </w:pPr>
      <w:r>
        <w:rPr>
          <w:rFonts w:hAnsi="宋体"/>
          <w:kern w:val="28"/>
          <w:szCs w:val="24"/>
        </w:rPr>
        <w:t>4</w:t>
      </w:r>
      <w:r>
        <w:rPr>
          <w:rFonts w:hint="eastAsia" w:hAnsi="宋体"/>
          <w:kern w:val="28"/>
          <w:szCs w:val="24"/>
        </w:rPr>
        <w:t>、本项目预算为：239.916万元</w:t>
      </w:r>
    </w:p>
    <w:p>
      <w:pPr>
        <w:shd w:val="clear" w:color="auto" w:fill="FFFFFF"/>
        <w:snapToGrid w:val="0"/>
        <w:ind w:firstLine="643"/>
        <w:rPr>
          <w:rStyle w:val="36"/>
          <w:rFonts w:hAnsi="宋体"/>
          <w:b/>
          <w:bCs/>
          <w:szCs w:val="24"/>
        </w:rPr>
      </w:pPr>
      <w:r>
        <w:rPr>
          <w:rFonts w:hint="eastAsia" w:hAnsi="宋体"/>
          <w:b/>
          <w:sz w:val="32"/>
          <w:szCs w:val="32"/>
        </w:rPr>
        <w:t>二、投标人资格要求</w:t>
      </w:r>
    </w:p>
    <w:p>
      <w:pPr>
        <w:shd w:val="clear" w:color="auto" w:fill="FFFFFF"/>
        <w:wordWrap w:val="0"/>
        <w:adjustRightInd w:val="0"/>
        <w:snapToGrid w:val="0"/>
        <w:spacing w:line="240" w:lineRule="auto"/>
        <w:ind w:firstLine="480"/>
        <w:rPr>
          <w:rFonts w:hAnsi="宋体" w:cs="宋体"/>
        </w:rPr>
      </w:pPr>
      <w:r>
        <w:rPr>
          <w:rFonts w:hint="eastAsia" w:hAnsi="宋体" w:cs="宋体"/>
        </w:rPr>
        <w:t>1、具有独立承担民事责任的能力（提交“统一社会信用代码的营业执照”副本等相关证明文件复印件，加盖公章）；</w:t>
      </w:r>
    </w:p>
    <w:p>
      <w:pPr>
        <w:shd w:val="clear" w:color="auto" w:fill="FFFFFF"/>
        <w:wordWrap w:val="0"/>
        <w:adjustRightInd w:val="0"/>
        <w:snapToGrid w:val="0"/>
        <w:spacing w:line="240" w:lineRule="auto"/>
        <w:ind w:firstLine="480"/>
        <w:rPr>
          <w:rFonts w:hAnsi="宋体" w:cs="宋体"/>
        </w:rPr>
      </w:pPr>
      <w:r>
        <w:rPr>
          <w:rFonts w:hint="eastAsia" w:hAnsi="宋体" w:cs="宋体"/>
        </w:rPr>
        <w:t>2、具有依法缴纳社会保障资金和纳税的良好记录（需提供2020年度的任意3个月的纳税证明或2019年度经会计事务所审计的财务报告以及2020年度的任意3个月的社保缴纳凭证并加盖公章）；</w:t>
      </w:r>
    </w:p>
    <w:p>
      <w:pPr>
        <w:pStyle w:val="13"/>
        <w:shd w:val="clear" w:color="auto" w:fill="FFFFFF"/>
        <w:spacing w:beforeAutospacing="0" w:afterAutospacing="0" w:line="375" w:lineRule="atLeast"/>
        <w:ind w:firstLine="480"/>
        <w:rPr>
          <w:rFonts w:hAnsi="宋体" w:cs="宋体"/>
        </w:rPr>
      </w:pPr>
      <w:r>
        <w:rPr>
          <w:rFonts w:hint="eastAsia" w:hAnsi="宋体" w:cs="宋体"/>
        </w:rPr>
        <w:t>3、参加政府采购活动前3年内在经营活动中没有重大事故、违法记录的声明函；</w:t>
      </w:r>
    </w:p>
    <w:p>
      <w:pPr>
        <w:spacing w:line="240" w:lineRule="auto"/>
        <w:ind w:firstLine="480"/>
        <w:rPr>
          <w:rFonts w:hAnsi="宋体" w:cs="宋体"/>
        </w:rPr>
      </w:pPr>
      <w:r>
        <w:rPr>
          <w:rFonts w:hint="eastAsia" w:hAnsi="宋体" w:cs="宋体"/>
        </w:rPr>
        <w:t>4、</w:t>
      </w:r>
      <w:bookmarkStart w:id="9" w:name="OLE_LINK15"/>
      <w:r>
        <w:rPr>
          <w:rFonts w:hint="eastAsia" w:hAnsi="宋体" w:cs="宋体"/>
        </w:rPr>
        <w:t>投标人投标时提供“国家企业信用信息公示系统”网站（http://www.gsxt.gov.cn/index.html）基础信息中的“股东及出资信息”和“主要人员信息”（提供信息查询结果界面截图，加盖投标人公章）；</w:t>
      </w:r>
    </w:p>
    <w:p>
      <w:pPr>
        <w:ind w:firstLine="480"/>
        <w:rPr>
          <w:rFonts w:hAnsi="宋体" w:cs="宋体"/>
        </w:rPr>
      </w:pPr>
      <w:r>
        <w:rPr>
          <w:rFonts w:hint="eastAsia" w:hAnsi="宋体" w:cs="宋体"/>
        </w:rPr>
        <w:t>5、投标时提供本项目投标被授权人近期任意一个月在投标人处缴纳的社保证明复印件；</w:t>
      </w:r>
    </w:p>
    <w:p>
      <w:pPr>
        <w:ind w:firstLine="480"/>
        <w:rPr>
          <w:rFonts w:hAnsi="宋体" w:cs="宋体"/>
          <w:lang w:val="zh-CN"/>
        </w:rPr>
      </w:pPr>
      <w:r>
        <w:rPr>
          <w:rFonts w:hint="eastAsia" w:hAnsi="宋体" w:cs="宋体"/>
        </w:rPr>
        <w:t>6、根据招标文件要求，提供授权书、技术参数确认及售后服务承诺函</w:t>
      </w:r>
      <w:r>
        <w:rPr>
          <w:rFonts w:hint="eastAsia" w:hAnsi="宋体" w:cs="宋体"/>
          <w:lang w:val="zh-CN"/>
        </w:rPr>
        <w:t>；</w:t>
      </w:r>
    </w:p>
    <w:p>
      <w:pPr>
        <w:spacing w:line="240" w:lineRule="auto"/>
        <w:ind w:firstLine="480"/>
        <w:rPr>
          <w:rFonts w:hAnsi="宋体" w:cs="宋体"/>
        </w:rPr>
      </w:pPr>
      <w:r>
        <w:rPr>
          <w:rFonts w:hint="eastAsia" w:hAnsi="宋体" w:cs="宋体"/>
        </w:rPr>
        <w:t>7、</w:t>
      </w:r>
      <w:r>
        <w:rPr>
          <w:rFonts w:hint="eastAsia" w:hAnsi="宋体" w:cs="宋体"/>
          <w:kern w:val="2"/>
          <w:szCs w:val="24"/>
        </w:rPr>
        <w:t>供应商须提供在“信用中国”网站（www.creditchina.gov.cn）、中国政府采购网 （www.ccgp.gov.cn）没有列入失信被执行人、重大税收违法案件当事人名单、政府采购严重违法失信行为记录名单，提供网页查询结果合格的截图；</w:t>
      </w:r>
      <w:r>
        <w:rPr>
          <w:rFonts w:hAnsi="宋体" w:cs="宋体"/>
        </w:rPr>
        <w:t> </w:t>
      </w:r>
    </w:p>
    <w:bookmarkEnd w:id="9"/>
    <w:p>
      <w:pPr>
        <w:pStyle w:val="13"/>
        <w:shd w:val="clear" w:color="auto" w:fill="FFFFFF"/>
        <w:spacing w:beforeAutospacing="0" w:afterAutospacing="0" w:line="375" w:lineRule="atLeast"/>
        <w:ind w:firstLine="480"/>
        <w:rPr>
          <w:rFonts w:hAnsi="宋体" w:cs="宋体"/>
        </w:rPr>
      </w:pPr>
      <w:r>
        <w:rPr>
          <w:rFonts w:hint="eastAsia" w:hAnsi="宋体" w:cs="宋体"/>
        </w:rPr>
        <w:t>8、采购响应保证金的缴纳凭证复印件（回执单或收据）；</w:t>
      </w:r>
    </w:p>
    <w:p>
      <w:pPr>
        <w:pStyle w:val="13"/>
        <w:shd w:val="clear" w:color="auto" w:fill="FFFFFF"/>
        <w:spacing w:beforeAutospacing="0" w:afterAutospacing="0" w:line="375" w:lineRule="atLeast"/>
        <w:ind w:firstLine="480"/>
        <w:rPr>
          <w:rFonts w:hAnsi="宋体" w:cs="宋体"/>
        </w:rPr>
      </w:pPr>
      <w:r>
        <w:rPr>
          <w:rFonts w:hint="eastAsia" w:hAnsi="宋体" w:cs="宋体"/>
        </w:rPr>
        <w:t xml:space="preserve">9、本项目不接受联合体投标。  </w:t>
      </w:r>
    </w:p>
    <w:p>
      <w:pPr>
        <w:snapToGrid w:val="0"/>
        <w:ind w:firstLine="643"/>
        <w:rPr>
          <w:rFonts w:hAnsi="宋体"/>
          <w:b/>
          <w:sz w:val="32"/>
          <w:szCs w:val="32"/>
        </w:rPr>
      </w:pPr>
      <w:r>
        <w:rPr>
          <w:rFonts w:hint="eastAsia" w:hAnsi="宋体"/>
          <w:b/>
          <w:sz w:val="32"/>
          <w:szCs w:val="32"/>
        </w:rPr>
        <w:t>三、招标文件的获取</w:t>
      </w:r>
    </w:p>
    <w:p>
      <w:pPr>
        <w:tabs>
          <w:tab w:val="left" w:pos="4680"/>
        </w:tabs>
        <w:snapToGrid w:val="0"/>
        <w:spacing w:line="240" w:lineRule="auto"/>
        <w:ind w:firstLine="480"/>
        <w:rPr>
          <w:rFonts w:hAnsi="宋体"/>
          <w:szCs w:val="24"/>
        </w:rPr>
      </w:pPr>
      <w:r>
        <w:rPr>
          <w:rFonts w:hAnsi="宋体"/>
          <w:szCs w:val="24"/>
        </w:rPr>
        <w:t>1</w:t>
      </w:r>
      <w:r>
        <w:rPr>
          <w:rFonts w:hint="eastAsia" w:hAnsi="宋体"/>
          <w:szCs w:val="24"/>
        </w:rPr>
        <w:t>、时间：</w:t>
      </w:r>
      <w:r>
        <w:rPr>
          <w:rFonts w:hAnsi="宋体"/>
          <w:szCs w:val="24"/>
        </w:rPr>
        <w:t>20</w:t>
      </w:r>
      <w:r>
        <w:rPr>
          <w:rFonts w:hint="eastAsia" w:hAnsi="宋体"/>
          <w:szCs w:val="24"/>
        </w:rPr>
        <w:t xml:space="preserve">20年 </w:t>
      </w:r>
      <w:r>
        <w:rPr>
          <w:rFonts w:hint="eastAsia" w:hAnsi="宋体"/>
          <w:szCs w:val="24"/>
          <w:lang w:val="en-US" w:eastAsia="zh-CN"/>
        </w:rPr>
        <w:t>7</w:t>
      </w:r>
      <w:r>
        <w:rPr>
          <w:rFonts w:hint="eastAsia" w:hAnsi="宋体"/>
          <w:szCs w:val="24"/>
        </w:rPr>
        <w:t xml:space="preserve">月 </w:t>
      </w:r>
      <w:r>
        <w:rPr>
          <w:rFonts w:hint="eastAsia" w:hAnsi="宋体"/>
          <w:szCs w:val="24"/>
          <w:lang w:val="en-US" w:eastAsia="zh-CN"/>
        </w:rPr>
        <w:t>28</w:t>
      </w:r>
      <w:r>
        <w:rPr>
          <w:rFonts w:hint="eastAsia" w:hAnsi="宋体"/>
          <w:szCs w:val="24"/>
        </w:rPr>
        <w:t>日至</w:t>
      </w:r>
      <w:r>
        <w:rPr>
          <w:rFonts w:hAnsi="宋体"/>
          <w:szCs w:val="24"/>
        </w:rPr>
        <w:t>20</w:t>
      </w:r>
      <w:r>
        <w:rPr>
          <w:rFonts w:hint="eastAsia" w:hAnsi="宋体"/>
          <w:szCs w:val="24"/>
        </w:rPr>
        <w:t>20年</w:t>
      </w:r>
      <w:r>
        <w:rPr>
          <w:rFonts w:hint="eastAsia" w:hAnsi="宋体"/>
          <w:szCs w:val="24"/>
          <w:lang w:val="en-US" w:eastAsia="zh-CN"/>
        </w:rPr>
        <w:t>8</w:t>
      </w:r>
      <w:r>
        <w:rPr>
          <w:rFonts w:hint="eastAsia" w:hAnsi="宋体"/>
          <w:szCs w:val="24"/>
        </w:rPr>
        <w:t xml:space="preserve"> 月 </w:t>
      </w:r>
      <w:r>
        <w:rPr>
          <w:rFonts w:hint="eastAsia" w:hAnsi="宋体"/>
          <w:szCs w:val="24"/>
          <w:lang w:val="en-US" w:eastAsia="zh-CN"/>
        </w:rPr>
        <w:t>4</w:t>
      </w:r>
      <w:r>
        <w:rPr>
          <w:rFonts w:hint="eastAsia" w:hAnsi="宋体"/>
          <w:szCs w:val="24"/>
        </w:rPr>
        <w:t>日</w:t>
      </w:r>
      <w:r>
        <w:rPr>
          <w:rFonts w:hAnsi="宋体"/>
          <w:szCs w:val="24"/>
        </w:rPr>
        <w:t>9</w:t>
      </w:r>
      <w:r>
        <w:rPr>
          <w:rFonts w:hint="eastAsia" w:hAnsi="宋体"/>
          <w:szCs w:val="24"/>
        </w:rPr>
        <w:t>：</w:t>
      </w:r>
      <w:r>
        <w:rPr>
          <w:rFonts w:hAnsi="宋体"/>
          <w:szCs w:val="24"/>
        </w:rPr>
        <w:t>00-1</w:t>
      </w:r>
      <w:r>
        <w:rPr>
          <w:rFonts w:hint="eastAsia" w:hAnsi="宋体"/>
          <w:szCs w:val="24"/>
        </w:rPr>
        <w:t>6：</w:t>
      </w:r>
      <w:r>
        <w:rPr>
          <w:rFonts w:hAnsi="宋体"/>
          <w:szCs w:val="24"/>
        </w:rPr>
        <w:t>00</w:t>
      </w:r>
      <w:r>
        <w:rPr>
          <w:rFonts w:hint="eastAsia" w:hAnsi="宋体"/>
          <w:szCs w:val="24"/>
        </w:rPr>
        <w:t>（北京时间，节假日除外）；</w:t>
      </w:r>
    </w:p>
    <w:p>
      <w:pPr>
        <w:pStyle w:val="13"/>
        <w:wordWrap w:val="0"/>
        <w:spacing w:beforeAutospacing="0" w:afterAutospacing="0" w:line="240" w:lineRule="auto"/>
        <w:ind w:firstLine="480"/>
        <w:rPr>
          <w:rFonts w:hAnsi="宋体" w:cs="Arial"/>
          <w:szCs w:val="24"/>
        </w:rPr>
      </w:pPr>
      <w:r>
        <w:rPr>
          <w:rFonts w:hAnsi="宋体" w:cs="Arial"/>
          <w:szCs w:val="24"/>
        </w:rPr>
        <w:t>2</w:t>
      </w:r>
      <w:r>
        <w:rPr>
          <w:rFonts w:hint="eastAsia" w:hAnsi="宋体" w:cs="Arial"/>
          <w:szCs w:val="24"/>
        </w:rPr>
        <w:t>、招标文件获取地址：在海南政鼎招标代理有限公司购买。</w:t>
      </w:r>
    </w:p>
    <w:p>
      <w:pPr>
        <w:shd w:val="clear" w:color="auto" w:fill="FFFFFF"/>
        <w:snapToGrid w:val="0"/>
        <w:spacing w:line="240" w:lineRule="auto"/>
        <w:ind w:firstLine="480"/>
        <w:rPr>
          <w:rFonts w:ascii="仿宋_GB2312" w:hAnsi="仿宋_GB2312" w:eastAsia="仿宋_GB2312" w:cs="仿宋_GB2312"/>
          <w:bCs/>
          <w:szCs w:val="24"/>
        </w:rPr>
      </w:pPr>
      <w:r>
        <w:rPr>
          <w:rFonts w:hAnsi="宋体" w:cs="Arial"/>
          <w:szCs w:val="24"/>
        </w:rPr>
        <w:t>3</w:t>
      </w:r>
      <w:r>
        <w:rPr>
          <w:rFonts w:hint="eastAsia" w:hAnsi="宋体" w:cs="Arial"/>
          <w:szCs w:val="24"/>
        </w:rPr>
        <w:t>、招标</w:t>
      </w:r>
      <w:bookmarkStart w:id="10" w:name="OLE_LINK1"/>
      <w:r>
        <w:rPr>
          <w:rFonts w:hint="eastAsia" w:hAnsi="宋体" w:cs="Arial"/>
          <w:szCs w:val="24"/>
        </w:rPr>
        <w:t>文件售价</w:t>
      </w:r>
      <w:bookmarkEnd w:id="10"/>
      <w:r>
        <w:rPr>
          <w:rFonts w:hint="eastAsia" w:hAnsi="宋体" w:cs="Arial"/>
          <w:szCs w:val="24"/>
        </w:rPr>
        <w:t>：</w:t>
      </w:r>
      <w:r>
        <w:rPr>
          <w:rFonts w:hAnsi="宋体" w:cs="Arial"/>
          <w:szCs w:val="24"/>
        </w:rPr>
        <w:t>¥</w:t>
      </w:r>
      <w:r>
        <w:rPr>
          <w:rFonts w:hint="eastAsia" w:hAnsi="宋体" w:cs="Arial"/>
          <w:szCs w:val="24"/>
        </w:rPr>
        <w:t>100元</w:t>
      </w:r>
      <w:r>
        <w:rPr>
          <w:rFonts w:hAnsi="宋体" w:cs="Arial"/>
          <w:szCs w:val="24"/>
        </w:rPr>
        <w:t>/</w:t>
      </w:r>
      <w:r>
        <w:rPr>
          <w:rFonts w:hint="eastAsia" w:hAnsi="宋体" w:cs="Arial"/>
          <w:szCs w:val="24"/>
        </w:rPr>
        <w:t>本（采购文件售后不退, 投标资格不能转让）。</w:t>
      </w:r>
    </w:p>
    <w:p>
      <w:pPr>
        <w:adjustRightInd w:val="0"/>
        <w:snapToGrid w:val="0"/>
        <w:spacing w:line="240" w:lineRule="auto"/>
        <w:ind w:firstLine="0" w:firstLineChars="0"/>
        <w:rPr>
          <w:rFonts w:hAnsi="宋体"/>
          <w:szCs w:val="24"/>
        </w:rPr>
      </w:pPr>
      <w:r>
        <w:rPr>
          <w:rFonts w:hint="eastAsia" w:hAnsi="宋体"/>
          <w:szCs w:val="24"/>
        </w:rPr>
        <w:t>投标保证金为：</w:t>
      </w:r>
      <w:bookmarkStart w:id="11" w:name="OLE_LINK25"/>
      <w:r>
        <w:rPr>
          <w:rFonts w:hint="eastAsia" w:hAnsi="宋体"/>
          <w:szCs w:val="24"/>
        </w:rPr>
        <w:t>A包：</w:t>
      </w:r>
      <w:r>
        <w:rPr>
          <w:rFonts w:hint="eastAsia" w:hAnsi="宋体" w:cs="Arial"/>
          <w:szCs w:val="24"/>
        </w:rPr>
        <w:t xml:space="preserve">¥ </w:t>
      </w:r>
      <w:r>
        <w:rPr>
          <w:rFonts w:hint="eastAsia" w:hAnsi="宋体" w:cs="Arial"/>
          <w:szCs w:val="24"/>
          <w:lang w:val="en-US" w:eastAsia="zh-CN"/>
        </w:rPr>
        <w:t>15000</w:t>
      </w:r>
      <w:r>
        <w:rPr>
          <w:rFonts w:hint="eastAsia" w:hAnsi="宋体" w:cs="Arial"/>
          <w:szCs w:val="24"/>
        </w:rPr>
        <w:t>.00</w:t>
      </w:r>
      <w:r>
        <w:rPr>
          <w:rFonts w:hAnsi="宋体"/>
          <w:szCs w:val="24"/>
        </w:rPr>
        <w:t>元</w:t>
      </w:r>
      <w:bookmarkEnd w:id="11"/>
      <w:r>
        <w:rPr>
          <w:rFonts w:hint="eastAsia" w:hAnsi="宋体"/>
          <w:szCs w:val="24"/>
        </w:rPr>
        <w:t>；B包：</w:t>
      </w:r>
      <w:r>
        <w:rPr>
          <w:rFonts w:hint="eastAsia" w:hAnsi="宋体" w:cs="Arial"/>
          <w:szCs w:val="24"/>
        </w:rPr>
        <w:t xml:space="preserve">¥ </w:t>
      </w:r>
      <w:r>
        <w:rPr>
          <w:rFonts w:hint="eastAsia" w:hAnsi="宋体" w:cs="Arial"/>
          <w:szCs w:val="24"/>
          <w:lang w:val="en-US" w:eastAsia="zh-CN"/>
        </w:rPr>
        <w:t>10</w:t>
      </w:r>
      <w:r>
        <w:rPr>
          <w:rFonts w:hint="eastAsia" w:hAnsi="宋体" w:cs="Arial"/>
          <w:szCs w:val="24"/>
        </w:rPr>
        <w:t>000.00</w:t>
      </w:r>
      <w:r>
        <w:rPr>
          <w:rFonts w:hAnsi="宋体"/>
          <w:szCs w:val="24"/>
        </w:rPr>
        <w:t>元</w:t>
      </w:r>
      <w:r>
        <w:rPr>
          <w:rFonts w:hint="eastAsia" w:hAnsi="宋体"/>
          <w:szCs w:val="24"/>
        </w:rPr>
        <w:t>。</w:t>
      </w:r>
    </w:p>
    <w:p>
      <w:pPr>
        <w:shd w:val="clear" w:color="auto" w:fill="FFFFFF"/>
        <w:snapToGrid w:val="0"/>
        <w:spacing w:line="240" w:lineRule="auto"/>
        <w:ind w:firstLine="480"/>
        <w:rPr>
          <w:rFonts w:hAnsi="宋体" w:cs="Arial"/>
          <w:szCs w:val="24"/>
        </w:rPr>
      </w:pPr>
      <w:r>
        <w:rPr>
          <w:rFonts w:hint="eastAsia" w:hAnsi="宋体" w:cs="Arial"/>
          <w:szCs w:val="24"/>
        </w:rPr>
        <w:t>购买招标文件时须提供（留复印件加盖公章，原件备验）：</w:t>
      </w:r>
    </w:p>
    <w:p>
      <w:pPr>
        <w:pStyle w:val="13"/>
        <w:shd w:val="clear" w:color="auto" w:fill="FFFFFF"/>
        <w:wordWrap w:val="0"/>
        <w:spacing w:beforeAutospacing="0" w:afterAutospacing="0" w:line="240" w:lineRule="auto"/>
        <w:ind w:firstLine="480"/>
        <w:rPr>
          <w:rFonts w:hAnsi="宋体" w:cs="Arial"/>
          <w:szCs w:val="24"/>
        </w:rPr>
      </w:pPr>
      <w:r>
        <w:rPr>
          <w:rFonts w:hint="eastAsia" w:hAnsi="宋体" w:cs="Arial"/>
          <w:szCs w:val="24"/>
        </w:rPr>
        <w:t>（1）经年审合格的营业执照、 组织机构代码证；</w:t>
      </w:r>
    </w:p>
    <w:p>
      <w:pPr>
        <w:pStyle w:val="13"/>
        <w:shd w:val="clear" w:color="auto" w:fill="FFFFFF"/>
        <w:wordWrap w:val="0"/>
        <w:spacing w:beforeAutospacing="0" w:afterAutospacing="0" w:line="240" w:lineRule="auto"/>
        <w:ind w:firstLine="480"/>
        <w:rPr>
          <w:rFonts w:hAnsi="宋体" w:cs="Arial"/>
          <w:szCs w:val="24"/>
        </w:rPr>
      </w:pPr>
      <w:r>
        <w:rPr>
          <w:rFonts w:hint="eastAsia" w:hAnsi="宋体" w:cs="Arial"/>
          <w:szCs w:val="24"/>
        </w:rPr>
        <w:t>（2）法人代表授权委托书原件及法人代表身份证、授权代表须提供现公司社保证明材料及身份证原件；</w:t>
      </w:r>
    </w:p>
    <w:p>
      <w:pPr>
        <w:pStyle w:val="13"/>
        <w:shd w:val="clear" w:color="auto" w:fill="FFFFFF"/>
        <w:wordWrap w:val="0"/>
        <w:spacing w:beforeAutospacing="0" w:afterAutospacing="0" w:line="240" w:lineRule="auto"/>
        <w:ind w:firstLine="480"/>
        <w:rPr>
          <w:rFonts w:hAnsi="宋体" w:cs="Arial"/>
          <w:szCs w:val="24"/>
        </w:rPr>
      </w:pPr>
      <w:r>
        <w:rPr>
          <w:rFonts w:hint="eastAsia" w:hAnsi="宋体" w:cs="Arial"/>
          <w:szCs w:val="24"/>
        </w:rPr>
        <w:t>（3）投标人资格要求的相关证明材料。</w:t>
      </w:r>
    </w:p>
    <w:p>
      <w:pPr>
        <w:tabs>
          <w:tab w:val="left" w:pos="4680"/>
        </w:tabs>
        <w:snapToGrid w:val="0"/>
        <w:spacing w:line="240" w:lineRule="auto"/>
        <w:ind w:firstLine="480"/>
        <w:rPr>
          <w:rFonts w:hAnsi="宋体" w:cs="Arial"/>
          <w:szCs w:val="24"/>
        </w:rPr>
      </w:pPr>
      <w:r>
        <w:rPr>
          <w:rFonts w:hAnsi="宋体" w:cs="Arial"/>
          <w:szCs w:val="24"/>
        </w:rPr>
        <w:t>4</w:t>
      </w:r>
      <w:r>
        <w:rPr>
          <w:rFonts w:hint="eastAsia" w:hAnsi="宋体" w:cs="Arial"/>
          <w:szCs w:val="24"/>
        </w:rPr>
        <w:t>、投标人提问截止时间：</w:t>
      </w:r>
      <w:r>
        <w:rPr>
          <w:rFonts w:hAnsi="宋体" w:cs="Arial"/>
          <w:szCs w:val="24"/>
        </w:rPr>
        <w:t>20</w:t>
      </w:r>
      <w:r>
        <w:rPr>
          <w:rFonts w:hint="eastAsia" w:hAnsi="宋体" w:cs="Arial"/>
          <w:szCs w:val="24"/>
        </w:rPr>
        <w:t xml:space="preserve">20年 </w:t>
      </w:r>
      <w:r>
        <w:rPr>
          <w:rFonts w:hint="eastAsia" w:hAnsi="宋体" w:cs="Arial"/>
          <w:szCs w:val="24"/>
          <w:lang w:val="en-US" w:eastAsia="zh-CN"/>
        </w:rPr>
        <w:t>8</w:t>
      </w:r>
      <w:r>
        <w:rPr>
          <w:rFonts w:hint="eastAsia" w:hAnsi="宋体" w:cs="Arial"/>
          <w:szCs w:val="24"/>
        </w:rPr>
        <w:t>月</w:t>
      </w:r>
      <w:r>
        <w:rPr>
          <w:rFonts w:hint="eastAsia" w:hAnsi="宋体" w:cs="Arial"/>
          <w:szCs w:val="24"/>
          <w:lang w:val="en-US" w:eastAsia="zh-CN"/>
        </w:rPr>
        <w:t>5</w:t>
      </w:r>
      <w:r>
        <w:rPr>
          <w:rFonts w:hint="eastAsia" w:hAnsi="宋体" w:cs="Arial"/>
          <w:szCs w:val="24"/>
        </w:rPr>
        <w:t xml:space="preserve"> 日</w:t>
      </w:r>
      <w:r>
        <w:rPr>
          <w:rFonts w:hAnsi="宋体" w:cs="Arial"/>
          <w:szCs w:val="24"/>
        </w:rPr>
        <w:t>1</w:t>
      </w:r>
      <w:r>
        <w:rPr>
          <w:rFonts w:hint="eastAsia" w:hAnsi="宋体" w:cs="Arial"/>
          <w:szCs w:val="24"/>
        </w:rPr>
        <w:t>6</w:t>
      </w:r>
      <w:r>
        <w:rPr>
          <w:rFonts w:hAnsi="宋体" w:cs="Arial"/>
          <w:szCs w:val="24"/>
        </w:rPr>
        <w:t>:00:00</w:t>
      </w:r>
      <w:r>
        <w:rPr>
          <w:rFonts w:hint="eastAsia" w:hAnsi="宋体" w:cs="Arial"/>
          <w:szCs w:val="24"/>
        </w:rPr>
        <w:t>（北京时间）。</w:t>
      </w:r>
    </w:p>
    <w:p>
      <w:pPr>
        <w:pStyle w:val="13"/>
        <w:wordWrap w:val="0"/>
        <w:spacing w:beforeAutospacing="0" w:afterAutospacing="0" w:line="240" w:lineRule="auto"/>
        <w:ind w:firstLine="480"/>
        <w:rPr>
          <w:rStyle w:val="18"/>
          <w:rFonts w:hAnsi="宋体"/>
          <w:color w:val="auto"/>
          <w:sz w:val="21"/>
          <w:szCs w:val="24"/>
        </w:rPr>
      </w:pPr>
      <w:r>
        <w:rPr>
          <w:rFonts w:hAnsi="宋体" w:cs="Arial"/>
          <w:szCs w:val="24"/>
        </w:rPr>
        <w:t>5</w:t>
      </w:r>
      <w:r>
        <w:rPr>
          <w:rFonts w:hint="eastAsia" w:hAnsi="宋体" w:cs="Arial"/>
          <w:szCs w:val="24"/>
        </w:rPr>
        <w:t>、投标</w:t>
      </w:r>
      <w:r>
        <w:rPr>
          <w:rFonts w:hint="eastAsia" w:hAnsi="宋体"/>
          <w:szCs w:val="24"/>
        </w:rPr>
        <w:t>保证金到账截止日期：</w:t>
      </w:r>
      <w:r>
        <w:rPr>
          <w:rStyle w:val="36"/>
          <w:rFonts w:hAnsi="宋体"/>
          <w:szCs w:val="24"/>
        </w:rPr>
        <w:t>20</w:t>
      </w:r>
      <w:r>
        <w:rPr>
          <w:rStyle w:val="36"/>
          <w:rFonts w:hint="eastAsia" w:hAnsi="宋体"/>
          <w:szCs w:val="24"/>
        </w:rPr>
        <w:t xml:space="preserve">20年 </w:t>
      </w:r>
      <w:r>
        <w:rPr>
          <w:rStyle w:val="36"/>
          <w:rFonts w:hint="eastAsia" w:hAnsi="宋体"/>
          <w:szCs w:val="24"/>
          <w:lang w:val="en-US" w:eastAsia="zh-CN"/>
        </w:rPr>
        <w:t>8</w:t>
      </w:r>
      <w:r>
        <w:rPr>
          <w:rStyle w:val="36"/>
          <w:rFonts w:hint="eastAsia" w:hAnsi="宋体"/>
          <w:szCs w:val="24"/>
        </w:rPr>
        <w:t xml:space="preserve">月 </w:t>
      </w:r>
      <w:r>
        <w:rPr>
          <w:rStyle w:val="36"/>
          <w:rFonts w:hint="eastAsia" w:hAnsi="宋体"/>
          <w:szCs w:val="24"/>
          <w:lang w:val="en-US" w:eastAsia="zh-CN"/>
        </w:rPr>
        <w:t>18</w:t>
      </w:r>
      <w:r>
        <w:rPr>
          <w:rStyle w:val="36"/>
          <w:rFonts w:hint="eastAsia" w:hAnsi="宋体"/>
          <w:szCs w:val="24"/>
        </w:rPr>
        <w:t xml:space="preserve"> 日 8</w:t>
      </w:r>
      <w:r>
        <w:rPr>
          <w:rFonts w:hint="eastAsia" w:hAnsi="宋体" w:cs="Arial"/>
          <w:szCs w:val="24"/>
        </w:rPr>
        <w:t>：</w:t>
      </w:r>
      <w:r>
        <w:rPr>
          <w:rFonts w:hAnsi="宋体" w:cs="Arial"/>
          <w:szCs w:val="24"/>
        </w:rPr>
        <w:t>30</w:t>
      </w:r>
      <w:r>
        <w:rPr>
          <w:rStyle w:val="36"/>
          <w:rFonts w:hAnsi="宋体"/>
          <w:szCs w:val="24"/>
        </w:rPr>
        <w:t>:00</w:t>
      </w:r>
      <w:r>
        <w:rPr>
          <w:rStyle w:val="36"/>
          <w:rFonts w:hint="eastAsia" w:hAnsi="宋体"/>
          <w:szCs w:val="24"/>
        </w:rPr>
        <w:t>前</w:t>
      </w:r>
      <w:r>
        <w:rPr>
          <w:rFonts w:hint="eastAsia" w:hAnsi="宋体"/>
          <w:szCs w:val="24"/>
        </w:rPr>
        <w:t>（北京时间），</w:t>
      </w:r>
    </w:p>
    <w:p>
      <w:pPr>
        <w:shd w:val="clear" w:color="auto" w:fill="FFFFFF"/>
        <w:snapToGrid w:val="0"/>
        <w:spacing w:line="240" w:lineRule="auto"/>
        <w:ind w:firstLine="960" w:firstLineChars="400"/>
        <w:rPr>
          <w:rFonts w:hAnsi="宋体" w:cs="Arial"/>
          <w:szCs w:val="24"/>
        </w:rPr>
      </w:pPr>
      <w:r>
        <w:rPr>
          <w:rFonts w:hint="eastAsia" w:hAnsi="宋体" w:cs="Arial"/>
          <w:szCs w:val="24"/>
        </w:rPr>
        <w:t>交款方式：银行转账或现金支付</w:t>
      </w:r>
    </w:p>
    <w:p>
      <w:pPr>
        <w:shd w:val="clear" w:color="auto" w:fill="FFFFFF"/>
        <w:snapToGrid w:val="0"/>
        <w:spacing w:line="240" w:lineRule="auto"/>
        <w:ind w:firstLine="480"/>
        <w:rPr>
          <w:rFonts w:hAnsi="宋体" w:cs="Arial"/>
          <w:szCs w:val="24"/>
        </w:rPr>
      </w:pPr>
      <w:r>
        <w:rPr>
          <w:rFonts w:hint="eastAsia" w:hAnsi="宋体" w:cs="Arial"/>
          <w:szCs w:val="24"/>
        </w:rPr>
        <w:t>〔1〕收款单位：</w:t>
      </w:r>
      <w:bookmarkStart w:id="12" w:name="OLE_LINK5"/>
      <w:r>
        <w:rPr>
          <w:rFonts w:hint="eastAsia" w:hAnsi="宋体" w:cs="Arial"/>
          <w:szCs w:val="24"/>
        </w:rPr>
        <w:t>海南政鼎招标代理有限公司</w:t>
      </w:r>
      <w:bookmarkEnd w:id="12"/>
      <w:r>
        <w:rPr>
          <w:rFonts w:hint="eastAsia" w:hAnsi="宋体" w:cs="Arial"/>
          <w:szCs w:val="24"/>
        </w:rPr>
        <w:t xml:space="preserve">；       </w:t>
      </w:r>
    </w:p>
    <w:p>
      <w:pPr>
        <w:shd w:val="clear" w:color="auto" w:fill="FFFFFF"/>
        <w:snapToGrid w:val="0"/>
        <w:spacing w:line="240" w:lineRule="auto"/>
        <w:ind w:firstLine="480"/>
        <w:rPr>
          <w:rFonts w:hAnsi="宋体" w:cs="Arial"/>
          <w:szCs w:val="24"/>
        </w:rPr>
      </w:pPr>
      <w:r>
        <w:rPr>
          <w:rFonts w:hint="eastAsia" w:hAnsi="宋体" w:cs="Arial"/>
          <w:szCs w:val="24"/>
        </w:rPr>
        <w:t xml:space="preserve">〔2〕开户行：中国建设银行海口金盘支行； </w:t>
      </w:r>
    </w:p>
    <w:p>
      <w:pPr>
        <w:shd w:val="clear" w:color="auto" w:fill="FFFFFF"/>
        <w:snapToGrid w:val="0"/>
        <w:spacing w:line="240" w:lineRule="auto"/>
        <w:ind w:firstLine="480"/>
        <w:rPr>
          <w:rFonts w:hAnsi="宋体" w:cs="Arial"/>
          <w:szCs w:val="24"/>
        </w:rPr>
      </w:pPr>
      <w:r>
        <w:rPr>
          <w:rFonts w:hint="eastAsia" w:hAnsi="宋体" w:cs="Arial"/>
          <w:szCs w:val="24"/>
        </w:rPr>
        <w:t>〔3〕银行账号：46001002336053009608</w:t>
      </w:r>
    </w:p>
    <w:p>
      <w:pPr>
        <w:tabs>
          <w:tab w:val="left" w:pos="4680"/>
        </w:tabs>
        <w:snapToGrid w:val="0"/>
        <w:ind w:firstLine="321" w:firstLineChars="100"/>
        <w:rPr>
          <w:rFonts w:hAnsi="宋体" w:cs="Tahoma"/>
          <w:b/>
          <w:sz w:val="32"/>
          <w:szCs w:val="32"/>
        </w:rPr>
      </w:pPr>
      <w:r>
        <w:rPr>
          <w:rFonts w:hint="eastAsia" w:hAnsi="宋体" w:cs="Tahoma"/>
          <w:b/>
          <w:sz w:val="32"/>
          <w:szCs w:val="32"/>
        </w:rPr>
        <w:t>四、投标截止时间、开标时间及地点</w:t>
      </w:r>
    </w:p>
    <w:p>
      <w:pPr>
        <w:adjustRightInd w:val="0"/>
        <w:snapToGrid w:val="0"/>
        <w:spacing w:line="240" w:lineRule="auto"/>
        <w:ind w:firstLine="720" w:firstLineChars="300"/>
        <w:rPr>
          <w:rFonts w:hAnsi="宋体" w:cs="Arial"/>
          <w:szCs w:val="24"/>
        </w:rPr>
      </w:pPr>
      <w:r>
        <w:rPr>
          <w:rFonts w:hAnsi="宋体" w:cs="Arial"/>
          <w:szCs w:val="24"/>
        </w:rPr>
        <w:t>1</w:t>
      </w:r>
      <w:r>
        <w:rPr>
          <w:rFonts w:hint="eastAsia" w:hAnsi="宋体" w:cs="Arial"/>
          <w:szCs w:val="24"/>
        </w:rPr>
        <w:t>、递交投标文件截止时间：</w:t>
      </w:r>
      <w:r>
        <w:rPr>
          <w:rFonts w:hAnsi="宋体" w:cs="Arial"/>
          <w:szCs w:val="24"/>
        </w:rPr>
        <w:t>20</w:t>
      </w:r>
      <w:r>
        <w:rPr>
          <w:rFonts w:hint="eastAsia" w:hAnsi="宋体" w:cs="Arial"/>
          <w:szCs w:val="24"/>
        </w:rPr>
        <w:t xml:space="preserve">20年 </w:t>
      </w:r>
      <w:r>
        <w:rPr>
          <w:rFonts w:hint="eastAsia" w:hAnsi="宋体" w:cs="Arial"/>
          <w:szCs w:val="24"/>
          <w:lang w:val="en-US" w:eastAsia="zh-CN"/>
        </w:rPr>
        <w:t>8</w:t>
      </w:r>
      <w:r>
        <w:rPr>
          <w:rFonts w:hint="eastAsia" w:hAnsi="宋体" w:cs="Arial"/>
          <w:szCs w:val="24"/>
        </w:rPr>
        <w:t xml:space="preserve">月 </w:t>
      </w:r>
      <w:r>
        <w:rPr>
          <w:rFonts w:hint="eastAsia" w:hAnsi="宋体" w:cs="Arial"/>
          <w:szCs w:val="24"/>
          <w:lang w:val="en-US" w:eastAsia="zh-CN"/>
        </w:rPr>
        <w:t>18</w:t>
      </w:r>
      <w:r>
        <w:rPr>
          <w:rFonts w:hint="eastAsia" w:hAnsi="宋体" w:cs="Arial"/>
          <w:szCs w:val="24"/>
        </w:rPr>
        <w:t xml:space="preserve"> 日上午 8 ：3</w:t>
      </w:r>
      <w:r>
        <w:rPr>
          <w:rFonts w:hAnsi="宋体" w:cs="Arial"/>
          <w:szCs w:val="24"/>
        </w:rPr>
        <w:t>0</w:t>
      </w:r>
      <w:r>
        <w:rPr>
          <w:rFonts w:hint="eastAsia" w:hAnsi="宋体" w:cs="Arial"/>
          <w:szCs w:val="24"/>
        </w:rPr>
        <w:t>（北京时间）；</w:t>
      </w:r>
    </w:p>
    <w:p>
      <w:pPr>
        <w:adjustRightInd w:val="0"/>
        <w:snapToGrid w:val="0"/>
        <w:spacing w:line="240" w:lineRule="auto"/>
        <w:ind w:firstLine="720" w:firstLineChars="300"/>
        <w:rPr>
          <w:rFonts w:hAnsi="宋体" w:cs="Arial"/>
          <w:szCs w:val="24"/>
        </w:rPr>
      </w:pPr>
      <w:r>
        <w:rPr>
          <w:rFonts w:hAnsi="宋体" w:cs="Arial"/>
          <w:szCs w:val="24"/>
        </w:rPr>
        <w:t>2</w:t>
      </w:r>
      <w:r>
        <w:rPr>
          <w:rFonts w:hint="eastAsia" w:hAnsi="宋体" w:cs="Arial"/>
          <w:szCs w:val="24"/>
        </w:rPr>
        <w:t>、开标时间：</w:t>
      </w:r>
      <w:r>
        <w:rPr>
          <w:rFonts w:hAnsi="宋体" w:cs="Arial"/>
          <w:szCs w:val="24"/>
        </w:rPr>
        <w:t>20</w:t>
      </w:r>
      <w:r>
        <w:rPr>
          <w:rFonts w:hint="eastAsia" w:hAnsi="宋体" w:cs="Arial"/>
          <w:szCs w:val="24"/>
        </w:rPr>
        <w:t xml:space="preserve">20年 </w:t>
      </w:r>
      <w:r>
        <w:rPr>
          <w:rFonts w:hint="eastAsia" w:hAnsi="宋体" w:cs="Arial"/>
          <w:szCs w:val="24"/>
          <w:lang w:val="en-US" w:eastAsia="zh-CN"/>
        </w:rPr>
        <w:t>8</w:t>
      </w:r>
      <w:r>
        <w:rPr>
          <w:rFonts w:hint="eastAsia" w:hAnsi="宋体" w:cs="Arial"/>
          <w:szCs w:val="24"/>
        </w:rPr>
        <w:t xml:space="preserve">月 </w:t>
      </w:r>
      <w:r>
        <w:rPr>
          <w:rFonts w:hint="eastAsia" w:hAnsi="宋体" w:cs="Arial"/>
          <w:szCs w:val="24"/>
          <w:lang w:val="en-US" w:eastAsia="zh-CN"/>
        </w:rPr>
        <w:t>18</w:t>
      </w:r>
      <w:bookmarkStart w:id="71" w:name="_GoBack"/>
      <w:bookmarkEnd w:id="71"/>
      <w:r>
        <w:rPr>
          <w:rFonts w:hint="eastAsia" w:hAnsi="宋体" w:cs="Arial"/>
          <w:szCs w:val="24"/>
        </w:rPr>
        <w:t>日上午8：3</w:t>
      </w:r>
      <w:r>
        <w:rPr>
          <w:rFonts w:hAnsi="宋体" w:cs="Arial"/>
          <w:szCs w:val="24"/>
        </w:rPr>
        <w:t>0</w:t>
      </w:r>
      <w:r>
        <w:rPr>
          <w:rFonts w:hint="eastAsia" w:hAnsi="宋体" w:cs="Arial"/>
          <w:szCs w:val="24"/>
        </w:rPr>
        <w:t>（北京时间）；</w:t>
      </w:r>
    </w:p>
    <w:p>
      <w:pPr>
        <w:spacing w:line="240" w:lineRule="auto"/>
        <w:ind w:firstLine="720" w:firstLineChars="300"/>
        <w:rPr>
          <w:rFonts w:hAnsi="宋体"/>
          <w:bCs/>
          <w:spacing w:val="10"/>
          <w:szCs w:val="24"/>
        </w:rPr>
      </w:pPr>
      <w:r>
        <w:rPr>
          <w:rFonts w:hAnsi="宋体" w:cs="Arial"/>
          <w:szCs w:val="24"/>
        </w:rPr>
        <w:t>3</w:t>
      </w:r>
      <w:r>
        <w:rPr>
          <w:rFonts w:hint="eastAsia" w:hAnsi="宋体" w:cs="Arial"/>
          <w:szCs w:val="24"/>
        </w:rPr>
        <w:t>、开标地点：</w:t>
      </w:r>
      <w:bookmarkStart w:id="13" w:name="OLE_LINK3"/>
      <w:r>
        <w:rPr>
          <w:rFonts w:hint="eastAsia" w:hAnsi="宋体" w:cs="Arial"/>
          <w:szCs w:val="24"/>
        </w:rPr>
        <w:t>海南政鼎招标代理有限公司开标室</w:t>
      </w:r>
      <w:r>
        <w:rPr>
          <w:rFonts w:hint="eastAsia" w:hAnsi="宋体"/>
          <w:bCs/>
          <w:spacing w:val="10"/>
          <w:szCs w:val="24"/>
        </w:rPr>
        <w:t>。</w:t>
      </w:r>
      <w:bookmarkEnd w:id="13"/>
    </w:p>
    <w:p>
      <w:pPr>
        <w:spacing w:line="240" w:lineRule="auto"/>
        <w:ind w:firstLine="1440" w:firstLineChars="600"/>
        <w:rPr>
          <w:rFonts w:hAnsi="宋体" w:cs="Arial"/>
          <w:szCs w:val="24"/>
        </w:rPr>
      </w:pPr>
      <w:r>
        <w:rPr>
          <w:rFonts w:hint="eastAsia" w:hAnsi="宋体"/>
          <w:szCs w:val="24"/>
        </w:rPr>
        <w:t>地 址：</w:t>
      </w:r>
      <w:r>
        <w:rPr>
          <w:rFonts w:hint="eastAsia" w:hAnsi="宋体" w:cs="宋体"/>
        </w:rPr>
        <w:t>海口市大英山西二街</w:t>
      </w:r>
      <w:r>
        <w:rPr>
          <w:rFonts w:hAnsi="宋体" w:cs="宋体"/>
        </w:rPr>
        <w:t>2</w:t>
      </w:r>
      <w:r>
        <w:rPr>
          <w:rFonts w:hint="eastAsia" w:hAnsi="宋体" w:cs="宋体"/>
        </w:rPr>
        <w:t>号</w:t>
      </w:r>
      <w:r>
        <w:rPr>
          <w:rFonts w:hAnsi="宋体" w:cs="宋体"/>
        </w:rPr>
        <w:t>1801</w:t>
      </w:r>
      <w:r>
        <w:rPr>
          <w:rFonts w:hint="eastAsia" w:hAnsi="宋体"/>
          <w:bCs/>
          <w:spacing w:val="10"/>
          <w:szCs w:val="24"/>
        </w:rPr>
        <w:t>。</w:t>
      </w:r>
    </w:p>
    <w:p>
      <w:pPr>
        <w:pStyle w:val="32"/>
        <w:ind w:left="240" w:leftChars="100" w:firstLine="0" w:firstLineChars="0"/>
        <w:rPr>
          <w:rFonts w:ascii="宋体" w:hAnsi="宋体" w:cs="Arial"/>
          <w:szCs w:val="24"/>
        </w:rPr>
      </w:pPr>
      <w:r>
        <w:rPr>
          <w:rFonts w:hint="eastAsia" w:ascii="宋体" w:hAnsi="宋体" w:cs="Tahoma"/>
          <w:b/>
          <w:sz w:val="32"/>
          <w:szCs w:val="32"/>
        </w:rPr>
        <w:t>五、</w:t>
      </w:r>
      <w:r>
        <w:rPr>
          <w:rFonts w:hint="eastAsia" w:ascii="宋体" w:hAnsi="宋体" w:cs="Arial"/>
          <w:szCs w:val="24"/>
        </w:rPr>
        <w:t>本投标邀请在海南政府采购网或中国招标与采购网上以公告形式发布。</w:t>
      </w:r>
      <w:bookmarkStart w:id="14" w:name="OLE_LINK10"/>
    </w:p>
    <w:p>
      <w:pPr>
        <w:pStyle w:val="32"/>
        <w:ind w:left="240" w:leftChars="100" w:firstLine="0" w:firstLineChars="0"/>
        <w:rPr>
          <w:rFonts w:hAnsi="宋体"/>
          <w:b/>
          <w:sz w:val="32"/>
          <w:szCs w:val="32"/>
        </w:rPr>
      </w:pPr>
      <w:bookmarkStart w:id="15" w:name="OLE_LINK11"/>
      <w:r>
        <w:rPr>
          <w:rFonts w:hint="eastAsia" w:hAnsi="宋体"/>
          <w:b/>
          <w:sz w:val="32"/>
          <w:szCs w:val="32"/>
        </w:rPr>
        <w:t>六、</w:t>
      </w:r>
      <w:bookmarkEnd w:id="14"/>
      <w:bookmarkEnd w:id="15"/>
      <w:r>
        <w:rPr>
          <w:rFonts w:hint="eastAsia" w:hAnsi="宋体"/>
          <w:b/>
          <w:sz w:val="32"/>
          <w:szCs w:val="32"/>
        </w:rPr>
        <w:t>联系方式</w:t>
      </w:r>
    </w:p>
    <w:p>
      <w:pPr>
        <w:snapToGrid w:val="0"/>
        <w:spacing w:line="240" w:lineRule="auto"/>
        <w:ind w:firstLine="720" w:firstLineChars="300"/>
        <w:rPr>
          <w:rFonts w:hAnsi="宋体" w:cs="宋体"/>
        </w:rPr>
      </w:pPr>
      <w:r>
        <w:rPr>
          <w:rFonts w:hint="eastAsia" w:hAnsi="宋体" w:cs="宋体"/>
        </w:rPr>
        <w:t>采购人：</w:t>
      </w:r>
      <w:r>
        <w:rPr>
          <w:rFonts w:hint="eastAsia" w:hAnsi="宋体"/>
          <w:szCs w:val="24"/>
        </w:rPr>
        <w:t>海南师范大学</w:t>
      </w:r>
    </w:p>
    <w:p>
      <w:pPr>
        <w:snapToGrid w:val="0"/>
        <w:spacing w:line="240" w:lineRule="auto"/>
        <w:ind w:firstLine="720" w:firstLineChars="300"/>
        <w:rPr>
          <w:rFonts w:hAnsi="宋体" w:cs="宋体"/>
        </w:rPr>
      </w:pPr>
      <w:r>
        <w:rPr>
          <w:rFonts w:hint="eastAsia" w:hAnsi="宋体" w:cs="宋体"/>
        </w:rPr>
        <w:t>地址：海口市龙昆南路99号</w:t>
      </w:r>
    </w:p>
    <w:p>
      <w:pPr>
        <w:snapToGrid w:val="0"/>
        <w:spacing w:line="240" w:lineRule="auto"/>
        <w:ind w:firstLine="720" w:firstLineChars="300"/>
        <w:rPr>
          <w:rFonts w:hAnsi="宋体"/>
          <w:szCs w:val="24"/>
        </w:rPr>
      </w:pPr>
      <w:r>
        <w:rPr>
          <w:rFonts w:hint="eastAsia" w:hAnsi="宋体" w:cs="宋体"/>
        </w:rPr>
        <w:t>电话：</w:t>
      </w:r>
      <w:r>
        <w:rPr>
          <w:rFonts w:hint="eastAsia" w:hAnsi="宋体"/>
          <w:szCs w:val="24"/>
        </w:rPr>
        <w:t>0898-65880756</w:t>
      </w:r>
    </w:p>
    <w:p>
      <w:pPr>
        <w:snapToGrid w:val="0"/>
        <w:spacing w:line="240" w:lineRule="auto"/>
        <w:ind w:firstLine="720" w:firstLineChars="300"/>
        <w:rPr>
          <w:rFonts w:hAnsi="宋体" w:cs="宋体"/>
        </w:rPr>
      </w:pPr>
      <w:r>
        <w:rPr>
          <w:rFonts w:hint="eastAsia" w:hAnsi="宋体" w:cs="宋体"/>
        </w:rPr>
        <w:t>联系人：魏女士</w:t>
      </w:r>
    </w:p>
    <w:p>
      <w:pPr>
        <w:snapToGrid w:val="0"/>
        <w:spacing w:line="240" w:lineRule="auto"/>
        <w:ind w:firstLine="720" w:firstLineChars="300"/>
        <w:rPr>
          <w:rFonts w:hAnsi="宋体" w:cs="宋体"/>
        </w:rPr>
      </w:pPr>
      <w:r>
        <w:rPr>
          <w:rFonts w:hint="eastAsia" w:hAnsi="宋体" w:cs="宋体"/>
        </w:rPr>
        <w:t>招标代理机构：</w:t>
      </w:r>
      <w:r>
        <w:rPr>
          <w:rFonts w:hint="eastAsia" w:hAnsi="宋体"/>
        </w:rPr>
        <w:t>海南政鼎招标代理有限公司</w:t>
      </w:r>
    </w:p>
    <w:p>
      <w:pPr>
        <w:snapToGrid w:val="0"/>
        <w:spacing w:line="240" w:lineRule="auto"/>
        <w:ind w:firstLine="720" w:firstLineChars="300"/>
        <w:rPr>
          <w:rFonts w:hAnsi="宋体" w:cs="宋体"/>
        </w:rPr>
      </w:pPr>
      <w:r>
        <w:rPr>
          <w:rFonts w:hint="eastAsia" w:hAnsi="宋体" w:cs="宋体"/>
        </w:rPr>
        <w:t>地址：</w:t>
      </w:r>
      <w:bookmarkStart w:id="16" w:name="OLE_LINK20"/>
      <w:r>
        <w:rPr>
          <w:rFonts w:hint="eastAsia" w:hAnsi="宋体" w:cs="宋体"/>
        </w:rPr>
        <w:t>海口市</w:t>
      </w:r>
      <w:bookmarkEnd w:id="16"/>
      <w:r>
        <w:rPr>
          <w:rFonts w:hint="eastAsia" w:hAnsi="宋体" w:cs="宋体"/>
        </w:rPr>
        <w:t>大英山西二街</w:t>
      </w:r>
      <w:r>
        <w:rPr>
          <w:rFonts w:hAnsi="宋体" w:cs="宋体"/>
        </w:rPr>
        <w:t>2</w:t>
      </w:r>
      <w:r>
        <w:rPr>
          <w:rFonts w:hint="eastAsia" w:hAnsi="宋体" w:cs="宋体"/>
        </w:rPr>
        <w:t>号</w:t>
      </w:r>
      <w:r>
        <w:rPr>
          <w:rFonts w:hAnsi="宋体" w:cs="宋体"/>
        </w:rPr>
        <w:t>1801</w:t>
      </w:r>
    </w:p>
    <w:p>
      <w:pPr>
        <w:pStyle w:val="32"/>
        <w:spacing w:line="240" w:lineRule="auto"/>
        <w:ind w:firstLine="720" w:firstLineChars="300"/>
        <w:rPr>
          <w:rFonts w:hAnsi="宋体" w:cs="宋体"/>
        </w:rPr>
      </w:pPr>
      <w:r>
        <w:rPr>
          <w:rFonts w:hint="eastAsia" w:hAnsi="宋体" w:cs="宋体"/>
        </w:rPr>
        <w:t>电话：</w:t>
      </w:r>
      <w:r>
        <w:rPr>
          <w:rFonts w:hAnsi="宋体" w:cs="宋体"/>
          <w:bCs/>
          <w:szCs w:val="28"/>
        </w:rPr>
        <w:t>0898-</w:t>
      </w:r>
      <w:r>
        <w:rPr>
          <w:rFonts w:hAnsi="宋体" w:cs="宋体"/>
        </w:rPr>
        <w:t>66757532</w:t>
      </w:r>
    </w:p>
    <w:p>
      <w:pPr>
        <w:pStyle w:val="32"/>
        <w:ind w:firstLine="720" w:firstLineChars="300"/>
        <w:rPr>
          <w:rFonts w:hAnsi="宋体" w:cs="宋体"/>
        </w:rPr>
      </w:pPr>
      <w:r>
        <w:rPr>
          <w:rFonts w:hint="eastAsia" w:hAnsi="宋体" w:cs="宋体"/>
        </w:rPr>
        <w:t>联系人：李先生</w:t>
      </w:r>
    </w:p>
    <w:p>
      <w:pPr>
        <w:pStyle w:val="32"/>
        <w:spacing w:line="240" w:lineRule="auto"/>
        <w:ind w:firstLine="4760" w:firstLineChars="1700"/>
        <w:rPr>
          <w:rFonts w:hAnsi="宋体"/>
          <w:sz w:val="28"/>
          <w:szCs w:val="28"/>
        </w:rPr>
      </w:pPr>
    </w:p>
    <w:p>
      <w:pPr>
        <w:pStyle w:val="32"/>
        <w:spacing w:line="240" w:lineRule="auto"/>
        <w:ind w:firstLine="4760" w:firstLineChars="1700"/>
        <w:rPr>
          <w:rFonts w:hAnsi="宋体"/>
          <w:sz w:val="28"/>
          <w:szCs w:val="28"/>
        </w:rPr>
      </w:pPr>
      <w:r>
        <w:rPr>
          <w:rFonts w:hint="eastAsia" w:hAnsi="宋体"/>
          <w:sz w:val="28"/>
          <w:szCs w:val="28"/>
        </w:rPr>
        <w:t>海南政鼎招标代理有限公司</w:t>
      </w:r>
    </w:p>
    <w:p>
      <w:pPr>
        <w:shd w:val="clear" w:color="auto" w:fill="FFFFFF"/>
        <w:snapToGrid w:val="0"/>
        <w:spacing w:line="240" w:lineRule="auto"/>
        <w:ind w:right="280" w:firstLine="4888" w:firstLineChars="1746"/>
        <w:jc w:val="center"/>
        <w:rPr>
          <w:rFonts w:hAnsi="宋体"/>
          <w:b/>
          <w:sz w:val="30"/>
        </w:rPr>
      </w:pPr>
      <w:bookmarkStart w:id="17" w:name="OLE_LINK4"/>
      <w:r>
        <w:rPr>
          <w:rFonts w:hint="eastAsia" w:hAnsi="宋体"/>
          <w:sz w:val="28"/>
          <w:szCs w:val="28"/>
        </w:rPr>
        <w:t>二〇</w:t>
      </w:r>
      <w:bookmarkEnd w:id="17"/>
      <w:r>
        <w:rPr>
          <w:rFonts w:hint="eastAsia" w:hAnsi="宋体"/>
          <w:sz w:val="28"/>
          <w:szCs w:val="28"/>
        </w:rPr>
        <w:t>二〇年六月</w:t>
      </w:r>
    </w:p>
    <w:p>
      <w:pPr>
        <w:ind w:firstLine="480"/>
        <w:rPr>
          <w:rFonts w:hAnsi="宋体"/>
          <w:b/>
          <w:sz w:val="32"/>
          <w:szCs w:val="32"/>
        </w:rPr>
      </w:pPr>
      <w:r>
        <w:br w:type="page"/>
      </w:r>
    </w:p>
    <w:p>
      <w:pPr>
        <w:pStyle w:val="4"/>
        <w:ind w:firstLine="2650" w:firstLineChars="600"/>
        <w:jc w:val="both"/>
        <w:rPr>
          <w:rFonts w:hAnsi="宋体"/>
        </w:rPr>
      </w:pPr>
      <w:bookmarkStart w:id="18" w:name="_Toc476643558"/>
      <w:bookmarkStart w:id="19" w:name="_Toc476667947"/>
      <w:bookmarkStart w:id="20" w:name="_Toc476664367"/>
      <w:r>
        <w:rPr>
          <w:rFonts w:hint="eastAsia"/>
        </w:rPr>
        <w:t>第二章投标人须知</w:t>
      </w:r>
      <w:bookmarkEnd w:id="18"/>
      <w:bookmarkEnd w:id="19"/>
      <w:bookmarkEnd w:id="20"/>
    </w:p>
    <w:p>
      <w:pPr>
        <w:shd w:val="clear" w:color="auto" w:fill="FFFFFF"/>
        <w:snapToGrid w:val="0"/>
        <w:ind w:firstLine="643"/>
        <w:rPr>
          <w:rFonts w:hAnsi="宋体"/>
          <w:b/>
          <w:sz w:val="32"/>
          <w:szCs w:val="32"/>
        </w:rPr>
      </w:pPr>
      <w:r>
        <w:rPr>
          <w:rFonts w:hint="eastAsia" w:hAnsi="宋体"/>
          <w:b/>
          <w:sz w:val="32"/>
          <w:szCs w:val="32"/>
        </w:rPr>
        <w:t>一、总则</w:t>
      </w:r>
    </w:p>
    <w:p>
      <w:pPr>
        <w:shd w:val="clear" w:color="auto" w:fill="FFFFFF"/>
        <w:snapToGrid w:val="0"/>
        <w:ind w:firstLine="480"/>
        <w:rPr>
          <w:rFonts w:hAnsi="宋体"/>
        </w:rPr>
      </w:pPr>
      <w:r>
        <w:rPr>
          <w:rFonts w:hAnsi="宋体"/>
        </w:rPr>
        <w:t>1.</w:t>
      </w:r>
      <w:r>
        <w:rPr>
          <w:rFonts w:hint="eastAsia" w:hAnsi="宋体"/>
        </w:rPr>
        <w:t>名词解释</w:t>
      </w:r>
    </w:p>
    <w:p>
      <w:pPr>
        <w:snapToGrid w:val="0"/>
        <w:ind w:firstLine="480"/>
        <w:rPr>
          <w:rFonts w:hAnsi="宋体"/>
        </w:rPr>
      </w:pPr>
      <w:r>
        <w:rPr>
          <w:rFonts w:hAnsi="宋体"/>
        </w:rPr>
        <w:t>1.1</w:t>
      </w:r>
      <w:r>
        <w:rPr>
          <w:rFonts w:hint="eastAsia" w:hAnsi="宋体"/>
        </w:rPr>
        <w:t>采</w:t>
      </w:r>
      <w:r>
        <w:rPr>
          <w:rFonts w:hint="eastAsia" w:hAnsi="宋体"/>
          <w:szCs w:val="24"/>
        </w:rPr>
        <w:t>购人</w:t>
      </w:r>
      <w:r>
        <w:rPr>
          <w:rFonts w:hint="eastAsia" w:hAnsi="宋体"/>
        </w:rPr>
        <w:t>：</w:t>
      </w:r>
      <w:r>
        <w:rPr>
          <w:rFonts w:hint="eastAsia" w:hAnsi="宋体"/>
          <w:szCs w:val="24"/>
        </w:rPr>
        <w:t>海南师范大学</w:t>
      </w:r>
    </w:p>
    <w:p>
      <w:pPr>
        <w:shd w:val="clear" w:color="auto" w:fill="FFFFFF"/>
        <w:snapToGrid w:val="0"/>
        <w:ind w:firstLine="480"/>
        <w:rPr>
          <w:rFonts w:hAnsi="宋体"/>
        </w:rPr>
      </w:pPr>
      <w:r>
        <w:rPr>
          <w:rFonts w:hAnsi="宋体"/>
        </w:rPr>
        <w:t>1.2</w:t>
      </w:r>
      <w:r>
        <w:rPr>
          <w:rFonts w:hint="eastAsia" w:hAnsi="宋体"/>
        </w:rPr>
        <w:t>招标代理机构：海南政鼎招标代理有限公司</w:t>
      </w:r>
    </w:p>
    <w:p>
      <w:pPr>
        <w:shd w:val="clear" w:color="auto" w:fill="FFFFFF"/>
        <w:snapToGrid w:val="0"/>
        <w:ind w:firstLine="480"/>
        <w:rPr>
          <w:rFonts w:hAnsi="宋体"/>
        </w:rPr>
      </w:pPr>
      <w:r>
        <w:rPr>
          <w:rFonts w:hAnsi="宋体"/>
        </w:rPr>
        <w:t>1.3</w:t>
      </w:r>
      <w:r>
        <w:rPr>
          <w:rFonts w:hint="eastAsia" w:hAnsi="宋体"/>
        </w:rPr>
        <w:t>投标人：已从招标代理机构购买招标文件并向招标代理机构提交投标文件的投标人。</w:t>
      </w:r>
    </w:p>
    <w:p>
      <w:pPr>
        <w:shd w:val="clear" w:color="auto" w:fill="FFFFFF"/>
        <w:snapToGrid w:val="0"/>
        <w:ind w:firstLine="480"/>
        <w:rPr>
          <w:rFonts w:hAnsi="宋体"/>
        </w:rPr>
      </w:pPr>
      <w:r>
        <w:rPr>
          <w:rFonts w:hAnsi="宋体"/>
        </w:rPr>
        <w:t>2</w:t>
      </w:r>
      <w:r>
        <w:rPr>
          <w:rFonts w:hint="eastAsia" w:hAnsi="宋体"/>
        </w:rPr>
        <w:t>．适用范围</w:t>
      </w:r>
    </w:p>
    <w:p>
      <w:pPr>
        <w:shd w:val="clear" w:color="auto" w:fill="FFFFFF"/>
        <w:snapToGrid w:val="0"/>
        <w:ind w:firstLine="480"/>
        <w:rPr>
          <w:rFonts w:hAnsi="宋体"/>
        </w:rPr>
      </w:pPr>
      <w:r>
        <w:rPr>
          <w:rFonts w:hint="eastAsia" w:hAnsi="宋体"/>
        </w:rPr>
        <w:t>本招标文件仅适用于招标代理机构组织的本次投标活动。</w:t>
      </w:r>
    </w:p>
    <w:p>
      <w:pPr>
        <w:shd w:val="clear" w:color="auto" w:fill="FFFFFF"/>
        <w:snapToGrid w:val="0"/>
        <w:ind w:firstLine="480"/>
        <w:rPr>
          <w:rFonts w:hAnsi="宋体"/>
        </w:rPr>
      </w:pPr>
      <w:r>
        <w:rPr>
          <w:rFonts w:hAnsi="宋体"/>
        </w:rPr>
        <w:t>3</w:t>
      </w:r>
      <w:r>
        <w:rPr>
          <w:rFonts w:hint="eastAsia" w:hAnsi="宋体"/>
        </w:rPr>
        <w:t>．合格的投标人</w:t>
      </w:r>
    </w:p>
    <w:p>
      <w:pPr>
        <w:shd w:val="clear" w:color="auto" w:fill="FFFFFF"/>
        <w:snapToGrid w:val="0"/>
        <w:ind w:firstLine="480"/>
        <w:rPr>
          <w:rFonts w:hAnsi="宋体"/>
        </w:rPr>
      </w:pPr>
      <w:r>
        <w:rPr>
          <w:rFonts w:hAnsi="宋体"/>
        </w:rPr>
        <w:t>3.1</w:t>
      </w:r>
      <w:r>
        <w:rPr>
          <w:rFonts w:hint="eastAsia" w:hAnsi="宋体"/>
        </w:rPr>
        <w:t>凡有能力按照本招标文件规定的要求交付货物和服务的投标单位均为合格的投标人。</w:t>
      </w:r>
    </w:p>
    <w:p>
      <w:pPr>
        <w:shd w:val="clear" w:color="auto" w:fill="FFFFFF"/>
        <w:snapToGrid w:val="0"/>
        <w:ind w:firstLine="480"/>
        <w:rPr>
          <w:rFonts w:hAnsi="宋体"/>
        </w:rPr>
      </w:pPr>
      <w:r>
        <w:rPr>
          <w:rFonts w:hAnsi="宋体"/>
        </w:rPr>
        <w:t>3.2</w:t>
      </w:r>
      <w:r>
        <w:rPr>
          <w:rFonts w:hint="eastAsia" w:hAnsi="宋体"/>
        </w:rPr>
        <w:t>投标人参加本次招标活动应当符合《中华人民共和国政府采购法》第二十二条的规定，并具备本招标文件第一章的“投标人资格要求”规定的条件。</w:t>
      </w:r>
    </w:p>
    <w:p>
      <w:pPr>
        <w:shd w:val="clear" w:color="auto" w:fill="FFFFFF"/>
        <w:snapToGrid w:val="0"/>
        <w:ind w:firstLine="480"/>
        <w:rPr>
          <w:rFonts w:hAnsi="宋体"/>
        </w:rPr>
      </w:pPr>
      <w:r>
        <w:rPr>
          <w:rFonts w:hAnsi="宋体"/>
        </w:rPr>
        <w:t>3.3</w:t>
      </w:r>
      <w:r>
        <w:rPr>
          <w:rFonts w:hint="eastAsia" w:hAnsi="宋体"/>
          <w:b/>
        </w:rPr>
        <w:t>本项目不接受联合体投标</w:t>
      </w:r>
      <w:r>
        <w:rPr>
          <w:rFonts w:hint="eastAsia" w:hAnsi="宋体"/>
        </w:rPr>
        <w:t>。</w:t>
      </w:r>
    </w:p>
    <w:p>
      <w:pPr>
        <w:shd w:val="clear" w:color="auto" w:fill="FFFFFF"/>
        <w:snapToGrid w:val="0"/>
        <w:ind w:firstLine="480"/>
        <w:rPr>
          <w:rFonts w:hAnsi="宋体"/>
        </w:rPr>
      </w:pPr>
      <w:r>
        <w:rPr>
          <w:rFonts w:hAnsi="宋体"/>
        </w:rPr>
        <w:t>4</w:t>
      </w:r>
      <w:r>
        <w:rPr>
          <w:rFonts w:hint="eastAsia" w:hAnsi="宋体"/>
        </w:rPr>
        <w:t>．投标费用</w:t>
      </w:r>
    </w:p>
    <w:p>
      <w:pPr>
        <w:shd w:val="clear" w:color="auto" w:fill="FFFFFF"/>
        <w:snapToGrid w:val="0"/>
        <w:ind w:firstLine="480"/>
        <w:rPr>
          <w:rFonts w:hAnsi="宋体"/>
        </w:rPr>
      </w:pPr>
      <w:r>
        <w:rPr>
          <w:rFonts w:hint="eastAsia" w:hAnsi="宋体"/>
        </w:rPr>
        <w:t>无论招标投标过程中的做法和结果如何，供应商均自行承担所有与参加投标有关的全部费用。</w:t>
      </w:r>
    </w:p>
    <w:p>
      <w:pPr>
        <w:shd w:val="clear" w:color="auto" w:fill="FFFFFF"/>
        <w:snapToGrid w:val="0"/>
        <w:ind w:firstLine="480"/>
        <w:rPr>
          <w:rFonts w:hAnsi="宋体"/>
        </w:rPr>
      </w:pPr>
      <w:r>
        <w:rPr>
          <w:rFonts w:hAnsi="宋体"/>
        </w:rPr>
        <w:t>5</w:t>
      </w:r>
      <w:r>
        <w:rPr>
          <w:rFonts w:hint="eastAsia" w:hAnsi="宋体"/>
        </w:rPr>
        <w:t>．招标文件的约束力</w:t>
      </w:r>
    </w:p>
    <w:p>
      <w:pPr>
        <w:shd w:val="clear" w:color="auto" w:fill="FFFFFF"/>
        <w:snapToGrid w:val="0"/>
        <w:ind w:firstLine="480"/>
        <w:rPr>
          <w:rFonts w:hAnsi="宋体"/>
        </w:rPr>
      </w:pPr>
      <w:r>
        <w:rPr>
          <w:rFonts w:hAnsi="宋体"/>
        </w:rPr>
        <w:t>5.1</w:t>
      </w:r>
      <w:r>
        <w:rPr>
          <w:rFonts w:hint="eastAsia" w:hAnsi="宋体"/>
        </w:rPr>
        <w:t>本招标文件由招标代理机构负责解释。</w:t>
      </w:r>
    </w:p>
    <w:p>
      <w:pPr>
        <w:shd w:val="clear" w:color="auto" w:fill="FFFFFF"/>
        <w:snapToGrid w:val="0"/>
        <w:ind w:firstLine="643"/>
        <w:rPr>
          <w:rFonts w:hAnsi="宋体"/>
          <w:b/>
          <w:sz w:val="32"/>
          <w:szCs w:val="32"/>
        </w:rPr>
      </w:pPr>
      <w:r>
        <w:rPr>
          <w:rFonts w:hint="eastAsia" w:hAnsi="宋体"/>
          <w:b/>
          <w:sz w:val="32"/>
          <w:szCs w:val="32"/>
        </w:rPr>
        <w:t>二、招标文件</w:t>
      </w:r>
    </w:p>
    <w:p>
      <w:pPr>
        <w:shd w:val="clear" w:color="auto" w:fill="FFFFFF"/>
        <w:snapToGrid w:val="0"/>
        <w:ind w:firstLine="480"/>
        <w:rPr>
          <w:rFonts w:hAnsi="宋体"/>
        </w:rPr>
      </w:pPr>
      <w:r>
        <w:rPr>
          <w:rFonts w:hAnsi="宋体"/>
        </w:rPr>
        <w:t>6</w:t>
      </w:r>
      <w:r>
        <w:rPr>
          <w:rFonts w:hint="eastAsia" w:hAnsi="宋体"/>
        </w:rPr>
        <w:t>．招标文件的组成</w:t>
      </w:r>
    </w:p>
    <w:p>
      <w:pPr>
        <w:shd w:val="clear" w:color="auto" w:fill="FFFFFF"/>
        <w:snapToGrid w:val="0"/>
        <w:ind w:firstLine="480"/>
        <w:rPr>
          <w:rFonts w:hAnsi="宋体"/>
        </w:rPr>
      </w:pPr>
      <w:r>
        <w:rPr>
          <w:rFonts w:hAnsi="宋体"/>
        </w:rPr>
        <w:t>6.l</w:t>
      </w:r>
      <w:r>
        <w:rPr>
          <w:rFonts w:hint="eastAsia" w:hAnsi="宋体"/>
        </w:rPr>
        <w:t>招标文件由六部分组成，包括：</w:t>
      </w:r>
    </w:p>
    <w:p>
      <w:pPr>
        <w:shd w:val="clear" w:color="auto" w:fill="FFFFFF"/>
        <w:snapToGrid w:val="0"/>
        <w:ind w:firstLine="960" w:firstLineChars="400"/>
        <w:rPr>
          <w:rFonts w:hAnsi="宋体"/>
        </w:rPr>
      </w:pPr>
      <w:r>
        <w:rPr>
          <w:rFonts w:hint="eastAsia" w:hAnsi="宋体"/>
        </w:rPr>
        <w:t>第一章投标邀请书</w:t>
      </w:r>
    </w:p>
    <w:p>
      <w:pPr>
        <w:shd w:val="clear" w:color="auto" w:fill="FFFFFF"/>
        <w:snapToGrid w:val="0"/>
        <w:ind w:firstLine="960" w:firstLineChars="400"/>
        <w:rPr>
          <w:rFonts w:hAnsi="宋体"/>
        </w:rPr>
      </w:pPr>
      <w:r>
        <w:rPr>
          <w:rFonts w:hint="eastAsia" w:hAnsi="宋体"/>
        </w:rPr>
        <w:t>第二章投标人须知</w:t>
      </w:r>
    </w:p>
    <w:p>
      <w:pPr>
        <w:shd w:val="clear" w:color="auto" w:fill="FFFFFF"/>
        <w:snapToGrid w:val="0"/>
        <w:ind w:firstLine="960" w:firstLineChars="400"/>
        <w:rPr>
          <w:rFonts w:hAnsi="宋体"/>
        </w:rPr>
      </w:pPr>
      <w:r>
        <w:rPr>
          <w:rFonts w:hint="eastAsia" w:hAnsi="宋体"/>
        </w:rPr>
        <w:t>第三章用户需求书</w:t>
      </w:r>
    </w:p>
    <w:p>
      <w:pPr>
        <w:shd w:val="clear" w:color="auto" w:fill="FFFFFF"/>
        <w:snapToGrid w:val="0"/>
        <w:ind w:firstLine="960" w:firstLineChars="400"/>
        <w:rPr>
          <w:rFonts w:hAnsi="宋体"/>
        </w:rPr>
      </w:pPr>
      <w:r>
        <w:rPr>
          <w:rFonts w:hint="eastAsia" w:hAnsi="宋体"/>
        </w:rPr>
        <w:t>第四章合同条款</w:t>
      </w:r>
    </w:p>
    <w:p>
      <w:pPr>
        <w:shd w:val="clear" w:color="auto" w:fill="FFFFFF"/>
        <w:snapToGrid w:val="0"/>
        <w:ind w:firstLine="960" w:firstLineChars="400"/>
        <w:rPr>
          <w:rFonts w:hAnsi="宋体"/>
        </w:rPr>
      </w:pPr>
      <w:r>
        <w:rPr>
          <w:rFonts w:hint="eastAsia" w:hAnsi="宋体"/>
        </w:rPr>
        <w:t>第五章投标文件内容和格式</w:t>
      </w:r>
    </w:p>
    <w:p>
      <w:pPr>
        <w:shd w:val="clear" w:color="auto" w:fill="FFFFFF"/>
        <w:snapToGrid w:val="0"/>
        <w:ind w:firstLine="960" w:firstLineChars="400"/>
        <w:rPr>
          <w:rFonts w:hAnsi="宋体"/>
        </w:rPr>
      </w:pPr>
      <w:r>
        <w:rPr>
          <w:rFonts w:hint="eastAsia" w:hAnsi="宋体"/>
        </w:rPr>
        <w:t>第六章评审方法</w:t>
      </w:r>
    </w:p>
    <w:p>
      <w:pPr>
        <w:shd w:val="clear" w:color="auto" w:fill="FFFFFF"/>
        <w:snapToGrid w:val="0"/>
        <w:ind w:firstLine="480"/>
        <w:rPr>
          <w:rFonts w:hAnsi="宋体"/>
        </w:rPr>
      </w:pPr>
      <w:r>
        <w:rPr>
          <w:rFonts w:hint="eastAsia" w:hAnsi="宋体"/>
        </w:rPr>
        <w:t>请仔细检查招标文件是否齐全，如有缺漏，请立即与招标代理机构联系解决。</w:t>
      </w:r>
    </w:p>
    <w:p>
      <w:pPr>
        <w:shd w:val="clear" w:color="auto" w:fill="FFFFFF"/>
        <w:snapToGrid w:val="0"/>
        <w:ind w:firstLine="480"/>
        <w:rPr>
          <w:rFonts w:hAnsi="宋体"/>
        </w:rPr>
      </w:pPr>
      <w:r>
        <w:rPr>
          <w:rFonts w:hAnsi="宋体"/>
        </w:rPr>
        <w:t>6.2</w:t>
      </w:r>
      <w:r>
        <w:rPr>
          <w:rFonts w:hint="eastAsia" w:hAnsi="宋体"/>
        </w:rPr>
        <w:t>投标人必须详阅招标文件的所有条款、文件及表格格式。投标人若未按招标文件的要求和规范编制、提交招标文件，将有可能导致招标文件被拒绝接受，所造成的负面后果由投标人负责。</w:t>
      </w:r>
    </w:p>
    <w:p>
      <w:pPr>
        <w:shd w:val="clear" w:color="auto" w:fill="FFFFFF"/>
        <w:snapToGrid w:val="0"/>
        <w:ind w:firstLine="480"/>
        <w:rPr>
          <w:rFonts w:hAnsi="宋体"/>
        </w:rPr>
      </w:pPr>
      <w:r>
        <w:rPr>
          <w:rFonts w:hAnsi="宋体"/>
        </w:rPr>
        <w:t>7</w:t>
      </w:r>
      <w:r>
        <w:rPr>
          <w:rFonts w:hint="eastAsia" w:hAnsi="宋体"/>
        </w:rPr>
        <w:t>．招标文件的澄清</w:t>
      </w:r>
    </w:p>
    <w:p>
      <w:pPr>
        <w:shd w:val="clear" w:color="auto" w:fill="FFFFFF"/>
        <w:snapToGrid w:val="0"/>
        <w:ind w:firstLine="480"/>
        <w:rPr>
          <w:rFonts w:hAnsi="宋体"/>
        </w:rPr>
      </w:pPr>
      <w:r>
        <w:rPr>
          <w:rFonts w:hint="eastAsia" w:hAnsi="宋体"/>
        </w:rPr>
        <w:t>投标人在收到招标文件后，若有疑问需要澄清，应于投标截止时间十五天前以书面形式向招标代理机构提出，招标代理机构将以书面形式进行答复，同时招标代理机构有权将答复内容分发给所有购买了此招标文件的投标人。</w:t>
      </w:r>
    </w:p>
    <w:p>
      <w:pPr>
        <w:shd w:val="clear" w:color="auto" w:fill="FFFFFF"/>
        <w:snapToGrid w:val="0"/>
        <w:ind w:firstLine="0" w:firstLineChars="0"/>
        <w:rPr>
          <w:rFonts w:hAnsi="宋体"/>
          <w:b/>
          <w:sz w:val="32"/>
          <w:szCs w:val="32"/>
        </w:rPr>
      </w:pPr>
      <w:r>
        <w:rPr>
          <w:rFonts w:hAnsi="宋体"/>
          <w:b/>
          <w:sz w:val="32"/>
          <w:szCs w:val="32"/>
        </w:rPr>
        <w:t xml:space="preserve">   </w:t>
      </w:r>
      <w:r>
        <w:rPr>
          <w:rFonts w:hint="eastAsia" w:hAnsi="宋体"/>
          <w:b/>
          <w:sz w:val="32"/>
          <w:szCs w:val="32"/>
        </w:rPr>
        <w:t>三、投标文件</w:t>
      </w:r>
    </w:p>
    <w:p>
      <w:pPr>
        <w:shd w:val="clear" w:color="auto" w:fill="FFFFFF"/>
        <w:snapToGrid w:val="0"/>
        <w:ind w:firstLine="480"/>
        <w:rPr>
          <w:rFonts w:hAnsi="宋体"/>
        </w:rPr>
      </w:pPr>
      <w:r>
        <w:rPr>
          <w:rFonts w:hAnsi="宋体"/>
        </w:rPr>
        <w:t>8</w:t>
      </w:r>
      <w:r>
        <w:rPr>
          <w:rFonts w:hint="eastAsia" w:hAnsi="宋体"/>
        </w:rPr>
        <w:t>．投标文件的组成</w:t>
      </w:r>
    </w:p>
    <w:p>
      <w:pPr>
        <w:shd w:val="clear" w:color="auto" w:fill="FFFFFF"/>
        <w:snapToGrid w:val="0"/>
        <w:ind w:firstLine="480"/>
        <w:rPr>
          <w:rFonts w:hAnsi="宋体"/>
        </w:rPr>
      </w:pPr>
      <w:r>
        <w:rPr>
          <w:rFonts w:hAnsi="宋体"/>
        </w:rPr>
        <w:t>8.1</w:t>
      </w:r>
      <w:r>
        <w:rPr>
          <w:rFonts w:hint="eastAsia" w:hAnsi="宋体"/>
        </w:rPr>
        <w:t>投标文件应按“第五章投标文件内容和格式”要求编制。</w:t>
      </w:r>
    </w:p>
    <w:p>
      <w:pPr>
        <w:shd w:val="clear" w:color="auto" w:fill="FFFFFF"/>
        <w:snapToGrid w:val="0"/>
        <w:ind w:firstLine="480"/>
        <w:rPr>
          <w:rFonts w:hint="eastAsia" w:ascii="华文宋体" w:eastAsia="华文宋体"/>
        </w:rPr>
      </w:pPr>
      <w:r>
        <w:rPr>
          <w:rFonts w:hAnsi="宋体"/>
        </w:rPr>
        <w:t>8.2</w:t>
      </w:r>
      <w:r>
        <w:rPr>
          <w:rFonts w:hint="eastAsia" w:ascii="华文宋体" w:hAnsi="华文宋体"/>
        </w:rPr>
        <w:t>若投标人未按招标文件的要求提供资料，或未对招标文件做出实质性响应，将可能导致投标文件被视为无效。</w:t>
      </w:r>
    </w:p>
    <w:p>
      <w:pPr>
        <w:shd w:val="clear" w:color="auto" w:fill="FFFFFF"/>
        <w:snapToGrid w:val="0"/>
        <w:ind w:firstLine="0" w:firstLineChars="0"/>
        <w:rPr>
          <w:rFonts w:hAnsi="宋体"/>
        </w:rPr>
      </w:pPr>
      <w:r>
        <w:rPr>
          <w:rFonts w:hAnsi="宋体"/>
        </w:rPr>
        <w:t xml:space="preserve">    9</w:t>
      </w:r>
      <w:r>
        <w:rPr>
          <w:rFonts w:hint="eastAsia" w:hAnsi="宋体"/>
        </w:rPr>
        <w:t>．投标报价</w:t>
      </w:r>
    </w:p>
    <w:p>
      <w:pPr>
        <w:shd w:val="clear" w:color="auto" w:fill="FFFFFF"/>
        <w:snapToGrid w:val="0"/>
        <w:ind w:firstLine="480"/>
        <w:rPr>
          <w:rFonts w:hAnsi="宋体"/>
        </w:rPr>
      </w:pPr>
      <w:r>
        <w:rPr>
          <w:rFonts w:hAnsi="宋体"/>
        </w:rPr>
        <w:t>9.1</w:t>
      </w:r>
      <w:r>
        <w:rPr>
          <w:rFonts w:hint="eastAsia" w:hAnsi="宋体"/>
        </w:rPr>
        <w:t>报价均须以人民币为计算单位。</w:t>
      </w:r>
    </w:p>
    <w:p>
      <w:pPr>
        <w:shd w:val="clear" w:color="auto" w:fill="FFFFFF"/>
        <w:snapToGrid w:val="0"/>
        <w:ind w:firstLine="480"/>
        <w:rPr>
          <w:rFonts w:hAnsi="宋体"/>
        </w:rPr>
      </w:pPr>
      <w:r>
        <w:rPr>
          <w:rFonts w:hAnsi="宋体"/>
        </w:rPr>
        <w:t>9.2</w:t>
      </w:r>
      <w:r>
        <w:rPr>
          <w:rFonts w:hint="eastAsia" w:hAnsi="宋体"/>
        </w:rPr>
        <w:t>报价应</w:t>
      </w:r>
      <w:r>
        <w:rPr>
          <w:rFonts w:hint="eastAsia" w:ascii="华文宋体" w:hAnsi="华文宋体"/>
        </w:rPr>
        <w:t>包括全部服务的价格及相关税费、运输到指定地点的装运费用（如有）、安装调试（如有）、培训（如有）、服务等其它有关的所有费用。</w:t>
      </w:r>
    </w:p>
    <w:p>
      <w:pPr>
        <w:shd w:val="clear" w:color="auto" w:fill="FFFFFF"/>
        <w:snapToGrid w:val="0"/>
        <w:ind w:firstLine="480"/>
        <w:rPr>
          <w:rFonts w:hAnsi="宋体"/>
        </w:rPr>
      </w:pPr>
      <w:r>
        <w:rPr>
          <w:rFonts w:hAnsi="宋体"/>
        </w:rPr>
        <w:t>9.3</w:t>
      </w:r>
      <w:r>
        <w:rPr>
          <w:rFonts w:hint="eastAsia" w:hAnsi="宋体"/>
        </w:rPr>
        <w:t>投标人应按开标一览表的要求报价，不能提供有选择的报价。</w:t>
      </w:r>
    </w:p>
    <w:p>
      <w:pPr>
        <w:shd w:val="clear" w:color="auto" w:fill="FFFFFF"/>
        <w:snapToGrid w:val="0"/>
        <w:ind w:firstLine="480"/>
        <w:rPr>
          <w:rFonts w:hAnsi="宋体"/>
        </w:rPr>
      </w:pPr>
      <w:r>
        <w:rPr>
          <w:rFonts w:hAnsi="宋体"/>
        </w:rPr>
        <w:t>9.4</w:t>
      </w:r>
      <w:r>
        <w:rPr>
          <w:rFonts w:hint="eastAsia" w:hAnsi="宋体"/>
        </w:rPr>
        <w:t>中标候选人的报价如超过预算且采购人不能支付的，采购人有权拒绝而递选下一个顺位的候选人。</w:t>
      </w:r>
    </w:p>
    <w:p>
      <w:pPr>
        <w:shd w:val="clear" w:color="auto" w:fill="FFFFFF"/>
        <w:snapToGrid w:val="0"/>
        <w:ind w:firstLine="480"/>
        <w:rPr>
          <w:rFonts w:hAnsi="宋体"/>
        </w:rPr>
      </w:pPr>
      <w:r>
        <w:rPr>
          <w:rFonts w:hAnsi="宋体"/>
        </w:rPr>
        <w:t>10</w:t>
      </w:r>
      <w:r>
        <w:rPr>
          <w:rFonts w:hint="eastAsia" w:hAnsi="宋体"/>
        </w:rPr>
        <w:t>．投标保证金</w:t>
      </w:r>
    </w:p>
    <w:p>
      <w:pPr>
        <w:adjustRightInd w:val="0"/>
        <w:snapToGrid w:val="0"/>
        <w:ind w:firstLine="480"/>
        <w:rPr>
          <w:rFonts w:hAnsi="宋体"/>
        </w:rPr>
      </w:pPr>
      <w:r>
        <w:rPr>
          <w:rFonts w:hAnsi="宋体"/>
        </w:rPr>
        <w:t>10.1</w:t>
      </w:r>
      <w:r>
        <w:rPr>
          <w:rFonts w:hint="eastAsia" w:hAnsi="宋体"/>
        </w:rPr>
        <w:t>投标保证金是参加本项目投标的必要条件，保证金金额见第一章要求。</w:t>
      </w:r>
    </w:p>
    <w:p>
      <w:pPr>
        <w:shd w:val="clear" w:color="auto" w:fill="FFFFFF"/>
        <w:adjustRightInd w:val="0"/>
        <w:snapToGrid w:val="0"/>
        <w:ind w:firstLine="480"/>
        <w:rPr>
          <w:rFonts w:hAnsi="宋体"/>
        </w:rPr>
      </w:pPr>
      <w:r>
        <w:rPr>
          <w:rFonts w:hAnsi="宋体"/>
        </w:rPr>
        <w:t>10.2</w:t>
      </w:r>
      <w:r>
        <w:rPr>
          <w:rFonts w:hint="eastAsia" w:hAnsi="宋体"/>
        </w:rPr>
        <w:t>投标保证金支付形式：网上支付，支付地址为在保证金单据上必须注明项目编号、项目名称。</w:t>
      </w:r>
    </w:p>
    <w:p>
      <w:pPr>
        <w:shd w:val="clear" w:color="auto" w:fill="FFFFFF"/>
        <w:snapToGrid w:val="0"/>
        <w:ind w:firstLine="480"/>
        <w:rPr>
          <w:rFonts w:hAnsi="宋体"/>
        </w:rPr>
      </w:pPr>
      <w:r>
        <w:rPr>
          <w:rFonts w:hAnsi="宋体"/>
        </w:rPr>
        <w:t>10.3</w:t>
      </w:r>
      <w:r>
        <w:rPr>
          <w:rFonts w:hint="eastAsia" w:hAnsi="宋体"/>
        </w:rPr>
        <w:t>若投标人不按规定提交投标保证金，其投标文件将被拒绝接受。</w:t>
      </w:r>
    </w:p>
    <w:p>
      <w:pPr>
        <w:shd w:val="clear" w:color="auto" w:fill="FFFFFF"/>
        <w:snapToGrid w:val="0"/>
        <w:ind w:firstLine="480"/>
        <w:rPr>
          <w:rFonts w:hAnsi="宋体"/>
        </w:rPr>
      </w:pPr>
      <w:r>
        <w:rPr>
          <w:rFonts w:hAnsi="宋体"/>
        </w:rPr>
        <w:t>10.4</w:t>
      </w:r>
      <w:r>
        <w:rPr>
          <w:rFonts w:hint="eastAsia" w:hAnsi="宋体"/>
        </w:rPr>
        <w:t>投标保证金的退还</w:t>
      </w:r>
    </w:p>
    <w:p>
      <w:pPr>
        <w:shd w:val="clear" w:color="auto" w:fill="FFFFFF"/>
        <w:snapToGrid w:val="0"/>
        <w:ind w:firstLine="480"/>
        <w:rPr>
          <w:rFonts w:hAnsi="宋体"/>
        </w:rPr>
      </w:pPr>
      <w:r>
        <w:rPr>
          <w:rFonts w:hAnsi="宋体"/>
        </w:rPr>
        <w:t>10.4.l</w:t>
      </w:r>
      <w:r>
        <w:rPr>
          <w:rFonts w:hint="eastAsia" w:hAnsi="宋体"/>
        </w:rPr>
        <w:t>中标人的投标保证金在其与采购人签订了合同后五个工作日内无息退还。</w:t>
      </w:r>
    </w:p>
    <w:p>
      <w:pPr>
        <w:shd w:val="clear" w:color="auto" w:fill="FFFFFF"/>
        <w:snapToGrid w:val="0"/>
        <w:ind w:firstLine="480"/>
        <w:rPr>
          <w:rFonts w:hAnsi="宋体"/>
        </w:rPr>
      </w:pPr>
      <w:r>
        <w:rPr>
          <w:rFonts w:hAnsi="宋体"/>
        </w:rPr>
        <w:t>10.4.2</w:t>
      </w:r>
      <w:r>
        <w:rPr>
          <w:rFonts w:hint="eastAsia" w:hAnsi="宋体"/>
        </w:rPr>
        <w:t>落标的投标人的投标保证金将在招标代理机构发出中标通知书五个工作日内无息退还。</w:t>
      </w:r>
    </w:p>
    <w:p>
      <w:pPr>
        <w:shd w:val="clear" w:color="auto" w:fill="FFFFFF"/>
        <w:snapToGrid w:val="0"/>
        <w:ind w:firstLine="480"/>
        <w:rPr>
          <w:rFonts w:hAnsi="宋体"/>
        </w:rPr>
      </w:pPr>
      <w:r>
        <w:rPr>
          <w:rFonts w:hAnsi="宋体"/>
        </w:rPr>
        <w:t>10.5</w:t>
      </w:r>
      <w:r>
        <w:rPr>
          <w:rFonts w:hint="eastAsia" w:hAnsi="宋体"/>
        </w:rPr>
        <w:t>发生下列情况之一，投标保证金将不予退还：</w:t>
      </w:r>
    </w:p>
    <w:p>
      <w:pPr>
        <w:shd w:val="clear" w:color="auto" w:fill="FFFFFF"/>
        <w:snapToGrid w:val="0"/>
        <w:ind w:firstLine="480"/>
        <w:rPr>
          <w:rFonts w:hAnsi="宋体"/>
        </w:rPr>
      </w:pPr>
      <w:r>
        <w:rPr>
          <w:rFonts w:hint="eastAsia" w:hAnsi="宋体"/>
        </w:rPr>
        <w:t>（</w:t>
      </w:r>
      <w:r>
        <w:rPr>
          <w:rFonts w:hAnsi="宋体"/>
        </w:rPr>
        <w:t>1</w:t>
      </w:r>
      <w:r>
        <w:rPr>
          <w:rFonts w:hint="eastAsia" w:hAnsi="宋体"/>
        </w:rPr>
        <w:t>）投标人在投标有效期内撤回其投标文件的；</w:t>
      </w:r>
    </w:p>
    <w:p>
      <w:pPr>
        <w:shd w:val="clear" w:color="auto" w:fill="FFFFFF"/>
        <w:snapToGrid w:val="0"/>
        <w:ind w:firstLine="480"/>
        <w:rPr>
          <w:rFonts w:hAnsi="宋体"/>
        </w:rPr>
      </w:pPr>
      <w:r>
        <w:rPr>
          <w:rFonts w:hint="eastAsia" w:hAnsi="宋体"/>
        </w:rPr>
        <w:t>（</w:t>
      </w:r>
      <w:r>
        <w:rPr>
          <w:rFonts w:hAnsi="宋体"/>
        </w:rPr>
        <w:t>2</w:t>
      </w:r>
      <w:r>
        <w:rPr>
          <w:rFonts w:hint="eastAsia" w:hAnsi="宋体"/>
        </w:rPr>
        <w:t>）投标人不按本章规定签订合同；</w:t>
      </w:r>
    </w:p>
    <w:p>
      <w:pPr>
        <w:shd w:val="clear" w:color="auto" w:fill="FFFFFF"/>
        <w:snapToGrid w:val="0"/>
        <w:ind w:firstLine="480"/>
        <w:rPr>
          <w:rFonts w:hAnsi="宋体"/>
        </w:rPr>
      </w:pPr>
      <w:r>
        <w:rPr>
          <w:rFonts w:hint="eastAsia" w:hAnsi="宋体"/>
        </w:rPr>
        <w:t>（</w:t>
      </w:r>
      <w:r>
        <w:rPr>
          <w:rFonts w:hAnsi="宋体"/>
        </w:rPr>
        <w:t>3</w:t>
      </w:r>
      <w:r>
        <w:rPr>
          <w:rFonts w:hint="eastAsia" w:hAnsi="宋体"/>
        </w:rPr>
        <w:t>）投标人提供虚假材料谋取中标、成交的；</w:t>
      </w:r>
    </w:p>
    <w:p>
      <w:pPr>
        <w:shd w:val="clear" w:color="auto" w:fill="FFFFFF"/>
        <w:snapToGrid w:val="0"/>
        <w:ind w:firstLine="480"/>
        <w:rPr>
          <w:rFonts w:hAnsi="宋体"/>
        </w:rPr>
      </w:pPr>
      <w:r>
        <w:rPr>
          <w:rFonts w:hint="eastAsia" w:hAnsi="宋体"/>
        </w:rPr>
        <w:t>（</w:t>
      </w:r>
      <w:r>
        <w:rPr>
          <w:rFonts w:hAnsi="宋体"/>
        </w:rPr>
        <w:t>4</w:t>
      </w:r>
      <w:r>
        <w:rPr>
          <w:rFonts w:hint="eastAsia" w:hAnsi="宋体"/>
        </w:rPr>
        <w:t>）与采购人、其它投标人或者招标代理机构恶意串通的；</w:t>
      </w:r>
    </w:p>
    <w:p>
      <w:pPr>
        <w:shd w:val="clear" w:color="auto" w:fill="FFFFFF"/>
        <w:snapToGrid w:val="0"/>
        <w:ind w:firstLine="480"/>
        <w:rPr>
          <w:rFonts w:hAnsi="宋体"/>
        </w:rPr>
      </w:pPr>
      <w:r>
        <w:rPr>
          <w:rFonts w:hint="eastAsia" w:hAnsi="宋体"/>
        </w:rPr>
        <w:t>（</w:t>
      </w:r>
      <w:r>
        <w:rPr>
          <w:rFonts w:hAnsi="宋体"/>
        </w:rPr>
        <w:t>5</w:t>
      </w:r>
      <w:r>
        <w:rPr>
          <w:rFonts w:hint="eastAsia" w:hAnsi="宋体"/>
        </w:rPr>
        <w:t>）向采购人、招标代理机构、评标委员会成员行贿或者提供其他不正当利益的；</w:t>
      </w:r>
    </w:p>
    <w:p>
      <w:pPr>
        <w:shd w:val="clear" w:color="auto" w:fill="FFFFFF"/>
        <w:snapToGrid w:val="0"/>
        <w:ind w:firstLine="480"/>
        <w:rPr>
          <w:rFonts w:hAnsi="宋体"/>
        </w:rPr>
      </w:pPr>
      <w:r>
        <w:rPr>
          <w:rFonts w:hAnsi="宋体"/>
        </w:rPr>
        <w:t>11</w:t>
      </w:r>
      <w:r>
        <w:rPr>
          <w:rFonts w:hint="eastAsia" w:hAnsi="宋体"/>
        </w:rPr>
        <w:t>．投标有效期</w:t>
      </w:r>
    </w:p>
    <w:p>
      <w:pPr>
        <w:shd w:val="clear" w:color="auto" w:fill="FFFFFF"/>
        <w:snapToGrid w:val="0"/>
        <w:ind w:firstLine="480"/>
        <w:rPr>
          <w:rFonts w:hAnsi="宋体"/>
        </w:rPr>
      </w:pPr>
      <w:r>
        <w:rPr>
          <w:rFonts w:hAnsi="宋体"/>
        </w:rPr>
        <w:t>11.l</w:t>
      </w:r>
      <w:r>
        <w:rPr>
          <w:rFonts w:hint="eastAsia" w:hAnsi="宋体"/>
        </w:rPr>
        <w:t>投标有效期为从开标截止之日起计算的</w:t>
      </w:r>
      <w:r>
        <w:rPr>
          <w:rFonts w:hAnsi="宋体"/>
          <w:b/>
          <w:bCs/>
          <w:u w:val="single"/>
        </w:rPr>
        <w:t>60</w:t>
      </w:r>
      <w:r>
        <w:rPr>
          <w:rFonts w:hint="eastAsia" w:hAnsi="宋体"/>
        </w:rPr>
        <w:t>天，有效期短于此规定的投标文件将被视为无效。</w:t>
      </w:r>
    </w:p>
    <w:p>
      <w:pPr>
        <w:shd w:val="clear" w:color="auto" w:fill="FFFFFF"/>
        <w:snapToGrid w:val="0"/>
        <w:ind w:firstLine="480"/>
        <w:rPr>
          <w:rFonts w:hAnsi="宋体"/>
        </w:rPr>
      </w:pPr>
      <w:r>
        <w:rPr>
          <w:rFonts w:hAnsi="宋体"/>
        </w:rPr>
        <w:t>11.2</w:t>
      </w:r>
      <w:r>
        <w:rPr>
          <w:rFonts w:hint="eastAsia" w:hAnsi="宋体"/>
        </w:rPr>
        <w:t>在特殊情况下，招标代理机构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shd w:val="clear" w:color="auto" w:fill="FFFFFF"/>
        <w:snapToGrid w:val="0"/>
        <w:ind w:firstLine="480"/>
        <w:rPr>
          <w:rFonts w:hAnsi="宋体"/>
        </w:rPr>
      </w:pPr>
      <w:r>
        <w:rPr>
          <w:rFonts w:hAnsi="宋体"/>
        </w:rPr>
        <w:t>12</w:t>
      </w:r>
      <w:r>
        <w:rPr>
          <w:rFonts w:hint="eastAsia" w:hAnsi="宋体"/>
        </w:rPr>
        <w:t>．投标文件的数量、签署及形式</w:t>
      </w:r>
    </w:p>
    <w:p>
      <w:pPr>
        <w:shd w:val="clear" w:color="auto" w:fill="FFFFFF"/>
        <w:snapToGrid w:val="0"/>
        <w:ind w:firstLine="482"/>
        <w:rPr>
          <w:rFonts w:hAnsi="宋体"/>
          <w:b/>
        </w:rPr>
      </w:pPr>
      <w:r>
        <w:rPr>
          <w:rFonts w:hAnsi="宋体"/>
          <w:b/>
        </w:rPr>
        <w:t>12.1</w:t>
      </w:r>
      <w:r>
        <w:rPr>
          <w:rFonts w:hint="eastAsia" w:hAnsi="宋体"/>
          <w:b/>
        </w:rPr>
        <w:t>投标文件壹式伍份，固定装订。其中正本壹份，副本肆份。</w:t>
      </w:r>
    </w:p>
    <w:p>
      <w:pPr>
        <w:shd w:val="clear" w:color="auto" w:fill="FFFFFF"/>
        <w:snapToGrid w:val="0"/>
        <w:ind w:firstLine="480"/>
        <w:rPr>
          <w:rFonts w:hAnsi="宋体"/>
        </w:rPr>
      </w:pPr>
      <w:r>
        <w:rPr>
          <w:rFonts w:hAnsi="宋体"/>
        </w:rPr>
        <w:t>12.2</w:t>
      </w:r>
      <w:r>
        <w:rPr>
          <w:rFonts w:hint="eastAsia" w:hAnsi="宋体"/>
        </w:rPr>
        <w:t>投标文件须按投标文件的要求执行，每份投标文件均须在封面上清楚标明“正本”或“副本”字样，“正本”和“副本”具有同等的法律效力；“正本”和“副本”之间如有差异，以正本为准。</w:t>
      </w:r>
    </w:p>
    <w:p>
      <w:pPr>
        <w:shd w:val="clear" w:color="auto" w:fill="FFFFFF"/>
        <w:snapToGrid w:val="0"/>
        <w:ind w:firstLine="480"/>
        <w:rPr>
          <w:rFonts w:hAnsi="宋体"/>
        </w:rPr>
      </w:pPr>
      <w:r>
        <w:rPr>
          <w:rFonts w:hAnsi="宋体"/>
        </w:rPr>
        <w:t>12.3</w:t>
      </w:r>
      <w:r>
        <w:rPr>
          <w:rFonts w:hint="eastAsia" w:hAnsi="宋体"/>
        </w:rPr>
        <w:t>投标文件正本中，文字材料需打印或用不褪色墨水书写。投标文件的正本须经法人代表或授权代表签署和加盖投标人公章。</w:t>
      </w:r>
    </w:p>
    <w:p>
      <w:pPr>
        <w:shd w:val="clear" w:color="auto" w:fill="FFFFFF"/>
        <w:snapToGrid w:val="0"/>
        <w:ind w:firstLine="480"/>
        <w:rPr>
          <w:rFonts w:hAnsi="宋体"/>
        </w:rPr>
      </w:pPr>
      <w:r>
        <w:rPr>
          <w:rFonts w:hAnsi="宋体"/>
        </w:rPr>
        <w:t>12.4</w:t>
      </w:r>
      <w:r>
        <w:rPr>
          <w:rFonts w:hint="eastAsia" w:hAnsi="宋体"/>
        </w:rPr>
        <w:t>投标文件不得涂改和增删，如要修改错漏处，修改处必须由法人代表或授权代表签名、或盖公章。</w:t>
      </w:r>
    </w:p>
    <w:p>
      <w:pPr>
        <w:shd w:val="clear" w:color="auto" w:fill="FFFFFF"/>
        <w:snapToGrid w:val="0"/>
        <w:ind w:firstLine="643"/>
        <w:rPr>
          <w:rFonts w:hAnsi="宋体"/>
          <w:b/>
          <w:sz w:val="32"/>
          <w:szCs w:val="32"/>
        </w:rPr>
      </w:pPr>
      <w:r>
        <w:rPr>
          <w:rFonts w:hint="eastAsia" w:hAnsi="宋体"/>
          <w:b/>
          <w:sz w:val="32"/>
          <w:szCs w:val="32"/>
        </w:rPr>
        <w:t>四、投标文件的递交</w:t>
      </w:r>
    </w:p>
    <w:p>
      <w:pPr>
        <w:shd w:val="clear" w:color="auto" w:fill="FFFFFF"/>
        <w:snapToGrid w:val="0"/>
        <w:ind w:firstLine="480"/>
        <w:rPr>
          <w:rFonts w:hAnsi="宋体"/>
        </w:rPr>
      </w:pPr>
      <w:r>
        <w:rPr>
          <w:rFonts w:hAnsi="宋体"/>
        </w:rPr>
        <w:t>13</w:t>
      </w:r>
      <w:r>
        <w:rPr>
          <w:rFonts w:hint="eastAsia" w:hAnsi="宋体"/>
        </w:rPr>
        <w:t>．投标文件的密封及标记</w:t>
      </w:r>
    </w:p>
    <w:p>
      <w:pPr>
        <w:shd w:val="clear" w:color="auto" w:fill="FFFFFF"/>
        <w:snapToGrid w:val="0"/>
        <w:ind w:firstLine="480"/>
        <w:rPr>
          <w:rFonts w:hAnsi="宋体"/>
        </w:rPr>
      </w:pPr>
      <w:r>
        <w:rPr>
          <w:rFonts w:hAnsi="宋体"/>
        </w:rPr>
        <w:t>13</w:t>
      </w:r>
      <w:r>
        <w:rPr>
          <w:rFonts w:hint="eastAsia" w:hAnsi="宋体"/>
        </w:rPr>
        <w:t>．</w:t>
      </w:r>
      <w:r>
        <w:rPr>
          <w:rFonts w:hAnsi="宋体"/>
        </w:rPr>
        <w:t>l</w:t>
      </w:r>
      <w:r>
        <w:rPr>
          <w:rFonts w:hint="eastAsia" w:hAnsi="宋体"/>
        </w:rPr>
        <w:t>投标人应将投标文件正本和所有副本分别密封在两个报价专用袋（箱）中（正本一包，副本一包），并在报价专用袋（箱）上标明“正本”、“副本”字样，封口处应加盖骑缝章。封皮上均应写明：</w:t>
      </w:r>
    </w:p>
    <w:p>
      <w:pPr>
        <w:shd w:val="clear" w:color="auto" w:fill="FFFFFF"/>
        <w:snapToGrid w:val="0"/>
        <w:ind w:firstLine="480"/>
        <w:rPr>
          <w:rFonts w:hAnsi="宋体"/>
        </w:rPr>
      </w:pPr>
      <w:r>
        <w:rPr>
          <w:rFonts w:hint="eastAsia" w:hAnsi="宋体"/>
        </w:rPr>
        <w:t>致：海南政鼎招标代理有限公司</w:t>
      </w:r>
    </w:p>
    <w:p>
      <w:pPr>
        <w:shd w:val="clear" w:color="auto" w:fill="FFFFFF"/>
        <w:snapToGrid w:val="0"/>
        <w:ind w:firstLine="480"/>
        <w:rPr>
          <w:rFonts w:hAnsi="宋体"/>
        </w:rPr>
      </w:pPr>
      <w:r>
        <w:rPr>
          <w:rFonts w:hint="eastAsia" w:hAnsi="宋体"/>
        </w:rPr>
        <w:t>项目名称：</w:t>
      </w:r>
      <w:r>
        <w:rPr>
          <w:rFonts w:hint="eastAsia" w:hAnsi="宋体"/>
          <w:kern w:val="28"/>
          <w:szCs w:val="24"/>
        </w:rPr>
        <w:t>地理信息系统实验室建设项目</w:t>
      </w:r>
    </w:p>
    <w:p>
      <w:pPr>
        <w:shd w:val="clear" w:color="auto" w:fill="FFFFFF"/>
        <w:snapToGrid w:val="0"/>
        <w:ind w:firstLine="480"/>
        <w:rPr>
          <w:rFonts w:hAnsi="宋体"/>
        </w:rPr>
      </w:pPr>
      <w:r>
        <w:rPr>
          <w:rFonts w:hint="eastAsia" w:hAnsi="宋体"/>
        </w:rPr>
        <w:t>项目编号：</w:t>
      </w:r>
      <w:r>
        <w:rPr>
          <w:rFonts w:hint="eastAsia" w:hAnsi="宋体" w:cs="宋体"/>
          <w:szCs w:val="21"/>
        </w:rPr>
        <w:t>ZD2020-640</w:t>
      </w:r>
      <w:r>
        <w:rPr>
          <w:rFonts w:hAnsi="宋体"/>
        </w:rPr>
        <w:t xml:space="preserve">  </w:t>
      </w:r>
    </w:p>
    <w:p>
      <w:pPr>
        <w:shd w:val="clear" w:color="auto" w:fill="FFFFFF"/>
        <w:snapToGrid w:val="0"/>
        <w:ind w:firstLine="480"/>
        <w:rPr>
          <w:rFonts w:hAnsi="宋体"/>
        </w:rPr>
      </w:pPr>
      <w:r>
        <w:rPr>
          <w:rFonts w:hint="eastAsia" w:hAnsi="宋体"/>
        </w:rPr>
        <w:t>注明：“请勿在开标时间之前启封”</w:t>
      </w:r>
    </w:p>
    <w:p>
      <w:pPr>
        <w:shd w:val="clear" w:color="auto" w:fill="FFFFFF"/>
        <w:snapToGrid w:val="0"/>
        <w:ind w:firstLine="480"/>
        <w:rPr>
          <w:rFonts w:hAnsi="宋体"/>
        </w:rPr>
      </w:pPr>
      <w:r>
        <w:rPr>
          <w:rFonts w:hint="eastAsia" w:hAnsi="宋体"/>
        </w:rPr>
        <w:t>投标单位名称、联系人姓名和电话</w:t>
      </w:r>
    </w:p>
    <w:p>
      <w:pPr>
        <w:shd w:val="clear" w:color="auto" w:fill="FFFFFF"/>
        <w:snapToGrid w:val="0"/>
        <w:ind w:firstLine="480"/>
        <w:rPr>
          <w:rFonts w:hAnsi="宋体"/>
        </w:rPr>
      </w:pPr>
      <w:r>
        <w:rPr>
          <w:rFonts w:hAnsi="宋体"/>
        </w:rPr>
        <w:t>13.2</w:t>
      </w:r>
      <w:r>
        <w:rPr>
          <w:rFonts w:hint="eastAsia" w:hAnsi="宋体"/>
        </w:rPr>
        <w:t>投标文件未按上述规定书写标记和密封者，招标代理机构不对投标文件被错放或先期启封负责。</w:t>
      </w:r>
    </w:p>
    <w:p>
      <w:pPr>
        <w:shd w:val="clear" w:color="auto" w:fill="FFFFFF"/>
        <w:snapToGrid w:val="0"/>
        <w:ind w:firstLine="480"/>
        <w:rPr>
          <w:rFonts w:hAnsi="宋体"/>
        </w:rPr>
      </w:pPr>
      <w:r>
        <w:rPr>
          <w:rFonts w:hAnsi="宋体"/>
        </w:rPr>
        <w:t>14</w:t>
      </w:r>
      <w:r>
        <w:rPr>
          <w:rFonts w:hint="eastAsia" w:hAnsi="宋体"/>
        </w:rPr>
        <w:t>．投标截止时间</w:t>
      </w:r>
    </w:p>
    <w:p>
      <w:pPr>
        <w:shd w:val="clear" w:color="auto" w:fill="FFFFFF"/>
        <w:snapToGrid w:val="0"/>
        <w:ind w:firstLine="480"/>
        <w:rPr>
          <w:rFonts w:hAnsi="宋体"/>
        </w:rPr>
      </w:pPr>
      <w:r>
        <w:rPr>
          <w:rFonts w:hAnsi="宋体"/>
        </w:rPr>
        <w:t>14.l</w:t>
      </w:r>
      <w:r>
        <w:rPr>
          <w:rFonts w:hint="eastAsia" w:hAnsi="宋体"/>
        </w:rPr>
        <w:t>投标人须在投标截止时间前将投标文件送达招标代理机构规定的地点。</w:t>
      </w:r>
    </w:p>
    <w:p>
      <w:pPr>
        <w:shd w:val="clear" w:color="auto" w:fill="FFFFFF"/>
        <w:snapToGrid w:val="0"/>
        <w:ind w:firstLine="480"/>
        <w:rPr>
          <w:rFonts w:hAnsi="宋体"/>
        </w:rPr>
      </w:pPr>
      <w:r>
        <w:rPr>
          <w:rFonts w:hAnsi="宋体"/>
        </w:rPr>
        <w:t>14.2</w:t>
      </w:r>
      <w:r>
        <w:rPr>
          <w:rFonts w:hint="eastAsia" w:hAnsi="宋体"/>
        </w:rPr>
        <w:t>若招标代理机构推迟了投标截止时间，应以公告的形式通知所有投标人。在这种情况下，招标代理机构、采购人和投标人的权利和义务均应以新的截止时间为准。</w:t>
      </w:r>
    </w:p>
    <w:p>
      <w:pPr>
        <w:shd w:val="clear" w:color="auto" w:fill="FFFFFF"/>
        <w:snapToGrid w:val="0"/>
        <w:ind w:firstLine="480"/>
        <w:rPr>
          <w:rFonts w:hAnsi="宋体"/>
        </w:rPr>
      </w:pPr>
      <w:r>
        <w:rPr>
          <w:rFonts w:hAnsi="宋体"/>
        </w:rPr>
        <w:t>14.3</w:t>
      </w:r>
      <w:r>
        <w:rPr>
          <w:rFonts w:hint="eastAsia" w:hAnsi="宋体"/>
        </w:rPr>
        <w:t>在投标截止时间后递交的投标文件，招标代理机构将拒绝接受。</w:t>
      </w:r>
    </w:p>
    <w:p>
      <w:pPr>
        <w:shd w:val="clear" w:color="auto" w:fill="FFFFFF"/>
        <w:snapToGrid w:val="0"/>
        <w:ind w:firstLine="602"/>
        <w:rPr>
          <w:rFonts w:hAnsi="宋体"/>
          <w:b/>
          <w:sz w:val="30"/>
          <w:szCs w:val="30"/>
        </w:rPr>
      </w:pPr>
      <w:r>
        <w:rPr>
          <w:rFonts w:hint="eastAsia" w:hAnsi="宋体"/>
          <w:b/>
          <w:sz w:val="30"/>
          <w:szCs w:val="30"/>
        </w:rPr>
        <w:t>五、开标及评标</w:t>
      </w:r>
    </w:p>
    <w:p>
      <w:pPr>
        <w:shd w:val="clear" w:color="auto" w:fill="FFFFFF"/>
        <w:snapToGrid w:val="0"/>
        <w:ind w:firstLine="480"/>
        <w:rPr>
          <w:rFonts w:hAnsi="宋体"/>
        </w:rPr>
      </w:pPr>
      <w:r>
        <w:rPr>
          <w:rFonts w:hAnsi="宋体"/>
        </w:rPr>
        <w:t>15</w:t>
      </w:r>
      <w:r>
        <w:rPr>
          <w:rFonts w:hint="eastAsia" w:hAnsi="宋体"/>
        </w:rPr>
        <w:t>．开标</w:t>
      </w:r>
    </w:p>
    <w:p>
      <w:pPr>
        <w:shd w:val="clear" w:color="auto" w:fill="FFFFFF"/>
        <w:snapToGrid w:val="0"/>
        <w:ind w:firstLine="480"/>
        <w:rPr>
          <w:rFonts w:hAnsi="宋体"/>
        </w:rPr>
      </w:pPr>
      <w:r>
        <w:rPr>
          <w:rFonts w:hAnsi="宋体"/>
        </w:rPr>
        <w:t>15.l</w:t>
      </w:r>
      <w:r>
        <w:rPr>
          <w:rFonts w:hint="eastAsia" w:hAnsi="宋体"/>
        </w:rPr>
        <w:t>招标代理机构按投标文件第一章规定的时间和地点进行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pPr>
        <w:shd w:val="clear" w:color="auto" w:fill="FFFFFF"/>
        <w:snapToGrid w:val="0"/>
        <w:ind w:firstLine="480"/>
        <w:rPr>
          <w:rFonts w:hAnsi="宋体"/>
        </w:rPr>
      </w:pPr>
      <w:r>
        <w:rPr>
          <w:rFonts w:hAnsi="宋体"/>
        </w:rPr>
        <w:t>15.2</w:t>
      </w:r>
      <w:r>
        <w:rPr>
          <w:rFonts w:hint="eastAsia" w:hAnsi="宋体"/>
        </w:rPr>
        <w:t>政府采购主管部门、监督部门、国家公证机关公证员由其视情况决定是否派代表到现场进行监督。</w:t>
      </w:r>
    </w:p>
    <w:p>
      <w:pPr>
        <w:shd w:val="clear" w:color="auto" w:fill="FFFFFF"/>
        <w:snapToGrid w:val="0"/>
        <w:ind w:firstLine="480"/>
        <w:rPr>
          <w:rFonts w:hAnsi="宋体"/>
        </w:rPr>
      </w:pPr>
      <w:r>
        <w:rPr>
          <w:rFonts w:hAnsi="宋体"/>
        </w:rPr>
        <w:t>15.3</w:t>
      </w:r>
      <w:r>
        <w:rPr>
          <w:rFonts w:hint="eastAsia" w:hAnsi="宋体"/>
        </w:rPr>
        <w:t>开标时，投标人代表将查验投标文件密封情况，确认无误后拆封唱标，公布每份投标文件中“开标一览表”的内容，以及招标代理机构认为合适的其他内容，招标代理机构将作开标记录。</w:t>
      </w:r>
    </w:p>
    <w:p>
      <w:pPr>
        <w:shd w:val="clear" w:color="auto" w:fill="FFFFFF"/>
        <w:snapToGrid w:val="0"/>
        <w:ind w:firstLine="480"/>
        <w:rPr>
          <w:rFonts w:hAnsi="宋体"/>
        </w:rPr>
      </w:pPr>
      <w:r>
        <w:rPr>
          <w:rFonts w:hAnsi="宋体"/>
        </w:rPr>
        <w:t>15.4</w:t>
      </w:r>
      <w:r>
        <w:rPr>
          <w:rFonts w:hint="eastAsia" w:hAnsi="宋体"/>
        </w:rPr>
        <w:t>若投标文件未密封，招标代理机构将拒绝接受该投标人的投标文件。</w:t>
      </w:r>
    </w:p>
    <w:p>
      <w:pPr>
        <w:shd w:val="clear" w:color="auto" w:fill="FFFFFF"/>
        <w:snapToGrid w:val="0"/>
        <w:ind w:firstLine="480"/>
        <w:rPr>
          <w:rFonts w:hAnsi="宋体"/>
        </w:rPr>
      </w:pPr>
      <w:r>
        <w:rPr>
          <w:rFonts w:hAnsi="宋体"/>
        </w:rPr>
        <w:t>16</w:t>
      </w:r>
      <w:r>
        <w:rPr>
          <w:rFonts w:hint="eastAsia" w:hAnsi="宋体"/>
        </w:rPr>
        <w:t>．评标委员会</w:t>
      </w:r>
    </w:p>
    <w:p>
      <w:pPr>
        <w:shd w:val="clear" w:color="auto" w:fill="FFFFFF"/>
        <w:snapToGrid w:val="0"/>
        <w:ind w:firstLine="480"/>
        <w:rPr>
          <w:rFonts w:hAnsi="宋体"/>
        </w:rPr>
      </w:pPr>
      <w:r>
        <w:rPr>
          <w:rFonts w:hint="eastAsia" w:hAnsi="宋体"/>
        </w:rPr>
        <w:t>评标委员会由技术、经济等方面的专家和用户代表组成，其中技术、经济等方面的专家从专家库中随机抽取，且人数不得少于成员总数的</w:t>
      </w:r>
      <w:r>
        <w:rPr>
          <w:rFonts w:hAnsi="宋体"/>
        </w:rPr>
        <w:t>2/3</w:t>
      </w:r>
      <w:r>
        <w:rPr>
          <w:rFonts w:hint="eastAsia" w:hAnsi="宋体"/>
        </w:rPr>
        <w:t>。该评标委员会独立工作，负责评审所有投标文件并确定中标侯选人。</w:t>
      </w:r>
    </w:p>
    <w:p>
      <w:pPr>
        <w:shd w:val="clear" w:color="auto" w:fill="FFFFFF"/>
        <w:snapToGrid w:val="0"/>
        <w:ind w:firstLine="480"/>
        <w:rPr>
          <w:rFonts w:hAnsi="宋体"/>
        </w:rPr>
      </w:pPr>
      <w:r>
        <w:rPr>
          <w:rFonts w:hAnsi="宋体"/>
        </w:rPr>
        <w:t>17.</w:t>
      </w:r>
      <w:r>
        <w:rPr>
          <w:rFonts w:hint="eastAsia" w:hAnsi="宋体"/>
        </w:rPr>
        <w:t>评标</w:t>
      </w:r>
    </w:p>
    <w:p>
      <w:pPr>
        <w:shd w:val="clear" w:color="auto" w:fill="FFFFFF"/>
        <w:snapToGrid w:val="0"/>
        <w:ind w:firstLine="480"/>
        <w:rPr>
          <w:rFonts w:hAnsi="宋体"/>
        </w:rPr>
      </w:pPr>
      <w:r>
        <w:rPr>
          <w:rFonts w:hint="eastAsia" w:hAnsi="宋体"/>
        </w:rPr>
        <w:t>见“第六章评审方法和程序”。</w:t>
      </w:r>
    </w:p>
    <w:p>
      <w:pPr>
        <w:shd w:val="clear" w:color="auto" w:fill="FFFFFF"/>
        <w:snapToGrid w:val="0"/>
        <w:ind w:firstLine="643"/>
        <w:rPr>
          <w:rFonts w:hAnsi="宋体"/>
          <w:b/>
          <w:sz w:val="32"/>
          <w:szCs w:val="32"/>
        </w:rPr>
      </w:pPr>
      <w:r>
        <w:rPr>
          <w:rFonts w:hint="eastAsia" w:hAnsi="宋体"/>
          <w:b/>
          <w:sz w:val="32"/>
          <w:szCs w:val="32"/>
        </w:rPr>
        <w:t>六、授标及签约</w:t>
      </w:r>
    </w:p>
    <w:p>
      <w:pPr>
        <w:shd w:val="clear" w:color="auto" w:fill="FFFFFF"/>
        <w:snapToGrid w:val="0"/>
        <w:ind w:firstLine="480"/>
        <w:rPr>
          <w:rFonts w:hAnsi="宋体"/>
        </w:rPr>
      </w:pPr>
      <w:r>
        <w:rPr>
          <w:rFonts w:hAnsi="宋体"/>
        </w:rPr>
        <w:t>18</w:t>
      </w:r>
      <w:r>
        <w:rPr>
          <w:rFonts w:hint="eastAsia" w:hAnsi="宋体"/>
        </w:rPr>
        <w:t>．定标原则</w:t>
      </w:r>
    </w:p>
    <w:p>
      <w:pPr>
        <w:shd w:val="clear" w:color="auto" w:fill="FFFFFF"/>
        <w:snapToGrid w:val="0"/>
        <w:ind w:firstLine="480"/>
        <w:rPr>
          <w:rFonts w:hAnsi="宋体"/>
        </w:rPr>
      </w:pPr>
      <w:r>
        <w:rPr>
          <w:rFonts w:hAnsi="宋体"/>
        </w:rPr>
        <w:t>18.1</w:t>
      </w:r>
      <w:r>
        <w:rPr>
          <w:rFonts w:hint="eastAsia" w:hAnsi="宋体"/>
        </w:rPr>
        <w:t>评标委员会将严格按照投标文件的要求和条件进行评标</w:t>
      </w:r>
      <w:r>
        <w:rPr>
          <w:rFonts w:hAnsi="宋体"/>
        </w:rPr>
        <w:t>,</w:t>
      </w:r>
      <w:r>
        <w:rPr>
          <w:rFonts w:hint="eastAsia" w:hAnsi="宋体"/>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p>
    <w:p>
      <w:pPr>
        <w:shd w:val="clear" w:color="auto" w:fill="FFFFFF"/>
        <w:snapToGrid w:val="0"/>
        <w:ind w:firstLine="480"/>
        <w:rPr>
          <w:rFonts w:hAnsi="宋体"/>
        </w:rPr>
      </w:pPr>
      <w:r>
        <w:rPr>
          <w:rFonts w:hAnsi="宋体"/>
        </w:rPr>
        <w:t>18.2</w:t>
      </w:r>
      <w:r>
        <w:rPr>
          <w:rFonts w:hint="eastAsia" w:hAnsi="宋体"/>
        </w:rPr>
        <w:t>招标代理机构将在指定的网站上公示投标结果。</w:t>
      </w:r>
    </w:p>
    <w:p>
      <w:pPr>
        <w:shd w:val="clear" w:color="auto" w:fill="FFFFFF"/>
        <w:snapToGrid w:val="0"/>
        <w:ind w:firstLine="480"/>
        <w:rPr>
          <w:rFonts w:hAnsi="宋体"/>
        </w:rPr>
      </w:pPr>
      <w:r>
        <w:rPr>
          <w:rFonts w:hAnsi="宋体"/>
        </w:rPr>
        <w:t>19.</w:t>
      </w:r>
      <w:r>
        <w:rPr>
          <w:rFonts w:hint="eastAsia" w:hAnsi="宋体"/>
        </w:rPr>
        <w:t>质疑处理</w:t>
      </w:r>
    </w:p>
    <w:p>
      <w:pPr>
        <w:shd w:val="clear" w:color="auto" w:fill="FFFFFF"/>
        <w:snapToGrid w:val="0"/>
        <w:ind w:firstLine="480"/>
        <w:rPr>
          <w:rFonts w:hAnsi="宋体"/>
        </w:rPr>
      </w:pPr>
      <w:r>
        <w:rPr>
          <w:rFonts w:hAnsi="宋体"/>
        </w:rPr>
        <w:t>19.1</w:t>
      </w:r>
      <w:r>
        <w:rPr>
          <w:rFonts w:hint="eastAsia" w:hAnsi="宋体"/>
        </w:rPr>
        <w:t>投标人如认为招标文件、招标过程和中标结果使自己的权益受到损害的，应在知道或应知道其权益受到损害之日起七个工作日内以书面形式向招标代理机构提出质疑。匿名、非书面形式、七个工作日之外的质疑均不予受理。</w:t>
      </w:r>
    </w:p>
    <w:p>
      <w:pPr>
        <w:shd w:val="clear" w:color="auto" w:fill="FFFFFF"/>
        <w:snapToGrid w:val="0"/>
        <w:ind w:firstLine="480"/>
        <w:rPr>
          <w:rFonts w:hAnsi="宋体"/>
        </w:rPr>
      </w:pPr>
      <w:r>
        <w:rPr>
          <w:rFonts w:hAnsi="宋体"/>
        </w:rPr>
        <w:t>19.</w:t>
      </w:r>
      <w:r>
        <w:rPr>
          <w:rFonts w:hint="eastAsia" w:hAnsi="宋体"/>
        </w:rPr>
        <w:t>2质疑涵应当包括但不限于下列内容：供应商的名称、地址、邮编、联系人及联系电话：质疑项目的名称、编号；质疑事项；事实依据和证明材料；法律依据；提出质疑的日期。质疑函必须由提出质疑的供应商的法定代表人亲笔签署，并加盖企业法人公章。</w:t>
      </w:r>
    </w:p>
    <w:p>
      <w:pPr>
        <w:numPr>
          <w:ilvl w:val="0"/>
          <w:numId w:val="1"/>
        </w:numPr>
        <w:shd w:val="clear" w:color="auto" w:fill="FFFFFF"/>
        <w:snapToGrid w:val="0"/>
        <w:ind w:firstLine="480"/>
        <w:rPr>
          <w:rFonts w:hAnsi="宋体"/>
        </w:rPr>
      </w:pPr>
      <w:r>
        <w:rPr>
          <w:rFonts w:hint="eastAsia" w:hAnsi="宋体"/>
        </w:rPr>
        <w:t>中标通知</w:t>
      </w:r>
    </w:p>
    <w:p>
      <w:pPr>
        <w:shd w:val="clear" w:color="auto" w:fill="FFFFFF"/>
        <w:snapToGrid w:val="0"/>
        <w:ind w:firstLine="480"/>
        <w:rPr>
          <w:rFonts w:hAnsi="宋体"/>
        </w:rPr>
      </w:pPr>
      <w:r>
        <w:rPr>
          <w:rFonts w:hAnsi="宋体"/>
        </w:rPr>
        <w:t>20.l</w:t>
      </w:r>
      <w:r>
        <w:rPr>
          <w:rFonts w:hint="eastAsia" w:hAnsi="宋体"/>
        </w:rPr>
        <w:t>中标人公告之前，采购人有权对中标候选人诚信履约的能力进行最后审查。审查方式包括询问、调查、考察、要求中标候选人作出履约承诺或担保等。如果发现中标候选人提供了虚假材料，在投标响应中有故意隐瞒或者虚报的情节，在以往的中标项目中有不诚信履约的情形，不能按照采购人要求作出相应的履约或担保等，采购人有权否决其中标资格，按顺序确定排名随后的中标候选人中标。</w:t>
      </w:r>
    </w:p>
    <w:p>
      <w:pPr>
        <w:shd w:val="clear" w:color="auto" w:fill="FFFFFF"/>
        <w:snapToGrid w:val="0"/>
        <w:ind w:firstLine="480"/>
        <w:rPr>
          <w:rFonts w:hAnsi="宋体"/>
        </w:rPr>
      </w:pPr>
      <w:r>
        <w:rPr>
          <w:rFonts w:hAnsi="宋体"/>
        </w:rPr>
        <w:t>20.</w:t>
      </w:r>
      <w:r>
        <w:rPr>
          <w:rFonts w:hint="eastAsia" w:hAnsi="宋体"/>
        </w:rPr>
        <w:t>2定标后</w:t>
      </w:r>
      <w:r>
        <w:rPr>
          <w:rFonts w:hAnsi="宋体"/>
        </w:rPr>
        <w:t>,</w:t>
      </w:r>
      <w:r>
        <w:rPr>
          <w:rFonts w:hint="eastAsia" w:hAnsi="宋体"/>
        </w:rPr>
        <w:t>招标代理机构应将定标结果通知所有的投标人。</w:t>
      </w:r>
    </w:p>
    <w:p>
      <w:pPr>
        <w:shd w:val="clear" w:color="auto" w:fill="FFFFFF"/>
        <w:snapToGrid w:val="0"/>
        <w:ind w:firstLine="480"/>
        <w:rPr>
          <w:rFonts w:hAnsi="宋体"/>
        </w:rPr>
      </w:pPr>
      <w:r>
        <w:rPr>
          <w:rFonts w:hAnsi="宋体"/>
        </w:rPr>
        <w:t>20.</w:t>
      </w:r>
      <w:r>
        <w:rPr>
          <w:rFonts w:hint="eastAsia" w:hAnsi="宋体"/>
        </w:rPr>
        <w:t>3中标人收到中标通知后，应在规定时间内到招标代理机构处领取中标通知书，并办理相关手续。</w:t>
      </w:r>
    </w:p>
    <w:p>
      <w:pPr>
        <w:shd w:val="clear" w:color="auto" w:fill="FFFFFF"/>
        <w:snapToGrid w:val="0"/>
        <w:ind w:firstLine="480"/>
        <w:rPr>
          <w:rFonts w:hAnsi="宋体"/>
        </w:rPr>
      </w:pPr>
      <w:r>
        <w:rPr>
          <w:rFonts w:hAnsi="宋体"/>
        </w:rPr>
        <w:t>20.</w:t>
      </w:r>
      <w:r>
        <w:rPr>
          <w:rFonts w:hint="eastAsia" w:hAnsi="宋体"/>
        </w:rPr>
        <w:t>4中标通知书将是合同的一个组成部分。</w:t>
      </w:r>
    </w:p>
    <w:p>
      <w:pPr>
        <w:numPr>
          <w:ilvl w:val="0"/>
          <w:numId w:val="2"/>
        </w:numPr>
        <w:shd w:val="clear" w:color="auto" w:fill="FFFFFF"/>
        <w:snapToGrid w:val="0"/>
        <w:ind w:firstLine="480"/>
        <w:rPr>
          <w:rFonts w:hAnsi="宋体"/>
        </w:rPr>
      </w:pPr>
      <w:r>
        <w:rPr>
          <w:rFonts w:hint="eastAsia" w:hAnsi="宋体"/>
        </w:rPr>
        <w:t>签订合同</w:t>
      </w:r>
    </w:p>
    <w:p>
      <w:pPr>
        <w:shd w:val="clear" w:color="auto" w:fill="FFFFFF"/>
        <w:snapToGrid w:val="0"/>
        <w:ind w:firstLine="480"/>
        <w:rPr>
          <w:rFonts w:hAnsi="宋体"/>
        </w:rPr>
      </w:pPr>
      <w:r>
        <w:rPr>
          <w:rFonts w:hAnsi="宋体"/>
        </w:rPr>
        <w:t>21.l</w:t>
      </w:r>
      <w:r>
        <w:rPr>
          <w:rFonts w:hint="eastAsia" w:hAnsi="宋体"/>
        </w:rPr>
        <w:t>中标人应按中标通知书规定的时间、地点与采购人签订中标合同</w:t>
      </w:r>
      <w:r>
        <w:rPr>
          <w:rFonts w:hAnsi="宋体"/>
        </w:rPr>
        <w:t>,</w:t>
      </w:r>
      <w:r>
        <w:rPr>
          <w:rFonts w:hint="eastAsia" w:hAnsi="宋体"/>
        </w:rPr>
        <w:t>否则投标保证金将不予退还，给采购人和招标代理机构造成损失的，投标人还应承担赔偿责任。</w:t>
      </w:r>
    </w:p>
    <w:p>
      <w:pPr>
        <w:shd w:val="clear" w:color="auto" w:fill="FFFFFF"/>
        <w:snapToGrid w:val="0"/>
        <w:ind w:firstLine="480"/>
        <w:rPr>
          <w:rFonts w:hAnsi="宋体"/>
        </w:rPr>
      </w:pPr>
      <w:r>
        <w:rPr>
          <w:rFonts w:hAnsi="宋体"/>
        </w:rPr>
        <w:t>21.2</w:t>
      </w:r>
      <w:r>
        <w:rPr>
          <w:rFonts w:hint="eastAsia" w:hAnsi="宋体"/>
        </w:rPr>
        <w:t>投标文件、中标人的投标文件及评标过程中有关澄清文件均应作为合同附件。</w:t>
      </w:r>
    </w:p>
    <w:p>
      <w:pPr>
        <w:shd w:val="clear" w:color="auto" w:fill="FFFFFF"/>
        <w:snapToGrid w:val="0"/>
        <w:ind w:firstLine="480"/>
        <w:rPr>
          <w:rFonts w:hAnsi="宋体"/>
        </w:rPr>
      </w:pPr>
      <w:r>
        <w:rPr>
          <w:rFonts w:hAnsi="宋体"/>
        </w:rPr>
        <w:t>22</w:t>
      </w:r>
      <w:r>
        <w:rPr>
          <w:rFonts w:hint="eastAsia" w:hAnsi="宋体"/>
        </w:rPr>
        <w:t>．招标代理服务费</w:t>
      </w:r>
    </w:p>
    <w:p>
      <w:pPr>
        <w:snapToGrid w:val="0"/>
        <w:ind w:firstLine="480"/>
        <w:rPr>
          <w:rFonts w:hAnsi="宋体"/>
          <w:szCs w:val="24"/>
        </w:rPr>
      </w:pPr>
      <w:r>
        <w:rPr>
          <w:rFonts w:hint="eastAsia" w:hAnsi="宋体"/>
          <w:szCs w:val="24"/>
        </w:rPr>
        <w:t>根据项目预算按计价格[2002]1980号文相关规定向中标人收取中标服务费</w:t>
      </w:r>
      <w:r>
        <w:rPr>
          <w:rFonts w:hint="eastAsia" w:hAnsi="宋体"/>
        </w:rPr>
        <w:t>。</w:t>
      </w:r>
    </w:p>
    <w:p>
      <w:pPr>
        <w:shd w:val="clear" w:color="auto" w:fill="FFFFFF"/>
        <w:snapToGrid w:val="0"/>
        <w:ind w:firstLine="482"/>
        <w:rPr>
          <w:rFonts w:hAnsi="宋体"/>
          <w:b/>
          <w:bCs/>
          <w:szCs w:val="24"/>
        </w:rPr>
      </w:pPr>
      <w:r>
        <w:rPr>
          <w:rFonts w:hAnsi="宋体"/>
          <w:b/>
          <w:bCs/>
        </w:rPr>
        <w:t>23.</w:t>
      </w:r>
      <w:r>
        <w:rPr>
          <w:rFonts w:hint="eastAsia" w:hAnsi="宋体"/>
          <w:b/>
          <w:bCs/>
          <w:szCs w:val="24"/>
        </w:rPr>
        <w:t>关于政策性加分</w:t>
      </w:r>
    </w:p>
    <w:p>
      <w:pPr>
        <w:snapToGrid w:val="0"/>
        <w:ind w:firstLine="480"/>
        <w:rPr>
          <w:rFonts w:hAnsi="宋体"/>
          <w:szCs w:val="24"/>
        </w:rPr>
      </w:pPr>
      <w:r>
        <w:rPr>
          <w:rFonts w:hAnsi="宋体"/>
          <w:szCs w:val="24"/>
        </w:rPr>
        <w:t>23.1</w:t>
      </w:r>
      <w:r>
        <w:rPr>
          <w:rFonts w:hint="eastAsia" w:hAnsi="宋体"/>
          <w:szCs w:val="24"/>
        </w:rPr>
        <w:t>所投分包</w:t>
      </w:r>
      <w:r>
        <w:rPr>
          <w:rFonts w:hAnsi="宋体"/>
          <w:szCs w:val="24"/>
        </w:rPr>
        <w:t>(</w:t>
      </w:r>
      <w:r>
        <w:rPr>
          <w:rFonts w:hint="eastAsia" w:hAnsi="宋体"/>
          <w:szCs w:val="24"/>
        </w:rPr>
        <w:t>如不分包则指本项目</w:t>
      </w:r>
      <w:r>
        <w:rPr>
          <w:rFonts w:hAnsi="宋体"/>
          <w:szCs w:val="24"/>
        </w:rPr>
        <w:t>)</w:t>
      </w:r>
      <w:r>
        <w:rPr>
          <w:rFonts w:hint="eastAsia" w:hAnsi="宋体"/>
          <w:szCs w:val="24"/>
        </w:rPr>
        <w:t>的所有投标产品进入当期节能清单的，其评标价</w:t>
      </w:r>
      <w:r>
        <w:rPr>
          <w:rFonts w:hAnsi="宋体"/>
          <w:szCs w:val="24"/>
        </w:rPr>
        <w:t>=</w:t>
      </w:r>
      <w:r>
        <w:rPr>
          <w:rFonts w:hint="eastAsia" w:hAnsi="宋体"/>
          <w:szCs w:val="24"/>
        </w:rPr>
        <w:t>投标报价</w:t>
      </w:r>
      <w:r>
        <w:rPr>
          <w:rFonts w:hAnsi="宋体"/>
          <w:szCs w:val="24"/>
        </w:rPr>
        <w:t>*</w:t>
      </w:r>
      <w:r>
        <w:rPr>
          <w:rFonts w:hint="eastAsia" w:hAnsi="宋体"/>
          <w:szCs w:val="24"/>
        </w:rPr>
        <w:t>（</w:t>
      </w:r>
      <w:r>
        <w:rPr>
          <w:rFonts w:hAnsi="宋体"/>
          <w:szCs w:val="24"/>
        </w:rPr>
        <w:t>1-2%</w:t>
      </w:r>
      <w:r>
        <w:rPr>
          <w:rFonts w:hint="eastAsia" w:hAnsi="宋体"/>
          <w:szCs w:val="24"/>
        </w:rPr>
        <w:t>）；投标人所投产品满足此规定的，必须提供声明函并提供相关证明文件。</w:t>
      </w:r>
      <w:r>
        <w:rPr>
          <w:rFonts w:hAnsi="宋体"/>
          <w:szCs w:val="24"/>
        </w:rPr>
        <w:t xml:space="preserve"> </w:t>
      </w:r>
    </w:p>
    <w:p>
      <w:pPr>
        <w:snapToGrid w:val="0"/>
        <w:ind w:firstLine="480"/>
        <w:rPr>
          <w:rFonts w:hAnsi="宋体"/>
          <w:szCs w:val="24"/>
        </w:rPr>
      </w:pPr>
      <w:r>
        <w:rPr>
          <w:rFonts w:hAnsi="宋体"/>
          <w:szCs w:val="24"/>
        </w:rPr>
        <w:t>23.2</w:t>
      </w:r>
      <w:r>
        <w:rPr>
          <w:rFonts w:hint="eastAsia" w:hAnsi="宋体"/>
          <w:szCs w:val="24"/>
        </w:rPr>
        <w:t>所投分包</w:t>
      </w:r>
      <w:r>
        <w:rPr>
          <w:rFonts w:hAnsi="宋体"/>
          <w:szCs w:val="24"/>
        </w:rPr>
        <w:t>(</w:t>
      </w:r>
      <w:r>
        <w:rPr>
          <w:rFonts w:hint="eastAsia" w:hAnsi="宋体"/>
          <w:szCs w:val="24"/>
        </w:rPr>
        <w:t>如不分包则指本项目</w:t>
      </w:r>
      <w:r>
        <w:rPr>
          <w:rFonts w:hAnsi="宋体"/>
          <w:szCs w:val="24"/>
        </w:rPr>
        <w:t>)</w:t>
      </w:r>
      <w:r>
        <w:rPr>
          <w:rFonts w:hint="eastAsia" w:hAnsi="宋体"/>
          <w:szCs w:val="24"/>
        </w:rPr>
        <w:t>的所有投标产品进入当期环保清单的，其评标价</w:t>
      </w:r>
      <w:r>
        <w:rPr>
          <w:rFonts w:hAnsi="宋体"/>
          <w:szCs w:val="24"/>
        </w:rPr>
        <w:t>=</w:t>
      </w:r>
      <w:r>
        <w:rPr>
          <w:rFonts w:hint="eastAsia" w:hAnsi="宋体"/>
          <w:szCs w:val="24"/>
        </w:rPr>
        <w:t>投标报价</w:t>
      </w:r>
      <w:r>
        <w:rPr>
          <w:rFonts w:hAnsi="宋体"/>
          <w:szCs w:val="24"/>
        </w:rPr>
        <w:t>*</w:t>
      </w:r>
      <w:r>
        <w:rPr>
          <w:rFonts w:hint="eastAsia" w:hAnsi="宋体"/>
          <w:szCs w:val="24"/>
        </w:rPr>
        <w:t>（</w:t>
      </w:r>
      <w:r>
        <w:rPr>
          <w:rFonts w:hAnsi="宋体"/>
          <w:szCs w:val="24"/>
        </w:rPr>
        <w:t>1-1%</w:t>
      </w:r>
      <w:r>
        <w:rPr>
          <w:rFonts w:hint="eastAsia" w:hAnsi="宋体"/>
          <w:szCs w:val="24"/>
        </w:rPr>
        <w:t>）；投标人所投产品满足此规定的，必须提供声明函并提供相关证明文件。</w:t>
      </w:r>
    </w:p>
    <w:p>
      <w:pPr>
        <w:snapToGrid w:val="0"/>
        <w:ind w:firstLine="480"/>
        <w:rPr>
          <w:rFonts w:hAnsi="宋体"/>
          <w:szCs w:val="24"/>
        </w:rPr>
      </w:pPr>
      <w:r>
        <w:rPr>
          <w:rFonts w:hAnsi="宋体"/>
          <w:szCs w:val="24"/>
        </w:rPr>
        <w:t>23.3</w:t>
      </w:r>
      <w:r>
        <w:rPr>
          <w:rFonts w:hint="eastAsia" w:hAnsi="宋体"/>
          <w:szCs w:val="24"/>
        </w:rPr>
        <w:t>投标人为小型和微型企业（含联合体）的情况：</w:t>
      </w:r>
    </w:p>
    <w:p>
      <w:pPr>
        <w:snapToGrid w:val="0"/>
        <w:ind w:firstLine="480"/>
        <w:rPr>
          <w:rFonts w:hAnsi="宋体"/>
          <w:szCs w:val="24"/>
        </w:rPr>
      </w:pPr>
      <w:r>
        <w:rPr>
          <w:rFonts w:hAnsi="宋体"/>
          <w:szCs w:val="24"/>
        </w:rPr>
        <w:t>23.3.1</w:t>
      </w:r>
      <w:r>
        <w:rPr>
          <w:rFonts w:hint="eastAsia" w:hAnsi="宋体"/>
          <w:szCs w:val="24"/>
        </w:rPr>
        <w:t>中小企业的认定标准：</w:t>
      </w:r>
    </w:p>
    <w:p>
      <w:pPr>
        <w:snapToGrid w:val="0"/>
        <w:ind w:firstLine="480"/>
        <w:rPr>
          <w:rFonts w:hAnsi="宋体"/>
          <w:szCs w:val="24"/>
        </w:rPr>
      </w:pPr>
      <w:r>
        <w:rPr>
          <w:rFonts w:hAnsi="宋体"/>
          <w:szCs w:val="24"/>
        </w:rPr>
        <w:t>1</w:t>
      </w:r>
      <w:r>
        <w:rPr>
          <w:rFonts w:hint="eastAsia" w:hAnsi="宋体"/>
          <w:szCs w:val="24"/>
        </w:rPr>
        <w:t>）提供本企业制造的货物、承担的工程或者服务，或者提供其他中小企业制造的货物，不包括提供或使用大型企业注册商标的货物；</w:t>
      </w:r>
    </w:p>
    <w:p>
      <w:pPr>
        <w:snapToGrid w:val="0"/>
        <w:ind w:firstLine="480"/>
        <w:rPr>
          <w:rFonts w:hAnsi="宋体"/>
          <w:szCs w:val="24"/>
        </w:rPr>
      </w:pPr>
      <w:r>
        <w:rPr>
          <w:rFonts w:hAnsi="宋体"/>
          <w:szCs w:val="24"/>
        </w:rPr>
        <w:t>2</w:t>
      </w:r>
      <w:r>
        <w:rPr>
          <w:rFonts w:hint="eastAsia" w:hAnsi="宋体"/>
          <w:szCs w:val="24"/>
        </w:rPr>
        <w:t>）本规定所称中小企业划分标准，是指国务院有关部门根据企业从业人员、营业收入、资产总额等指标制定的中小企业划型标准（工信部联企业〔</w:t>
      </w:r>
      <w:r>
        <w:rPr>
          <w:rFonts w:hAnsi="宋体"/>
          <w:szCs w:val="24"/>
        </w:rPr>
        <w:t>2011</w:t>
      </w:r>
      <w:r>
        <w:rPr>
          <w:rFonts w:hint="eastAsia" w:hAnsi="宋体"/>
          <w:szCs w:val="24"/>
        </w:rPr>
        <w:t>〕</w:t>
      </w:r>
      <w:r>
        <w:rPr>
          <w:rFonts w:hAnsi="宋体"/>
          <w:szCs w:val="24"/>
        </w:rPr>
        <w:t>300</w:t>
      </w:r>
      <w:r>
        <w:rPr>
          <w:rFonts w:hint="eastAsia" w:hAnsi="宋体"/>
          <w:szCs w:val="24"/>
        </w:rPr>
        <w:t>号）；</w:t>
      </w:r>
    </w:p>
    <w:p>
      <w:pPr>
        <w:snapToGrid w:val="0"/>
        <w:ind w:firstLine="480"/>
        <w:rPr>
          <w:rFonts w:hAnsi="宋体"/>
          <w:szCs w:val="24"/>
        </w:rPr>
      </w:pPr>
      <w:r>
        <w:rPr>
          <w:rFonts w:hAnsi="宋体"/>
          <w:szCs w:val="24"/>
        </w:rPr>
        <w:t>3</w:t>
      </w:r>
      <w:r>
        <w:rPr>
          <w:rFonts w:hint="eastAsia" w:hAnsi="宋体"/>
          <w:szCs w:val="24"/>
        </w:rPr>
        <w:t>）小型、微型企业提供有中型企业制造的货物的，视同为中型企业；小型、微型、中型企业提供有大型企业制造的货物的，视同为大型企业。</w:t>
      </w:r>
    </w:p>
    <w:p>
      <w:pPr>
        <w:snapToGrid w:val="0"/>
        <w:ind w:firstLine="480"/>
        <w:rPr>
          <w:rFonts w:hAnsi="宋体"/>
          <w:szCs w:val="24"/>
        </w:rPr>
      </w:pPr>
      <w:r>
        <w:rPr>
          <w:rFonts w:hAnsi="宋体"/>
          <w:szCs w:val="24"/>
        </w:rPr>
        <w:t>4</w:t>
      </w:r>
      <w:r>
        <w:rPr>
          <w:rFonts w:hint="eastAsia" w:hAnsi="宋体"/>
          <w:szCs w:val="24"/>
        </w:rPr>
        <w:t>）监狱企业视同为小型、微型企业。</w:t>
      </w:r>
    </w:p>
    <w:p>
      <w:pPr>
        <w:snapToGrid w:val="0"/>
        <w:ind w:firstLine="480"/>
        <w:rPr>
          <w:rFonts w:hAnsi="宋体"/>
          <w:szCs w:val="24"/>
        </w:rPr>
      </w:pPr>
      <w:r>
        <w:rPr>
          <w:rFonts w:hAnsi="宋体"/>
          <w:szCs w:val="24"/>
        </w:rPr>
        <w:t>23.3.2</w:t>
      </w:r>
      <w:r>
        <w:rPr>
          <w:rFonts w:hint="eastAsia" w:hAnsi="宋体"/>
          <w:szCs w:val="24"/>
        </w:rPr>
        <w:t>具体评审价说明：</w:t>
      </w:r>
    </w:p>
    <w:p>
      <w:pPr>
        <w:snapToGrid w:val="0"/>
        <w:ind w:firstLine="480"/>
        <w:rPr>
          <w:rFonts w:hAnsi="宋体"/>
          <w:szCs w:val="24"/>
        </w:rPr>
      </w:pPr>
      <w:r>
        <w:rPr>
          <w:rFonts w:hAnsi="宋体"/>
          <w:szCs w:val="24"/>
        </w:rPr>
        <w:t>1</w:t>
      </w:r>
      <w:r>
        <w:rPr>
          <w:rFonts w:hint="eastAsia" w:hAnsi="宋体"/>
          <w:szCs w:val="24"/>
        </w:rPr>
        <w:t>）投标人为小型或微型企业，其评审价</w:t>
      </w:r>
      <w:r>
        <w:rPr>
          <w:rFonts w:hAnsi="宋体"/>
          <w:szCs w:val="24"/>
        </w:rPr>
        <w:t>=</w:t>
      </w:r>
      <w:r>
        <w:rPr>
          <w:rFonts w:hint="eastAsia" w:hAnsi="宋体"/>
          <w:szCs w:val="24"/>
        </w:rPr>
        <w:t>投标报价</w:t>
      </w:r>
      <w:r>
        <w:rPr>
          <w:rFonts w:hAnsi="宋体"/>
          <w:szCs w:val="24"/>
        </w:rPr>
        <w:t>*</w:t>
      </w:r>
      <w:r>
        <w:rPr>
          <w:rFonts w:hint="eastAsia" w:hAnsi="宋体"/>
          <w:szCs w:val="24"/>
        </w:rPr>
        <w:t>（</w:t>
      </w:r>
      <w:r>
        <w:rPr>
          <w:rFonts w:hAnsi="宋体"/>
          <w:szCs w:val="24"/>
        </w:rPr>
        <w:t>1-6%</w:t>
      </w:r>
      <w:r>
        <w:rPr>
          <w:rFonts w:hint="eastAsia" w:hAnsi="宋体"/>
          <w:szCs w:val="24"/>
        </w:rPr>
        <w:t>）；</w:t>
      </w:r>
    </w:p>
    <w:p>
      <w:pPr>
        <w:snapToGrid w:val="0"/>
        <w:ind w:firstLine="480"/>
        <w:rPr>
          <w:rFonts w:hAnsi="宋体"/>
          <w:b/>
          <w:bCs/>
          <w:szCs w:val="24"/>
        </w:rPr>
      </w:pPr>
      <w:r>
        <w:rPr>
          <w:rFonts w:hAnsi="宋体"/>
          <w:szCs w:val="24"/>
        </w:rPr>
        <w:t xml:space="preserve">23.3.3 </w:t>
      </w:r>
      <w:r>
        <w:rPr>
          <w:rFonts w:hint="eastAsia" w:hAnsi="宋体"/>
          <w:szCs w:val="24"/>
        </w:rPr>
        <w:t>投标人为工信部联企业〔</w:t>
      </w:r>
      <w:r>
        <w:rPr>
          <w:rFonts w:hAnsi="宋体"/>
          <w:szCs w:val="24"/>
        </w:rPr>
        <w:t>2011</w:t>
      </w:r>
      <w:r>
        <w:rPr>
          <w:rFonts w:hint="eastAsia" w:hAnsi="宋体"/>
          <w:szCs w:val="24"/>
        </w:rPr>
        <w:t>〕</w:t>
      </w:r>
      <w:r>
        <w:rPr>
          <w:rFonts w:hAnsi="宋体"/>
          <w:szCs w:val="24"/>
        </w:rPr>
        <w:t>300</w:t>
      </w:r>
      <w:r>
        <w:rPr>
          <w:rFonts w:hint="eastAsia" w:hAnsi="宋体"/>
          <w:szCs w:val="24"/>
        </w:rPr>
        <w:t>号文规定的小型和微型企业（含联合体）的，必须</w:t>
      </w:r>
      <w:bookmarkStart w:id="21" w:name="_Toc320093686"/>
      <w:r>
        <w:rPr>
          <w:rFonts w:hint="eastAsia" w:hAnsi="宋体"/>
          <w:szCs w:val="24"/>
        </w:rPr>
        <w:t>如实填写“中小企业声明函”（内容、格式见财库〔</w:t>
      </w:r>
      <w:r>
        <w:rPr>
          <w:rFonts w:hAnsi="宋体"/>
          <w:szCs w:val="24"/>
        </w:rPr>
        <w:t>2011</w:t>
      </w:r>
      <w:r>
        <w:rPr>
          <w:rFonts w:hint="eastAsia" w:hAnsi="宋体"/>
          <w:szCs w:val="24"/>
        </w:rPr>
        <w:t>〕</w:t>
      </w:r>
      <w:r>
        <w:rPr>
          <w:rFonts w:hAnsi="宋体"/>
          <w:szCs w:val="24"/>
        </w:rPr>
        <w:t>181</w:t>
      </w:r>
      <w:r>
        <w:rPr>
          <w:rFonts w:hint="eastAsia" w:hAnsi="宋体"/>
          <w:szCs w:val="24"/>
        </w:rPr>
        <w:t>号）</w:t>
      </w:r>
      <w:bookmarkEnd w:id="21"/>
      <w:r>
        <w:rPr>
          <w:rFonts w:hint="eastAsia" w:hAnsi="宋体"/>
          <w:szCs w:val="24"/>
        </w:rPr>
        <w:t>，并提供中小企业认定机构的证明材料，否则无效。</w:t>
      </w:r>
      <w:r>
        <w:rPr>
          <w:rFonts w:hint="eastAsia" w:hAnsi="宋体"/>
          <w:b/>
          <w:bCs/>
          <w:szCs w:val="24"/>
        </w:rPr>
        <w:t>如有虚假骗取政策性加分，将依法承担相应责任。</w:t>
      </w:r>
    </w:p>
    <w:p>
      <w:pPr>
        <w:shd w:val="clear" w:color="auto" w:fill="FFFFFF"/>
        <w:snapToGrid w:val="0"/>
        <w:ind w:firstLine="480"/>
        <w:rPr>
          <w:rFonts w:hAnsi="宋体"/>
        </w:rPr>
      </w:pPr>
      <w:r>
        <w:rPr>
          <w:rFonts w:hAnsi="宋体"/>
        </w:rPr>
        <w:t>24.</w:t>
      </w:r>
      <w:r>
        <w:rPr>
          <w:rFonts w:hint="eastAsia" w:hAnsi="宋体"/>
        </w:rPr>
        <w:t>其它</w:t>
      </w:r>
    </w:p>
    <w:p>
      <w:pPr>
        <w:shd w:val="clear" w:color="auto" w:fill="FFFFFF"/>
        <w:snapToGrid w:val="0"/>
        <w:ind w:firstLine="480"/>
        <w:rPr>
          <w:rFonts w:hAnsi="宋体"/>
        </w:rPr>
      </w:pPr>
      <w:r>
        <w:rPr>
          <w:rFonts w:hint="eastAsia" w:hAnsi="宋体"/>
        </w:rPr>
        <w:t>本项目不召开答疑会。</w:t>
      </w:r>
    </w:p>
    <w:p>
      <w:pPr>
        <w:pStyle w:val="4"/>
        <w:shd w:val="clear" w:color="auto" w:fill="FFFFFF"/>
        <w:spacing w:after="120" w:line="360" w:lineRule="auto"/>
        <w:ind w:firstLine="2209" w:firstLineChars="500"/>
        <w:jc w:val="both"/>
        <w:rPr>
          <w:rFonts w:hAnsi="宋体"/>
        </w:rPr>
      </w:pPr>
      <w:bookmarkStart w:id="22" w:name="_Toc476664368"/>
      <w:bookmarkStart w:id="23" w:name="_Toc476667948"/>
      <w:bookmarkStart w:id="24" w:name="_Toc476643559"/>
    </w:p>
    <w:p>
      <w:pPr>
        <w:pStyle w:val="4"/>
        <w:shd w:val="clear" w:color="auto" w:fill="FFFFFF"/>
        <w:spacing w:after="120" w:line="360" w:lineRule="auto"/>
        <w:ind w:firstLine="2209" w:firstLineChars="500"/>
        <w:jc w:val="both"/>
        <w:rPr>
          <w:rFonts w:hAnsi="宋体"/>
        </w:rPr>
      </w:pPr>
    </w:p>
    <w:p>
      <w:pPr>
        <w:pStyle w:val="4"/>
        <w:shd w:val="clear" w:color="auto" w:fill="FFFFFF"/>
        <w:spacing w:after="120" w:line="360" w:lineRule="auto"/>
        <w:ind w:firstLine="2650" w:firstLineChars="600"/>
        <w:jc w:val="both"/>
        <w:rPr>
          <w:rFonts w:hint="eastAsia"/>
        </w:rPr>
      </w:pPr>
      <w:r>
        <w:rPr>
          <w:rFonts w:hint="eastAsia" w:hAnsi="宋体"/>
        </w:rPr>
        <w:t>第三章</w:t>
      </w:r>
      <w:r>
        <w:rPr>
          <w:rFonts w:hAnsi="宋体"/>
        </w:rPr>
        <w:t xml:space="preserve"> </w:t>
      </w:r>
      <w:r>
        <w:rPr>
          <w:rFonts w:hint="eastAsia" w:hAnsi="宋体"/>
        </w:rPr>
        <w:t>用户需求书</w:t>
      </w:r>
      <w:bookmarkEnd w:id="22"/>
      <w:bookmarkEnd w:id="23"/>
      <w:bookmarkEnd w:id="24"/>
    </w:p>
    <w:p>
      <w:pPr>
        <w:ind w:firstLine="0" w:firstLineChars="0"/>
        <w:jc w:val="both"/>
        <w:rPr>
          <w:rFonts w:ascii="Arial" w:hAnsi="Arial" w:eastAsia="黑体"/>
          <w:b/>
          <w:sz w:val="28"/>
          <w:szCs w:val="28"/>
        </w:rPr>
      </w:pPr>
      <w:r>
        <w:rPr>
          <w:rFonts w:hint="eastAsia" w:ascii="Arial" w:hAnsi="Arial" w:eastAsia="黑体"/>
          <w:b/>
          <w:sz w:val="28"/>
          <w:szCs w:val="28"/>
        </w:rPr>
        <w:t>一、项目名称：地理信息系统实验室建设项目</w:t>
      </w:r>
    </w:p>
    <w:p>
      <w:pPr>
        <w:ind w:firstLine="0" w:firstLineChars="0"/>
        <w:jc w:val="both"/>
        <w:rPr>
          <w:rFonts w:ascii="Arial" w:hAnsi="Arial" w:eastAsia="黑体"/>
          <w:b/>
          <w:sz w:val="28"/>
          <w:szCs w:val="28"/>
        </w:rPr>
      </w:pPr>
      <w:r>
        <w:rPr>
          <w:rFonts w:hint="eastAsia" w:ascii="Arial" w:hAnsi="Arial" w:eastAsia="黑体"/>
          <w:b/>
          <w:sz w:val="28"/>
          <w:szCs w:val="28"/>
        </w:rPr>
        <w:t>二、项目编号：ZD2020-640</w:t>
      </w:r>
    </w:p>
    <w:p>
      <w:pPr>
        <w:ind w:firstLine="0" w:firstLineChars="0"/>
        <w:jc w:val="both"/>
        <w:rPr>
          <w:rFonts w:ascii="Arial" w:hAnsi="Arial" w:eastAsia="黑体"/>
          <w:b/>
          <w:sz w:val="28"/>
          <w:szCs w:val="28"/>
        </w:rPr>
      </w:pPr>
      <w:r>
        <w:rPr>
          <w:rFonts w:hint="eastAsia" w:ascii="Arial" w:hAnsi="Arial" w:eastAsia="黑体"/>
          <w:b/>
          <w:sz w:val="28"/>
          <w:szCs w:val="28"/>
        </w:rPr>
        <w:t>三、财政预算：239.916万元</w:t>
      </w:r>
    </w:p>
    <w:p>
      <w:pPr>
        <w:ind w:firstLine="0" w:firstLineChars="0"/>
        <w:rPr>
          <w:rFonts w:ascii="Arial" w:hAnsi="Arial" w:eastAsia="黑体"/>
          <w:b/>
          <w:sz w:val="28"/>
          <w:szCs w:val="28"/>
        </w:rPr>
      </w:pPr>
      <w:r>
        <w:rPr>
          <w:rFonts w:hint="eastAsia" w:ascii="Arial" w:hAnsi="Arial" w:eastAsia="黑体"/>
          <w:b/>
          <w:sz w:val="28"/>
          <w:szCs w:val="28"/>
        </w:rPr>
        <w:t xml:space="preserve">四、交付期：签订采购合同之日起30天内完成 </w:t>
      </w:r>
      <w:r>
        <w:rPr>
          <w:rFonts w:hint="eastAsia" w:ascii="仿宋_GB2312" w:hAnsi="仿宋_GB2312" w:eastAsia="仿宋_GB2312" w:cs="仿宋_GB2312"/>
          <w:snapToGrid w:val="0"/>
        </w:rPr>
        <w:t xml:space="preserve">   </w:t>
      </w:r>
    </w:p>
    <w:p>
      <w:pPr>
        <w:ind w:firstLine="0" w:firstLineChars="0"/>
        <w:rPr>
          <w:rFonts w:ascii="Arial" w:hAnsi="Arial" w:eastAsia="黑体"/>
          <w:b/>
          <w:sz w:val="28"/>
          <w:szCs w:val="28"/>
        </w:rPr>
      </w:pPr>
      <w:r>
        <w:rPr>
          <w:rFonts w:hint="eastAsia" w:ascii="Arial" w:hAnsi="Arial" w:eastAsia="黑体"/>
          <w:b/>
          <w:sz w:val="28"/>
          <w:szCs w:val="28"/>
        </w:rPr>
        <w:t>五、技术参数要求</w:t>
      </w:r>
    </w:p>
    <w:p>
      <w:pPr>
        <w:spacing w:line="400" w:lineRule="exact"/>
        <w:ind w:firstLine="4176" w:firstLineChars="1300"/>
        <w:jc w:val="both"/>
        <w:rPr>
          <w:rFonts w:ascii="仿宋" w:hAnsi="仿宋" w:eastAsia="仿宋" w:cs="宋体"/>
          <w:b/>
          <w:sz w:val="32"/>
          <w:szCs w:val="32"/>
        </w:rPr>
      </w:pPr>
    </w:p>
    <w:p>
      <w:pPr>
        <w:ind w:firstLine="3614" w:firstLineChars="1200"/>
        <w:jc w:val="both"/>
        <w:rPr>
          <w:rFonts w:hAnsi="宋体" w:cs="Times New Roman"/>
          <w:b/>
          <w:kern w:val="2"/>
          <w:sz w:val="30"/>
          <w:szCs w:val="30"/>
        </w:rPr>
      </w:pPr>
      <w:r>
        <w:rPr>
          <w:rFonts w:hint="eastAsia" w:hAnsi="宋体"/>
          <w:b/>
          <w:sz w:val="30"/>
          <w:szCs w:val="30"/>
          <w:lang w:val="zh-CN"/>
        </w:rPr>
        <w:t>项目</w:t>
      </w:r>
      <w:r>
        <w:rPr>
          <w:rFonts w:hint="eastAsia" w:hAnsi="宋体"/>
          <w:b/>
          <w:sz w:val="30"/>
          <w:szCs w:val="30"/>
        </w:rPr>
        <w:t>需</w:t>
      </w:r>
      <w:r>
        <w:rPr>
          <w:rFonts w:hint="eastAsia" w:hAnsi="宋体"/>
          <w:b/>
          <w:sz w:val="30"/>
          <w:szCs w:val="30"/>
          <w:lang w:val="zh-CN"/>
        </w:rPr>
        <w:t>求表</w:t>
      </w:r>
    </w:p>
    <w:tbl>
      <w:tblPr>
        <w:tblStyle w:val="15"/>
        <w:tblW w:w="0" w:type="auto"/>
        <w:tblInd w:w="679" w:type="dxa"/>
        <w:tblLayout w:type="fixed"/>
        <w:tblCellMar>
          <w:top w:w="15" w:type="dxa"/>
          <w:left w:w="15" w:type="dxa"/>
          <w:bottom w:w="15" w:type="dxa"/>
          <w:right w:w="15" w:type="dxa"/>
        </w:tblCellMar>
      </w:tblPr>
      <w:tblGrid>
        <w:gridCol w:w="1218"/>
        <w:gridCol w:w="6258"/>
      </w:tblGrid>
      <w:tr>
        <w:tblPrEx>
          <w:tblCellMar>
            <w:top w:w="15" w:type="dxa"/>
            <w:left w:w="15" w:type="dxa"/>
            <w:bottom w:w="15" w:type="dxa"/>
            <w:right w:w="15" w:type="dxa"/>
          </w:tblCellMar>
        </w:tblPrEx>
        <w:trPr>
          <w:trHeight w:val="285" w:hRule="atLeast"/>
        </w:trPr>
        <w:tc>
          <w:tcPr>
            <w:tcW w:w="1218" w:type="dxa"/>
            <w:tcBorders>
              <w:top w:val="single" w:color="000000" w:sz="4" w:space="0"/>
              <w:left w:val="single" w:color="000000" w:sz="4" w:space="0"/>
              <w:bottom w:val="single" w:color="000000" w:sz="4" w:space="0"/>
              <w:right w:val="single" w:color="000000" w:sz="4" w:space="0"/>
            </w:tcBorders>
            <w:vAlign w:val="center"/>
          </w:tcPr>
          <w:p>
            <w:pPr>
              <w:ind w:firstLine="241" w:firstLineChars="100"/>
              <w:jc w:val="center"/>
              <w:textAlignment w:val="center"/>
              <w:rPr>
                <w:rFonts w:hAnsi="宋体" w:cs="宋体"/>
                <w:b/>
                <w:szCs w:val="24"/>
              </w:rPr>
            </w:pPr>
            <w:r>
              <w:rPr>
                <w:rFonts w:hint="eastAsia" w:hAnsi="宋体" w:cs="宋体"/>
                <w:b/>
                <w:szCs w:val="24"/>
              </w:rPr>
              <w:t>项 目</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1988" w:firstLineChars="900"/>
              <w:jc w:val="both"/>
              <w:textAlignment w:val="center"/>
              <w:rPr>
                <w:rFonts w:hAnsi="宋体" w:cs="宋体"/>
                <w:b/>
                <w:sz w:val="22"/>
              </w:rPr>
            </w:pPr>
            <w:r>
              <w:rPr>
                <w:rFonts w:hint="eastAsia" w:hAnsi="宋体" w:cs="宋体"/>
                <w:b/>
                <w:sz w:val="22"/>
              </w:rPr>
              <w:t>名称及金额</w:t>
            </w:r>
          </w:p>
        </w:tc>
      </w:tr>
      <w:tr>
        <w:tblPrEx>
          <w:tblCellMar>
            <w:top w:w="15" w:type="dxa"/>
            <w:left w:w="15" w:type="dxa"/>
            <w:bottom w:w="15" w:type="dxa"/>
            <w:right w:w="15" w:type="dxa"/>
          </w:tblCellMar>
        </w:tblPrEx>
        <w:trPr>
          <w:trHeight w:val="285" w:hRule="atLeast"/>
        </w:trPr>
        <w:tc>
          <w:tcPr>
            <w:tcW w:w="1218" w:type="dxa"/>
            <w:tcBorders>
              <w:top w:val="single" w:color="000000" w:sz="4" w:space="0"/>
              <w:left w:val="single" w:color="000000" w:sz="4" w:space="0"/>
              <w:bottom w:val="single" w:color="000000" w:sz="4" w:space="0"/>
              <w:right w:val="single" w:color="000000" w:sz="4" w:space="0"/>
            </w:tcBorders>
            <w:vAlign w:val="center"/>
          </w:tcPr>
          <w:p>
            <w:pPr>
              <w:ind w:firstLine="482"/>
              <w:jc w:val="both"/>
              <w:textAlignment w:val="center"/>
              <w:rPr>
                <w:rFonts w:hAnsi="宋体" w:cs="宋体"/>
                <w:b/>
                <w:szCs w:val="24"/>
              </w:rPr>
            </w:pPr>
            <w:r>
              <w:rPr>
                <w:rFonts w:hint="eastAsia" w:hAnsi="宋体" w:cs="宋体"/>
                <w:b/>
                <w:szCs w:val="24"/>
              </w:rPr>
              <w:t>A包：</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0" w:firstLineChars="0"/>
              <w:textAlignment w:val="center"/>
              <w:rPr>
                <w:rFonts w:hAnsi="宋体" w:cs="宋体"/>
                <w:sz w:val="22"/>
              </w:rPr>
            </w:pPr>
            <w:r>
              <w:rPr>
                <w:rFonts w:hint="eastAsia" w:hAnsi="宋体"/>
                <w:kern w:val="28"/>
                <w:szCs w:val="24"/>
              </w:rPr>
              <w:t>地理信息系统实验室-电脑室建设：144.916万元</w:t>
            </w:r>
          </w:p>
        </w:tc>
      </w:tr>
      <w:tr>
        <w:tblPrEx>
          <w:tblCellMar>
            <w:top w:w="15" w:type="dxa"/>
            <w:left w:w="15" w:type="dxa"/>
            <w:bottom w:w="15" w:type="dxa"/>
            <w:right w:w="15" w:type="dxa"/>
          </w:tblCellMar>
        </w:tblPrEx>
        <w:trPr>
          <w:trHeight w:val="285" w:hRule="atLeast"/>
        </w:trPr>
        <w:tc>
          <w:tcPr>
            <w:tcW w:w="1218" w:type="dxa"/>
            <w:tcBorders>
              <w:top w:val="single" w:color="000000" w:sz="4" w:space="0"/>
              <w:left w:val="single" w:color="000000" w:sz="4" w:space="0"/>
              <w:bottom w:val="single" w:color="000000" w:sz="4" w:space="0"/>
              <w:right w:val="single" w:color="000000" w:sz="4" w:space="0"/>
            </w:tcBorders>
            <w:vAlign w:val="center"/>
          </w:tcPr>
          <w:p>
            <w:pPr>
              <w:ind w:firstLine="482"/>
              <w:jc w:val="both"/>
              <w:textAlignment w:val="center"/>
              <w:rPr>
                <w:rFonts w:hAnsi="宋体" w:cs="宋体"/>
                <w:b/>
                <w:szCs w:val="24"/>
              </w:rPr>
            </w:pPr>
            <w:r>
              <w:rPr>
                <w:rFonts w:hint="eastAsia" w:hAnsi="宋体" w:cs="宋体"/>
                <w:b/>
                <w:szCs w:val="24"/>
              </w:rPr>
              <w:t>B包：</w:t>
            </w:r>
          </w:p>
        </w:tc>
        <w:tc>
          <w:tcPr>
            <w:tcW w:w="6258" w:type="dxa"/>
            <w:tcBorders>
              <w:top w:val="single" w:color="000000" w:sz="4" w:space="0"/>
              <w:left w:val="single" w:color="000000" w:sz="4" w:space="0"/>
              <w:bottom w:val="single" w:color="000000" w:sz="4" w:space="0"/>
              <w:right w:val="single" w:color="000000" w:sz="4" w:space="0"/>
            </w:tcBorders>
            <w:vAlign w:val="center"/>
          </w:tcPr>
          <w:p>
            <w:pPr>
              <w:shd w:val="clear" w:color="auto" w:fill="FFFFFF"/>
              <w:snapToGrid w:val="0"/>
              <w:ind w:firstLine="0" w:firstLineChars="0"/>
              <w:rPr>
                <w:rFonts w:hAnsi="宋体"/>
                <w:szCs w:val="24"/>
              </w:rPr>
            </w:pPr>
            <w:r>
              <w:rPr>
                <w:rFonts w:hint="eastAsia" w:hAnsi="宋体"/>
                <w:kern w:val="28"/>
                <w:szCs w:val="24"/>
              </w:rPr>
              <w:t>地理信息系统实验室-地理信息系统桌面软件采购：95万元</w:t>
            </w:r>
          </w:p>
        </w:tc>
      </w:tr>
    </w:tbl>
    <w:p>
      <w:pPr>
        <w:pStyle w:val="2"/>
        <w:spacing w:line="240" w:lineRule="exact"/>
        <w:ind w:left="0" w:leftChars="0" w:right="240" w:firstLine="281" w:firstLineChars="100"/>
        <w:rPr>
          <w:sz w:val="28"/>
          <w:szCs w:val="28"/>
        </w:rPr>
      </w:pPr>
      <w:r>
        <w:rPr>
          <w:rFonts w:hint="eastAsia"/>
          <w:sz w:val="28"/>
          <w:szCs w:val="28"/>
        </w:rPr>
        <w:t>A包</w:t>
      </w:r>
      <w:bookmarkStart w:id="25" w:name="OLE_LINK23"/>
      <w:r>
        <w:rPr>
          <w:rFonts w:hint="eastAsia"/>
          <w:sz w:val="28"/>
          <w:szCs w:val="28"/>
        </w:rPr>
        <w:t>﹕</w:t>
      </w:r>
      <w:r>
        <w:rPr>
          <w:rFonts w:hint="eastAsia" w:hAnsi="宋体"/>
          <w:kern w:val="28"/>
          <w:szCs w:val="24"/>
        </w:rPr>
        <w:t>地理信息系统实验室-电脑室建设</w:t>
      </w:r>
    </w:p>
    <w:p>
      <w:pPr>
        <w:pStyle w:val="3"/>
        <w:ind w:firstLine="0" w:firstLineChars="0"/>
        <w:rPr>
          <w:rFonts w:ascii="Arial" w:hAnsi="宋体" w:eastAsia="黑体"/>
          <w:b/>
          <w:sz w:val="24"/>
          <w:szCs w:val="24"/>
        </w:rPr>
      </w:pPr>
    </w:p>
    <w:bookmarkEnd w:id="25"/>
    <w:p>
      <w:pPr>
        <w:pStyle w:val="3"/>
        <w:ind w:firstLine="0" w:firstLineChars="0"/>
        <w:rPr>
          <w:rFonts w:ascii="Arial" w:hAnsi="宋体" w:eastAsia="黑体"/>
          <w:b/>
          <w:sz w:val="24"/>
          <w:szCs w:val="24"/>
        </w:rPr>
      </w:pPr>
      <w:bookmarkStart w:id="26" w:name="OLE_LINK7"/>
      <w:r>
        <w:rPr>
          <w:rFonts w:hint="eastAsia" w:ascii="Arial" w:hAnsi="宋体" w:eastAsia="黑体"/>
          <w:b/>
          <w:sz w:val="24"/>
          <w:szCs w:val="24"/>
        </w:rPr>
        <w:t>（一）智能云终端控制器   2台</w:t>
      </w:r>
    </w:p>
    <w:p>
      <w:pPr>
        <w:ind w:firstLine="400"/>
        <w:textAlignment w:val="center"/>
        <w:rPr>
          <w:rFonts w:hAnsi="宋体"/>
          <w:sz w:val="20"/>
          <w:szCs w:val="21"/>
        </w:rPr>
      </w:pPr>
      <w:bookmarkStart w:id="27" w:name="OLE_LINK24"/>
      <w:r>
        <w:rPr>
          <w:rFonts w:hint="eastAsia" w:hAnsi="宋体"/>
          <w:sz w:val="20"/>
          <w:szCs w:val="21"/>
        </w:rPr>
        <w:t>参数要求</w:t>
      </w:r>
    </w:p>
    <w:p>
      <w:pPr>
        <w:ind w:firstLine="400"/>
        <w:textAlignment w:val="center"/>
        <w:rPr>
          <w:rFonts w:hAnsi="宋体"/>
          <w:sz w:val="20"/>
          <w:szCs w:val="21"/>
        </w:rPr>
      </w:pPr>
      <w:r>
        <w:rPr>
          <w:rFonts w:hint="eastAsia" w:hAnsi="宋体"/>
          <w:sz w:val="20"/>
          <w:szCs w:val="21"/>
        </w:rPr>
        <w:t>★1.单台云终端控制器可以同时支持至少200点云终端的连接、管理和配置，以满足学校后期的扩容需求。</w:t>
      </w:r>
    </w:p>
    <w:p>
      <w:pPr>
        <w:ind w:left="358" w:leftChars="149" w:firstLine="0" w:firstLineChars="0"/>
        <w:textAlignment w:val="center"/>
        <w:rPr>
          <w:rFonts w:hAnsi="宋体"/>
          <w:sz w:val="20"/>
          <w:szCs w:val="21"/>
        </w:rPr>
      </w:pPr>
      <w:r>
        <w:rPr>
          <w:rFonts w:hint="eastAsia" w:hAnsi="宋体"/>
          <w:sz w:val="20"/>
          <w:szCs w:val="21"/>
        </w:rPr>
        <w:t>★2.硬件配置要求如下：</w:t>
      </w:r>
    </w:p>
    <w:p>
      <w:pPr>
        <w:ind w:firstLine="400"/>
        <w:textAlignment w:val="center"/>
        <w:rPr>
          <w:rFonts w:hAnsi="宋体"/>
          <w:sz w:val="20"/>
          <w:szCs w:val="21"/>
        </w:rPr>
      </w:pPr>
      <w:r>
        <w:rPr>
          <w:rFonts w:hint="eastAsia" w:hAnsi="宋体"/>
          <w:sz w:val="20"/>
          <w:szCs w:val="21"/>
        </w:rPr>
        <w:t>1）CPU：配置≥Intel第八代四核四线程处理器（处理器主频≥3.6GHz）</w:t>
      </w:r>
    </w:p>
    <w:p>
      <w:pPr>
        <w:ind w:firstLine="400"/>
        <w:textAlignment w:val="center"/>
        <w:rPr>
          <w:rFonts w:hAnsi="宋体"/>
          <w:sz w:val="20"/>
          <w:szCs w:val="21"/>
        </w:rPr>
      </w:pPr>
      <w:r>
        <w:rPr>
          <w:rFonts w:hint="eastAsia" w:hAnsi="宋体"/>
          <w:sz w:val="20"/>
          <w:szCs w:val="21"/>
        </w:rPr>
        <w:t>2）内存：≥8GB</w:t>
      </w:r>
    </w:p>
    <w:p>
      <w:pPr>
        <w:ind w:firstLine="400"/>
        <w:textAlignment w:val="center"/>
        <w:rPr>
          <w:rFonts w:hAnsi="宋体"/>
          <w:sz w:val="20"/>
          <w:szCs w:val="21"/>
        </w:rPr>
      </w:pPr>
      <w:r>
        <w:rPr>
          <w:rFonts w:hint="eastAsia" w:hAnsi="宋体"/>
          <w:sz w:val="20"/>
          <w:szCs w:val="21"/>
        </w:rPr>
        <w:t>3）存储：≥256 GB SSD</w:t>
      </w:r>
    </w:p>
    <w:p>
      <w:pPr>
        <w:ind w:firstLine="400"/>
        <w:textAlignment w:val="center"/>
        <w:rPr>
          <w:rFonts w:hAnsi="宋体"/>
          <w:sz w:val="20"/>
          <w:szCs w:val="21"/>
        </w:rPr>
      </w:pPr>
      <w:r>
        <w:rPr>
          <w:rFonts w:hint="eastAsia" w:hAnsi="宋体"/>
          <w:sz w:val="20"/>
          <w:szCs w:val="21"/>
        </w:rPr>
        <w:t>4）显卡≥Intel HD 630</w:t>
      </w:r>
    </w:p>
    <w:p>
      <w:pPr>
        <w:ind w:firstLine="400"/>
        <w:textAlignment w:val="center"/>
        <w:rPr>
          <w:rFonts w:hAnsi="宋体"/>
          <w:sz w:val="20"/>
          <w:szCs w:val="21"/>
        </w:rPr>
      </w:pPr>
      <w:r>
        <w:rPr>
          <w:rFonts w:hint="eastAsia" w:hAnsi="宋体"/>
          <w:sz w:val="20"/>
          <w:szCs w:val="21"/>
        </w:rPr>
        <w:t>★3.为了使用的灵活性，该设备可以配置为服务器，也可以配置为普通的学生机和教师机。</w:t>
      </w:r>
    </w:p>
    <w:p>
      <w:pPr>
        <w:ind w:firstLine="400"/>
        <w:textAlignment w:val="center"/>
        <w:rPr>
          <w:rFonts w:hAnsi="宋体"/>
          <w:sz w:val="20"/>
          <w:szCs w:val="21"/>
        </w:rPr>
      </w:pPr>
      <w:r>
        <w:rPr>
          <w:rFonts w:hint="eastAsia" w:hAnsi="宋体"/>
          <w:sz w:val="20"/>
          <w:szCs w:val="21"/>
        </w:rPr>
        <w:t>4.要求云终端控制器管理平台能对云终端控制器CPU、内存、硬盘资源使用情况进行呈现，CPU和内存资源占用情况按百分比数值直观呈现出来，硬盘资源按照系统和数据不同分区显示占用资源空间的数值大小和总空间的数值大小，以便进行资源的维护和管理。（要求提供功能界面截图并加盖厂商招投标专用章或公章）。</w:t>
      </w:r>
    </w:p>
    <w:p>
      <w:pPr>
        <w:ind w:firstLine="400"/>
        <w:textAlignment w:val="center"/>
        <w:rPr>
          <w:rFonts w:hAnsi="宋体"/>
          <w:sz w:val="20"/>
          <w:szCs w:val="21"/>
        </w:rPr>
      </w:pPr>
      <w:r>
        <w:rPr>
          <w:rFonts w:hint="eastAsia" w:hAnsi="宋体"/>
          <w:sz w:val="20"/>
          <w:szCs w:val="21"/>
        </w:rPr>
        <w:t>5.云终端控制器要求出厂预装云终端控制器虚拟化软件等桌面云组件，无需单独购买和配置虚拟化软件。</w:t>
      </w:r>
    </w:p>
    <w:p>
      <w:pPr>
        <w:ind w:firstLine="400"/>
        <w:textAlignment w:val="center"/>
        <w:rPr>
          <w:rFonts w:hAnsi="宋体"/>
          <w:sz w:val="20"/>
          <w:szCs w:val="21"/>
        </w:rPr>
      </w:pPr>
      <w:r>
        <w:rPr>
          <w:rFonts w:hint="eastAsia" w:hAnsi="宋体"/>
          <w:sz w:val="20"/>
          <w:szCs w:val="21"/>
        </w:rPr>
        <w:t>6.为了满足学校教学的使用需求，要求该产品可以正常制作和下发多种类型的操作系统，至少包括：win7 32位、win 7 64位、win 10、win XP、win server 2008、Redhat 7.4、Ubuntu 14.04等操作系统版本（需提供功能照片或实际操作视频）。</w:t>
      </w:r>
    </w:p>
    <w:p>
      <w:pPr>
        <w:ind w:firstLine="400"/>
        <w:textAlignment w:val="center"/>
        <w:rPr>
          <w:rFonts w:hAnsi="宋体"/>
          <w:sz w:val="20"/>
          <w:szCs w:val="21"/>
        </w:rPr>
      </w:pPr>
      <w:r>
        <w:rPr>
          <w:rFonts w:hint="eastAsia" w:hAnsi="宋体"/>
          <w:sz w:val="20"/>
          <w:szCs w:val="21"/>
        </w:rPr>
        <w:t>7.为保证使用体验，要求镜像模版支持自动发布和手动发布两种模式。镜像使用还原模式时，自动发布模式要求在老师编辑完镜像并关闭镜像模版后无需任何操作即可自动进入到镜像下发阶段将镜像下发到云终端上；手动发布模式要求在老师编辑完镜像并关闭镜像模版后镜像模版为待发布状态，老师希望下发的时候通过点击下发按钮完成下发不会自动下发（需提供功能照片或实际操作视频）。</w:t>
      </w:r>
    </w:p>
    <w:p>
      <w:pPr>
        <w:ind w:firstLine="400"/>
        <w:textAlignment w:val="center"/>
        <w:rPr>
          <w:rFonts w:hAnsi="宋体"/>
          <w:sz w:val="20"/>
          <w:szCs w:val="21"/>
        </w:rPr>
      </w:pPr>
      <w:r>
        <w:rPr>
          <w:rFonts w:hint="eastAsia" w:hAnsi="宋体"/>
          <w:sz w:val="20"/>
          <w:szCs w:val="21"/>
        </w:rPr>
        <w:t>8.为保障教室的实施部署质量，云终端控制器提供B/S架构的云终端控制器统一管理界面，提供向导式的部署方法，在部署完成后必须要求强制体检，自动生成体检报告及分数。（要求提供功能操作界面截图并加盖厂商投标专用章或公章）。</w:t>
      </w:r>
    </w:p>
    <w:p>
      <w:pPr>
        <w:ind w:firstLine="400"/>
        <w:textAlignment w:val="center"/>
        <w:rPr>
          <w:rFonts w:hAnsi="宋体"/>
          <w:sz w:val="20"/>
          <w:szCs w:val="21"/>
        </w:rPr>
      </w:pPr>
      <w:r>
        <w:rPr>
          <w:rFonts w:hint="eastAsia" w:hAnsi="宋体"/>
          <w:sz w:val="20"/>
          <w:szCs w:val="21"/>
        </w:rPr>
        <w:t>9.提供虚拟教室功能，能够按照教室规模创建不同的虚拟教室，每个虚拟教室独立管理和配置，在云终端控制器后台能够实现对独立教室的学生终端、教师云终端分别进行配置和管理，包括镜像管理、网络访问限制、网络白名单的设置。（要求提供工作操作界面截图并加盖厂商公章或招投标专用章）。</w:t>
      </w:r>
    </w:p>
    <w:p>
      <w:pPr>
        <w:ind w:firstLine="400"/>
        <w:textAlignment w:val="center"/>
        <w:rPr>
          <w:rFonts w:hAnsi="宋体"/>
          <w:sz w:val="20"/>
          <w:szCs w:val="21"/>
        </w:rPr>
      </w:pPr>
      <w:r>
        <w:rPr>
          <w:rFonts w:hint="eastAsia" w:hAnsi="宋体"/>
          <w:sz w:val="20"/>
          <w:szCs w:val="21"/>
        </w:rPr>
        <w:t>10.为简化管理维护工作，要求通过智能云终端控制器能够对教室中学生云终端和教师终端进行统一管理，能够在同一管理界面同时查看到学生云终端和教师终端；能够在云终端控制器端平台后台界面内实现对所有学生云终端批量配置，桌面批量新建、设置和删除，同时也能对教师终端进行镜像下发、配置。（要求提供工作操作界面截图并加盖厂商公章或招投标专用章）。</w:t>
      </w:r>
    </w:p>
    <w:p>
      <w:pPr>
        <w:ind w:firstLine="400"/>
        <w:textAlignment w:val="center"/>
        <w:rPr>
          <w:rFonts w:hAnsi="宋体"/>
          <w:sz w:val="20"/>
          <w:szCs w:val="21"/>
        </w:rPr>
      </w:pPr>
      <w:r>
        <w:rPr>
          <w:rFonts w:hint="eastAsia" w:hAnsi="宋体"/>
          <w:sz w:val="20"/>
          <w:szCs w:val="21"/>
        </w:rPr>
        <w:t>★11.为简化管理，要求智能云终端控制器提供云桌面的统一管理功能，能统一监控云桌面，包含但不限于以下参数：在线情况、IP地址、终端MAC地址；并可新建、修改、删除、批量生成云桌面。（要求提供功能操作界面截图并加盖厂商投标专用章或公章）。</w:t>
      </w:r>
    </w:p>
    <w:p>
      <w:pPr>
        <w:ind w:firstLine="400"/>
        <w:textAlignment w:val="center"/>
        <w:rPr>
          <w:rFonts w:hAnsi="宋体"/>
          <w:sz w:val="20"/>
          <w:szCs w:val="21"/>
        </w:rPr>
      </w:pPr>
      <w:r>
        <w:rPr>
          <w:rFonts w:hint="eastAsia" w:hAnsi="宋体"/>
          <w:sz w:val="20"/>
          <w:szCs w:val="21"/>
        </w:rPr>
        <w:t>12.在云终端控制器上需要能够实现共享磁盘自动挂载功能，学生与老师共享一块虚拟磁盘，为学生设置下载权限，老师设置上传和下载权限。（要求提供功能操作界面截图并加盖厂商投标专用章或公章）。</w:t>
      </w:r>
    </w:p>
    <w:p>
      <w:pPr>
        <w:ind w:firstLine="400"/>
        <w:textAlignment w:val="center"/>
        <w:rPr>
          <w:rFonts w:hAnsi="宋体"/>
          <w:sz w:val="20"/>
          <w:szCs w:val="21"/>
        </w:rPr>
      </w:pPr>
      <w:r>
        <w:rPr>
          <w:rFonts w:hint="eastAsia" w:hAnsi="宋体"/>
          <w:sz w:val="20"/>
          <w:szCs w:val="21"/>
        </w:rPr>
        <w:t>13.提供教学镜像隐藏功能，在云终端控制器后台对教学镜像设置后，可实现部分教学镜像对学生可见，部分镜像（如考试镜像）对学生不可见，当需要使用的时候，只需一键设置学生即可看到镜像，保证重要镜像的安全性。（要求提供功能操作界面截图并加盖厂商投标专用章或公章）。</w:t>
      </w:r>
    </w:p>
    <w:p>
      <w:pPr>
        <w:ind w:firstLine="400"/>
        <w:textAlignment w:val="center"/>
        <w:rPr>
          <w:rFonts w:hAnsi="宋体"/>
          <w:sz w:val="20"/>
          <w:szCs w:val="21"/>
        </w:rPr>
      </w:pPr>
      <w:r>
        <w:rPr>
          <w:rFonts w:hint="eastAsia" w:hAnsi="宋体"/>
          <w:sz w:val="20"/>
          <w:szCs w:val="21"/>
        </w:rPr>
        <w:t>14.云终端控制器后台提供消息管理功能，能够对接收的消息进行存储和查看，当信息未读时能够在后台进行标识提醒。（要求提供功能操作界面截图并加盖厂商投标专用章或公章）。</w:t>
      </w:r>
    </w:p>
    <w:p>
      <w:pPr>
        <w:ind w:firstLine="400"/>
        <w:textAlignment w:val="center"/>
        <w:rPr>
          <w:rFonts w:hAnsi="宋体"/>
          <w:sz w:val="20"/>
          <w:szCs w:val="21"/>
        </w:rPr>
      </w:pPr>
      <w:r>
        <w:rPr>
          <w:rFonts w:hint="eastAsia" w:hAnsi="宋体"/>
          <w:sz w:val="20"/>
          <w:szCs w:val="21"/>
        </w:rPr>
        <w:t>15.为便于时间管理设置，云终端控制器时间能够实现多种配置方法，支持从网络NTP服务同步，手动设置，同步本地时间，NTP服务地址或URL地址能够进行手工配置。</w:t>
      </w:r>
    </w:p>
    <w:p>
      <w:pPr>
        <w:ind w:firstLine="400"/>
        <w:textAlignment w:val="center"/>
        <w:rPr>
          <w:rFonts w:hAnsi="宋体"/>
          <w:sz w:val="20"/>
          <w:szCs w:val="21"/>
        </w:rPr>
      </w:pPr>
      <w:r>
        <w:rPr>
          <w:rFonts w:hint="eastAsia" w:hAnsi="宋体"/>
          <w:sz w:val="20"/>
          <w:szCs w:val="21"/>
        </w:rPr>
        <w:t>16.云终端控制器要求支持设置定时任务，能够定时关闭云终端控制器、重启云主机、关闭云终端，可按照每天或者每周设置周期性任务，具体时间点能够设置到时分秒。（要求提供功能操作界面截图并加盖厂商投标专用章或公章）。</w:t>
      </w:r>
    </w:p>
    <w:p>
      <w:pPr>
        <w:ind w:firstLine="400"/>
        <w:textAlignment w:val="center"/>
        <w:rPr>
          <w:rFonts w:hAnsi="宋体"/>
          <w:sz w:val="20"/>
          <w:szCs w:val="21"/>
        </w:rPr>
      </w:pPr>
      <w:r>
        <w:rPr>
          <w:rFonts w:hint="eastAsia" w:hAnsi="宋体"/>
          <w:sz w:val="20"/>
          <w:szCs w:val="21"/>
        </w:rPr>
        <w:t>17.云终端控制器和云终端都需要支持上电自启动，确保异常掉电之后重新加电设备能够自动启动，无需人员干预。</w:t>
      </w:r>
    </w:p>
    <w:p>
      <w:pPr>
        <w:ind w:firstLine="400"/>
        <w:textAlignment w:val="center"/>
        <w:rPr>
          <w:rFonts w:hAnsi="宋体"/>
          <w:sz w:val="20"/>
          <w:szCs w:val="21"/>
        </w:rPr>
      </w:pPr>
      <w:r>
        <w:rPr>
          <w:rFonts w:hint="eastAsia" w:hAnsi="宋体"/>
          <w:sz w:val="20"/>
          <w:szCs w:val="21"/>
        </w:rPr>
        <w:t>18.提供作业空间管理功能，对作业空间的学生与老师账号进行统一管理，可以对学生使用的作业空间存储空间进行管理，以上功能需提供截图或者实际操作视频。</w:t>
      </w:r>
    </w:p>
    <w:p>
      <w:pPr>
        <w:ind w:firstLine="400"/>
        <w:textAlignment w:val="center"/>
        <w:rPr>
          <w:rFonts w:hAnsi="宋体"/>
          <w:sz w:val="20"/>
          <w:szCs w:val="21"/>
        </w:rPr>
      </w:pPr>
      <w:r>
        <w:rPr>
          <w:rFonts w:hint="eastAsia" w:hAnsi="宋体"/>
          <w:sz w:val="20"/>
          <w:szCs w:val="21"/>
        </w:rPr>
        <w:t>19.为保证能够及时使用到新版本，云终端控制器软件版本的及时更新，必须提供统一升级功能。云终端控制器可以导入升级包，升级包可以对云终端控制器、云终端、教学管理软件升级。</w:t>
      </w:r>
    </w:p>
    <w:p>
      <w:pPr>
        <w:ind w:firstLine="400"/>
        <w:textAlignment w:val="center"/>
        <w:rPr>
          <w:rFonts w:hAnsi="宋体"/>
          <w:sz w:val="20"/>
          <w:szCs w:val="21"/>
        </w:rPr>
      </w:pPr>
      <w:r>
        <w:rPr>
          <w:rFonts w:hint="eastAsia" w:hAnsi="宋体"/>
          <w:sz w:val="20"/>
          <w:szCs w:val="21"/>
        </w:rPr>
        <w:t>20.云终端控制器需对云终端的存储空间进行统一管理，云终端数据盘满时，在云终端控制器管理页面提供一键清理功能。（要求提供功能操作界面截图并加盖厂商投标专用章或公章）。</w:t>
      </w:r>
    </w:p>
    <w:p>
      <w:pPr>
        <w:ind w:firstLine="400"/>
        <w:textAlignment w:val="center"/>
        <w:rPr>
          <w:rFonts w:hAnsi="宋体"/>
          <w:sz w:val="20"/>
          <w:szCs w:val="21"/>
        </w:rPr>
      </w:pPr>
      <w:r>
        <w:rPr>
          <w:rFonts w:hint="eastAsia" w:hAnsi="宋体"/>
          <w:sz w:val="20"/>
          <w:szCs w:val="21"/>
        </w:rPr>
        <w:t>★21.需提供原厂配套的部署实施与运维工具，该工具需要能够自动识别安装部署与日常运行中的常见问题，检测项涵盖但不限于：智能云终端控制器和云终端设备发现、云终端控制器版本检测、网络部署检测，对检测结果的部分常见问题可以自动修复。（要求提供功能操作界面截图并加盖厂商投标专用章或公章）。</w:t>
      </w:r>
    </w:p>
    <w:p>
      <w:pPr>
        <w:ind w:firstLine="400"/>
        <w:textAlignment w:val="center"/>
        <w:rPr>
          <w:rFonts w:hAnsi="宋体"/>
          <w:sz w:val="20"/>
          <w:szCs w:val="21"/>
        </w:rPr>
      </w:pPr>
      <w:r>
        <w:rPr>
          <w:rFonts w:hint="eastAsia" w:hAnsi="宋体"/>
          <w:sz w:val="20"/>
          <w:szCs w:val="21"/>
        </w:rPr>
        <w:t>22.云终端控制器提供文件授权方式，无需硬件加密狗。</w:t>
      </w:r>
    </w:p>
    <w:p>
      <w:pPr>
        <w:ind w:firstLine="400"/>
        <w:textAlignment w:val="center"/>
        <w:rPr>
          <w:rFonts w:hAnsi="宋体"/>
          <w:sz w:val="20"/>
          <w:szCs w:val="21"/>
        </w:rPr>
      </w:pPr>
      <w:r>
        <w:rPr>
          <w:rFonts w:hint="eastAsia" w:hAnsi="宋体"/>
          <w:sz w:val="20"/>
          <w:szCs w:val="21"/>
        </w:rPr>
        <w:t>23.云终端控制器底层虚拟化系统必须为自主研发系统，要求提供中华人民共和国国家版权局颁发的云终端控制器底层操作系统的软件著作权登记证证书复印件。</w:t>
      </w:r>
    </w:p>
    <w:p>
      <w:pPr>
        <w:ind w:firstLine="400"/>
        <w:textAlignment w:val="center"/>
        <w:rPr>
          <w:rFonts w:hAnsi="宋体"/>
          <w:sz w:val="20"/>
          <w:szCs w:val="21"/>
        </w:rPr>
      </w:pPr>
      <w:r>
        <w:rPr>
          <w:rFonts w:hint="eastAsia" w:hAnsi="宋体"/>
          <w:sz w:val="20"/>
          <w:szCs w:val="21"/>
        </w:rPr>
        <w:t>24.要求云终端控制器、学生云终端、教师云终端、显示器、键盘鼠标、教学管理软件、网络连通设备同一品牌，保证平台联动时的兼容性和可靠性，且在产品厂商官网有明确的产品说明。（需提供产品厂商官网查询链接与截图并加盖厂商投标专用章或公章）。</w:t>
      </w:r>
    </w:p>
    <w:p>
      <w:pPr>
        <w:pStyle w:val="3"/>
        <w:ind w:firstLine="400"/>
        <w:rPr>
          <w:rFonts w:hAnsi="宋体"/>
          <w:szCs w:val="21"/>
        </w:rPr>
      </w:pPr>
      <w:r>
        <w:rPr>
          <w:rFonts w:hint="eastAsia" w:hAnsi="宋体"/>
          <w:szCs w:val="21"/>
        </w:rPr>
        <w:t>★25. 设备厂家在本地设有办事处以及售后服务机构，并且对于此次所选设备均在当地有备件，要求厂家≥3年质保。投标时需提供由厂家针对本项目出具的《投标授权函》，《售后服务承诺函》，《参数确认函》原件并加盖厂家公章或投标专用章。</w:t>
      </w:r>
    </w:p>
    <w:p>
      <w:pPr>
        <w:pStyle w:val="3"/>
        <w:ind w:firstLine="0" w:firstLineChars="0"/>
        <w:rPr>
          <w:rFonts w:ascii="Arial" w:hAnsi="宋体" w:eastAsia="黑体"/>
          <w:b/>
          <w:sz w:val="24"/>
          <w:szCs w:val="24"/>
        </w:rPr>
      </w:pPr>
    </w:p>
    <w:p>
      <w:pPr>
        <w:pStyle w:val="3"/>
        <w:ind w:firstLine="0" w:firstLineChars="0"/>
        <w:rPr>
          <w:rFonts w:ascii="Arial" w:hAnsi="宋体" w:eastAsia="黑体"/>
          <w:b/>
          <w:sz w:val="24"/>
          <w:szCs w:val="24"/>
        </w:rPr>
      </w:pPr>
      <w:r>
        <w:rPr>
          <w:rFonts w:hint="eastAsia" w:ascii="Arial" w:hAnsi="宋体" w:eastAsia="黑体"/>
          <w:b/>
          <w:sz w:val="24"/>
          <w:szCs w:val="24"/>
        </w:rPr>
        <w:t>（二）</w:t>
      </w:r>
      <w:bookmarkEnd w:id="27"/>
      <w:r>
        <w:rPr>
          <w:rFonts w:hint="eastAsia" w:ascii="Arial" w:hAnsi="宋体" w:eastAsia="黑体"/>
          <w:b/>
          <w:sz w:val="24"/>
          <w:szCs w:val="24"/>
        </w:rPr>
        <w:t xml:space="preserve">教师机云终端    </w:t>
      </w:r>
      <w:bookmarkStart w:id="28" w:name="OLE_LINK26"/>
      <w:r>
        <w:rPr>
          <w:rFonts w:hint="eastAsia" w:ascii="Arial" w:hAnsi="宋体" w:eastAsia="黑体"/>
          <w:b/>
          <w:sz w:val="24"/>
          <w:szCs w:val="24"/>
        </w:rPr>
        <w:t xml:space="preserve"> 2台</w:t>
      </w:r>
      <w:bookmarkEnd w:id="28"/>
    </w:p>
    <w:p>
      <w:pPr>
        <w:ind w:firstLine="400"/>
        <w:textAlignment w:val="center"/>
        <w:rPr>
          <w:rFonts w:hAnsi="宋体"/>
          <w:sz w:val="20"/>
          <w:szCs w:val="21"/>
        </w:rPr>
      </w:pPr>
      <w:r>
        <w:rPr>
          <w:rFonts w:hint="eastAsia" w:hAnsi="宋体"/>
          <w:sz w:val="20"/>
          <w:szCs w:val="21"/>
        </w:rPr>
        <w:t>参数要求：</w:t>
      </w:r>
    </w:p>
    <w:p>
      <w:pPr>
        <w:ind w:firstLine="400"/>
        <w:textAlignment w:val="center"/>
        <w:rPr>
          <w:rFonts w:hAnsi="宋体"/>
          <w:sz w:val="20"/>
          <w:szCs w:val="21"/>
        </w:rPr>
      </w:pPr>
      <w:r>
        <w:rPr>
          <w:rFonts w:hint="eastAsia" w:hAnsi="宋体"/>
          <w:sz w:val="20"/>
          <w:szCs w:val="21"/>
        </w:rPr>
        <w:t>★1.硬件配置要求如下：</w:t>
      </w:r>
    </w:p>
    <w:p>
      <w:pPr>
        <w:ind w:firstLine="400"/>
        <w:textAlignment w:val="center"/>
        <w:rPr>
          <w:rFonts w:hAnsi="宋体"/>
          <w:sz w:val="20"/>
          <w:szCs w:val="21"/>
        </w:rPr>
      </w:pPr>
      <w:r>
        <w:rPr>
          <w:rFonts w:hint="eastAsia" w:hAnsi="宋体"/>
          <w:sz w:val="20"/>
          <w:szCs w:val="21"/>
        </w:rPr>
        <w:t>1）CPU：配置≥Intel六核六线Coffeelake i5高性能处理器（2.8GHz-4.0 GHz）</w:t>
      </w:r>
    </w:p>
    <w:p>
      <w:pPr>
        <w:ind w:firstLine="400"/>
        <w:textAlignment w:val="center"/>
        <w:rPr>
          <w:rFonts w:hAnsi="宋体"/>
          <w:sz w:val="20"/>
          <w:szCs w:val="21"/>
        </w:rPr>
      </w:pPr>
      <w:r>
        <w:rPr>
          <w:rFonts w:hint="eastAsia" w:hAnsi="宋体"/>
          <w:sz w:val="20"/>
          <w:szCs w:val="21"/>
        </w:rPr>
        <w:t>2）内存：≥8GB</w:t>
      </w:r>
    </w:p>
    <w:p>
      <w:pPr>
        <w:ind w:firstLine="400"/>
        <w:textAlignment w:val="center"/>
        <w:rPr>
          <w:rFonts w:hAnsi="宋体"/>
          <w:sz w:val="20"/>
          <w:szCs w:val="21"/>
        </w:rPr>
      </w:pPr>
      <w:r>
        <w:rPr>
          <w:rFonts w:hint="eastAsia" w:hAnsi="宋体"/>
          <w:sz w:val="20"/>
          <w:szCs w:val="21"/>
        </w:rPr>
        <w:t>3）存储：≥256 GB SSD</w:t>
      </w:r>
    </w:p>
    <w:p>
      <w:pPr>
        <w:ind w:firstLine="400"/>
        <w:textAlignment w:val="center"/>
        <w:rPr>
          <w:rFonts w:hAnsi="宋体"/>
          <w:sz w:val="20"/>
          <w:szCs w:val="21"/>
        </w:rPr>
      </w:pPr>
      <w:r>
        <w:rPr>
          <w:rFonts w:hint="eastAsia" w:hAnsi="宋体"/>
          <w:sz w:val="20"/>
          <w:szCs w:val="21"/>
        </w:rPr>
        <w:t>4）显卡≥Intel HD 630</w:t>
      </w:r>
    </w:p>
    <w:p>
      <w:pPr>
        <w:ind w:firstLine="400"/>
        <w:textAlignment w:val="center"/>
        <w:rPr>
          <w:rFonts w:hAnsi="宋体"/>
          <w:sz w:val="20"/>
          <w:szCs w:val="21"/>
        </w:rPr>
      </w:pPr>
      <w:r>
        <w:rPr>
          <w:rFonts w:hint="eastAsia" w:hAnsi="宋体"/>
          <w:sz w:val="20"/>
          <w:szCs w:val="21"/>
        </w:rPr>
        <w:t>5）本地集成显卡，千兆网口，8个USB口</w:t>
      </w:r>
    </w:p>
    <w:p>
      <w:pPr>
        <w:ind w:firstLine="400"/>
        <w:textAlignment w:val="center"/>
        <w:rPr>
          <w:rFonts w:hAnsi="宋体"/>
          <w:sz w:val="20"/>
          <w:szCs w:val="21"/>
        </w:rPr>
      </w:pPr>
      <w:r>
        <w:rPr>
          <w:rFonts w:hint="eastAsia" w:hAnsi="宋体"/>
          <w:sz w:val="20"/>
          <w:szCs w:val="21"/>
        </w:rPr>
        <w:t>★2.为了使用的灵活性，该设备可以配置为服务器，也可以配置为普通的学生机和教师机。</w:t>
      </w:r>
    </w:p>
    <w:p>
      <w:pPr>
        <w:ind w:firstLine="400"/>
        <w:textAlignment w:val="center"/>
        <w:rPr>
          <w:rFonts w:hAnsi="宋体"/>
          <w:sz w:val="20"/>
          <w:szCs w:val="21"/>
        </w:rPr>
      </w:pPr>
      <w:r>
        <w:rPr>
          <w:rFonts w:hint="eastAsia" w:hAnsi="宋体"/>
          <w:sz w:val="20"/>
          <w:szCs w:val="21"/>
        </w:rPr>
        <w:t>3.要求云终端控制器管理平台能对云终端控制器CPU、内存、硬盘资源使用情况进行呈现，CPU和内存资源占用情况按百分比数值直观呈现出来，硬盘资源按照系统和数据不同分区显示占用资源空间的数值大小和总空间的数值大小，以便进行资源的维护和管理。（要求提供功能界面截图并加盖厂商招投标专用章或公章）。</w:t>
      </w:r>
    </w:p>
    <w:p>
      <w:pPr>
        <w:ind w:firstLine="400"/>
        <w:textAlignment w:val="center"/>
        <w:rPr>
          <w:rFonts w:hAnsi="宋体"/>
          <w:sz w:val="20"/>
          <w:szCs w:val="21"/>
        </w:rPr>
      </w:pPr>
      <w:r>
        <w:rPr>
          <w:rFonts w:hint="eastAsia" w:hAnsi="宋体"/>
          <w:sz w:val="20"/>
          <w:szCs w:val="21"/>
        </w:rPr>
        <w:t>4.云终端控制器要求出厂预装云终端控制器虚拟化软件等桌面云组件，无需单独购买和配置虚拟化软件。</w:t>
      </w:r>
    </w:p>
    <w:p>
      <w:pPr>
        <w:ind w:firstLine="400"/>
        <w:textAlignment w:val="center"/>
        <w:rPr>
          <w:rFonts w:hAnsi="宋体"/>
          <w:sz w:val="20"/>
          <w:szCs w:val="21"/>
        </w:rPr>
      </w:pPr>
      <w:r>
        <w:rPr>
          <w:rFonts w:hint="eastAsia" w:hAnsi="宋体"/>
          <w:sz w:val="20"/>
          <w:szCs w:val="21"/>
        </w:rPr>
        <w:t>5.为了满足学校教学的使用需求，要求该产品可以正常制作和下发多种类型的操作系统，至少包括：win7 32位、win 7 64位、win 10、win XP、win server 2008、Redhat 7.4、Ubuntu 14.04等操作系统版本（需提供功能照片或实际操作视频）。</w:t>
      </w:r>
    </w:p>
    <w:p>
      <w:pPr>
        <w:ind w:firstLine="400"/>
        <w:textAlignment w:val="center"/>
        <w:rPr>
          <w:rFonts w:hAnsi="宋体"/>
          <w:sz w:val="20"/>
          <w:szCs w:val="21"/>
        </w:rPr>
      </w:pPr>
      <w:r>
        <w:rPr>
          <w:rFonts w:hint="eastAsia" w:hAnsi="宋体"/>
          <w:sz w:val="20"/>
          <w:szCs w:val="21"/>
        </w:rPr>
        <w:t>6.为保证使用体验，要求镜像模版支持自动发布和手动发布两种模式。镜像使用还原模式时，自动发布模式要求在老师编辑完镜像并关闭镜像模版后无需任何操作即可自动进入到镜像下发阶段将镜像下发到云终端上；手动发布模式要求在老师编辑完镜像并关闭镜像模版后镜像模版为待发布状态，老师希望下发的时候通过点击下发按钮完成下发不会自动下发（需提供功能照片或实际操作视频）。</w:t>
      </w:r>
    </w:p>
    <w:p>
      <w:pPr>
        <w:ind w:firstLine="400"/>
        <w:textAlignment w:val="center"/>
        <w:rPr>
          <w:rFonts w:hAnsi="宋体"/>
          <w:sz w:val="20"/>
          <w:szCs w:val="21"/>
        </w:rPr>
      </w:pPr>
      <w:r>
        <w:rPr>
          <w:rFonts w:hint="eastAsia" w:hAnsi="宋体"/>
          <w:sz w:val="20"/>
          <w:szCs w:val="21"/>
        </w:rPr>
        <w:t>7.为保障教室的实施部署质量，云终端控制器提供B/S架构的云终端控制器统一管理界面，提供向导式的部署方法，在部署完成后必须要求强制体检，自动生成体检报告及分数。（要求提供功能操作界面截图并加盖厂商投标专用章或公章）。</w:t>
      </w:r>
    </w:p>
    <w:p>
      <w:pPr>
        <w:ind w:firstLine="400"/>
        <w:textAlignment w:val="center"/>
        <w:rPr>
          <w:rFonts w:hAnsi="宋体"/>
          <w:sz w:val="20"/>
          <w:szCs w:val="21"/>
        </w:rPr>
      </w:pPr>
      <w:r>
        <w:rPr>
          <w:rFonts w:hint="eastAsia" w:hAnsi="宋体"/>
          <w:sz w:val="20"/>
          <w:szCs w:val="21"/>
        </w:rPr>
        <w:t>8.提供虚拟教室功能，能够按照教室规模创建不同的虚拟教室，每个虚拟教室独立管理和配置，在云终端控制器后台能够实现对独立教室的学生终端、教师云终端分别进行配置和管理，包括镜像管理、网络访问限制、网络白名单的设置。（要求提供工作操作界面截图并加盖厂商公章或招投标专用章）。</w:t>
      </w:r>
    </w:p>
    <w:p>
      <w:pPr>
        <w:ind w:firstLine="400"/>
        <w:textAlignment w:val="center"/>
        <w:rPr>
          <w:rFonts w:hAnsi="宋体"/>
          <w:sz w:val="20"/>
          <w:szCs w:val="21"/>
        </w:rPr>
      </w:pPr>
      <w:r>
        <w:rPr>
          <w:rFonts w:hint="eastAsia" w:hAnsi="宋体"/>
          <w:sz w:val="20"/>
          <w:szCs w:val="21"/>
        </w:rPr>
        <w:t>9.为简化管理维护工作，要求通过智能云终端控制器能够对教室中学生云终端和教师终端进行统一管理，能够在同一管理界面同时查看到学生云终端和教师终端；能够在云终端控制器端平台后台界面内实现对所有学生云终端批量配置，桌面批量新建、设置和删除，同时也能对教师终端进行镜像下发、配置。（要求提供工作操作界面截图并加盖厂商公章或招投标专用章）。</w:t>
      </w:r>
    </w:p>
    <w:p>
      <w:pPr>
        <w:ind w:firstLine="400"/>
        <w:textAlignment w:val="center"/>
        <w:rPr>
          <w:rFonts w:hAnsi="宋体"/>
          <w:sz w:val="20"/>
          <w:szCs w:val="21"/>
        </w:rPr>
      </w:pPr>
      <w:r>
        <w:rPr>
          <w:rFonts w:hint="eastAsia" w:hAnsi="宋体"/>
          <w:sz w:val="20"/>
          <w:szCs w:val="21"/>
        </w:rPr>
        <w:t>★10.为简化管理，要求智能云终端控制器提供云桌面的统一管理功能，能统一监控云桌面，包含但不限于以下参数：在线情况、IP地址、终端MAC地址；并可新建、修改、删除、批量生成云桌面。（要求提供功能操作界面截图并加盖厂商投标专用章或公章）。</w:t>
      </w:r>
    </w:p>
    <w:p>
      <w:pPr>
        <w:ind w:firstLine="400"/>
        <w:textAlignment w:val="center"/>
        <w:rPr>
          <w:rFonts w:hAnsi="宋体"/>
          <w:sz w:val="20"/>
          <w:szCs w:val="21"/>
        </w:rPr>
      </w:pPr>
      <w:r>
        <w:rPr>
          <w:rFonts w:hint="eastAsia" w:hAnsi="宋体"/>
          <w:sz w:val="20"/>
          <w:szCs w:val="21"/>
        </w:rPr>
        <w:t>11.在云终端控制器上需要能够实现共享磁盘自动挂载功能，学生与老师共享一块虚拟磁盘，为学生设置下载权限，老师设置上传和下载权限。（要求提供功能操作界面截图并加盖厂商投标专用章或公章）。</w:t>
      </w:r>
    </w:p>
    <w:p>
      <w:pPr>
        <w:ind w:firstLine="400"/>
        <w:textAlignment w:val="center"/>
        <w:rPr>
          <w:rFonts w:hAnsi="宋体"/>
          <w:sz w:val="20"/>
          <w:szCs w:val="21"/>
        </w:rPr>
      </w:pPr>
      <w:r>
        <w:rPr>
          <w:rFonts w:hint="eastAsia" w:hAnsi="宋体"/>
          <w:sz w:val="20"/>
          <w:szCs w:val="21"/>
        </w:rPr>
        <w:t>12.提供教学镜像隐藏功能，在云终端控制器后台对教学镜像设置后，可实现部分教学镜像对学生可见，部分镜像（如考试镜像）对学生不可见，当需要使用的时候，只需一键设置学生即可看到镜像，保证重要镜像的安全性。（要求提供功能操作界面截图并加盖厂商投标专用章或公章）。</w:t>
      </w:r>
    </w:p>
    <w:p>
      <w:pPr>
        <w:ind w:firstLine="400"/>
        <w:textAlignment w:val="center"/>
        <w:rPr>
          <w:rFonts w:hAnsi="宋体"/>
          <w:sz w:val="20"/>
          <w:szCs w:val="21"/>
        </w:rPr>
      </w:pPr>
      <w:r>
        <w:rPr>
          <w:rFonts w:hint="eastAsia" w:hAnsi="宋体"/>
          <w:sz w:val="20"/>
          <w:szCs w:val="21"/>
        </w:rPr>
        <w:t>13.为便于时间管理设置，云终端控制器时间能够实现多种配置方法，支持从网络NTP服务同步，手动设置，同步本地时间，NTP服务地址或URL地址能够进行手工配置。</w:t>
      </w:r>
    </w:p>
    <w:p>
      <w:pPr>
        <w:ind w:firstLine="400"/>
        <w:textAlignment w:val="center"/>
        <w:rPr>
          <w:rFonts w:hAnsi="宋体"/>
          <w:sz w:val="20"/>
          <w:szCs w:val="21"/>
        </w:rPr>
      </w:pPr>
      <w:r>
        <w:rPr>
          <w:rFonts w:hint="eastAsia" w:hAnsi="宋体"/>
          <w:sz w:val="20"/>
          <w:szCs w:val="21"/>
        </w:rPr>
        <w:t>14.云终端控制器要求支持设置定时任务，能够定时关闭云终端控制器、重启云主机、关闭云终端，可按照每天或者每周设置周期性任务，具体时间点能够设置到时分秒。（要求提供功能操作界面截图并加盖厂商投标专用章或公章）。</w:t>
      </w:r>
    </w:p>
    <w:p>
      <w:pPr>
        <w:ind w:firstLine="400"/>
        <w:textAlignment w:val="center"/>
        <w:rPr>
          <w:rFonts w:hAnsi="宋体"/>
          <w:sz w:val="20"/>
          <w:szCs w:val="21"/>
        </w:rPr>
      </w:pPr>
      <w:r>
        <w:rPr>
          <w:rFonts w:hint="eastAsia" w:hAnsi="宋体"/>
          <w:sz w:val="20"/>
          <w:szCs w:val="21"/>
        </w:rPr>
        <w:t>15.云终端控制器和云终端都需要支持上电自启动，确保异常掉电之后重新加电设备能够自动启动，无需人员干预。</w:t>
      </w:r>
    </w:p>
    <w:p>
      <w:pPr>
        <w:ind w:firstLine="400"/>
        <w:textAlignment w:val="center"/>
        <w:rPr>
          <w:rFonts w:hAnsi="宋体"/>
          <w:sz w:val="20"/>
          <w:szCs w:val="21"/>
        </w:rPr>
      </w:pPr>
      <w:r>
        <w:rPr>
          <w:rFonts w:hint="eastAsia" w:hAnsi="宋体"/>
          <w:sz w:val="20"/>
          <w:szCs w:val="21"/>
        </w:rPr>
        <w:t>16.提供作业空间管理功能，对作业空间的学生与老师账号进行统一管理，可以对学生使用的作业空间存储空间进行管理，以上功能需提供截图或者实际操作视频。</w:t>
      </w:r>
    </w:p>
    <w:p>
      <w:pPr>
        <w:ind w:firstLine="400"/>
        <w:textAlignment w:val="center"/>
        <w:rPr>
          <w:rFonts w:hAnsi="宋体"/>
          <w:sz w:val="20"/>
          <w:szCs w:val="21"/>
        </w:rPr>
      </w:pPr>
      <w:r>
        <w:rPr>
          <w:rFonts w:hint="eastAsia" w:hAnsi="宋体"/>
          <w:sz w:val="20"/>
          <w:szCs w:val="21"/>
        </w:rPr>
        <w:t>17.为保证能够及时使用到新版本，云终端控制器软件版本的及时更新，必须提供统一升级功能。云终端控制器可以导入升级包，升级包可以对云终端控制器、云终端、教学管理软件升级。</w:t>
      </w:r>
    </w:p>
    <w:p>
      <w:pPr>
        <w:ind w:firstLine="400"/>
        <w:textAlignment w:val="center"/>
        <w:rPr>
          <w:rFonts w:hAnsi="宋体"/>
          <w:sz w:val="20"/>
          <w:szCs w:val="21"/>
        </w:rPr>
      </w:pPr>
      <w:r>
        <w:rPr>
          <w:rFonts w:hint="eastAsia" w:hAnsi="宋体"/>
          <w:sz w:val="20"/>
          <w:szCs w:val="21"/>
        </w:rPr>
        <w:t>18.云终端控制器需对云终端的存储空间进行统一管理，云终端数据盘满时，在云终端控制器管理页面提供一键清理功能。（要求提供功能操作界面截图并加盖厂商投标专用章或公章）。</w:t>
      </w:r>
    </w:p>
    <w:p>
      <w:pPr>
        <w:ind w:firstLine="400"/>
        <w:textAlignment w:val="center"/>
        <w:rPr>
          <w:rFonts w:hAnsi="宋体"/>
          <w:sz w:val="20"/>
          <w:szCs w:val="21"/>
        </w:rPr>
      </w:pPr>
      <w:r>
        <w:rPr>
          <w:rFonts w:hint="eastAsia" w:hAnsi="宋体"/>
          <w:sz w:val="20"/>
          <w:szCs w:val="21"/>
        </w:rPr>
        <w:t>★19.需提供原厂配套的部署实施与运维工具，该工具需要能够自动识别安装部署与日常运行中的常见问题，检测项涵盖但不限于：智能云终端控制器和云终端设备发现、云终端控制器版本检测、网络部署检测，对检测结果的部分常见问题可以自动修复。（要求提供功能操作界面截图并加盖厂商投标专用章或公章）。</w:t>
      </w:r>
    </w:p>
    <w:p>
      <w:pPr>
        <w:ind w:firstLine="400"/>
        <w:textAlignment w:val="center"/>
        <w:rPr>
          <w:rFonts w:hAnsi="宋体"/>
          <w:sz w:val="20"/>
          <w:szCs w:val="21"/>
        </w:rPr>
      </w:pPr>
      <w:r>
        <w:rPr>
          <w:rFonts w:hint="eastAsia" w:hAnsi="宋体"/>
          <w:sz w:val="20"/>
          <w:szCs w:val="21"/>
        </w:rPr>
        <w:t>20.云终端控制器提供文件授权方式，无需硬件加密狗。</w:t>
      </w:r>
    </w:p>
    <w:p>
      <w:pPr>
        <w:ind w:firstLine="400"/>
        <w:textAlignment w:val="center"/>
        <w:rPr>
          <w:rFonts w:hAnsi="宋体"/>
          <w:sz w:val="20"/>
          <w:szCs w:val="21"/>
        </w:rPr>
      </w:pPr>
      <w:r>
        <w:rPr>
          <w:rFonts w:hint="eastAsia" w:hAnsi="宋体"/>
          <w:sz w:val="20"/>
          <w:szCs w:val="21"/>
        </w:rPr>
        <w:t>21.云终端控制器底层虚拟化系统必须为自主研发系统，要求提供中华人民共和国国家版权局颁发的云终端控制器底层操作系统的软件著作权登记证证书复印件。</w:t>
      </w:r>
    </w:p>
    <w:p>
      <w:pPr>
        <w:ind w:firstLine="400"/>
        <w:textAlignment w:val="center"/>
        <w:rPr>
          <w:rFonts w:hAnsi="宋体"/>
          <w:sz w:val="20"/>
          <w:szCs w:val="21"/>
        </w:rPr>
      </w:pPr>
      <w:r>
        <w:rPr>
          <w:rFonts w:hint="eastAsia" w:hAnsi="宋体"/>
          <w:sz w:val="20"/>
          <w:szCs w:val="21"/>
        </w:rPr>
        <w:t>22.要求云终端控制器、学生云终端、教师云终端、显示器、键盘鼠标、教学管理软件、网络连通设备同一品牌，保证平台联动时的兼容性和可靠性，且在产品厂商官网有明确的产品说明。（需提供产品厂商官网查询链接与截图并加盖厂商投标专用章或公章）。</w:t>
      </w:r>
    </w:p>
    <w:p>
      <w:pPr>
        <w:pStyle w:val="3"/>
        <w:ind w:firstLine="400"/>
        <w:rPr>
          <w:rFonts w:hAnsi="宋体"/>
          <w:szCs w:val="21"/>
        </w:rPr>
      </w:pPr>
      <w:r>
        <w:rPr>
          <w:rFonts w:hint="eastAsia" w:hAnsi="宋体"/>
          <w:szCs w:val="21"/>
        </w:rPr>
        <w:t>★23.设备厂家在本地设有办事处以及售后服务机构，并且对于此次所选设备均在当地有备件，要求厂家≥3年质保。投标时需提供由厂家针对本项目出具的《投标授权函》，《售后服务承诺函》，《参数确认函》原件并加盖厂家公章或投标专用章。</w:t>
      </w:r>
    </w:p>
    <w:p>
      <w:pPr>
        <w:pStyle w:val="3"/>
        <w:ind w:firstLine="0" w:firstLineChars="0"/>
        <w:rPr>
          <w:rFonts w:ascii="Arial" w:hAnsi="宋体" w:eastAsia="黑体"/>
          <w:b/>
          <w:sz w:val="24"/>
          <w:szCs w:val="24"/>
        </w:rPr>
      </w:pPr>
      <w:bookmarkStart w:id="29" w:name="OLE_LINK22"/>
    </w:p>
    <w:p>
      <w:pPr>
        <w:pStyle w:val="3"/>
        <w:ind w:firstLine="0" w:firstLineChars="0"/>
        <w:rPr>
          <w:rFonts w:ascii="Arial" w:hAnsi="宋体" w:eastAsia="黑体"/>
          <w:b/>
          <w:sz w:val="24"/>
          <w:szCs w:val="24"/>
        </w:rPr>
      </w:pPr>
      <w:r>
        <w:rPr>
          <w:rFonts w:hint="eastAsia" w:ascii="Arial" w:hAnsi="宋体" w:eastAsia="黑体"/>
          <w:b/>
          <w:sz w:val="24"/>
          <w:szCs w:val="24"/>
        </w:rPr>
        <w:t>（三）</w:t>
      </w:r>
      <w:bookmarkEnd w:id="29"/>
      <w:r>
        <w:rPr>
          <w:rFonts w:hint="eastAsia" w:ascii="Arial" w:hAnsi="宋体" w:eastAsia="黑体"/>
          <w:b/>
          <w:sz w:val="24"/>
          <w:szCs w:val="24"/>
        </w:rPr>
        <w:t>学生云终端   115台</w:t>
      </w:r>
    </w:p>
    <w:p>
      <w:pPr>
        <w:ind w:firstLine="400"/>
        <w:textAlignment w:val="center"/>
        <w:rPr>
          <w:rFonts w:hAnsi="宋体"/>
          <w:sz w:val="20"/>
          <w:szCs w:val="21"/>
        </w:rPr>
      </w:pPr>
      <w:bookmarkStart w:id="30" w:name="OLE_LINK27"/>
      <w:r>
        <w:rPr>
          <w:rFonts w:hint="eastAsia" w:hAnsi="宋体"/>
          <w:sz w:val="20"/>
          <w:szCs w:val="21"/>
        </w:rPr>
        <w:t>参数要求：</w:t>
      </w:r>
    </w:p>
    <w:p>
      <w:pPr>
        <w:ind w:firstLine="400"/>
        <w:textAlignment w:val="center"/>
        <w:rPr>
          <w:rFonts w:hAnsi="宋体"/>
          <w:sz w:val="20"/>
          <w:szCs w:val="21"/>
        </w:rPr>
      </w:pPr>
      <w:r>
        <w:rPr>
          <w:rFonts w:hint="eastAsia" w:hAnsi="宋体"/>
          <w:sz w:val="20"/>
          <w:szCs w:val="21"/>
        </w:rPr>
        <w:t>★1.硬件配置要求如下：</w:t>
      </w:r>
    </w:p>
    <w:p>
      <w:pPr>
        <w:ind w:firstLine="400"/>
        <w:textAlignment w:val="center"/>
        <w:rPr>
          <w:rFonts w:hAnsi="宋体"/>
          <w:sz w:val="20"/>
          <w:szCs w:val="21"/>
        </w:rPr>
      </w:pPr>
      <w:r>
        <w:rPr>
          <w:rFonts w:hint="eastAsia" w:hAnsi="宋体"/>
          <w:sz w:val="20"/>
          <w:szCs w:val="21"/>
        </w:rPr>
        <w:t>1）CPU：配置≥Intel第八代四核四线程处理器（处理器主频≥3.6GHz）</w:t>
      </w:r>
    </w:p>
    <w:p>
      <w:pPr>
        <w:ind w:firstLine="400"/>
        <w:textAlignment w:val="center"/>
        <w:rPr>
          <w:rFonts w:hAnsi="宋体"/>
          <w:sz w:val="20"/>
          <w:szCs w:val="21"/>
        </w:rPr>
      </w:pPr>
      <w:r>
        <w:rPr>
          <w:rFonts w:hint="eastAsia" w:hAnsi="宋体"/>
          <w:sz w:val="20"/>
          <w:szCs w:val="21"/>
        </w:rPr>
        <w:t>2）内存：≥8GB</w:t>
      </w:r>
    </w:p>
    <w:p>
      <w:pPr>
        <w:ind w:firstLine="400"/>
        <w:textAlignment w:val="center"/>
        <w:rPr>
          <w:rFonts w:hAnsi="宋体"/>
          <w:sz w:val="20"/>
          <w:szCs w:val="21"/>
        </w:rPr>
      </w:pPr>
      <w:r>
        <w:rPr>
          <w:rFonts w:hint="eastAsia" w:hAnsi="宋体"/>
          <w:sz w:val="20"/>
          <w:szCs w:val="21"/>
        </w:rPr>
        <w:t>3）存储：≥256 GB SSD</w:t>
      </w:r>
    </w:p>
    <w:p>
      <w:pPr>
        <w:ind w:firstLine="400"/>
        <w:textAlignment w:val="center"/>
        <w:rPr>
          <w:rFonts w:hAnsi="宋体"/>
          <w:sz w:val="20"/>
          <w:szCs w:val="21"/>
        </w:rPr>
      </w:pPr>
      <w:r>
        <w:rPr>
          <w:rFonts w:hint="eastAsia" w:hAnsi="宋体"/>
          <w:sz w:val="20"/>
          <w:szCs w:val="21"/>
        </w:rPr>
        <w:t>4）显卡≥Intel HD 630</w:t>
      </w:r>
    </w:p>
    <w:p>
      <w:pPr>
        <w:ind w:firstLine="400"/>
        <w:textAlignment w:val="center"/>
        <w:rPr>
          <w:rFonts w:hAnsi="宋体"/>
          <w:sz w:val="20"/>
          <w:szCs w:val="21"/>
        </w:rPr>
      </w:pPr>
      <w:r>
        <w:rPr>
          <w:rFonts w:hint="eastAsia" w:hAnsi="宋体"/>
          <w:sz w:val="20"/>
          <w:szCs w:val="21"/>
        </w:rPr>
        <w:t>5）本地集成显卡，千兆网口，8个USB口</w:t>
      </w:r>
    </w:p>
    <w:p>
      <w:pPr>
        <w:ind w:firstLine="400"/>
        <w:textAlignment w:val="center"/>
        <w:rPr>
          <w:rFonts w:hAnsi="宋体"/>
          <w:sz w:val="20"/>
          <w:szCs w:val="21"/>
        </w:rPr>
      </w:pPr>
      <w:r>
        <w:rPr>
          <w:rFonts w:hint="eastAsia" w:hAnsi="宋体"/>
          <w:sz w:val="20"/>
          <w:szCs w:val="21"/>
        </w:rPr>
        <w:t>★2.为了使用的灵活性，该设备可以配置为服务器，也可以配置为普通的学生机和教师机。</w:t>
      </w:r>
    </w:p>
    <w:p>
      <w:pPr>
        <w:ind w:firstLine="400"/>
        <w:textAlignment w:val="center"/>
        <w:rPr>
          <w:rFonts w:hAnsi="宋体"/>
          <w:sz w:val="20"/>
          <w:szCs w:val="21"/>
        </w:rPr>
      </w:pPr>
      <w:r>
        <w:rPr>
          <w:rFonts w:hint="eastAsia" w:hAnsi="宋体"/>
          <w:sz w:val="20"/>
          <w:szCs w:val="21"/>
        </w:rPr>
        <w:t>3.要求云终端控制器管理平台能对云终端控制器CPU、内存、硬盘资源使用情况进行呈现，CPU和内存资源占用情况按百分比数值直观呈现出来，硬盘资源按照系统和数据不同分区显示占用资源空间的数值大小和总空间的数值大小，以便进行资源的维护和管理。（要求提供功能界面截图并加盖厂商招投标专用章或公章）。</w:t>
      </w:r>
    </w:p>
    <w:p>
      <w:pPr>
        <w:ind w:firstLine="400"/>
        <w:textAlignment w:val="center"/>
        <w:rPr>
          <w:rFonts w:hAnsi="宋体"/>
          <w:sz w:val="20"/>
          <w:szCs w:val="21"/>
        </w:rPr>
      </w:pPr>
      <w:r>
        <w:rPr>
          <w:rFonts w:hint="eastAsia" w:hAnsi="宋体"/>
          <w:sz w:val="20"/>
          <w:szCs w:val="21"/>
        </w:rPr>
        <w:t>4.云终端控制器要求出厂预装云终端控制器虚拟化软件等桌面云组件，无需单独购买和配置虚拟化软件。</w:t>
      </w:r>
    </w:p>
    <w:p>
      <w:pPr>
        <w:ind w:firstLine="400"/>
        <w:textAlignment w:val="center"/>
        <w:rPr>
          <w:rFonts w:hAnsi="宋体"/>
          <w:sz w:val="20"/>
          <w:szCs w:val="21"/>
        </w:rPr>
      </w:pPr>
      <w:r>
        <w:rPr>
          <w:rFonts w:hint="eastAsia" w:hAnsi="宋体"/>
          <w:sz w:val="20"/>
          <w:szCs w:val="21"/>
        </w:rPr>
        <w:t>5.为了满足学校教学的使用需求，要求该产品可以正常制作和下发多种类型的操作系统，至少包括：win7 32位、win 7 64位、win 10、win XP、win server 2008、Redhat 7.4、Ubuntu 14.04等操作系统版本（需提供功能照片或实际操作视频）。</w:t>
      </w:r>
    </w:p>
    <w:p>
      <w:pPr>
        <w:ind w:firstLine="400"/>
        <w:textAlignment w:val="center"/>
        <w:rPr>
          <w:rFonts w:hAnsi="宋体"/>
          <w:sz w:val="20"/>
          <w:szCs w:val="21"/>
        </w:rPr>
      </w:pPr>
      <w:r>
        <w:rPr>
          <w:rFonts w:hint="eastAsia" w:hAnsi="宋体"/>
          <w:sz w:val="20"/>
          <w:szCs w:val="21"/>
        </w:rPr>
        <w:t>6.为保证使用体验，要求镜像模版支持自动发布和手动发布两种模式。镜像使用还原模式时，自动发布模式要求在老师编辑完镜像并关闭镜像模版后无需任何操作即可自动进入到镜像下发阶段将镜像下发到云终端上；手动发布模式要求在老师编辑完镜像并关闭镜像模版后镜像模版为待发布状态，老师希望下发的时候通过点击下发按钮完成下发不会自动下发（需提供功能照片或实际操作视频）。</w:t>
      </w:r>
    </w:p>
    <w:p>
      <w:pPr>
        <w:ind w:firstLine="400"/>
        <w:textAlignment w:val="center"/>
        <w:rPr>
          <w:rFonts w:hAnsi="宋体"/>
          <w:sz w:val="20"/>
          <w:szCs w:val="21"/>
        </w:rPr>
      </w:pPr>
      <w:r>
        <w:rPr>
          <w:rFonts w:hint="eastAsia" w:hAnsi="宋体"/>
          <w:sz w:val="20"/>
          <w:szCs w:val="21"/>
        </w:rPr>
        <w:t>7.为保障教室的实施部署质量，云终端控制器提供B/S架构的云终端控制器统一管理界面，提供向导式的部署方法，在部署完成后必须要求强制体检，自动生成体检报告及分数。（要求提供功能操作界面截图并加盖厂商投标专用章或公章）。</w:t>
      </w:r>
    </w:p>
    <w:p>
      <w:pPr>
        <w:ind w:firstLine="400"/>
        <w:textAlignment w:val="center"/>
        <w:rPr>
          <w:rFonts w:hAnsi="宋体"/>
          <w:sz w:val="20"/>
          <w:szCs w:val="21"/>
        </w:rPr>
      </w:pPr>
      <w:r>
        <w:rPr>
          <w:rFonts w:hint="eastAsia" w:hAnsi="宋体"/>
          <w:sz w:val="20"/>
          <w:szCs w:val="21"/>
        </w:rPr>
        <w:t>8.提供虚拟教室功能，能够按照教室规模创建不同的虚拟教室，每个虚拟教室独立管理和配置，在云终端控制器后台能够实现对独立教室的学生终端、教师云终端分别进行配置和管理，包括镜像管理、网络访问限制、网络白名单的设置。（要求提供工作操作界面截图并加盖厂商公章或招投标专用章）。</w:t>
      </w:r>
    </w:p>
    <w:p>
      <w:pPr>
        <w:ind w:firstLine="400"/>
        <w:textAlignment w:val="center"/>
        <w:rPr>
          <w:rFonts w:hAnsi="宋体"/>
          <w:sz w:val="20"/>
          <w:szCs w:val="21"/>
        </w:rPr>
      </w:pPr>
      <w:r>
        <w:rPr>
          <w:rFonts w:hint="eastAsia" w:hAnsi="宋体"/>
          <w:sz w:val="20"/>
          <w:szCs w:val="21"/>
        </w:rPr>
        <w:t>9.为简化管理维护工作，要求通过智能云终端控制器能够对教室中学生云终端和教师终端进行统一管理，能够在同一管理界面同时查看到学生云终端和教师终端；能够在云终端控制器端平台后台界面内实现对所有学生云终端批量配置，桌面批量新建、设置和删除，同时也能对教师终端进行镜像下发、配置。（要求提供工作操作界面截图并加盖厂商公章或招投标专用章）。</w:t>
      </w:r>
    </w:p>
    <w:p>
      <w:pPr>
        <w:ind w:firstLine="400"/>
        <w:textAlignment w:val="center"/>
        <w:rPr>
          <w:rFonts w:hAnsi="宋体"/>
          <w:sz w:val="20"/>
          <w:szCs w:val="21"/>
        </w:rPr>
      </w:pPr>
      <w:r>
        <w:rPr>
          <w:rFonts w:hint="eastAsia" w:hAnsi="宋体"/>
          <w:sz w:val="20"/>
          <w:szCs w:val="21"/>
        </w:rPr>
        <w:t>★10.为简化管理，要求智能云终端控制器提供云桌面的统一管理功能，能统一监控云桌面，包含但不限于以下参数：在线情况、IP地址、终端MAC地址；并可新建、修改、删除、批量生成云桌面。（要求提供功能操作界面截图并加盖厂商投标专用章或公章）。</w:t>
      </w:r>
    </w:p>
    <w:p>
      <w:pPr>
        <w:ind w:firstLine="400"/>
        <w:textAlignment w:val="center"/>
        <w:rPr>
          <w:rFonts w:hAnsi="宋体"/>
          <w:sz w:val="20"/>
          <w:szCs w:val="21"/>
        </w:rPr>
      </w:pPr>
      <w:r>
        <w:rPr>
          <w:rFonts w:hint="eastAsia" w:hAnsi="宋体"/>
          <w:sz w:val="20"/>
          <w:szCs w:val="21"/>
        </w:rPr>
        <w:t>11.在云终端控制器上需要能够实现共享磁盘自动挂载功能，学生与老师共享一块虚拟磁盘，为学生设置下载权限，老师设置上传和下载权限。（要求提供功能操作界面截图并加盖厂商投标专用章或公章）。</w:t>
      </w:r>
    </w:p>
    <w:p>
      <w:pPr>
        <w:ind w:firstLine="400"/>
        <w:textAlignment w:val="center"/>
        <w:rPr>
          <w:rFonts w:hAnsi="宋体"/>
          <w:sz w:val="20"/>
          <w:szCs w:val="21"/>
        </w:rPr>
      </w:pPr>
      <w:r>
        <w:rPr>
          <w:rFonts w:hint="eastAsia" w:hAnsi="宋体"/>
          <w:sz w:val="20"/>
          <w:szCs w:val="21"/>
        </w:rPr>
        <w:t>12.提供教学镜像隐藏功能，在云终端控制器后台对教学镜像设置后，可实现部分教学镜像对学生可见，部分镜像（如考试镜像）对学生不可见，当需要使用的时候，只需一键设置学生即可看到镜像，保证重要镜像的安全性。（要求提供功能操作界面截图并加盖厂商投标专用章或公章）。</w:t>
      </w:r>
    </w:p>
    <w:p>
      <w:pPr>
        <w:ind w:firstLine="400"/>
        <w:textAlignment w:val="center"/>
        <w:rPr>
          <w:rFonts w:hAnsi="宋体"/>
          <w:sz w:val="20"/>
          <w:szCs w:val="21"/>
        </w:rPr>
      </w:pPr>
      <w:r>
        <w:rPr>
          <w:rFonts w:hint="eastAsia" w:hAnsi="宋体"/>
          <w:sz w:val="20"/>
          <w:szCs w:val="21"/>
        </w:rPr>
        <w:t>13.为便于时间管理设置，云终端控制器时间能够实现多种配置方法，支持从网络NTP服务同步，手动设置，同步本地时间，NTP服务地址或URL地址能够进行手工配置。</w:t>
      </w:r>
    </w:p>
    <w:p>
      <w:pPr>
        <w:ind w:firstLine="400"/>
        <w:textAlignment w:val="center"/>
        <w:rPr>
          <w:rFonts w:hAnsi="宋体"/>
          <w:sz w:val="20"/>
          <w:szCs w:val="21"/>
        </w:rPr>
      </w:pPr>
      <w:r>
        <w:rPr>
          <w:rFonts w:hint="eastAsia" w:hAnsi="宋体"/>
          <w:sz w:val="20"/>
          <w:szCs w:val="21"/>
        </w:rPr>
        <w:t>14.云终端控制器要求支持设置定时任务，能够定时关闭云终端控制器、重启云主机、关闭云终端，可按照每天或者每周设置周期性任务，具体时间点能够设置到时分秒。（要求提供功能操作界面截图并加盖厂商投标专用章或公章）。</w:t>
      </w:r>
    </w:p>
    <w:p>
      <w:pPr>
        <w:ind w:firstLine="400"/>
        <w:textAlignment w:val="center"/>
        <w:rPr>
          <w:rFonts w:hAnsi="宋体"/>
          <w:sz w:val="20"/>
          <w:szCs w:val="21"/>
        </w:rPr>
      </w:pPr>
      <w:r>
        <w:rPr>
          <w:rFonts w:hint="eastAsia" w:hAnsi="宋体"/>
          <w:sz w:val="20"/>
          <w:szCs w:val="21"/>
        </w:rPr>
        <w:t>15.云终端控制器和云终端都需要支持上电自启动，确保异常掉电之后重新加电设备能够自动启动，无需人员干预。</w:t>
      </w:r>
    </w:p>
    <w:p>
      <w:pPr>
        <w:ind w:firstLine="400"/>
        <w:textAlignment w:val="center"/>
        <w:rPr>
          <w:rFonts w:hAnsi="宋体"/>
          <w:sz w:val="20"/>
          <w:szCs w:val="21"/>
        </w:rPr>
      </w:pPr>
      <w:r>
        <w:rPr>
          <w:rFonts w:hint="eastAsia" w:hAnsi="宋体"/>
          <w:sz w:val="20"/>
          <w:szCs w:val="21"/>
        </w:rPr>
        <w:t>16.提供作业空间管理功能，对作业空间的学生与老师账号进行统一管理，可以对学生使用的作业空间存储空间进行管理，以上功能需提供截图或者实际操作视频。</w:t>
      </w:r>
    </w:p>
    <w:p>
      <w:pPr>
        <w:ind w:firstLine="400"/>
        <w:textAlignment w:val="center"/>
        <w:rPr>
          <w:rFonts w:hAnsi="宋体"/>
          <w:sz w:val="20"/>
          <w:szCs w:val="21"/>
        </w:rPr>
      </w:pPr>
      <w:r>
        <w:rPr>
          <w:rFonts w:hint="eastAsia" w:hAnsi="宋体"/>
          <w:sz w:val="20"/>
          <w:szCs w:val="21"/>
        </w:rPr>
        <w:t>17.为保证能够及时使用到新版本，云终端控制器软件版本的及时更新，必须提供统一升级功能。云终端控制器可以导入升级包，升级包可以对云终端控制器、云终端、教学管理软件升级。</w:t>
      </w:r>
    </w:p>
    <w:p>
      <w:pPr>
        <w:ind w:firstLine="400"/>
        <w:textAlignment w:val="center"/>
        <w:rPr>
          <w:rFonts w:hAnsi="宋体"/>
          <w:sz w:val="20"/>
          <w:szCs w:val="21"/>
        </w:rPr>
      </w:pPr>
      <w:r>
        <w:rPr>
          <w:rFonts w:hint="eastAsia" w:hAnsi="宋体"/>
          <w:sz w:val="20"/>
          <w:szCs w:val="21"/>
        </w:rPr>
        <w:t>18.云终端控制器需对云终端的存储空间进行统一管理，云终端数据盘满时，在云终端控制器管理页面提供一键清理功能。（要求提供功能操作界面截图并加盖厂商投标专用章或公章）。</w:t>
      </w:r>
    </w:p>
    <w:p>
      <w:pPr>
        <w:ind w:firstLine="400"/>
        <w:textAlignment w:val="center"/>
        <w:rPr>
          <w:rFonts w:hAnsi="宋体"/>
          <w:sz w:val="20"/>
          <w:szCs w:val="21"/>
        </w:rPr>
      </w:pPr>
      <w:r>
        <w:rPr>
          <w:rFonts w:hint="eastAsia" w:hAnsi="宋体"/>
          <w:sz w:val="20"/>
          <w:szCs w:val="21"/>
        </w:rPr>
        <w:t>★19.需提供原厂配套的部署实施与运维工具，该工具需要能够自动识别安装部署与日常运行中的常见问题，检测项涵盖但不限于：智能云终端控制器和云终端设备发现、云终端控制器版本检测、网络部署检测，对检测结果的部分常见问题可以自动修复。（要求提供功能操作界面截图并加盖厂商投标专用章或公章）。</w:t>
      </w:r>
    </w:p>
    <w:p>
      <w:pPr>
        <w:ind w:firstLine="400"/>
        <w:textAlignment w:val="center"/>
        <w:rPr>
          <w:rFonts w:hAnsi="宋体"/>
          <w:sz w:val="20"/>
          <w:szCs w:val="21"/>
        </w:rPr>
      </w:pPr>
      <w:r>
        <w:rPr>
          <w:rFonts w:hint="eastAsia" w:hAnsi="宋体"/>
          <w:sz w:val="20"/>
          <w:szCs w:val="21"/>
        </w:rPr>
        <w:t>20.云终端控制器提供文件授权方式，无需硬件加密狗。</w:t>
      </w:r>
    </w:p>
    <w:p>
      <w:pPr>
        <w:ind w:firstLine="400"/>
        <w:textAlignment w:val="center"/>
        <w:rPr>
          <w:rFonts w:hAnsi="宋体"/>
          <w:sz w:val="20"/>
          <w:szCs w:val="21"/>
        </w:rPr>
      </w:pPr>
      <w:r>
        <w:rPr>
          <w:rFonts w:hint="eastAsia" w:hAnsi="宋体"/>
          <w:sz w:val="20"/>
          <w:szCs w:val="21"/>
        </w:rPr>
        <w:t>21.云终端控制器底层虚拟化系统必须为自主研发系统，要求提供中华人民共和国国家版权局颁发的云终端控制器底层操作系统的软件著作权登记证证书复印件。</w:t>
      </w:r>
    </w:p>
    <w:p>
      <w:pPr>
        <w:ind w:firstLine="400"/>
        <w:textAlignment w:val="center"/>
        <w:rPr>
          <w:rFonts w:hAnsi="宋体"/>
          <w:sz w:val="20"/>
          <w:szCs w:val="21"/>
        </w:rPr>
      </w:pPr>
      <w:r>
        <w:rPr>
          <w:rFonts w:hint="eastAsia" w:hAnsi="宋体"/>
          <w:sz w:val="20"/>
          <w:szCs w:val="21"/>
        </w:rPr>
        <w:t>22.要求云终端控制器、学生云终端、教师云终端、显示器、键盘鼠标、教学管理软件、网络连通设备同一品牌，保证平台联动时的兼容性和可靠性，且在产品厂商官网有明确的产品说明。（需提供产品厂商官网查询链接与截图并加盖厂商投标专用章或公章）。</w:t>
      </w:r>
    </w:p>
    <w:p>
      <w:pPr>
        <w:ind w:firstLine="400"/>
        <w:textAlignment w:val="center"/>
        <w:rPr>
          <w:rFonts w:hAnsi="宋体"/>
          <w:sz w:val="20"/>
          <w:szCs w:val="21"/>
        </w:rPr>
      </w:pPr>
      <w:r>
        <w:rPr>
          <w:rFonts w:hint="eastAsia" w:hAnsi="宋体"/>
          <w:sz w:val="20"/>
          <w:szCs w:val="21"/>
        </w:rPr>
        <w:t>★23.设备厂家在本地设有办事处以及售后服务机构，并且对于此次所选设备均在当地有备件，要求厂家≥3年质保。投标时需提供由厂家针对本项目出具的《投标授权函》，《售后服务承诺函》，《参数确认函》原件并加盖厂家公章或投标专用章。</w:t>
      </w:r>
    </w:p>
    <w:p>
      <w:pPr>
        <w:pStyle w:val="3"/>
        <w:ind w:firstLine="0" w:firstLineChars="0"/>
        <w:rPr>
          <w:rFonts w:ascii="Arial" w:hAnsi="宋体" w:eastAsia="黑体"/>
          <w:b/>
          <w:sz w:val="24"/>
          <w:szCs w:val="24"/>
        </w:rPr>
      </w:pPr>
    </w:p>
    <w:p>
      <w:pPr>
        <w:pStyle w:val="3"/>
        <w:ind w:firstLine="0" w:firstLineChars="0"/>
        <w:rPr>
          <w:rFonts w:ascii="Arial" w:hAnsi="宋体" w:eastAsia="黑体"/>
          <w:b/>
          <w:sz w:val="24"/>
          <w:szCs w:val="24"/>
        </w:rPr>
      </w:pPr>
      <w:r>
        <w:rPr>
          <w:rFonts w:hint="eastAsia" w:ascii="Arial" w:hAnsi="宋体" w:eastAsia="黑体"/>
          <w:b/>
          <w:sz w:val="24"/>
          <w:szCs w:val="24"/>
        </w:rPr>
        <w:t>（四）</w:t>
      </w:r>
      <w:bookmarkEnd w:id="30"/>
      <w:r>
        <w:rPr>
          <w:rFonts w:hint="eastAsia" w:ascii="Arial" w:hAnsi="宋体" w:eastAsia="黑体"/>
          <w:b/>
          <w:sz w:val="24"/>
          <w:szCs w:val="24"/>
        </w:rPr>
        <w:t xml:space="preserve">虚拟化软件  117套     </w:t>
      </w:r>
    </w:p>
    <w:p>
      <w:pPr>
        <w:pStyle w:val="3"/>
        <w:ind w:firstLine="400"/>
        <w:rPr>
          <w:rFonts w:ascii="Arial" w:hAnsi="宋体" w:eastAsia="黑体"/>
          <w:b/>
          <w:sz w:val="24"/>
          <w:szCs w:val="24"/>
        </w:rPr>
      </w:pPr>
      <w:r>
        <w:rPr>
          <w:rFonts w:hint="eastAsia"/>
        </w:rPr>
        <w:t>终端虚拟化软件</w:t>
      </w:r>
    </w:p>
    <w:p>
      <w:pPr>
        <w:pStyle w:val="3"/>
        <w:ind w:firstLine="0" w:firstLineChars="0"/>
        <w:rPr>
          <w:rFonts w:ascii="Arial" w:hAnsi="宋体" w:eastAsia="黑体"/>
          <w:b/>
          <w:sz w:val="24"/>
          <w:szCs w:val="24"/>
        </w:rPr>
      </w:pPr>
      <w:bookmarkStart w:id="31" w:name="OLE_LINK28"/>
    </w:p>
    <w:bookmarkEnd w:id="31"/>
    <w:p>
      <w:pPr>
        <w:pStyle w:val="3"/>
        <w:ind w:firstLine="0" w:firstLineChars="0"/>
        <w:rPr>
          <w:rFonts w:ascii="Arial" w:hAnsi="宋体" w:eastAsia="黑体"/>
          <w:b/>
          <w:sz w:val="24"/>
          <w:szCs w:val="24"/>
        </w:rPr>
      </w:pPr>
      <w:r>
        <w:rPr>
          <w:rFonts w:hint="eastAsia" w:ascii="Arial" w:hAnsi="宋体" w:eastAsia="黑体"/>
          <w:b/>
          <w:sz w:val="24"/>
          <w:szCs w:val="24"/>
        </w:rPr>
        <w:t>（五）教学管理软件  2套</w:t>
      </w:r>
    </w:p>
    <w:p>
      <w:pPr>
        <w:ind w:firstLine="400"/>
        <w:textAlignment w:val="center"/>
        <w:rPr>
          <w:rFonts w:hAnsi="宋体"/>
          <w:sz w:val="20"/>
          <w:szCs w:val="21"/>
        </w:rPr>
      </w:pPr>
      <w:bookmarkStart w:id="32" w:name="OLE_LINK32"/>
      <w:r>
        <w:rPr>
          <w:rFonts w:hint="eastAsia" w:hAnsi="宋体"/>
          <w:sz w:val="20"/>
          <w:szCs w:val="21"/>
        </w:rPr>
        <w:t>1、教学管理软件可以选择多种独立的教学环境，为方便教学，教师所有教学操作均可通过教学管理软件完成，其中包含一键切换教学环境等，无需登录服务器后台进行操作。</w:t>
      </w:r>
    </w:p>
    <w:p>
      <w:pPr>
        <w:ind w:firstLine="400"/>
        <w:textAlignment w:val="center"/>
        <w:rPr>
          <w:rFonts w:hAnsi="宋体"/>
          <w:sz w:val="20"/>
          <w:szCs w:val="21"/>
        </w:rPr>
      </w:pPr>
      <w:r>
        <w:rPr>
          <w:rFonts w:hint="eastAsia" w:hAnsi="宋体"/>
          <w:sz w:val="20"/>
          <w:szCs w:val="21"/>
        </w:rPr>
        <w:t>★2.为便于老师进行维护管理，教学管理软件可以选择关闭学生终端和教学服务器，也可以选择只关闭学生终端，为防止虚假应标需提供功能截图。</w:t>
      </w:r>
    </w:p>
    <w:p>
      <w:pPr>
        <w:ind w:firstLine="400"/>
        <w:textAlignment w:val="center"/>
        <w:rPr>
          <w:rFonts w:hAnsi="宋体"/>
          <w:sz w:val="20"/>
          <w:szCs w:val="21"/>
        </w:rPr>
      </w:pPr>
      <w:r>
        <w:rPr>
          <w:rFonts w:hint="eastAsia" w:hAnsi="宋体"/>
          <w:sz w:val="20"/>
          <w:szCs w:val="21"/>
        </w:rPr>
        <w:t>3.为简化教学，教学管理软件需要提供远程终端编号功能，并与云桌面编号一一对应，方便上课前的学生点名等，为防止虚假应标需要提供功能截图。</w:t>
      </w:r>
    </w:p>
    <w:p>
      <w:pPr>
        <w:ind w:firstLine="400"/>
        <w:textAlignment w:val="center"/>
        <w:rPr>
          <w:rFonts w:hAnsi="宋体"/>
          <w:sz w:val="20"/>
          <w:szCs w:val="21"/>
        </w:rPr>
      </w:pPr>
      <w:r>
        <w:rPr>
          <w:rFonts w:hint="eastAsia" w:hAnsi="宋体"/>
          <w:sz w:val="20"/>
          <w:szCs w:val="21"/>
        </w:rPr>
        <w:t>4.支持老师对单一、部分、全体学生广播教师机屏幕，实现多媒体教学。</w:t>
      </w:r>
    </w:p>
    <w:p>
      <w:pPr>
        <w:ind w:firstLine="400"/>
        <w:textAlignment w:val="center"/>
        <w:rPr>
          <w:rFonts w:hAnsi="宋体"/>
          <w:sz w:val="20"/>
          <w:szCs w:val="21"/>
        </w:rPr>
      </w:pPr>
      <w:r>
        <w:rPr>
          <w:rFonts w:hint="eastAsia" w:hAnsi="宋体"/>
          <w:sz w:val="20"/>
          <w:szCs w:val="21"/>
        </w:rPr>
        <w:t>5.支持老师将指定学生的屏幕图像广播给其他所有学生，老师也能看到该指定学生的屏幕图像。</w:t>
      </w:r>
    </w:p>
    <w:p>
      <w:pPr>
        <w:ind w:firstLine="400"/>
        <w:textAlignment w:val="center"/>
        <w:rPr>
          <w:rFonts w:hAnsi="宋体"/>
          <w:sz w:val="20"/>
          <w:szCs w:val="21"/>
        </w:rPr>
      </w:pPr>
      <w:r>
        <w:rPr>
          <w:rFonts w:hint="eastAsia" w:hAnsi="宋体"/>
          <w:sz w:val="20"/>
          <w:szCs w:val="21"/>
        </w:rPr>
        <w:t>6.支持学生通过电子举手方式请求老师的帮助。</w:t>
      </w:r>
    </w:p>
    <w:p>
      <w:pPr>
        <w:ind w:firstLine="400"/>
        <w:textAlignment w:val="center"/>
        <w:rPr>
          <w:rFonts w:hAnsi="宋体"/>
          <w:sz w:val="20"/>
          <w:szCs w:val="21"/>
        </w:rPr>
      </w:pPr>
      <w:r>
        <w:rPr>
          <w:rFonts w:hint="eastAsia" w:hAnsi="宋体"/>
          <w:sz w:val="20"/>
          <w:szCs w:val="21"/>
        </w:rPr>
        <w:t>7.支持老师禁止学生连接存储设备，包括U盘、移动硬盘等。</w:t>
      </w:r>
    </w:p>
    <w:p>
      <w:pPr>
        <w:ind w:firstLine="400"/>
        <w:textAlignment w:val="center"/>
        <w:rPr>
          <w:rFonts w:hAnsi="宋体"/>
          <w:sz w:val="20"/>
          <w:szCs w:val="21"/>
        </w:rPr>
      </w:pPr>
      <w:r>
        <w:rPr>
          <w:rFonts w:hint="eastAsia" w:hAnsi="宋体"/>
          <w:sz w:val="20"/>
          <w:szCs w:val="21"/>
        </w:rPr>
        <w:t>8.支持老师在作业空间为多个或单个班级的学生布置作业，布置内容可支持各种文件格式。老师可以对作业上交截止时间限制，老师可以随时更改作业的内容。为保证后续使用效果需提供上述功能截图并加盖厂商招投标专用章或厂商章。</w:t>
      </w:r>
    </w:p>
    <w:p>
      <w:pPr>
        <w:ind w:firstLine="400"/>
        <w:textAlignment w:val="center"/>
        <w:rPr>
          <w:rFonts w:hAnsi="宋体"/>
          <w:sz w:val="20"/>
          <w:szCs w:val="21"/>
        </w:rPr>
      </w:pPr>
      <w:r>
        <w:rPr>
          <w:rFonts w:hint="eastAsia" w:hAnsi="宋体"/>
          <w:sz w:val="20"/>
          <w:szCs w:val="21"/>
        </w:rPr>
        <w:t>★9.作业空间内置网盘功能，学生可通过作业空间账号直接登录，学生没有做完的作业或文件，可以上传到在作业空间中独立的存储空间中，方便下次上课使用，为防止虚假应标需要提供功能截图。</w:t>
      </w:r>
    </w:p>
    <w:p>
      <w:pPr>
        <w:ind w:firstLine="400"/>
        <w:textAlignment w:val="center"/>
        <w:rPr>
          <w:rFonts w:hAnsi="宋体"/>
          <w:sz w:val="20"/>
          <w:szCs w:val="21"/>
        </w:rPr>
      </w:pPr>
      <w:r>
        <w:rPr>
          <w:rFonts w:hint="eastAsia" w:hAnsi="宋体"/>
          <w:sz w:val="20"/>
          <w:szCs w:val="21"/>
        </w:rPr>
        <w:t>10.支持老师将选中的文件分发给学生，可以分发给所有学生，也可以分发给指定学生。</w:t>
      </w:r>
    </w:p>
    <w:p>
      <w:pPr>
        <w:ind w:firstLine="400"/>
        <w:textAlignment w:val="center"/>
        <w:rPr>
          <w:rFonts w:hAnsi="宋体"/>
          <w:sz w:val="20"/>
          <w:szCs w:val="21"/>
        </w:rPr>
      </w:pPr>
      <w:r>
        <w:rPr>
          <w:rFonts w:hint="eastAsia" w:hAnsi="宋体"/>
          <w:sz w:val="20"/>
          <w:szCs w:val="21"/>
        </w:rPr>
        <w:t>11.支持老师在线打开学生作业，格式包括但不限于Word、Flash、Excel、PPT、图片等。在线查看学生作业后，可以在作业空间中打分并录入评语，为保证后续使用效果需提供上述功能截图并加盖厂商招投标专用章或厂商章。</w:t>
      </w:r>
    </w:p>
    <w:p>
      <w:pPr>
        <w:ind w:firstLine="400"/>
        <w:textAlignment w:val="center"/>
        <w:rPr>
          <w:rFonts w:hAnsi="宋体"/>
          <w:sz w:val="20"/>
          <w:szCs w:val="21"/>
        </w:rPr>
      </w:pPr>
      <w:r>
        <w:rPr>
          <w:rFonts w:hint="eastAsia" w:hAnsi="宋体"/>
          <w:sz w:val="20"/>
          <w:szCs w:val="21"/>
        </w:rPr>
        <w:t>12.为避免U-Key丢失和兼容性以及安全性问题，授权方式必须为文件授权方式，而非U-Key授权的方式。针对授权方式需要提供服务器文件授权界面截图并加盖厂商招投标专用章或厂商章。</w:t>
      </w:r>
    </w:p>
    <w:p>
      <w:pPr>
        <w:ind w:firstLine="400"/>
        <w:textAlignment w:val="center"/>
        <w:rPr>
          <w:rFonts w:hAnsi="宋体"/>
          <w:sz w:val="20"/>
          <w:szCs w:val="21"/>
        </w:rPr>
      </w:pPr>
      <w:r>
        <w:rPr>
          <w:rFonts w:hint="eastAsia" w:hAnsi="宋体"/>
          <w:sz w:val="20"/>
          <w:szCs w:val="21"/>
        </w:rPr>
        <w:t>13.班级模型自动创建，为简化账号管理维护工作，支持通过签到的方式自动建立班级模型和账号。</w:t>
      </w:r>
    </w:p>
    <w:p>
      <w:pPr>
        <w:ind w:firstLine="400"/>
        <w:textAlignment w:val="center"/>
        <w:rPr>
          <w:rFonts w:hAnsi="宋体"/>
          <w:sz w:val="20"/>
          <w:szCs w:val="21"/>
        </w:rPr>
      </w:pPr>
      <w:r>
        <w:rPr>
          <w:rFonts w:hint="eastAsia" w:hAnsi="宋体"/>
          <w:sz w:val="20"/>
          <w:szCs w:val="21"/>
        </w:rPr>
        <w:t>14.要求云终端控制器、学生云终端、教师云终端、教学管理软件、网络连通设备同一品牌，保证平台联动时的兼容性和可靠性，且在产品厂商官网有明确的产品说明。（需提供产品厂商官网查询链接与截图并加盖厂商投标专用章或公章）。</w:t>
      </w:r>
    </w:p>
    <w:p>
      <w:pPr>
        <w:ind w:firstLine="400"/>
        <w:textAlignment w:val="center"/>
        <w:rPr>
          <w:rFonts w:hAnsi="宋体"/>
          <w:sz w:val="20"/>
          <w:szCs w:val="21"/>
        </w:rPr>
      </w:pPr>
      <w:r>
        <w:rPr>
          <w:rFonts w:hint="eastAsia" w:hAnsi="宋体"/>
          <w:sz w:val="20"/>
          <w:szCs w:val="21"/>
        </w:rPr>
        <w:t>★15.为保证所采购云桌面教学系统的成熟稳定，要求所投云桌面教学系统（教学管理服务器、教学终端、教学管理软件）或同系产品需连续三年通过中央电教馆的数字校园综合解决方案评选 。（提供证书复印件且加盖厂商投标专用章或厂商章）。</w:t>
      </w:r>
    </w:p>
    <w:p>
      <w:pPr>
        <w:pStyle w:val="3"/>
        <w:ind w:firstLine="400"/>
        <w:rPr>
          <w:rFonts w:hAnsi="宋体"/>
          <w:szCs w:val="21"/>
        </w:rPr>
      </w:pPr>
      <w:r>
        <w:rPr>
          <w:rFonts w:hint="eastAsia" w:hAnsi="宋体"/>
          <w:szCs w:val="21"/>
        </w:rPr>
        <w:t>★16.设备厂家在本地设有办事处以及售后服务机构，并且对于此次所选设备均在当地有备件，要求厂家≥3年质保。投标时需提供由厂家针对本项目出具的《投标授权函》，《售后服务承诺函》，《参数确认函》原件并加盖厂家公章或投标专用章。</w:t>
      </w:r>
    </w:p>
    <w:p>
      <w:pPr>
        <w:pStyle w:val="3"/>
        <w:ind w:firstLine="0" w:firstLineChars="0"/>
        <w:rPr>
          <w:rFonts w:ascii="Arial" w:hAnsi="宋体" w:eastAsia="黑体"/>
          <w:b/>
          <w:sz w:val="24"/>
          <w:szCs w:val="24"/>
        </w:rPr>
      </w:pPr>
    </w:p>
    <w:p>
      <w:pPr>
        <w:pStyle w:val="3"/>
        <w:ind w:firstLine="0" w:firstLineChars="0"/>
        <w:rPr>
          <w:rFonts w:ascii="Arial" w:hAnsi="宋体" w:eastAsia="黑体"/>
          <w:b/>
          <w:sz w:val="24"/>
          <w:szCs w:val="24"/>
        </w:rPr>
      </w:pPr>
      <w:r>
        <w:rPr>
          <w:rFonts w:hint="eastAsia" w:ascii="Arial" w:hAnsi="宋体" w:eastAsia="黑体"/>
          <w:b/>
          <w:sz w:val="24"/>
          <w:szCs w:val="24"/>
        </w:rPr>
        <w:t>（六）</w:t>
      </w:r>
      <w:bookmarkEnd w:id="32"/>
      <w:r>
        <w:rPr>
          <w:rFonts w:hint="eastAsia" w:ascii="Arial" w:hAnsi="宋体" w:eastAsia="黑体"/>
          <w:b/>
          <w:sz w:val="24"/>
          <w:szCs w:val="24"/>
        </w:rPr>
        <w:t>正版Windows黄金镜像   117套</w:t>
      </w:r>
    </w:p>
    <w:p>
      <w:pPr>
        <w:pStyle w:val="3"/>
        <w:ind w:firstLine="400"/>
        <w:rPr>
          <w:rFonts w:ascii="Arial" w:hAnsi="宋体" w:eastAsia="黑体"/>
          <w:b/>
          <w:sz w:val="24"/>
          <w:szCs w:val="24"/>
        </w:rPr>
      </w:pPr>
      <w:bookmarkStart w:id="33" w:name="OLE_LINK33"/>
      <w:r>
        <w:rPr>
          <w:rFonts w:hint="eastAsia" w:hAnsi="宋体" w:cs="宋体"/>
          <w:color w:val="000000"/>
          <w:szCs w:val="21"/>
        </w:rPr>
        <w:t>锐捷云桌面windows 7/10 proffessional VL版1个教育行业正版授权，只向教育行业客户销售。</w:t>
      </w:r>
    </w:p>
    <w:p>
      <w:pPr>
        <w:pStyle w:val="3"/>
        <w:ind w:firstLine="0" w:firstLineChars="0"/>
        <w:rPr>
          <w:rFonts w:ascii="Arial" w:hAnsi="宋体" w:eastAsia="黑体"/>
          <w:b/>
          <w:sz w:val="24"/>
          <w:szCs w:val="24"/>
        </w:rPr>
      </w:pPr>
    </w:p>
    <w:p>
      <w:pPr>
        <w:pStyle w:val="3"/>
        <w:ind w:firstLine="0" w:firstLineChars="0"/>
        <w:rPr>
          <w:rFonts w:hint="eastAsia"/>
        </w:rPr>
      </w:pPr>
      <w:r>
        <w:rPr>
          <w:rFonts w:hint="eastAsia" w:ascii="Arial" w:hAnsi="宋体" w:eastAsia="黑体"/>
          <w:b/>
          <w:sz w:val="24"/>
          <w:szCs w:val="24"/>
        </w:rPr>
        <w:t>（七）</w:t>
      </w:r>
      <w:bookmarkEnd w:id="33"/>
      <w:r>
        <w:rPr>
          <w:rFonts w:hint="eastAsia" w:ascii="Arial" w:hAnsi="宋体" w:eastAsia="黑体"/>
          <w:b/>
          <w:sz w:val="24"/>
          <w:szCs w:val="24"/>
        </w:rPr>
        <w:t xml:space="preserve">键盘鼠标    </w:t>
      </w:r>
      <w:bookmarkStart w:id="34" w:name="OLE_LINK34"/>
      <w:r>
        <w:rPr>
          <w:rFonts w:hint="eastAsia" w:ascii="Arial" w:hAnsi="宋体" w:eastAsia="黑体"/>
          <w:b/>
          <w:sz w:val="24"/>
          <w:szCs w:val="24"/>
        </w:rPr>
        <w:t>117</w:t>
      </w:r>
      <w:bookmarkEnd w:id="34"/>
      <w:r>
        <w:rPr>
          <w:rFonts w:hint="eastAsia" w:ascii="Arial" w:hAnsi="宋体" w:eastAsia="黑体"/>
          <w:b/>
          <w:sz w:val="24"/>
          <w:szCs w:val="24"/>
        </w:rPr>
        <w:t>套</w:t>
      </w:r>
    </w:p>
    <w:p>
      <w:pPr>
        <w:pStyle w:val="3"/>
        <w:ind w:firstLine="400"/>
        <w:rPr>
          <w:rFonts w:ascii="Arial" w:hAnsi="宋体" w:eastAsia="黑体"/>
          <w:b/>
          <w:sz w:val="24"/>
          <w:szCs w:val="24"/>
        </w:rPr>
      </w:pPr>
      <w:bookmarkStart w:id="35" w:name="OLE_LINK35"/>
      <w:r>
        <w:rPr>
          <w:rFonts w:hint="eastAsia" w:hAnsi="宋体" w:cs="宋体"/>
          <w:color w:val="000000"/>
          <w:szCs w:val="21"/>
        </w:rPr>
        <w:t>云桌面有线键鼠套装，内含有线键盘、鼠标、带有锐捷logo的鼠标垫。</w:t>
      </w:r>
    </w:p>
    <w:p>
      <w:pPr>
        <w:pStyle w:val="3"/>
        <w:ind w:firstLine="0" w:firstLineChars="0"/>
        <w:rPr>
          <w:rFonts w:ascii="Arial" w:hAnsi="宋体" w:eastAsia="黑体"/>
          <w:b/>
          <w:sz w:val="24"/>
          <w:szCs w:val="24"/>
        </w:rPr>
      </w:pPr>
    </w:p>
    <w:p>
      <w:pPr>
        <w:pStyle w:val="3"/>
        <w:ind w:firstLine="0" w:firstLineChars="0"/>
        <w:rPr>
          <w:rFonts w:ascii="Arial" w:hAnsi="宋体" w:eastAsia="黑体"/>
          <w:b/>
          <w:sz w:val="24"/>
          <w:szCs w:val="24"/>
          <w:lang w:val="zh-CN"/>
        </w:rPr>
      </w:pPr>
      <w:r>
        <w:rPr>
          <w:rFonts w:hint="eastAsia" w:ascii="Arial" w:hAnsi="宋体" w:eastAsia="黑体"/>
          <w:b/>
          <w:sz w:val="24"/>
          <w:szCs w:val="24"/>
        </w:rPr>
        <w:t>（八）</w:t>
      </w:r>
      <w:bookmarkEnd w:id="35"/>
      <w:r>
        <w:rPr>
          <w:rFonts w:hint="eastAsia" w:ascii="Arial" w:hAnsi="宋体" w:eastAsia="黑体"/>
          <w:b/>
          <w:sz w:val="24"/>
          <w:szCs w:val="24"/>
          <w:lang w:val="zh-CN"/>
        </w:rPr>
        <w:t>显示器</w:t>
      </w:r>
      <w:r>
        <w:rPr>
          <w:rFonts w:hint="eastAsia" w:ascii="Arial" w:hAnsi="宋体" w:eastAsia="黑体"/>
          <w:b/>
          <w:sz w:val="24"/>
          <w:szCs w:val="24"/>
        </w:rPr>
        <w:t xml:space="preserve">      117台</w:t>
      </w:r>
    </w:p>
    <w:p>
      <w:pPr>
        <w:pStyle w:val="3"/>
        <w:ind w:firstLine="400"/>
        <w:rPr>
          <w:rFonts w:ascii="Arial" w:hAnsi="宋体" w:eastAsia="黑体"/>
          <w:b/>
          <w:sz w:val="24"/>
          <w:szCs w:val="24"/>
        </w:rPr>
      </w:pPr>
      <w:bookmarkStart w:id="36" w:name="OLE_LINK36"/>
      <w:r>
        <w:rPr>
          <w:rFonts w:hint="eastAsia" w:hAnsi="宋体" w:cs="宋体"/>
          <w:color w:val="000000"/>
          <w:szCs w:val="21"/>
        </w:rPr>
        <w:t>液晶显示器，21.5寸，IPS屏幕，LED背光，窄边框设计，三年质保。</w:t>
      </w:r>
    </w:p>
    <w:p>
      <w:pPr>
        <w:pStyle w:val="3"/>
        <w:ind w:firstLine="0" w:firstLineChars="0"/>
        <w:rPr>
          <w:rFonts w:ascii="Arial" w:hAnsi="宋体" w:eastAsia="黑体"/>
          <w:b/>
          <w:sz w:val="24"/>
          <w:szCs w:val="24"/>
        </w:rPr>
      </w:pPr>
    </w:p>
    <w:p>
      <w:pPr>
        <w:pStyle w:val="3"/>
        <w:ind w:firstLine="0" w:firstLineChars="0"/>
        <w:rPr>
          <w:rFonts w:ascii="Arial" w:hAnsi="宋体" w:eastAsia="黑体"/>
          <w:b/>
          <w:sz w:val="24"/>
          <w:szCs w:val="24"/>
        </w:rPr>
      </w:pPr>
      <w:r>
        <w:rPr>
          <w:rFonts w:hint="eastAsia" w:ascii="Arial" w:hAnsi="宋体" w:eastAsia="黑体"/>
          <w:b/>
          <w:sz w:val="24"/>
          <w:szCs w:val="24"/>
        </w:rPr>
        <w:t>（九）</w:t>
      </w:r>
      <w:bookmarkEnd w:id="36"/>
      <w:r>
        <w:rPr>
          <w:rFonts w:hint="eastAsia" w:ascii="Arial" w:hAnsi="宋体" w:eastAsia="黑体"/>
          <w:b/>
          <w:sz w:val="24"/>
          <w:szCs w:val="24"/>
        </w:rPr>
        <w:t>48口接入交换机   3台</w:t>
      </w:r>
    </w:p>
    <w:p>
      <w:pPr>
        <w:ind w:left="200" w:firstLineChars="100"/>
        <w:textAlignment w:val="center"/>
        <w:rPr>
          <w:rFonts w:hAnsi="宋体"/>
          <w:sz w:val="20"/>
          <w:szCs w:val="21"/>
        </w:rPr>
      </w:pPr>
      <w:bookmarkStart w:id="37" w:name="OLE_LINK37"/>
      <w:r>
        <w:rPr>
          <w:rFonts w:hint="eastAsia" w:hAnsi="宋体"/>
          <w:sz w:val="20"/>
          <w:szCs w:val="21"/>
        </w:rPr>
        <w:t>★1.固化10/100/1000M以太网端口≥48，固化1G SFP光接口≥4个；整机最大可用千兆口≥52</w:t>
      </w:r>
    </w:p>
    <w:p>
      <w:pPr>
        <w:ind w:left="200" w:firstLineChars="100"/>
        <w:textAlignment w:val="center"/>
        <w:rPr>
          <w:rFonts w:hAnsi="宋体"/>
          <w:sz w:val="20"/>
          <w:szCs w:val="21"/>
        </w:rPr>
      </w:pPr>
      <w:r>
        <w:rPr>
          <w:rFonts w:hint="eastAsia" w:hAnsi="宋体"/>
          <w:sz w:val="20"/>
          <w:szCs w:val="21"/>
        </w:rPr>
        <w:t>★2.交换容量≥</w:t>
      </w:r>
      <w:r>
        <w:rPr>
          <w:rFonts w:hAnsi="宋体"/>
          <w:sz w:val="20"/>
          <w:szCs w:val="21"/>
        </w:rPr>
        <w:t>3T</w:t>
      </w:r>
      <w:r>
        <w:rPr>
          <w:rFonts w:hint="eastAsia" w:hAnsi="宋体"/>
          <w:sz w:val="20"/>
          <w:szCs w:val="21"/>
        </w:rPr>
        <w:t>bps，转发性能≥166Mpps，提供官网截图并加盖厂商章。</w:t>
      </w:r>
    </w:p>
    <w:p>
      <w:pPr>
        <w:ind w:left="200" w:firstLineChars="100"/>
        <w:textAlignment w:val="center"/>
        <w:rPr>
          <w:rFonts w:hAnsi="宋体"/>
          <w:sz w:val="20"/>
          <w:szCs w:val="21"/>
        </w:rPr>
      </w:pPr>
      <w:r>
        <w:rPr>
          <w:rFonts w:hint="eastAsia" w:hAnsi="宋体"/>
          <w:sz w:val="20"/>
          <w:szCs w:val="21"/>
        </w:rPr>
        <w:t>3.</w:t>
      </w:r>
      <w:r>
        <w:rPr>
          <w:rFonts w:hAnsi="宋体"/>
          <w:sz w:val="20"/>
          <w:szCs w:val="21"/>
        </w:rPr>
        <w:t>配置及日志存储等简化维护和管理，USB端口≥1个。</w:t>
      </w:r>
    </w:p>
    <w:p>
      <w:pPr>
        <w:ind w:left="200" w:firstLineChars="100"/>
        <w:textAlignment w:val="center"/>
        <w:rPr>
          <w:rFonts w:hAnsi="宋体"/>
          <w:sz w:val="20"/>
          <w:szCs w:val="21"/>
        </w:rPr>
      </w:pPr>
      <w:r>
        <w:rPr>
          <w:rFonts w:hint="eastAsia" w:hAnsi="宋体"/>
          <w:sz w:val="20"/>
          <w:szCs w:val="21"/>
        </w:rPr>
        <w:t>4.要求所投产品必须涂装三防漆，充分提升设备绝缘、防潮、防腐蚀、防霉、防盐雾等性能,提供官网截图证明。</w:t>
      </w:r>
    </w:p>
    <w:p>
      <w:pPr>
        <w:ind w:left="200" w:firstLineChars="100"/>
        <w:textAlignment w:val="center"/>
        <w:rPr>
          <w:rFonts w:hAnsi="宋体"/>
          <w:sz w:val="20"/>
          <w:szCs w:val="21"/>
        </w:rPr>
      </w:pPr>
      <w:r>
        <w:rPr>
          <w:rFonts w:hint="eastAsia" w:hAnsi="宋体"/>
          <w:sz w:val="20"/>
          <w:szCs w:val="21"/>
        </w:rPr>
        <w:t>5.支持链路协测功能。</w:t>
      </w:r>
    </w:p>
    <w:p>
      <w:pPr>
        <w:ind w:left="200" w:firstLineChars="100"/>
        <w:textAlignment w:val="center"/>
        <w:rPr>
          <w:rFonts w:hAnsi="宋体"/>
          <w:sz w:val="20"/>
          <w:szCs w:val="21"/>
        </w:rPr>
      </w:pPr>
      <w:r>
        <w:rPr>
          <w:rFonts w:hint="eastAsia" w:hAnsi="宋体"/>
          <w:sz w:val="20"/>
          <w:szCs w:val="21"/>
        </w:rPr>
        <w:t>6.支持流镜像功能。</w:t>
      </w:r>
    </w:p>
    <w:p>
      <w:pPr>
        <w:ind w:left="200" w:firstLineChars="100"/>
        <w:textAlignment w:val="center"/>
        <w:rPr>
          <w:rFonts w:hAnsi="宋体"/>
          <w:sz w:val="20"/>
          <w:szCs w:val="21"/>
        </w:rPr>
      </w:pPr>
      <w:r>
        <w:rPr>
          <w:rFonts w:hint="eastAsia" w:hAnsi="宋体"/>
          <w:sz w:val="20"/>
          <w:szCs w:val="21"/>
        </w:rPr>
        <w:t>7.支持IPv4和IPv6的三层路由、RIP路由功能。</w:t>
      </w:r>
    </w:p>
    <w:p>
      <w:pPr>
        <w:ind w:left="200" w:firstLineChars="100"/>
        <w:textAlignment w:val="center"/>
        <w:rPr>
          <w:rFonts w:hAnsi="宋体"/>
          <w:sz w:val="20"/>
          <w:szCs w:val="21"/>
        </w:rPr>
      </w:pPr>
      <w:r>
        <w:rPr>
          <w:rFonts w:hint="eastAsia" w:hAnsi="宋体"/>
          <w:sz w:val="20"/>
          <w:szCs w:val="21"/>
        </w:rPr>
        <w:t>8.支持IPv4组播、IPv6组播。</w:t>
      </w:r>
    </w:p>
    <w:p>
      <w:pPr>
        <w:ind w:left="200" w:firstLineChars="100"/>
        <w:textAlignment w:val="center"/>
        <w:rPr>
          <w:rFonts w:hAnsi="宋体"/>
          <w:sz w:val="20"/>
          <w:szCs w:val="21"/>
        </w:rPr>
      </w:pPr>
      <w:r>
        <w:rPr>
          <w:rFonts w:hint="eastAsia" w:hAnsi="宋体"/>
          <w:sz w:val="20"/>
          <w:szCs w:val="21"/>
        </w:rPr>
        <w:t>9.支持DHCP Client、DHCP Relay、DHCP Snooping、DHCP Snooping Trust。</w:t>
      </w:r>
    </w:p>
    <w:p>
      <w:pPr>
        <w:ind w:left="200" w:firstLineChars="100"/>
        <w:textAlignment w:val="center"/>
        <w:rPr>
          <w:rFonts w:hAnsi="宋体"/>
          <w:sz w:val="20"/>
          <w:szCs w:val="21"/>
        </w:rPr>
      </w:pPr>
      <w:r>
        <w:rPr>
          <w:rFonts w:hint="eastAsia" w:hAnsi="宋体"/>
          <w:sz w:val="20"/>
          <w:szCs w:val="21"/>
        </w:rPr>
        <w:t>10.支持IPv4 ACL，配置支持源/目的IPv6地址、源/目的端口的硬件IPv6 ACL，ACL80。</w:t>
      </w:r>
    </w:p>
    <w:p>
      <w:pPr>
        <w:ind w:left="200" w:firstLineChars="100"/>
        <w:textAlignment w:val="center"/>
        <w:rPr>
          <w:rFonts w:hAnsi="宋体"/>
          <w:sz w:val="20"/>
          <w:szCs w:val="21"/>
        </w:rPr>
      </w:pPr>
      <w:r>
        <w:rPr>
          <w:rFonts w:hint="eastAsia" w:hAnsi="宋体"/>
          <w:sz w:val="20"/>
          <w:szCs w:val="21"/>
        </w:rPr>
        <w:t>11.支持ARP防欺骗功能，能够禁止非法用户的ARP欺骗报文，保护合法用户免受其害，防止合法用户的数据被窃取。</w:t>
      </w:r>
    </w:p>
    <w:p>
      <w:pPr>
        <w:ind w:left="200" w:firstLineChars="100"/>
        <w:textAlignment w:val="center"/>
        <w:rPr>
          <w:rFonts w:hAnsi="宋体"/>
          <w:sz w:val="20"/>
          <w:szCs w:val="21"/>
        </w:rPr>
      </w:pPr>
      <w:r>
        <w:rPr>
          <w:rFonts w:hint="eastAsia" w:hAnsi="宋体"/>
          <w:sz w:val="20"/>
          <w:szCs w:val="21"/>
        </w:rPr>
        <w:t>12.支持抗攻击，支持CPU限速功能。</w:t>
      </w:r>
    </w:p>
    <w:p>
      <w:pPr>
        <w:ind w:left="200" w:firstLineChars="100"/>
        <w:textAlignment w:val="center"/>
        <w:rPr>
          <w:rFonts w:hAnsi="宋体"/>
          <w:sz w:val="20"/>
          <w:szCs w:val="21"/>
        </w:rPr>
      </w:pPr>
      <w:r>
        <w:rPr>
          <w:rFonts w:hint="eastAsia" w:hAnsi="宋体"/>
          <w:sz w:val="20"/>
          <w:szCs w:val="21"/>
        </w:rPr>
        <w:t>13.所投设备能检测到攻击源，并将攻击源隔离。</w:t>
      </w:r>
    </w:p>
    <w:p>
      <w:pPr>
        <w:ind w:left="200" w:firstLineChars="100"/>
        <w:textAlignment w:val="center"/>
        <w:rPr>
          <w:rFonts w:hAnsi="宋体"/>
          <w:sz w:val="20"/>
          <w:szCs w:val="21"/>
        </w:rPr>
      </w:pPr>
      <w:r>
        <w:rPr>
          <w:rFonts w:hint="eastAsia" w:hAnsi="宋体"/>
          <w:sz w:val="20"/>
          <w:szCs w:val="21"/>
        </w:rPr>
        <w:t>★14.端口防雷能力不小于10KV，提供第三方权威机构检测报告复印件及官网截图证明（含官网查询链接）。</w:t>
      </w:r>
    </w:p>
    <w:p>
      <w:pPr>
        <w:ind w:left="200" w:firstLineChars="100"/>
        <w:textAlignment w:val="center"/>
        <w:rPr>
          <w:rFonts w:hAnsi="宋体"/>
          <w:sz w:val="20"/>
          <w:szCs w:val="21"/>
        </w:rPr>
      </w:pPr>
      <w:r>
        <w:rPr>
          <w:rFonts w:hint="eastAsia" w:hAnsi="宋体"/>
          <w:sz w:val="20"/>
          <w:szCs w:val="21"/>
        </w:rPr>
        <w:t>15.更高的工作温度范围能提高设备对热的耐受性，提升设备使用寿命，要求工作温度0-50°，提供官网截图证明。</w:t>
      </w:r>
    </w:p>
    <w:p>
      <w:pPr>
        <w:ind w:left="200" w:firstLineChars="100"/>
        <w:textAlignment w:val="center"/>
        <w:rPr>
          <w:rFonts w:hAnsi="宋体"/>
          <w:sz w:val="20"/>
          <w:szCs w:val="21"/>
        </w:rPr>
      </w:pPr>
      <w:r>
        <w:rPr>
          <w:rFonts w:hint="eastAsia" w:hAnsi="宋体"/>
          <w:sz w:val="20"/>
          <w:szCs w:val="21"/>
        </w:rPr>
        <w:t>16.提供MAC地址认证功能，并能和安全管理系统联动实现MAC地址认证，使得打印机、VOIP电话这类设备能够通过自身MAC地址进行网络认证，访问网络。</w:t>
      </w:r>
    </w:p>
    <w:p>
      <w:pPr>
        <w:ind w:firstLine="400"/>
        <w:textAlignment w:val="center"/>
        <w:rPr>
          <w:rFonts w:hAnsi="宋体"/>
          <w:sz w:val="20"/>
          <w:szCs w:val="21"/>
        </w:rPr>
      </w:pPr>
      <w:r>
        <w:rPr>
          <w:rFonts w:hint="eastAsia" w:hAnsi="宋体"/>
          <w:sz w:val="20"/>
          <w:szCs w:val="21"/>
        </w:rPr>
        <w:t>17.设备支持通过USB接口进行实体认证功能，保留测试权利。</w:t>
      </w:r>
    </w:p>
    <w:p>
      <w:pPr>
        <w:ind w:firstLine="400"/>
        <w:textAlignment w:val="center"/>
        <w:rPr>
          <w:rFonts w:hAnsi="宋体"/>
          <w:sz w:val="20"/>
          <w:szCs w:val="21"/>
        </w:rPr>
      </w:pPr>
      <w:r>
        <w:rPr>
          <w:rFonts w:hint="eastAsia" w:hAnsi="宋体"/>
          <w:sz w:val="20"/>
          <w:szCs w:val="21"/>
        </w:rPr>
        <w:t>★18.支持专门基础网络保护策略，增强设备防攻击能力，即使在受到攻击的情况下，也能保护系统各种服务的正常运行，保持较低的CPU负载，从而保障整个网络的稳定运行，提供官网截图证明。</w:t>
      </w:r>
    </w:p>
    <w:p>
      <w:pPr>
        <w:ind w:firstLine="400"/>
        <w:textAlignment w:val="center"/>
        <w:rPr>
          <w:rFonts w:hAnsi="宋体"/>
          <w:sz w:val="20"/>
          <w:szCs w:val="21"/>
        </w:rPr>
      </w:pPr>
      <w:r>
        <w:rPr>
          <w:rFonts w:hint="eastAsia" w:hAnsi="宋体"/>
          <w:sz w:val="20"/>
          <w:szCs w:val="21"/>
        </w:rPr>
        <w:t>19.要求云终端控制器、学生云终端、教师云终端、教学管理软件、网络连通设备同一品牌，保证平台联动时的兼容性和可靠性，且在产品厂商官网有明确的产品说明。（需提供产品厂商官网查询链接与截图并加盖厂商投标专用章或公章）。</w:t>
      </w:r>
    </w:p>
    <w:p>
      <w:pPr>
        <w:pStyle w:val="3"/>
        <w:ind w:firstLine="400"/>
        <w:rPr>
          <w:rFonts w:ascii="Arial" w:hAnsi="宋体" w:eastAsia="黑体"/>
          <w:b/>
          <w:sz w:val="24"/>
          <w:szCs w:val="24"/>
        </w:rPr>
      </w:pPr>
      <w:r>
        <w:rPr>
          <w:rFonts w:hint="eastAsia" w:hAnsi="宋体"/>
          <w:szCs w:val="21"/>
        </w:rPr>
        <w:t>★20.设备厂家在本地设有办事处以及售后服务机构，并且对于此次</w:t>
      </w:r>
      <w:r>
        <w:rPr>
          <w:rFonts w:hint="eastAsia" w:hAnsi="宋体" w:cs="微软雅黑"/>
          <w:szCs w:val="21"/>
        </w:rPr>
        <w:t>所选设备均在当地有备件，要求厂家≥3年质保。</w:t>
      </w:r>
      <w:r>
        <w:rPr>
          <w:rFonts w:hint="eastAsia" w:hAnsi="宋体"/>
          <w:szCs w:val="21"/>
        </w:rPr>
        <w:t>投标时需提供由厂家针对本项目出具的《投标授权函》，《售后服务承诺函》，《参数确认函》原件并加盖厂家公章或投标专用章。</w:t>
      </w:r>
    </w:p>
    <w:p>
      <w:pPr>
        <w:pStyle w:val="3"/>
        <w:ind w:firstLine="0" w:firstLineChars="0"/>
        <w:rPr>
          <w:rFonts w:ascii="Arial" w:hAnsi="宋体" w:eastAsia="黑体"/>
          <w:b/>
          <w:sz w:val="24"/>
          <w:szCs w:val="24"/>
        </w:rPr>
      </w:pPr>
    </w:p>
    <w:p>
      <w:pPr>
        <w:pStyle w:val="3"/>
        <w:ind w:firstLine="0" w:firstLineChars="0"/>
        <w:rPr>
          <w:rFonts w:hint="eastAsia"/>
        </w:rPr>
      </w:pPr>
      <w:r>
        <w:rPr>
          <w:rFonts w:hint="eastAsia" w:ascii="Arial" w:hAnsi="宋体" w:eastAsia="黑体"/>
          <w:b/>
          <w:sz w:val="24"/>
          <w:szCs w:val="24"/>
        </w:rPr>
        <w:t>（十）</w:t>
      </w:r>
      <w:bookmarkEnd w:id="37"/>
      <w:r>
        <w:rPr>
          <w:rFonts w:hint="eastAsia" w:ascii="Arial" w:hAnsi="宋体" w:eastAsia="黑体"/>
          <w:b/>
          <w:sz w:val="24"/>
          <w:szCs w:val="24"/>
        </w:rPr>
        <w:t>交互式触控投影屏幕   1套</w:t>
      </w:r>
    </w:p>
    <w:p>
      <w:pPr>
        <w:ind w:firstLine="166" w:firstLineChars="83"/>
        <w:rPr>
          <w:rFonts w:hAnsi="宋体"/>
          <w:sz w:val="20"/>
          <w:szCs w:val="21"/>
        </w:rPr>
      </w:pPr>
      <w:r>
        <w:rPr>
          <w:rFonts w:hint="eastAsia" w:hAnsi="宋体"/>
          <w:sz w:val="20"/>
          <w:szCs w:val="21"/>
        </w:rPr>
        <w:t>一、硬件要求：</w:t>
      </w:r>
    </w:p>
    <w:p>
      <w:pPr>
        <w:ind w:firstLine="400"/>
        <w:rPr>
          <w:rFonts w:hAnsi="宋体"/>
          <w:sz w:val="20"/>
          <w:szCs w:val="21"/>
        </w:rPr>
      </w:pPr>
      <w:r>
        <w:rPr>
          <w:rFonts w:hint="eastAsia" w:hAnsi="宋体"/>
          <w:sz w:val="20"/>
          <w:szCs w:val="21"/>
        </w:rPr>
        <w:t>1、产品类型：交互式触控投影屏幕。</w:t>
      </w:r>
    </w:p>
    <w:p>
      <w:pPr>
        <w:ind w:firstLine="400"/>
        <w:rPr>
          <w:rFonts w:hAnsi="宋体"/>
          <w:sz w:val="20"/>
          <w:szCs w:val="21"/>
        </w:rPr>
      </w:pPr>
      <w:r>
        <w:rPr>
          <w:rFonts w:hint="eastAsia" w:hAnsi="宋体"/>
          <w:sz w:val="20"/>
          <w:szCs w:val="21"/>
        </w:rPr>
        <w:t>2、实现功能：同时具备画框投影幕和电磁式电子白板功能。</w:t>
      </w:r>
    </w:p>
    <w:p>
      <w:pPr>
        <w:ind w:firstLine="400"/>
        <w:rPr>
          <w:rFonts w:hAnsi="宋体"/>
          <w:sz w:val="20"/>
          <w:szCs w:val="21"/>
        </w:rPr>
      </w:pPr>
      <w:r>
        <w:rPr>
          <w:rFonts w:hint="eastAsia" w:hAnsi="宋体"/>
          <w:sz w:val="20"/>
          <w:szCs w:val="21"/>
        </w:rPr>
        <w:t>3、影像承载面：高清漫反射投影幕布，反射增益1.1，可视角大于160°，耐书写，无光斑，防水，可用清水擦洗清洁。</w:t>
      </w:r>
    </w:p>
    <w:p>
      <w:pPr>
        <w:ind w:firstLine="400"/>
        <w:rPr>
          <w:rFonts w:hAnsi="宋体"/>
          <w:sz w:val="20"/>
          <w:szCs w:val="21"/>
        </w:rPr>
      </w:pPr>
      <w:r>
        <w:rPr>
          <w:rFonts w:hint="eastAsia" w:hAnsi="宋体"/>
          <w:sz w:val="20"/>
          <w:szCs w:val="21"/>
        </w:rPr>
        <w:t>★4、结构技术：采用双层技术。幕布采用拉簧安装，确保投影幕平整度，感应层采用柔性线路工艺制作，确保在幕布上书写流畅。</w:t>
      </w:r>
    </w:p>
    <w:p>
      <w:pPr>
        <w:ind w:firstLine="400"/>
        <w:rPr>
          <w:rFonts w:hAnsi="宋体"/>
          <w:sz w:val="20"/>
          <w:szCs w:val="21"/>
        </w:rPr>
      </w:pPr>
      <w:r>
        <w:rPr>
          <w:rFonts w:hint="eastAsia" w:hAnsi="宋体"/>
          <w:sz w:val="20"/>
          <w:szCs w:val="21"/>
        </w:rPr>
        <w:t>5、定位技术：电磁感应技术。</w:t>
      </w:r>
    </w:p>
    <w:p>
      <w:pPr>
        <w:ind w:firstLine="400"/>
        <w:rPr>
          <w:rFonts w:hAnsi="宋体"/>
          <w:sz w:val="20"/>
          <w:szCs w:val="21"/>
        </w:rPr>
      </w:pPr>
      <w:r>
        <w:rPr>
          <w:rFonts w:hint="eastAsia" w:hAnsi="宋体"/>
          <w:sz w:val="20"/>
          <w:szCs w:val="21"/>
        </w:rPr>
        <w:t>6、书写尺寸：150英寸（ 3320mm*1860mm ）,屏幕比例16:9。</w:t>
      </w:r>
    </w:p>
    <w:p>
      <w:pPr>
        <w:ind w:firstLine="400"/>
        <w:rPr>
          <w:rFonts w:hAnsi="宋体"/>
          <w:sz w:val="20"/>
          <w:szCs w:val="21"/>
        </w:rPr>
      </w:pPr>
      <w:r>
        <w:rPr>
          <w:rFonts w:hint="eastAsia" w:hAnsi="宋体"/>
          <w:sz w:val="20"/>
          <w:szCs w:val="21"/>
        </w:rPr>
        <w:t>7、书写参数：每秒点数≥300点，识别精度≤1mm，快速书写无丢笔、跳笔、无延时，手、衣服、身体等部位触及投影幕时不会造成任何误操作。</w:t>
      </w:r>
    </w:p>
    <w:p>
      <w:pPr>
        <w:ind w:firstLine="400"/>
        <w:rPr>
          <w:rFonts w:hAnsi="宋体"/>
          <w:sz w:val="20"/>
          <w:szCs w:val="21"/>
        </w:rPr>
      </w:pPr>
      <w:r>
        <w:rPr>
          <w:rFonts w:hint="eastAsia" w:hAnsi="宋体"/>
          <w:sz w:val="20"/>
          <w:szCs w:val="21"/>
        </w:rPr>
        <w:t>8、响应时间：≤3ms。</w:t>
      </w:r>
    </w:p>
    <w:p>
      <w:pPr>
        <w:ind w:firstLine="400"/>
        <w:rPr>
          <w:rFonts w:hAnsi="宋体"/>
          <w:sz w:val="20"/>
          <w:szCs w:val="21"/>
        </w:rPr>
      </w:pPr>
      <w:r>
        <w:rPr>
          <w:rFonts w:hint="eastAsia" w:hAnsi="宋体"/>
          <w:sz w:val="20"/>
          <w:szCs w:val="21"/>
        </w:rPr>
        <w:t>9、校准：6点、9点、12点多点校准，一次校准即可。</w:t>
      </w:r>
    </w:p>
    <w:p>
      <w:pPr>
        <w:ind w:firstLine="400"/>
        <w:rPr>
          <w:rFonts w:hAnsi="宋体"/>
          <w:sz w:val="20"/>
          <w:szCs w:val="21"/>
        </w:rPr>
      </w:pPr>
      <w:r>
        <w:rPr>
          <w:rFonts w:hint="eastAsia" w:hAnsi="宋体"/>
          <w:sz w:val="20"/>
          <w:szCs w:val="21"/>
        </w:rPr>
        <w:t>10、操作系统：Win2000/XP/Win7/win10。</w:t>
      </w:r>
    </w:p>
    <w:p>
      <w:pPr>
        <w:ind w:firstLine="400"/>
        <w:rPr>
          <w:rFonts w:hAnsi="宋体"/>
          <w:sz w:val="20"/>
          <w:szCs w:val="21"/>
        </w:rPr>
      </w:pPr>
      <w:r>
        <w:rPr>
          <w:rFonts w:hint="eastAsia" w:hAnsi="宋体"/>
          <w:sz w:val="20"/>
          <w:szCs w:val="21"/>
        </w:rPr>
        <w:t>11、传输方式：USB、2.4GRF 。</w:t>
      </w:r>
    </w:p>
    <w:p>
      <w:pPr>
        <w:ind w:firstLine="400"/>
        <w:rPr>
          <w:rFonts w:hAnsi="宋体"/>
          <w:sz w:val="20"/>
          <w:szCs w:val="21"/>
        </w:rPr>
      </w:pPr>
      <w:r>
        <w:rPr>
          <w:rFonts w:hint="eastAsia" w:hAnsi="宋体"/>
          <w:sz w:val="20"/>
          <w:szCs w:val="21"/>
        </w:rPr>
        <w:t>12、供电方式：USB 5V供电。</w:t>
      </w:r>
    </w:p>
    <w:p>
      <w:pPr>
        <w:ind w:firstLine="400"/>
        <w:rPr>
          <w:rFonts w:hAnsi="宋体"/>
          <w:sz w:val="20"/>
          <w:szCs w:val="21"/>
        </w:rPr>
      </w:pPr>
      <w:r>
        <w:rPr>
          <w:rFonts w:hint="eastAsia" w:hAnsi="宋体"/>
          <w:sz w:val="20"/>
          <w:szCs w:val="21"/>
        </w:rPr>
        <w:t>13、功率：小于1W。</w:t>
      </w:r>
    </w:p>
    <w:p>
      <w:pPr>
        <w:ind w:firstLine="400"/>
        <w:rPr>
          <w:rFonts w:hAnsi="宋体"/>
          <w:sz w:val="20"/>
          <w:szCs w:val="21"/>
        </w:rPr>
      </w:pPr>
      <w:r>
        <w:rPr>
          <w:rFonts w:hint="eastAsia" w:hAnsi="宋体"/>
          <w:sz w:val="20"/>
          <w:szCs w:val="21"/>
        </w:rPr>
        <w:t>14、边框设计：铝合金+静电植绒。</w:t>
      </w:r>
    </w:p>
    <w:p>
      <w:pPr>
        <w:ind w:firstLine="400"/>
        <w:rPr>
          <w:rFonts w:hAnsi="宋体"/>
          <w:sz w:val="20"/>
          <w:szCs w:val="21"/>
        </w:rPr>
      </w:pPr>
      <w:r>
        <w:rPr>
          <w:rFonts w:hint="eastAsia" w:hAnsi="宋体"/>
          <w:sz w:val="20"/>
          <w:szCs w:val="21"/>
        </w:rPr>
        <w:t>15、产品配件：电磁书写笔2个、接收器1个、118°弯头电磁教鞭1个、HUB一个。</w:t>
      </w:r>
    </w:p>
    <w:p>
      <w:pPr>
        <w:ind w:firstLine="400"/>
        <w:rPr>
          <w:rFonts w:hAnsi="宋体"/>
          <w:sz w:val="20"/>
          <w:szCs w:val="21"/>
        </w:rPr>
      </w:pPr>
      <w:r>
        <w:rPr>
          <w:rFonts w:hint="eastAsia" w:hAnsi="宋体"/>
          <w:sz w:val="20"/>
          <w:szCs w:val="21"/>
        </w:rPr>
        <w:t>16、安装方式：直接挂墙上，USB连接电脑即可。</w:t>
      </w:r>
    </w:p>
    <w:p>
      <w:pPr>
        <w:ind w:firstLine="400"/>
        <w:rPr>
          <w:rFonts w:hAnsi="宋体"/>
          <w:sz w:val="20"/>
          <w:szCs w:val="21"/>
        </w:rPr>
      </w:pPr>
      <w:r>
        <w:rPr>
          <w:rFonts w:hint="eastAsia" w:hAnsi="宋体"/>
          <w:sz w:val="20"/>
          <w:szCs w:val="21"/>
        </w:rPr>
        <w:t>17、重量：净重23公斤、毛重25公斤。</w:t>
      </w:r>
    </w:p>
    <w:p>
      <w:pPr>
        <w:ind w:firstLine="400"/>
        <w:rPr>
          <w:rFonts w:hAnsi="宋体"/>
          <w:sz w:val="20"/>
          <w:szCs w:val="21"/>
        </w:rPr>
      </w:pPr>
      <w:r>
        <w:rPr>
          <w:rFonts w:hint="eastAsia" w:hAnsi="宋体"/>
          <w:sz w:val="20"/>
          <w:szCs w:val="21"/>
        </w:rPr>
        <w:t>18、使用环境：温度：-10~50℃，相对湿度：20%~90%。</w:t>
      </w:r>
    </w:p>
    <w:p>
      <w:pPr>
        <w:ind w:firstLineChars="100"/>
        <w:rPr>
          <w:rFonts w:hAnsi="宋体"/>
          <w:sz w:val="20"/>
          <w:szCs w:val="21"/>
        </w:rPr>
      </w:pPr>
      <w:r>
        <w:rPr>
          <w:rFonts w:hint="eastAsia" w:hAnsi="宋体"/>
          <w:sz w:val="20"/>
          <w:szCs w:val="21"/>
        </w:rPr>
        <w:t>二、互动书写软件</w:t>
      </w:r>
    </w:p>
    <w:p>
      <w:pPr>
        <w:ind w:firstLine="400"/>
        <w:rPr>
          <w:rFonts w:hAnsi="宋体"/>
          <w:sz w:val="20"/>
          <w:szCs w:val="21"/>
        </w:rPr>
      </w:pPr>
      <w:r>
        <w:rPr>
          <w:rFonts w:hint="eastAsia" w:hAnsi="宋体"/>
          <w:sz w:val="20"/>
          <w:szCs w:val="21"/>
        </w:rPr>
        <w:t>witouch 软件是一款针对课堂备课和教学开发的应用软件。它具有界面简洁，操作简单，书写流畅，老师可在备课上课环节使用该软件可以让教学变得生动有趣，提高学习兴趣，提升教学品质。</w:t>
      </w:r>
    </w:p>
    <w:p>
      <w:pPr>
        <w:ind w:firstLine="400"/>
        <w:rPr>
          <w:rFonts w:hAnsi="宋体"/>
          <w:sz w:val="20"/>
          <w:szCs w:val="21"/>
        </w:rPr>
      </w:pPr>
      <w:r>
        <w:rPr>
          <w:rFonts w:hint="eastAsia" w:hAnsi="宋体"/>
          <w:sz w:val="20"/>
          <w:szCs w:val="21"/>
        </w:rPr>
        <w:t>1．画笔工具：提供不少于8种笔工具，满足不同学科的教学需求，如铅笔、排笔、软笔、纹理笔、荧光笔、智能笔、对象笔、双笔、可将手绘图形转化为标准图形。</w:t>
      </w:r>
    </w:p>
    <w:p>
      <w:pPr>
        <w:ind w:firstLine="400"/>
        <w:rPr>
          <w:rFonts w:hAnsi="宋体"/>
          <w:sz w:val="20"/>
          <w:szCs w:val="21"/>
        </w:rPr>
      </w:pPr>
      <w:r>
        <w:rPr>
          <w:rFonts w:hint="eastAsia" w:hAnsi="宋体"/>
          <w:sz w:val="20"/>
          <w:szCs w:val="21"/>
        </w:rPr>
        <w:t>2．擦除功能:提供不少于4种清除工具,需包含对象擦,位图擦,图片擦,清除页面。</w:t>
      </w:r>
    </w:p>
    <w:p>
      <w:pPr>
        <w:ind w:firstLine="400"/>
        <w:rPr>
          <w:rFonts w:hAnsi="宋体"/>
          <w:sz w:val="20"/>
          <w:szCs w:val="21"/>
        </w:rPr>
      </w:pPr>
      <w:r>
        <w:rPr>
          <w:rFonts w:hint="eastAsia" w:hAnsi="宋体"/>
          <w:sz w:val="20"/>
          <w:szCs w:val="21"/>
        </w:rPr>
        <w:t>3．多媒体工具：软件支持插入视频、音频、文字、图片、图窗、Flash、表格、网络链接、3D模型、Word、Excel等各种教学资料，方便教师进行讲解与展示。</w:t>
      </w:r>
    </w:p>
    <w:p>
      <w:pPr>
        <w:ind w:firstLine="400"/>
        <w:rPr>
          <w:rFonts w:hAnsi="宋体"/>
          <w:sz w:val="20"/>
          <w:szCs w:val="21"/>
        </w:rPr>
      </w:pPr>
      <w:r>
        <w:rPr>
          <w:rFonts w:hint="eastAsia" w:hAnsi="宋体"/>
          <w:sz w:val="20"/>
          <w:szCs w:val="21"/>
        </w:rPr>
        <w:t>4．辅助工具：软件提供探照灯、遮幕、放大镜、页面照相、屏幕照相、 直尺、量角器、圆规、直角尺、手写识别、一键锁屏、自定义田字格笔顺等各种教学工具，帮助教师方便快捷的进行教学。</w:t>
      </w:r>
    </w:p>
    <w:p>
      <w:pPr>
        <w:ind w:firstLine="400"/>
        <w:rPr>
          <w:rFonts w:hAnsi="宋体"/>
          <w:sz w:val="20"/>
          <w:szCs w:val="21"/>
        </w:rPr>
      </w:pPr>
      <w:r>
        <w:rPr>
          <w:rFonts w:hint="eastAsia" w:hAnsi="宋体"/>
          <w:sz w:val="20"/>
          <w:szCs w:val="21"/>
        </w:rPr>
        <w:t>5．PPT讲课：支持PPT文件导入到软件中，并且保持PPT文件中对象的独立性，并可以对对象进行批注讲解、编辑和保存，方便教师进行备授课。</w:t>
      </w:r>
    </w:p>
    <w:p>
      <w:pPr>
        <w:ind w:firstLine="400"/>
        <w:rPr>
          <w:rFonts w:hAnsi="宋体"/>
          <w:sz w:val="20"/>
          <w:szCs w:val="21"/>
        </w:rPr>
      </w:pPr>
      <w:r>
        <w:rPr>
          <w:rFonts w:hint="eastAsia" w:hAnsi="宋体"/>
          <w:sz w:val="20"/>
          <w:szCs w:val="21"/>
        </w:rPr>
        <w:t>6．中文注解：软件中的图标都配有中文标题，以方便用户迅速、直观地理解按钮或图标的含义，增强软件易用性。</w:t>
      </w:r>
    </w:p>
    <w:p>
      <w:pPr>
        <w:ind w:firstLine="400"/>
        <w:rPr>
          <w:rFonts w:hAnsi="宋体"/>
          <w:sz w:val="20"/>
          <w:szCs w:val="21"/>
        </w:rPr>
      </w:pPr>
      <w:r>
        <w:rPr>
          <w:rFonts w:hint="eastAsia" w:hAnsi="宋体"/>
          <w:sz w:val="20"/>
          <w:szCs w:val="21"/>
        </w:rPr>
        <w:t>7．屏幕漫游：软件支持无边际书写，移动整个屏幕画面，可使当前页无限延伸、放大、缩小，并且可通过导航图快速找回相应的板书内容。</w:t>
      </w:r>
    </w:p>
    <w:p>
      <w:pPr>
        <w:ind w:firstLine="400"/>
        <w:rPr>
          <w:rFonts w:hAnsi="宋体"/>
          <w:sz w:val="20"/>
          <w:szCs w:val="21"/>
        </w:rPr>
      </w:pPr>
      <w:r>
        <w:rPr>
          <w:rFonts w:hint="eastAsia" w:hAnsi="宋体"/>
          <w:sz w:val="20"/>
          <w:szCs w:val="21"/>
        </w:rPr>
        <w:t>8．超链接：提供OfficeR 超级链接功能实现对对象与网站、软件内的页面与页面、对象与文件、对象与声音的交互式超级链接。</w:t>
      </w:r>
    </w:p>
    <w:p>
      <w:pPr>
        <w:ind w:firstLine="400"/>
        <w:rPr>
          <w:rFonts w:hAnsi="宋体"/>
          <w:sz w:val="20"/>
          <w:szCs w:val="21"/>
        </w:rPr>
      </w:pPr>
      <w:r>
        <w:rPr>
          <w:rFonts w:hint="eastAsia" w:hAnsi="宋体"/>
          <w:sz w:val="20"/>
          <w:szCs w:val="21"/>
        </w:rPr>
        <w:t>9．对象处理：软件提供强大的对象处理功能如无限克隆、复制、粘贴、删除、锁定、旋转、翻转、镜像、组合等，并可自由回放书写功能，无需提前录制。</w:t>
      </w:r>
    </w:p>
    <w:p>
      <w:pPr>
        <w:ind w:firstLine="400"/>
        <w:rPr>
          <w:rFonts w:hAnsi="宋体"/>
          <w:sz w:val="20"/>
          <w:szCs w:val="21"/>
        </w:rPr>
      </w:pPr>
      <w:r>
        <w:rPr>
          <w:rFonts w:hint="eastAsia" w:hAnsi="宋体"/>
          <w:sz w:val="20"/>
          <w:szCs w:val="21"/>
        </w:rPr>
        <w:t>★10． 3D教学模型应用:在白板软件当前页面中,可直接插入3D模型,并可进行全方位旋转,缩放,以及编辑动画模式等操作，方便教师全方位展示课件。</w:t>
      </w:r>
    </w:p>
    <w:p>
      <w:pPr>
        <w:ind w:firstLine="400"/>
        <w:rPr>
          <w:rFonts w:hAnsi="宋体"/>
          <w:sz w:val="20"/>
          <w:szCs w:val="21"/>
        </w:rPr>
      </w:pPr>
      <w:r>
        <w:rPr>
          <w:rFonts w:hint="eastAsia" w:hAnsi="宋体"/>
          <w:sz w:val="20"/>
          <w:szCs w:val="21"/>
        </w:rPr>
        <w:t>★11．屏幕录制和编辑功能:在白板软件状态下 ,录制好的视频可在白板页面中进行批注讲解、编辑等操作，并可借助麦克风等工具将声音同步录制。</w:t>
      </w:r>
    </w:p>
    <w:p>
      <w:pPr>
        <w:ind w:firstLine="400"/>
        <w:rPr>
          <w:rFonts w:hAnsi="宋体"/>
          <w:sz w:val="20"/>
          <w:szCs w:val="21"/>
        </w:rPr>
      </w:pPr>
      <w:r>
        <w:rPr>
          <w:rFonts w:hint="eastAsia" w:hAnsi="宋体"/>
          <w:sz w:val="20"/>
          <w:szCs w:val="21"/>
        </w:rPr>
        <w:t>★12．大小屏：教师可以在移动设备上直接批注大屏内容，需支持视频动态批注，教师可将移动设备上PPT的文件直接在大屏上打开，无需拷贝文件至大屏电脑，并全屏播放，也可在移动设备端关闭全屏播放及关闭PPT文件。</w:t>
      </w:r>
      <w:bookmarkStart w:id="38" w:name="OLE_LINK38"/>
    </w:p>
    <w:p>
      <w:pPr>
        <w:ind w:firstLine="400"/>
        <w:rPr>
          <w:rFonts w:hAnsi="宋体"/>
          <w:sz w:val="20"/>
          <w:szCs w:val="21"/>
        </w:rPr>
      </w:pPr>
      <w:r>
        <w:rPr>
          <w:rFonts w:hint="eastAsia"/>
          <w:sz w:val="20"/>
          <w:lang w:val="zh-CN"/>
        </w:rPr>
        <w:t>★三、投标时需提供由厂家针对本项目出具的《投标授权函》，《售后服务承诺函》，《参数确认函》。</w:t>
      </w:r>
    </w:p>
    <w:p>
      <w:pPr>
        <w:spacing w:line="400" w:lineRule="exact"/>
        <w:ind w:firstLine="0" w:firstLineChars="0"/>
        <w:rPr>
          <w:rFonts w:ascii="Arial" w:hAnsi="宋体" w:eastAsia="黑体"/>
          <w:b/>
          <w:szCs w:val="24"/>
        </w:rPr>
      </w:pPr>
    </w:p>
    <w:p>
      <w:pPr>
        <w:spacing w:line="400" w:lineRule="exact"/>
        <w:ind w:firstLine="0" w:firstLineChars="0"/>
        <w:rPr>
          <w:rFonts w:ascii="Arial" w:hAnsi="Arial" w:eastAsia="黑体"/>
          <w:b/>
          <w:sz w:val="32"/>
        </w:rPr>
      </w:pPr>
      <w:r>
        <w:rPr>
          <w:rFonts w:hint="eastAsia" w:ascii="Arial" w:hAnsi="宋体" w:eastAsia="黑体"/>
          <w:b/>
          <w:szCs w:val="24"/>
        </w:rPr>
        <w:t>（十一）</w:t>
      </w:r>
      <w:bookmarkEnd w:id="38"/>
      <w:r>
        <w:rPr>
          <w:rFonts w:hint="eastAsia" w:ascii="Arial" w:hAnsi="宋体" w:eastAsia="黑体"/>
          <w:b/>
          <w:szCs w:val="24"/>
        </w:rPr>
        <w:t>激光投影机   2套</w:t>
      </w:r>
    </w:p>
    <w:p>
      <w:pPr>
        <w:ind w:firstLine="400"/>
        <w:rPr>
          <w:rFonts w:hint="eastAsia"/>
          <w:sz w:val="20"/>
        </w:rPr>
      </w:pPr>
      <w:r>
        <w:rPr>
          <w:rFonts w:hint="eastAsia"/>
          <w:sz w:val="20"/>
        </w:rPr>
        <w:t>1</w:t>
      </w:r>
      <w:r>
        <w:rPr>
          <w:sz w:val="20"/>
        </w:rPr>
        <w:t>、</w:t>
      </w:r>
      <w:r>
        <w:rPr>
          <w:rFonts w:hint="eastAsia"/>
          <w:sz w:val="20"/>
        </w:rPr>
        <w:t>投</w:t>
      </w:r>
      <w:r>
        <w:rPr>
          <w:sz w:val="20"/>
        </w:rPr>
        <w:t>影系统</w:t>
      </w:r>
      <w:r>
        <w:rPr>
          <w:rFonts w:hint="eastAsia"/>
          <w:sz w:val="20"/>
        </w:rPr>
        <w:t>成</w:t>
      </w:r>
      <w:r>
        <w:rPr>
          <w:sz w:val="20"/>
        </w:rPr>
        <w:t>像技术：RGB光阀式液晶投影系统</w:t>
      </w:r>
      <w:r>
        <w:rPr>
          <w:rFonts w:hint="eastAsia"/>
          <w:sz w:val="20"/>
        </w:rPr>
        <w:t xml:space="preserve"> 3LCD，纯激光光源，光源寿命≥20000小时</w:t>
      </w:r>
    </w:p>
    <w:p>
      <w:pPr>
        <w:ind w:firstLine="400"/>
        <w:rPr>
          <w:rFonts w:hint="eastAsia"/>
          <w:sz w:val="20"/>
        </w:rPr>
      </w:pPr>
      <w:r>
        <w:rPr>
          <w:rFonts w:hint="eastAsia"/>
          <w:sz w:val="20"/>
        </w:rPr>
        <w:t>★2</w:t>
      </w:r>
      <w:r>
        <w:rPr>
          <w:sz w:val="20"/>
        </w:rPr>
        <w:t>、</w:t>
      </w:r>
      <w:r>
        <w:rPr>
          <w:rFonts w:hint="eastAsia"/>
          <w:sz w:val="20"/>
        </w:rPr>
        <w:t>标</w:t>
      </w:r>
      <w:r>
        <w:rPr>
          <w:sz w:val="20"/>
        </w:rPr>
        <w:t>准亮度</w:t>
      </w:r>
      <w:r>
        <w:rPr>
          <w:rFonts w:hint="eastAsia"/>
          <w:sz w:val="20"/>
        </w:rPr>
        <w:t>≥50</w:t>
      </w:r>
      <w:r>
        <w:rPr>
          <w:sz w:val="20"/>
        </w:rPr>
        <w:t>00</w:t>
      </w:r>
      <w:r>
        <w:rPr>
          <w:rFonts w:hint="eastAsia"/>
          <w:sz w:val="20"/>
        </w:rPr>
        <w:t>流</w:t>
      </w:r>
      <w:r>
        <w:rPr>
          <w:sz w:val="20"/>
        </w:rPr>
        <w:t>明；</w:t>
      </w:r>
      <w:r>
        <w:rPr>
          <w:rFonts w:hint="eastAsia"/>
          <w:sz w:val="20"/>
        </w:rPr>
        <w:t>标</w:t>
      </w:r>
      <w:r>
        <w:rPr>
          <w:sz w:val="20"/>
        </w:rPr>
        <w:t>准分辨率</w:t>
      </w:r>
      <w:r>
        <w:rPr>
          <w:rFonts w:hint="eastAsia"/>
          <w:sz w:val="20"/>
        </w:rPr>
        <w:t>≥1080P（支持FULL HD ，支持16:6投影画面</w:t>
      </w:r>
      <w:r>
        <w:rPr>
          <w:sz w:val="20"/>
        </w:rPr>
        <w:t>）</w:t>
      </w:r>
      <w:r>
        <w:rPr>
          <w:rFonts w:hint="eastAsia"/>
          <w:sz w:val="20"/>
        </w:rPr>
        <w:t>；色彩亮度≥5000流明）；对比度≥2500000:1；</w:t>
      </w:r>
      <w:r>
        <w:rPr>
          <w:sz w:val="20"/>
        </w:rPr>
        <w:t>色彩模式：</w:t>
      </w:r>
      <w:r>
        <w:rPr>
          <w:rFonts w:hint="eastAsia"/>
          <w:sz w:val="20"/>
        </w:rPr>
        <w:t>支持</w:t>
      </w:r>
      <w:r>
        <w:rPr>
          <w:sz w:val="20"/>
        </w:rPr>
        <w:t>sRGB, DICOM SIM模式。</w:t>
      </w:r>
    </w:p>
    <w:p>
      <w:pPr>
        <w:ind w:firstLine="400"/>
        <w:rPr>
          <w:rFonts w:hint="eastAsia"/>
          <w:sz w:val="20"/>
        </w:rPr>
      </w:pPr>
      <w:r>
        <w:rPr>
          <w:rFonts w:hint="eastAsia"/>
          <w:sz w:val="20"/>
        </w:rPr>
        <w:t>3</w:t>
      </w:r>
      <w:r>
        <w:rPr>
          <w:sz w:val="20"/>
        </w:rPr>
        <w:t>、</w:t>
      </w:r>
      <w:r>
        <w:rPr>
          <w:rFonts w:hint="eastAsia"/>
          <w:sz w:val="20"/>
        </w:rPr>
        <w:t>镜头：手动聚焦，超</w:t>
      </w:r>
      <w:r>
        <w:rPr>
          <w:sz w:val="20"/>
        </w:rPr>
        <w:t>短</w:t>
      </w:r>
      <w:r>
        <w:rPr>
          <w:rFonts w:hint="eastAsia"/>
          <w:sz w:val="20"/>
        </w:rPr>
        <w:t>焦距：投射比：0.27-0.37，具有梯形校正功能；投影画面：61-100寸；超短距离投影(镜头到白板距离)：投影100寸（16:6）画面≤79.6厘米，教学板书时不受投影光线的干扰影响。</w:t>
      </w:r>
    </w:p>
    <w:p>
      <w:pPr>
        <w:ind w:firstLine="400"/>
        <w:rPr>
          <w:rFonts w:hint="eastAsia"/>
          <w:sz w:val="20"/>
        </w:rPr>
      </w:pPr>
      <w:r>
        <w:rPr>
          <w:rFonts w:hint="eastAsia"/>
          <w:sz w:val="20"/>
        </w:rPr>
        <w:t>★4</w:t>
      </w:r>
      <w:r>
        <w:rPr>
          <w:sz w:val="20"/>
        </w:rPr>
        <w:t>、</w:t>
      </w:r>
      <w:r>
        <w:rPr>
          <w:rFonts w:hint="eastAsia"/>
          <w:sz w:val="20"/>
        </w:rPr>
        <w:t>互动功能:无需安装驱动，支</w:t>
      </w:r>
      <w:r>
        <w:rPr>
          <w:sz w:val="20"/>
        </w:rPr>
        <w:t>持</w:t>
      </w:r>
      <w:r>
        <w:rPr>
          <w:rFonts w:hint="eastAsia"/>
          <w:sz w:val="20"/>
        </w:rPr>
        <w:t>6点手指互动+2点</w:t>
      </w:r>
      <w:r>
        <w:rPr>
          <w:sz w:val="20"/>
        </w:rPr>
        <w:t>笔</w:t>
      </w:r>
      <w:r>
        <w:rPr>
          <w:rFonts w:hint="eastAsia"/>
          <w:sz w:val="20"/>
        </w:rPr>
        <w:t>互动同</w:t>
      </w:r>
      <w:r>
        <w:rPr>
          <w:sz w:val="20"/>
        </w:rPr>
        <w:t>时</w:t>
      </w:r>
      <w:r>
        <w:rPr>
          <w:rFonts w:hint="eastAsia"/>
          <w:sz w:val="20"/>
        </w:rPr>
        <w:t>书写</w:t>
      </w:r>
      <w:r>
        <w:rPr>
          <w:sz w:val="20"/>
        </w:rPr>
        <w:t>方式</w:t>
      </w:r>
      <w:r>
        <w:rPr>
          <w:rFonts w:hint="eastAsia"/>
          <w:sz w:val="20"/>
        </w:rPr>
        <w:t>；支持2点笔+6点手指在普通白板同时（墙面、黑板、普通白板）上精准定位，可以使用互动功能；支持无电脑连接互动功能；</w:t>
      </w:r>
    </w:p>
    <w:p>
      <w:pPr>
        <w:ind w:firstLine="400"/>
        <w:rPr>
          <w:rFonts w:hint="eastAsia"/>
          <w:sz w:val="20"/>
        </w:rPr>
      </w:pPr>
      <w:r>
        <w:rPr>
          <w:rFonts w:hint="eastAsia"/>
          <w:sz w:val="20"/>
        </w:rPr>
        <w:t>（1）双笔互动功能：标配两支电子笔，支持两人同时进行书写或批注，彼此不会产生干扰或延迟，笔身侧面设有按钮，实现快速书写和橡皮擦的切换；</w:t>
      </w:r>
    </w:p>
    <w:p>
      <w:pPr>
        <w:ind w:firstLine="400"/>
        <w:rPr>
          <w:rFonts w:hint="eastAsia"/>
          <w:sz w:val="20"/>
        </w:rPr>
      </w:pPr>
      <w:r>
        <w:rPr>
          <w:rFonts w:hint="eastAsia"/>
          <w:sz w:val="20"/>
        </w:rPr>
        <w:t>（2）手指互动功能：支持6手指触控功能，无需专用笔就可以在投影屏幕上面随心拖动图片，放大缩小，书写批注，书写流畅；</w:t>
      </w:r>
    </w:p>
    <w:p>
      <w:pPr>
        <w:ind w:firstLine="400"/>
        <w:rPr>
          <w:rFonts w:hint="eastAsia"/>
          <w:sz w:val="20"/>
        </w:rPr>
      </w:pPr>
      <w:r>
        <w:rPr>
          <w:rFonts w:hint="eastAsia"/>
          <w:sz w:val="20"/>
        </w:rPr>
        <w:t>5</w:t>
      </w:r>
      <w:r>
        <w:rPr>
          <w:sz w:val="20"/>
        </w:rPr>
        <w:t>、</w:t>
      </w:r>
      <w:r>
        <w:rPr>
          <w:rFonts w:hint="eastAsia"/>
          <w:sz w:val="20"/>
        </w:rPr>
        <w:t>支持双画面投影并能在双画面上书写和互动；支持直接关机（冷却时间0秒）；支持应急广播强切显示（如消防等）和非紧急消息计划显示功能并可强制启动未开机投影机显示强切内容；支持</w:t>
      </w:r>
      <w:r>
        <w:rPr>
          <w:sz w:val="20"/>
        </w:rPr>
        <w:t>AV Mute，RGBCMY 校正。</w:t>
      </w:r>
    </w:p>
    <w:p>
      <w:pPr>
        <w:ind w:firstLine="400"/>
        <w:rPr>
          <w:rFonts w:hint="eastAsia"/>
          <w:sz w:val="20"/>
        </w:rPr>
      </w:pPr>
      <w:r>
        <w:rPr>
          <w:rFonts w:hint="eastAsia"/>
          <w:sz w:val="20"/>
        </w:rPr>
        <w:t>6</w:t>
      </w:r>
      <w:r>
        <w:rPr>
          <w:sz w:val="20"/>
        </w:rPr>
        <w:t>、</w:t>
      </w:r>
      <w:r>
        <w:rPr>
          <w:rFonts w:hint="eastAsia"/>
          <w:sz w:val="20"/>
        </w:rPr>
        <w:t xml:space="preserve">支持手机、平板、电脑等有线/无线网络投影功能，内置无线投影模块。 </w:t>
      </w:r>
    </w:p>
    <w:p>
      <w:pPr>
        <w:ind w:firstLine="400"/>
        <w:rPr>
          <w:rFonts w:hint="eastAsia"/>
          <w:sz w:val="20"/>
        </w:rPr>
      </w:pPr>
      <w:r>
        <w:rPr>
          <w:rFonts w:hint="eastAsia"/>
          <w:sz w:val="20"/>
        </w:rPr>
        <w:t>7</w:t>
      </w:r>
      <w:r>
        <w:rPr>
          <w:sz w:val="20"/>
        </w:rPr>
        <w:t>、</w:t>
      </w:r>
      <w:r>
        <w:rPr>
          <w:rFonts w:hint="eastAsia"/>
          <w:sz w:val="20"/>
        </w:rPr>
        <w:t>光源寿命：标准模式≥20000小时，ECO模式≥30000小时。</w:t>
      </w:r>
    </w:p>
    <w:p>
      <w:pPr>
        <w:ind w:firstLine="400"/>
        <w:rPr>
          <w:rFonts w:hint="eastAsia"/>
          <w:sz w:val="20"/>
        </w:rPr>
      </w:pPr>
      <w:r>
        <w:rPr>
          <w:rFonts w:hint="eastAsia"/>
          <w:sz w:val="20"/>
        </w:rPr>
        <w:t>8、具有网络投影：内置LAN有线网络投影和选配无线网络投影，进行计算机图像和声音的同步传输；还可通过网络进行监视管理与控制功能。</w:t>
      </w:r>
    </w:p>
    <w:p>
      <w:pPr>
        <w:ind w:firstLine="400"/>
        <w:rPr>
          <w:rFonts w:hint="eastAsia"/>
          <w:sz w:val="20"/>
        </w:rPr>
      </w:pPr>
      <w:r>
        <w:rPr>
          <w:rFonts w:hint="eastAsia"/>
          <w:sz w:val="20"/>
        </w:rPr>
        <w:t>9、接口：HDMI(OUT)≥1,HDMI≥3，HDBaset≥1，立体声迷你插口（输入）≥3，立体声迷你插口（输出）≥1，立体声迷你插口（麦克风输入）≥1；USB-A≥2，USB-,B≥2。</w:t>
      </w:r>
    </w:p>
    <w:p>
      <w:pPr>
        <w:ind w:firstLine="400"/>
        <w:rPr>
          <w:rFonts w:hint="eastAsia"/>
          <w:sz w:val="20"/>
        </w:rPr>
      </w:pPr>
      <w:r>
        <w:rPr>
          <w:rFonts w:hint="eastAsia"/>
          <w:sz w:val="20"/>
        </w:rPr>
        <w:t>★10、为保证产品的质量，所投产品投影机在中国市场</w:t>
      </w:r>
      <w:r>
        <w:rPr>
          <w:sz w:val="20"/>
        </w:rPr>
        <w:t>201</w:t>
      </w:r>
      <w:r>
        <w:rPr>
          <w:rFonts w:hint="eastAsia"/>
          <w:sz w:val="20"/>
        </w:rPr>
        <w:t>7、</w:t>
      </w:r>
      <w:r>
        <w:rPr>
          <w:sz w:val="20"/>
        </w:rPr>
        <w:t>201</w:t>
      </w:r>
      <w:r>
        <w:rPr>
          <w:rFonts w:hint="eastAsia"/>
          <w:sz w:val="20"/>
        </w:rPr>
        <w:t>8、</w:t>
      </w:r>
      <w:r>
        <w:rPr>
          <w:sz w:val="20"/>
        </w:rPr>
        <w:t>201</w:t>
      </w:r>
      <w:r>
        <w:rPr>
          <w:rFonts w:hint="eastAsia"/>
          <w:sz w:val="20"/>
        </w:rPr>
        <w:t>9年间任意一年销量排名第一，要求提供</w:t>
      </w:r>
      <w:r>
        <w:rPr>
          <w:sz w:val="20"/>
        </w:rPr>
        <w:t>IDC</w:t>
      </w:r>
      <w:r>
        <w:rPr>
          <w:rFonts w:hint="eastAsia"/>
          <w:sz w:val="20"/>
        </w:rPr>
        <w:t>数据证明复印件并加盖厂家公章或投标专用章。</w:t>
      </w:r>
    </w:p>
    <w:p>
      <w:pPr>
        <w:ind w:firstLine="400"/>
        <w:rPr>
          <w:rFonts w:hint="eastAsia"/>
          <w:sz w:val="20"/>
          <w:lang w:val="zh-CN"/>
        </w:rPr>
      </w:pPr>
      <w:r>
        <w:rPr>
          <w:rFonts w:hint="eastAsia"/>
          <w:sz w:val="20"/>
        </w:rPr>
        <w:t>★11、为了保证产品在使用过程中获得良好的服务，要求厂商</w:t>
      </w:r>
      <w:r>
        <w:rPr>
          <w:sz w:val="20"/>
        </w:rPr>
        <w:t>201</w:t>
      </w:r>
      <w:r>
        <w:rPr>
          <w:rFonts w:hint="eastAsia"/>
          <w:sz w:val="20"/>
        </w:rPr>
        <w:t>7</w:t>
      </w:r>
      <w:r>
        <w:rPr>
          <w:sz w:val="20"/>
        </w:rPr>
        <w:t>/201</w:t>
      </w:r>
      <w:r>
        <w:rPr>
          <w:rFonts w:hint="eastAsia"/>
          <w:sz w:val="20"/>
        </w:rPr>
        <w:t>8/</w:t>
      </w:r>
      <w:r>
        <w:rPr>
          <w:sz w:val="20"/>
        </w:rPr>
        <w:t>201</w:t>
      </w:r>
      <w:r>
        <w:rPr>
          <w:rFonts w:hint="eastAsia"/>
          <w:sz w:val="20"/>
        </w:rPr>
        <w:t>9年间任意</w:t>
      </w:r>
      <w:r>
        <w:rPr>
          <w:sz w:val="20"/>
        </w:rPr>
        <w:t>1</w:t>
      </w:r>
      <w:r>
        <w:rPr>
          <w:rFonts w:hint="eastAsia"/>
          <w:sz w:val="20"/>
        </w:rPr>
        <w:t>年获得</w:t>
      </w:r>
      <w:r>
        <w:rPr>
          <w:sz w:val="20"/>
        </w:rPr>
        <w:t>CCID</w:t>
      </w:r>
      <w:r>
        <w:rPr>
          <w:rFonts w:hint="eastAsia"/>
          <w:sz w:val="20"/>
        </w:rPr>
        <w:t>服务金奖，提供证书复印件并加盖厂家公章或投标专用章；厂商必须在本地设有售后服务中心或者增值服务中心，要求厂商官网可查询并提供官网截屏和查询连接，并提供本地售后服务中心或者增值服务中心的营业执照，以保证产品的本地化服务。投标时需提供由厂家针对本项目出具的《投标授权函》，《售后服务承诺函》，《参数确认函》</w:t>
      </w:r>
      <w:r>
        <w:rPr>
          <w:rFonts w:hint="eastAsia"/>
          <w:sz w:val="20"/>
          <w:lang w:val="zh-CN"/>
        </w:rPr>
        <w:t>。</w:t>
      </w:r>
    </w:p>
    <w:p>
      <w:pPr>
        <w:ind w:firstLine="0" w:firstLineChars="0"/>
        <w:rPr>
          <w:rFonts w:ascii="Arial" w:hAnsi="宋体" w:eastAsia="黑体"/>
          <w:b/>
          <w:szCs w:val="24"/>
        </w:rPr>
      </w:pPr>
    </w:p>
    <w:p>
      <w:pPr>
        <w:ind w:firstLine="0" w:firstLineChars="0"/>
        <w:rPr>
          <w:rFonts w:ascii="Arial" w:hAnsi="宋体" w:eastAsia="黑体"/>
          <w:b/>
          <w:szCs w:val="24"/>
        </w:rPr>
      </w:pPr>
      <w:bookmarkStart w:id="39" w:name="OLE_LINK39"/>
      <w:r>
        <w:rPr>
          <w:rFonts w:hint="eastAsia" w:ascii="Arial" w:hAnsi="宋体" w:eastAsia="黑体"/>
          <w:b/>
          <w:szCs w:val="24"/>
        </w:rPr>
        <w:t>（十二）</w:t>
      </w:r>
      <w:bookmarkEnd w:id="39"/>
      <w:r>
        <w:rPr>
          <w:rFonts w:hint="eastAsia" w:ascii="Arial" w:hAnsi="宋体" w:eastAsia="黑体"/>
          <w:b/>
          <w:szCs w:val="24"/>
        </w:rPr>
        <w:t>教室智能音频处理终端   1台</w:t>
      </w:r>
    </w:p>
    <w:p>
      <w:pPr>
        <w:ind w:firstLine="400"/>
        <w:textAlignment w:val="center"/>
        <w:rPr>
          <w:rFonts w:hint="eastAsia"/>
          <w:sz w:val="20"/>
        </w:rPr>
      </w:pPr>
      <w:r>
        <w:rPr>
          <w:rFonts w:hint="eastAsia"/>
          <w:sz w:val="20"/>
        </w:rPr>
        <w:t>★1.要求讲台教师活动范围内拾音。</w:t>
      </w:r>
    </w:p>
    <w:p>
      <w:pPr>
        <w:ind w:firstLine="400"/>
        <w:textAlignment w:val="center"/>
        <w:rPr>
          <w:rFonts w:hint="eastAsia"/>
          <w:sz w:val="20"/>
        </w:rPr>
      </w:pPr>
      <w:r>
        <w:rPr>
          <w:rFonts w:hint="eastAsia"/>
          <w:sz w:val="20"/>
        </w:rPr>
        <w:t>2.要求学生区杂声不能影响扩声效果。</w:t>
      </w:r>
    </w:p>
    <w:p>
      <w:pPr>
        <w:ind w:firstLine="400"/>
        <w:textAlignment w:val="center"/>
        <w:rPr>
          <w:rFonts w:hint="eastAsia"/>
          <w:sz w:val="20"/>
        </w:rPr>
      </w:pPr>
      <w:r>
        <w:rPr>
          <w:rFonts w:hint="eastAsia"/>
          <w:sz w:val="20"/>
        </w:rPr>
        <w:t>3.要求声音响亮扎实不空旷。</w:t>
      </w:r>
    </w:p>
    <w:p>
      <w:pPr>
        <w:ind w:firstLine="400"/>
        <w:textAlignment w:val="center"/>
        <w:rPr>
          <w:rFonts w:hint="eastAsia"/>
          <w:sz w:val="20"/>
        </w:rPr>
      </w:pPr>
      <w:r>
        <w:rPr>
          <w:rFonts w:hint="eastAsia"/>
          <w:sz w:val="20"/>
        </w:rPr>
        <w:t>4.要求音箱不能发出尖锐的金属声。</w:t>
      </w:r>
    </w:p>
    <w:p>
      <w:pPr>
        <w:ind w:firstLine="400"/>
        <w:textAlignment w:val="center"/>
        <w:rPr>
          <w:rFonts w:hint="eastAsia"/>
          <w:sz w:val="20"/>
        </w:rPr>
      </w:pPr>
      <w:r>
        <w:rPr>
          <w:rFonts w:hint="eastAsia"/>
          <w:sz w:val="20"/>
        </w:rPr>
        <w:t>5.要求音箱不发出高频嘶嘶声。</w:t>
      </w:r>
    </w:p>
    <w:p>
      <w:pPr>
        <w:ind w:firstLine="400"/>
        <w:textAlignment w:val="center"/>
        <w:rPr>
          <w:rFonts w:hint="eastAsia"/>
          <w:sz w:val="20"/>
        </w:rPr>
      </w:pPr>
      <w:r>
        <w:rPr>
          <w:rFonts w:hint="eastAsia"/>
          <w:sz w:val="20"/>
        </w:rPr>
        <w:t>6.要求音箱不发出低频嗡鸣声。</w:t>
      </w:r>
    </w:p>
    <w:p>
      <w:pPr>
        <w:ind w:firstLine="400"/>
        <w:textAlignment w:val="center"/>
        <w:rPr>
          <w:rFonts w:hint="eastAsia"/>
          <w:sz w:val="20"/>
        </w:rPr>
      </w:pPr>
      <w:r>
        <w:rPr>
          <w:rFonts w:hint="eastAsia"/>
          <w:sz w:val="20"/>
        </w:rPr>
        <w:t>★7.具备内置三模合一无线教学话筒接收模块。</w:t>
      </w:r>
    </w:p>
    <w:p>
      <w:pPr>
        <w:ind w:firstLine="400"/>
        <w:textAlignment w:val="center"/>
        <w:rPr>
          <w:rFonts w:hint="eastAsia"/>
          <w:sz w:val="20"/>
        </w:rPr>
      </w:pPr>
      <w:r>
        <w:rPr>
          <w:rFonts w:hint="eastAsia"/>
          <w:sz w:val="20"/>
        </w:rPr>
        <w:t>8.要求能同时使用三模合一无线教学话筒。</w:t>
      </w:r>
    </w:p>
    <w:p>
      <w:pPr>
        <w:ind w:firstLine="400"/>
        <w:textAlignment w:val="center"/>
        <w:rPr>
          <w:rFonts w:hint="eastAsia"/>
          <w:sz w:val="20"/>
        </w:rPr>
      </w:pPr>
      <w:r>
        <w:rPr>
          <w:rFonts w:hint="eastAsia"/>
          <w:sz w:val="20"/>
        </w:rPr>
        <w:t>9.要求无线教学话筒扩声与吊麦扩声同时使用。</w:t>
      </w:r>
    </w:p>
    <w:p>
      <w:pPr>
        <w:ind w:firstLine="400"/>
        <w:textAlignment w:val="center"/>
        <w:rPr>
          <w:rFonts w:hint="eastAsia"/>
          <w:sz w:val="20"/>
        </w:rPr>
      </w:pPr>
      <w:r>
        <w:rPr>
          <w:rFonts w:hint="eastAsia"/>
          <w:sz w:val="20"/>
        </w:rPr>
        <w:t>10.具备无线教学话筒优先功能。</w:t>
      </w:r>
    </w:p>
    <w:p>
      <w:pPr>
        <w:ind w:firstLine="400"/>
        <w:textAlignment w:val="center"/>
        <w:rPr>
          <w:rFonts w:hint="eastAsia"/>
          <w:sz w:val="20"/>
        </w:rPr>
      </w:pPr>
      <w:r>
        <w:rPr>
          <w:rFonts w:hint="eastAsia"/>
          <w:sz w:val="20"/>
        </w:rPr>
        <w:t>★11.具备12路48V幻象供电吊麦信号XRL输入接口。</w:t>
      </w:r>
    </w:p>
    <w:p>
      <w:pPr>
        <w:ind w:firstLine="400"/>
        <w:textAlignment w:val="center"/>
        <w:rPr>
          <w:rFonts w:hint="eastAsia"/>
          <w:sz w:val="20"/>
        </w:rPr>
      </w:pPr>
      <w:r>
        <w:rPr>
          <w:rFonts w:hint="eastAsia"/>
          <w:sz w:val="20"/>
        </w:rPr>
        <w:t>12.具备2路扩声吊麦自动混音功能。</w:t>
      </w:r>
    </w:p>
    <w:p>
      <w:pPr>
        <w:ind w:firstLine="400"/>
        <w:textAlignment w:val="center"/>
        <w:rPr>
          <w:rFonts w:hint="eastAsia"/>
          <w:sz w:val="20"/>
        </w:rPr>
      </w:pPr>
      <w:r>
        <w:rPr>
          <w:rFonts w:hint="eastAsia"/>
          <w:sz w:val="20"/>
        </w:rPr>
        <w:t>13.具备10路录播拾音吊麦XRL凤凰接口。</w:t>
      </w:r>
    </w:p>
    <w:p>
      <w:pPr>
        <w:ind w:firstLine="400"/>
        <w:textAlignment w:val="center"/>
        <w:rPr>
          <w:rFonts w:hint="eastAsia"/>
          <w:sz w:val="20"/>
        </w:rPr>
      </w:pPr>
      <w:r>
        <w:rPr>
          <w:rFonts w:hint="eastAsia"/>
          <w:sz w:val="20"/>
        </w:rPr>
        <w:t>14.具备2路无线麦信号专用输入6.35接口。</w:t>
      </w:r>
    </w:p>
    <w:p>
      <w:pPr>
        <w:ind w:firstLine="400"/>
        <w:textAlignment w:val="center"/>
        <w:rPr>
          <w:rFonts w:hint="eastAsia"/>
          <w:sz w:val="20"/>
        </w:rPr>
      </w:pPr>
      <w:r>
        <w:rPr>
          <w:rFonts w:hint="eastAsia"/>
          <w:sz w:val="20"/>
        </w:rPr>
        <w:t>★15.具备无线麦信号输入优先功能，无线麦信号输入，自动屏蔽吊麦信号，没有转换声。</w:t>
      </w:r>
    </w:p>
    <w:p>
      <w:pPr>
        <w:ind w:firstLine="400"/>
        <w:textAlignment w:val="center"/>
        <w:rPr>
          <w:rFonts w:hint="eastAsia"/>
          <w:sz w:val="20"/>
        </w:rPr>
      </w:pPr>
      <w:r>
        <w:rPr>
          <w:rFonts w:hint="eastAsia"/>
          <w:sz w:val="20"/>
        </w:rPr>
        <w:t>16.具备1组立体声LINE信号输入RCA接口。</w:t>
      </w:r>
    </w:p>
    <w:p>
      <w:pPr>
        <w:ind w:firstLine="400"/>
        <w:textAlignment w:val="center"/>
        <w:rPr>
          <w:rFonts w:hint="eastAsia"/>
          <w:sz w:val="20"/>
        </w:rPr>
      </w:pPr>
      <w:r>
        <w:rPr>
          <w:rFonts w:hint="eastAsia"/>
          <w:sz w:val="20"/>
        </w:rPr>
        <w:t>17.具备1组立体声MUSIC信号输入RCA接口。</w:t>
      </w:r>
    </w:p>
    <w:p>
      <w:pPr>
        <w:ind w:firstLine="400"/>
        <w:textAlignment w:val="center"/>
        <w:rPr>
          <w:rFonts w:hint="eastAsia"/>
          <w:sz w:val="20"/>
        </w:rPr>
      </w:pPr>
      <w:r>
        <w:rPr>
          <w:rFonts w:hint="eastAsia"/>
          <w:sz w:val="20"/>
        </w:rPr>
        <w:t>18.具备2组立体声录音信号输出RCA接口。</w:t>
      </w:r>
    </w:p>
    <w:p>
      <w:pPr>
        <w:ind w:firstLine="400"/>
        <w:textAlignment w:val="center"/>
        <w:rPr>
          <w:rFonts w:hint="eastAsia"/>
          <w:sz w:val="20"/>
        </w:rPr>
      </w:pPr>
      <w:r>
        <w:rPr>
          <w:rFonts w:hint="eastAsia"/>
          <w:sz w:val="20"/>
        </w:rPr>
        <w:t>19.具备定压广播输入接口。</w:t>
      </w:r>
    </w:p>
    <w:p>
      <w:pPr>
        <w:ind w:firstLine="400"/>
        <w:textAlignment w:val="center"/>
        <w:rPr>
          <w:rFonts w:hint="eastAsia"/>
          <w:sz w:val="20"/>
        </w:rPr>
      </w:pPr>
      <w:r>
        <w:rPr>
          <w:rFonts w:hint="eastAsia"/>
          <w:sz w:val="20"/>
        </w:rPr>
        <w:t>20.具备IP广播输入接口（选配功能）。</w:t>
      </w:r>
    </w:p>
    <w:p>
      <w:pPr>
        <w:ind w:firstLine="400"/>
        <w:textAlignment w:val="center"/>
        <w:rPr>
          <w:rFonts w:hint="eastAsia"/>
          <w:sz w:val="20"/>
        </w:rPr>
      </w:pPr>
      <w:r>
        <w:rPr>
          <w:rFonts w:hint="eastAsia"/>
          <w:sz w:val="20"/>
        </w:rPr>
        <w:t>21.要求所有输入输出接口均具备独立音量调节功能。</w:t>
      </w:r>
    </w:p>
    <w:p>
      <w:pPr>
        <w:ind w:firstLine="400"/>
        <w:textAlignment w:val="center"/>
        <w:rPr>
          <w:rFonts w:hint="eastAsia"/>
          <w:sz w:val="20"/>
        </w:rPr>
      </w:pPr>
      <w:r>
        <w:rPr>
          <w:rFonts w:hint="eastAsia"/>
          <w:sz w:val="20"/>
        </w:rPr>
        <w:t>22.要求所有吊麦总音量前面板可调，且不能影响其他输入信号。</w:t>
      </w:r>
    </w:p>
    <w:p>
      <w:pPr>
        <w:ind w:firstLine="400"/>
        <w:textAlignment w:val="center"/>
        <w:rPr>
          <w:rFonts w:hint="eastAsia"/>
          <w:sz w:val="20"/>
        </w:rPr>
      </w:pPr>
      <w:r>
        <w:rPr>
          <w:rFonts w:hint="eastAsia"/>
          <w:sz w:val="20"/>
        </w:rPr>
        <w:t>23.要求LINE和MUSIC总音量前面板可调，且不能影响其他输入信号。</w:t>
      </w:r>
    </w:p>
    <w:p>
      <w:pPr>
        <w:ind w:firstLine="400"/>
        <w:textAlignment w:val="center"/>
        <w:rPr>
          <w:rFonts w:hint="eastAsia"/>
          <w:sz w:val="20"/>
        </w:rPr>
      </w:pPr>
      <w:r>
        <w:rPr>
          <w:rFonts w:hint="eastAsia"/>
          <w:sz w:val="20"/>
        </w:rPr>
        <w:t>24.要求前面板具备环境噪声消除开关和调节功能。</w:t>
      </w:r>
    </w:p>
    <w:p>
      <w:pPr>
        <w:ind w:firstLine="400"/>
        <w:textAlignment w:val="center"/>
        <w:rPr>
          <w:rFonts w:hint="eastAsia"/>
          <w:sz w:val="20"/>
        </w:rPr>
      </w:pPr>
      <w:r>
        <w:rPr>
          <w:rFonts w:hint="eastAsia"/>
          <w:sz w:val="20"/>
        </w:rPr>
        <w:t>25.要求前面板具备6.35监听输出口和音量调节功能。</w:t>
      </w:r>
    </w:p>
    <w:p>
      <w:pPr>
        <w:ind w:firstLine="400"/>
        <w:textAlignment w:val="center"/>
        <w:rPr>
          <w:rFonts w:hint="eastAsia"/>
          <w:sz w:val="20"/>
        </w:rPr>
      </w:pPr>
      <w:r>
        <w:rPr>
          <w:rFonts w:hint="eastAsia"/>
          <w:sz w:val="20"/>
        </w:rPr>
        <w:t>26.要求前面板除总混合输出音量调节旋钮外，其他调节旋钮均为暗藏式旋钮，防止误触碰。</w:t>
      </w:r>
    </w:p>
    <w:p>
      <w:pPr>
        <w:ind w:firstLine="400"/>
        <w:textAlignment w:val="center"/>
        <w:rPr>
          <w:rFonts w:hint="eastAsia"/>
          <w:sz w:val="20"/>
        </w:rPr>
      </w:pPr>
      <w:r>
        <w:rPr>
          <w:rFonts w:hint="eastAsia"/>
          <w:sz w:val="20"/>
        </w:rPr>
        <w:t>27.具备录音输出高低电平选择开关。</w:t>
      </w:r>
    </w:p>
    <w:p>
      <w:pPr>
        <w:ind w:firstLine="400"/>
        <w:textAlignment w:val="center"/>
        <w:rPr>
          <w:rFonts w:hint="eastAsia"/>
          <w:sz w:val="20"/>
        </w:rPr>
      </w:pPr>
      <w:r>
        <w:rPr>
          <w:rFonts w:hint="eastAsia"/>
          <w:sz w:val="20"/>
        </w:rPr>
        <w:t>28.具备远程开关机控制功能。</w:t>
      </w:r>
    </w:p>
    <w:p>
      <w:pPr>
        <w:ind w:firstLine="400"/>
        <w:textAlignment w:val="center"/>
        <w:rPr>
          <w:rFonts w:hint="eastAsia"/>
          <w:sz w:val="20"/>
        </w:rPr>
      </w:pPr>
      <w:r>
        <w:rPr>
          <w:rFonts w:hint="eastAsia"/>
          <w:sz w:val="20"/>
        </w:rPr>
        <w:t>29.具备一键静音功能。</w:t>
      </w:r>
    </w:p>
    <w:p>
      <w:pPr>
        <w:ind w:firstLine="400"/>
        <w:textAlignment w:val="center"/>
        <w:rPr>
          <w:rFonts w:hint="eastAsia"/>
          <w:sz w:val="20"/>
        </w:rPr>
      </w:pPr>
      <w:r>
        <w:rPr>
          <w:rFonts w:hint="eastAsia"/>
          <w:sz w:val="20"/>
        </w:rPr>
        <w:t>30.具备主动环境噪声消除。</w:t>
      </w:r>
    </w:p>
    <w:p>
      <w:pPr>
        <w:ind w:firstLine="400"/>
        <w:textAlignment w:val="center"/>
        <w:rPr>
          <w:rFonts w:hint="eastAsia"/>
          <w:sz w:val="20"/>
        </w:rPr>
      </w:pPr>
      <w:r>
        <w:rPr>
          <w:rFonts w:hint="eastAsia"/>
          <w:sz w:val="20"/>
        </w:rPr>
        <w:t>31.具备自动压限功能，防止过载失真。</w:t>
      </w:r>
    </w:p>
    <w:p>
      <w:pPr>
        <w:ind w:firstLine="400"/>
        <w:textAlignment w:val="center"/>
        <w:rPr>
          <w:rFonts w:hint="eastAsia"/>
          <w:sz w:val="20"/>
        </w:rPr>
      </w:pPr>
      <w:r>
        <w:rPr>
          <w:rFonts w:hint="eastAsia"/>
          <w:sz w:val="20"/>
        </w:rPr>
        <w:t>32.具备开关机自动延时管理功能，保护设备受冲击损坏。</w:t>
      </w:r>
    </w:p>
    <w:p>
      <w:pPr>
        <w:ind w:firstLine="400"/>
        <w:textAlignment w:val="center"/>
        <w:rPr>
          <w:rFonts w:hint="eastAsia"/>
          <w:sz w:val="20"/>
        </w:rPr>
      </w:pPr>
      <w:r>
        <w:rPr>
          <w:rFonts w:hint="eastAsia"/>
          <w:sz w:val="20"/>
        </w:rPr>
        <w:t>33.具备LCD显示屏，显示工作状态及频谱。</w:t>
      </w:r>
    </w:p>
    <w:p>
      <w:pPr>
        <w:ind w:firstLine="400"/>
        <w:textAlignment w:val="center"/>
        <w:rPr>
          <w:rFonts w:hint="eastAsia"/>
          <w:sz w:val="20"/>
        </w:rPr>
      </w:pPr>
      <w:r>
        <w:rPr>
          <w:rFonts w:hint="eastAsia"/>
          <w:sz w:val="20"/>
        </w:rPr>
        <w:t>34.具备7段音调调节。</w:t>
      </w:r>
    </w:p>
    <w:p>
      <w:pPr>
        <w:ind w:firstLine="400"/>
        <w:textAlignment w:val="center"/>
        <w:rPr>
          <w:rFonts w:hint="eastAsia"/>
          <w:sz w:val="20"/>
        </w:rPr>
      </w:pPr>
      <w:r>
        <w:rPr>
          <w:rFonts w:hint="eastAsia"/>
          <w:sz w:val="20"/>
        </w:rPr>
        <w:t>35.具备4x100W额定功率输出。</w:t>
      </w:r>
    </w:p>
    <w:p>
      <w:pPr>
        <w:ind w:firstLine="400"/>
        <w:textAlignment w:val="center"/>
        <w:rPr>
          <w:rFonts w:hint="eastAsia"/>
          <w:sz w:val="20"/>
        </w:rPr>
      </w:pPr>
      <w:r>
        <w:rPr>
          <w:rFonts w:hint="eastAsia"/>
          <w:sz w:val="20"/>
        </w:rPr>
        <w:t>36.具备每组功率输出大小单独可调。</w:t>
      </w:r>
    </w:p>
    <w:p>
      <w:pPr>
        <w:ind w:firstLine="400"/>
        <w:textAlignment w:val="center"/>
        <w:rPr>
          <w:rFonts w:hint="eastAsia"/>
          <w:sz w:val="20"/>
        </w:rPr>
      </w:pPr>
      <w:r>
        <w:rPr>
          <w:rFonts w:hint="eastAsia"/>
          <w:sz w:val="20"/>
        </w:rPr>
        <w:t>37.具备音频商务证书：ISO9001、ISO14001、ISO18001、有源音箱3C、CB认证证书、中国教育装备行业协会会员证书。</w:t>
      </w:r>
    </w:p>
    <w:p>
      <w:pPr>
        <w:ind w:firstLine="400"/>
        <w:textAlignment w:val="center"/>
        <w:rPr>
          <w:rFonts w:hint="eastAsia"/>
          <w:sz w:val="20"/>
        </w:rPr>
      </w:pPr>
      <w:r>
        <w:rPr>
          <w:rFonts w:hint="eastAsia"/>
          <w:sz w:val="20"/>
        </w:rPr>
        <w:t>★38. 投标时需提供由厂家针对本项目出具的《投标授权函》，《售后服务承诺函》，《参数确认函》并加盖厂商公章或投标专用章。</w:t>
      </w:r>
    </w:p>
    <w:p>
      <w:pPr>
        <w:spacing w:line="400" w:lineRule="exact"/>
        <w:ind w:firstLine="0" w:firstLineChars="0"/>
        <w:rPr>
          <w:rFonts w:ascii="Arial" w:hAnsi="宋体" w:eastAsia="黑体"/>
          <w:b/>
          <w:szCs w:val="24"/>
        </w:rPr>
      </w:pPr>
      <w:bookmarkStart w:id="40" w:name="OLE_LINK40"/>
    </w:p>
    <w:p>
      <w:pPr>
        <w:spacing w:line="400" w:lineRule="exact"/>
        <w:ind w:firstLine="0" w:firstLineChars="0"/>
        <w:rPr>
          <w:rFonts w:hint="eastAsia"/>
        </w:rPr>
      </w:pPr>
      <w:r>
        <w:rPr>
          <w:rFonts w:hint="eastAsia" w:ascii="Arial" w:hAnsi="宋体" w:eastAsia="黑体"/>
          <w:b/>
          <w:szCs w:val="24"/>
        </w:rPr>
        <w:t>（十三）</w:t>
      </w:r>
      <w:bookmarkEnd w:id="40"/>
      <w:r>
        <w:rPr>
          <w:rFonts w:hint="eastAsia" w:ascii="Arial" w:hAnsi="宋体" w:eastAsia="黑体"/>
          <w:b/>
          <w:szCs w:val="24"/>
        </w:rPr>
        <w:t>教学智能扩声处理器  1台</w:t>
      </w:r>
    </w:p>
    <w:p>
      <w:pPr>
        <w:ind w:firstLine="400"/>
        <w:textAlignment w:val="center"/>
        <w:rPr>
          <w:rFonts w:hint="eastAsia"/>
          <w:sz w:val="20"/>
        </w:rPr>
      </w:pPr>
      <w:r>
        <w:rPr>
          <w:rFonts w:hint="eastAsia"/>
          <w:sz w:val="20"/>
        </w:rPr>
        <w:t>★1.要求讲台教师活动范围内拾音。</w:t>
      </w:r>
    </w:p>
    <w:p>
      <w:pPr>
        <w:ind w:firstLine="400"/>
        <w:textAlignment w:val="center"/>
        <w:rPr>
          <w:rFonts w:hint="eastAsia"/>
          <w:sz w:val="20"/>
        </w:rPr>
      </w:pPr>
      <w:r>
        <w:rPr>
          <w:rFonts w:hint="eastAsia"/>
          <w:sz w:val="20"/>
        </w:rPr>
        <w:t>2.要求学生区杂声不能影响扩声效果。</w:t>
      </w:r>
    </w:p>
    <w:p>
      <w:pPr>
        <w:ind w:firstLine="400"/>
        <w:textAlignment w:val="center"/>
        <w:rPr>
          <w:rFonts w:hint="eastAsia"/>
          <w:sz w:val="20"/>
        </w:rPr>
      </w:pPr>
      <w:r>
        <w:rPr>
          <w:rFonts w:hint="eastAsia"/>
          <w:sz w:val="20"/>
        </w:rPr>
        <w:t>3.要求声音响亮扎实不空旷。</w:t>
      </w:r>
    </w:p>
    <w:p>
      <w:pPr>
        <w:ind w:firstLine="400"/>
        <w:textAlignment w:val="center"/>
        <w:rPr>
          <w:rFonts w:hint="eastAsia"/>
          <w:sz w:val="20"/>
        </w:rPr>
      </w:pPr>
      <w:r>
        <w:rPr>
          <w:rFonts w:hint="eastAsia"/>
          <w:sz w:val="20"/>
        </w:rPr>
        <w:t>4.要求音箱不能发出尖锐的金属声。</w:t>
      </w:r>
    </w:p>
    <w:p>
      <w:pPr>
        <w:ind w:firstLine="400"/>
        <w:textAlignment w:val="center"/>
        <w:rPr>
          <w:rFonts w:hint="eastAsia"/>
          <w:sz w:val="20"/>
        </w:rPr>
      </w:pPr>
      <w:r>
        <w:rPr>
          <w:rFonts w:hint="eastAsia"/>
          <w:sz w:val="20"/>
        </w:rPr>
        <w:t>5.要求音箱不发出高频嘶嘶声。</w:t>
      </w:r>
    </w:p>
    <w:p>
      <w:pPr>
        <w:ind w:firstLine="400"/>
        <w:textAlignment w:val="center"/>
        <w:rPr>
          <w:rFonts w:hint="eastAsia"/>
          <w:sz w:val="20"/>
        </w:rPr>
      </w:pPr>
      <w:r>
        <w:rPr>
          <w:rFonts w:hint="eastAsia"/>
          <w:sz w:val="20"/>
        </w:rPr>
        <w:t>6.要求音箱不发出低频嗡鸣声。</w:t>
      </w:r>
    </w:p>
    <w:p>
      <w:pPr>
        <w:ind w:firstLine="400"/>
        <w:textAlignment w:val="center"/>
        <w:rPr>
          <w:rFonts w:hint="eastAsia"/>
          <w:sz w:val="20"/>
        </w:rPr>
      </w:pPr>
      <w:r>
        <w:rPr>
          <w:rFonts w:hint="eastAsia"/>
          <w:sz w:val="20"/>
        </w:rPr>
        <w:t>★7.具备内置三模合一无线教学话筒接收模块。</w:t>
      </w:r>
    </w:p>
    <w:p>
      <w:pPr>
        <w:ind w:firstLine="400"/>
        <w:textAlignment w:val="center"/>
        <w:rPr>
          <w:rFonts w:hint="eastAsia"/>
          <w:sz w:val="20"/>
        </w:rPr>
      </w:pPr>
      <w:r>
        <w:rPr>
          <w:rFonts w:hint="eastAsia"/>
          <w:sz w:val="20"/>
        </w:rPr>
        <w:t>8.要求能同时使用三模合一无线教学话筒。</w:t>
      </w:r>
    </w:p>
    <w:p>
      <w:pPr>
        <w:ind w:firstLine="400"/>
        <w:textAlignment w:val="center"/>
        <w:rPr>
          <w:rFonts w:hint="eastAsia"/>
          <w:sz w:val="20"/>
        </w:rPr>
      </w:pPr>
      <w:r>
        <w:rPr>
          <w:rFonts w:hint="eastAsia"/>
          <w:sz w:val="20"/>
        </w:rPr>
        <w:t>★9.要求无线教学话筒扩声与吊麦扩声同时使用。</w:t>
      </w:r>
    </w:p>
    <w:p>
      <w:pPr>
        <w:ind w:firstLine="400"/>
        <w:textAlignment w:val="center"/>
        <w:rPr>
          <w:rFonts w:hint="eastAsia"/>
          <w:sz w:val="20"/>
        </w:rPr>
      </w:pPr>
      <w:r>
        <w:rPr>
          <w:rFonts w:hint="eastAsia"/>
          <w:sz w:val="20"/>
        </w:rPr>
        <w:t>10.具备无线教学话筒优先功能。</w:t>
      </w:r>
    </w:p>
    <w:p>
      <w:pPr>
        <w:ind w:firstLine="400"/>
        <w:textAlignment w:val="center"/>
        <w:rPr>
          <w:rFonts w:hint="eastAsia"/>
          <w:sz w:val="20"/>
        </w:rPr>
      </w:pPr>
      <w:r>
        <w:rPr>
          <w:rFonts w:hint="eastAsia"/>
          <w:sz w:val="20"/>
        </w:rPr>
        <w:t>11.具备4路48V幻象供电吊麦信号XRL输入接口。</w:t>
      </w:r>
    </w:p>
    <w:p>
      <w:pPr>
        <w:ind w:firstLine="400"/>
        <w:textAlignment w:val="center"/>
        <w:rPr>
          <w:rFonts w:hint="eastAsia"/>
          <w:sz w:val="20"/>
        </w:rPr>
      </w:pPr>
      <w:r>
        <w:rPr>
          <w:rFonts w:hint="eastAsia"/>
          <w:sz w:val="20"/>
        </w:rPr>
        <w:t>12.具备4路吊麦自动混音功能。</w:t>
      </w:r>
    </w:p>
    <w:p>
      <w:pPr>
        <w:ind w:firstLine="400"/>
        <w:textAlignment w:val="center"/>
        <w:rPr>
          <w:rFonts w:hint="eastAsia"/>
          <w:sz w:val="20"/>
        </w:rPr>
      </w:pPr>
      <w:r>
        <w:rPr>
          <w:rFonts w:hint="eastAsia"/>
          <w:sz w:val="20"/>
        </w:rPr>
        <w:t>13.具备2路无线麦信号专用输入6.35接口。</w:t>
      </w:r>
    </w:p>
    <w:p>
      <w:pPr>
        <w:ind w:firstLine="400"/>
        <w:textAlignment w:val="center"/>
        <w:rPr>
          <w:rFonts w:hint="eastAsia"/>
          <w:sz w:val="20"/>
        </w:rPr>
      </w:pPr>
      <w:r>
        <w:rPr>
          <w:rFonts w:hint="eastAsia"/>
          <w:sz w:val="20"/>
        </w:rPr>
        <w:t>★14.具备无线麦信号输入优先功能，无线麦信号输入，自动屏蔽吊麦信号，且没有转换声。</w:t>
      </w:r>
    </w:p>
    <w:p>
      <w:pPr>
        <w:ind w:firstLine="400"/>
        <w:textAlignment w:val="center"/>
        <w:rPr>
          <w:rFonts w:hint="eastAsia"/>
          <w:sz w:val="20"/>
        </w:rPr>
      </w:pPr>
      <w:r>
        <w:rPr>
          <w:rFonts w:hint="eastAsia"/>
          <w:sz w:val="20"/>
        </w:rPr>
        <w:t>15.具备1组立体声LINE信号输入RCA接口。</w:t>
      </w:r>
    </w:p>
    <w:p>
      <w:pPr>
        <w:ind w:firstLine="400"/>
        <w:textAlignment w:val="center"/>
        <w:rPr>
          <w:rFonts w:hint="eastAsia"/>
          <w:sz w:val="20"/>
        </w:rPr>
      </w:pPr>
      <w:r>
        <w:rPr>
          <w:rFonts w:hint="eastAsia"/>
          <w:sz w:val="20"/>
        </w:rPr>
        <w:t>16.具备1组立体声MUSIC信号输入RCA接口。</w:t>
      </w:r>
    </w:p>
    <w:p>
      <w:pPr>
        <w:ind w:firstLine="400"/>
        <w:textAlignment w:val="center"/>
        <w:rPr>
          <w:rFonts w:hint="eastAsia"/>
          <w:sz w:val="20"/>
        </w:rPr>
      </w:pPr>
      <w:r>
        <w:rPr>
          <w:rFonts w:hint="eastAsia"/>
          <w:sz w:val="20"/>
        </w:rPr>
        <w:t>17.具备2组立体声录音信号输出RCA接口。</w:t>
      </w:r>
    </w:p>
    <w:p>
      <w:pPr>
        <w:ind w:firstLine="400"/>
        <w:textAlignment w:val="center"/>
        <w:rPr>
          <w:rFonts w:hint="eastAsia"/>
          <w:sz w:val="20"/>
        </w:rPr>
      </w:pPr>
      <w:r>
        <w:rPr>
          <w:rFonts w:hint="eastAsia"/>
          <w:sz w:val="20"/>
        </w:rPr>
        <w:t>18.要求所有输入输出接口均具备独立音量调节功能。</w:t>
      </w:r>
    </w:p>
    <w:p>
      <w:pPr>
        <w:ind w:firstLine="400"/>
        <w:textAlignment w:val="center"/>
        <w:rPr>
          <w:rFonts w:hint="eastAsia"/>
          <w:sz w:val="20"/>
        </w:rPr>
      </w:pPr>
      <w:r>
        <w:rPr>
          <w:rFonts w:hint="eastAsia"/>
          <w:sz w:val="20"/>
        </w:rPr>
        <w:t>★19.要求所有吊麦总音量前面板可调，且不能影响其他输入信号。</w:t>
      </w:r>
    </w:p>
    <w:p>
      <w:pPr>
        <w:ind w:firstLine="400"/>
        <w:textAlignment w:val="center"/>
        <w:rPr>
          <w:rFonts w:hint="eastAsia"/>
          <w:sz w:val="20"/>
        </w:rPr>
      </w:pPr>
      <w:r>
        <w:rPr>
          <w:rFonts w:hint="eastAsia"/>
          <w:sz w:val="20"/>
        </w:rPr>
        <w:t>20.要求LINE和MUSIC总音量前面板可调，且不能影响其他输入信号。</w:t>
      </w:r>
    </w:p>
    <w:p>
      <w:pPr>
        <w:ind w:firstLine="400"/>
        <w:textAlignment w:val="center"/>
        <w:rPr>
          <w:rFonts w:hint="eastAsia"/>
          <w:sz w:val="20"/>
        </w:rPr>
      </w:pPr>
      <w:r>
        <w:rPr>
          <w:rFonts w:hint="eastAsia"/>
          <w:sz w:val="20"/>
        </w:rPr>
        <w:t>21.要求前面板具备环境噪声消除开关和调节功能。</w:t>
      </w:r>
    </w:p>
    <w:p>
      <w:pPr>
        <w:ind w:firstLine="400"/>
        <w:textAlignment w:val="center"/>
        <w:rPr>
          <w:rFonts w:hint="eastAsia"/>
          <w:sz w:val="20"/>
        </w:rPr>
      </w:pPr>
      <w:r>
        <w:rPr>
          <w:rFonts w:hint="eastAsia"/>
          <w:sz w:val="20"/>
        </w:rPr>
        <w:t>22.要求前面板具备6.35监听输出口和音量调节功能。</w:t>
      </w:r>
    </w:p>
    <w:p>
      <w:pPr>
        <w:ind w:firstLine="400"/>
        <w:textAlignment w:val="center"/>
        <w:rPr>
          <w:rFonts w:hint="eastAsia"/>
          <w:sz w:val="20"/>
        </w:rPr>
      </w:pPr>
      <w:r>
        <w:rPr>
          <w:rFonts w:hint="eastAsia"/>
          <w:sz w:val="20"/>
        </w:rPr>
        <w:t>23.要求前面板除总混合输出音量调节旋钮外，其他调节旋钮均为暗藏式旋钮，防止误触碰。</w:t>
      </w:r>
    </w:p>
    <w:p>
      <w:pPr>
        <w:ind w:firstLine="400"/>
        <w:textAlignment w:val="center"/>
        <w:rPr>
          <w:rFonts w:hint="eastAsia"/>
          <w:sz w:val="20"/>
        </w:rPr>
      </w:pPr>
      <w:r>
        <w:rPr>
          <w:rFonts w:hint="eastAsia"/>
          <w:sz w:val="20"/>
        </w:rPr>
        <w:t>24.具备录音输出高低电平选择开关。</w:t>
      </w:r>
    </w:p>
    <w:p>
      <w:pPr>
        <w:ind w:firstLine="400"/>
        <w:textAlignment w:val="center"/>
        <w:rPr>
          <w:rFonts w:hint="eastAsia"/>
          <w:sz w:val="20"/>
        </w:rPr>
      </w:pPr>
      <w:r>
        <w:rPr>
          <w:rFonts w:hint="eastAsia"/>
          <w:sz w:val="20"/>
        </w:rPr>
        <w:t>25.具备主动环境噪声消除。</w:t>
      </w:r>
    </w:p>
    <w:p>
      <w:pPr>
        <w:ind w:firstLine="400"/>
        <w:textAlignment w:val="center"/>
        <w:rPr>
          <w:rFonts w:hint="eastAsia"/>
          <w:sz w:val="20"/>
        </w:rPr>
      </w:pPr>
      <w:r>
        <w:rPr>
          <w:rFonts w:hint="eastAsia"/>
          <w:sz w:val="20"/>
        </w:rPr>
        <w:t>26.具备自动压限功能，防止过载失真。</w:t>
      </w:r>
    </w:p>
    <w:p>
      <w:pPr>
        <w:ind w:firstLine="400"/>
        <w:textAlignment w:val="center"/>
        <w:rPr>
          <w:rFonts w:hint="eastAsia"/>
          <w:sz w:val="20"/>
        </w:rPr>
      </w:pPr>
      <w:r>
        <w:rPr>
          <w:rFonts w:hint="eastAsia"/>
          <w:sz w:val="20"/>
        </w:rPr>
        <w:t>27.具备开关机自动延时管理功能，保护设备受冲击损坏。</w:t>
      </w:r>
    </w:p>
    <w:p>
      <w:pPr>
        <w:ind w:firstLine="400"/>
        <w:textAlignment w:val="center"/>
        <w:rPr>
          <w:rFonts w:hint="eastAsia"/>
          <w:sz w:val="20"/>
        </w:rPr>
      </w:pPr>
      <w:r>
        <w:rPr>
          <w:rFonts w:hint="eastAsia"/>
          <w:sz w:val="20"/>
        </w:rPr>
        <w:t>28.具备LCD显示屏，显示工作状态及频谱。</w:t>
      </w:r>
    </w:p>
    <w:p>
      <w:pPr>
        <w:ind w:firstLine="400"/>
        <w:textAlignment w:val="center"/>
        <w:rPr>
          <w:rFonts w:hint="eastAsia"/>
          <w:sz w:val="20"/>
        </w:rPr>
      </w:pPr>
      <w:r>
        <w:rPr>
          <w:rFonts w:hint="eastAsia"/>
          <w:sz w:val="20"/>
        </w:rPr>
        <w:t>29.具备7段音调调节。</w:t>
      </w:r>
    </w:p>
    <w:p>
      <w:pPr>
        <w:ind w:firstLine="400"/>
        <w:textAlignment w:val="center"/>
        <w:rPr>
          <w:rFonts w:hint="eastAsia"/>
          <w:sz w:val="20"/>
        </w:rPr>
      </w:pPr>
      <w:r>
        <w:rPr>
          <w:rFonts w:hint="eastAsia"/>
          <w:sz w:val="20"/>
        </w:rPr>
        <w:t>30.具备4x80W额定功率输出。</w:t>
      </w:r>
    </w:p>
    <w:p>
      <w:pPr>
        <w:ind w:firstLine="400"/>
        <w:textAlignment w:val="center"/>
        <w:rPr>
          <w:rFonts w:hint="eastAsia"/>
          <w:sz w:val="20"/>
        </w:rPr>
      </w:pPr>
      <w:r>
        <w:rPr>
          <w:rFonts w:hint="eastAsia"/>
          <w:sz w:val="20"/>
        </w:rPr>
        <w:t>31.具备每组功率输出大小单独可调。</w:t>
      </w:r>
    </w:p>
    <w:p>
      <w:pPr>
        <w:ind w:firstLine="400"/>
        <w:textAlignment w:val="center"/>
        <w:rPr>
          <w:rFonts w:hint="eastAsia"/>
          <w:sz w:val="20"/>
        </w:rPr>
      </w:pPr>
      <w:r>
        <w:rPr>
          <w:rFonts w:hint="eastAsia"/>
          <w:sz w:val="20"/>
        </w:rPr>
        <w:t>32.具备音频商务证书：ISO9001、ISO14001、ISO18001、有源音箱3C、CB认证证书、中国教育装备行业协会会员证书。</w:t>
      </w:r>
    </w:p>
    <w:p>
      <w:pPr>
        <w:ind w:firstLine="400"/>
        <w:textAlignment w:val="center"/>
        <w:rPr>
          <w:rFonts w:hint="eastAsia"/>
          <w:sz w:val="20"/>
        </w:rPr>
      </w:pPr>
      <w:r>
        <w:rPr>
          <w:rFonts w:hint="eastAsia"/>
          <w:sz w:val="20"/>
        </w:rPr>
        <w:t>★33. 投标时需提供由厂家针对本项目出具的《投标授权函》，《售后服务承诺函》，《参数确认函》并加盖厂商公章或投标专用章。</w:t>
      </w:r>
    </w:p>
    <w:p>
      <w:pPr>
        <w:spacing w:line="400" w:lineRule="exact"/>
        <w:ind w:firstLine="0" w:firstLineChars="0"/>
        <w:rPr>
          <w:rFonts w:ascii="Arial" w:hAnsi="宋体" w:eastAsia="黑体"/>
          <w:b/>
          <w:szCs w:val="24"/>
        </w:rPr>
      </w:pPr>
    </w:p>
    <w:p>
      <w:pPr>
        <w:spacing w:line="400" w:lineRule="exact"/>
        <w:ind w:firstLine="0" w:firstLineChars="0"/>
        <w:rPr>
          <w:rFonts w:ascii="Arial" w:hAnsi="宋体" w:eastAsia="黑体"/>
          <w:b/>
          <w:szCs w:val="24"/>
        </w:rPr>
      </w:pPr>
      <w:r>
        <w:rPr>
          <w:rFonts w:hint="eastAsia" w:ascii="Arial" w:hAnsi="宋体" w:eastAsia="黑体"/>
          <w:b/>
          <w:szCs w:val="24"/>
        </w:rPr>
        <w:t>（十四）三模合一高品质无线教学话筒  2套</w:t>
      </w:r>
    </w:p>
    <w:p>
      <w:pPr>
        <w:ind w:firstLine="400"/>
        <w:textAlignment w:val="center"/>
        <w:rPr>
          <w:rFonts w:hint="eastAsia"/>
          <w:sz w:val="20"/>
        </w:rPr>
      </w:pPr>
      <w:r>
        <w:rPr>
          <w:rFonts w:hint="eastAsia"/>
          <w:sz w:val="20"/>
        </w:rPr>
        <w:t>★1.要求获得中国教育装备行业协会颁发的中国教育装备展金奖产品称号，并入选中国教育装备行业协会2020年度推荐产品目录。</w:t>
      </w:r>
    </w:p>
    <w:p>
      <w:pPr>
        <w:ind w:firstLine="400"/>
        <w:textAlignment w:val="center"/>
        <w:rPr>
          <w:rFonts w:hint="eastAsia"/>
          <w:sz w:val="20"/>
        </w:rPr>
      </w:pPr>
      <w:r>
        <w:rPr>
          <w:rFonts w:hint="eastAsia"/>
          <w:sz w:val="20"/>
        </w:rPr>
        <w:t>★2.具备2.4G、UHF、IR红外三种无线传输模式，无缝融合使用。</w:t>
      </w:r>
    </w:p>
    <w:p>
      <w:pPr>
        <w:ind w:firstLine="400"/>
        <w:textAlignment w:val="center"/>
        <w:rPr>
          <w:rFonts w:hint="eastAsia"/>
          <w:sz w:val="20"/>
        </w:rPr>
      </w:pPr>
      <w:r>
        <w:rPr>
          <w:rFonts w:hint="eastAsia"/>
          <w:sz w:val="20"/>
        </w:rPr>
        <w:t xml:space="preserve">3.具备处理受干扰、易串频、音质差、和维护管理困难的有效技术。 </w:t>
      </w:r>
    </w:p>
    <w:p>
      <w:pPr>
        <w:ind w:firstLine="400"/>
        <w:textAlignment w:val="center"/>
        <w:rPr>
          <w:rFonts w:hint="eastAsia"/>
          <w:sz w:val="20"/>
        </w:rPr>
      </w:pPr>
      <w:r>
        <w:rPr>
          <w:rFonts w:hint="eastAsia"/>
          <w:sz w:val="20"/>
        </w:rPr>
        <w:t>4.具备全数字化传输、DSP信号处理、数字调试和智能管理的性能。</w:t>
      </w:r>
    </w:p>
    <w:p>
      <w:pPr>
        <w:ind w:firstLine="400"/>
        <w:textAlignment w:val="center"/>
        <w:rPr>
          <w:rFonts w:hint="eastAsia"/>
          <w:sz w:val="20"/>
        </w:rPr>
      </w:pPr>
      <w:r>
        <w:rPr>
          <w:rFonts w:hint="eastAsia"/>
          <w:sz w:val="20"/>
        </w:rPr>
        <w:t>5.具备2.4G、IR红外两种自动对频方式，无缝转换，适应任何恶劣环境使用。</w:t>
      </w:r>
    </w:p>
    <w:p>
      <w:pPr>
        <w:ind w:firstLine="400"/>
        <w:textAlignment w:val="center"/>
        <w:rPr>
          <w:rFonts w:hint="eastAsia"/>
          <w:sz w:val="20"/>
        </w:rPr>
      </w:pPr>
      <w:r>
        <w:rPr>
          <w:rFonts w:hint="eastAsia"/>
          <w:sz w:val="20"/>
        </w:rPr>
        <w:t>6.具备开机自动检测工作环境，自动选择最优工作信道。</w:t>
      </w:r>
    </w:p>
    <w:p>
      <w:pPr>
        <w:ind w:firstLine="400"/>
        <w:textAlignment w:val="center"/>
        <w:rPr>
          <w:rFonts w:hint="eastAsia"/>
          <w:sz w:val="20"/>
        </w:rPr>
      </w:pPr>
      <w:r>
        <w:rPr>
          <w:rFonts w:hint="eastAsia"/>
          <w:sz w:val="20"/>
        </w:rPr>
        <w:t>★7.具备使用过程中语音信道受到干扰时，自动进行信道选择切换的功能，不需人工干预。</w:t>
      </w:r>
    </w:p>
    <w:p>
      <w:pPr>
        <w:ind w:firstLine="400"/>
        <w:textAlignment w:val="center"/>
        <w:rPr>
          <w:rFonts w:hint="eastAsia"/>
          <w:sz w:val="20"/>
        </w:rPr>
      </w:pPr>
      <w:r>
        <w:rPr>
          <w:rFonts w:hint="eastAsia"/>
          <w:sz w:val="20"/>
        </w:rPr>
        <w:t>8.要求使用过程中管理信道受到干扰时，不影响语音信道的正常工作。</w:t>
      </w:r>
    </w:p>
    <w:p>
      <w:pPr>
        <w:ind w:firstLine="400"/>
        <w:textAlignment w:val="center"/>
        <w:rPr>
          <w:rFonts w:hint="eastAsia"/>
          <w:sz w:val="20"/>
        </w:rPr>
      </w:pPr>
      <w:r>
        <w:rPr>
          <w:rFonts w:hint="eastAsia"/>
          <w:sz w:val="20"/>
        </w:rPr>
        <w:t>9.具备专业级话筒音质，48K,16bit，30~20KHz宽频响，无法感知延时。</w:t>
      </w:r>
    </w:p>
    <w:p>
      <w:pPr>
        <w:ind w:firstLine="400"/>
        <w:textAlignment w:val="center"/>
        <w:rPr>
          <w:rFonts w:hint="eastAsia"/>
          <w:sz w:val="20"/>
        </w:rPr>
      </w:pPr>
      <w:r>
        <w:rPr>
          <w:rFonts w:hint="eastAsia"/>
          <w:sz w:val="20"/>
        </w:rPr>
        <w:t>★10.要求支持无线充电，放下充电，拿起讲话。</w:t>
      </w:r>
    </w:p>
    <w:p>
      <w:pPr>
        <w:ind w:firstLine="400"/>
        <w:textAlignment w:val="center"/>
        <w:rPr>
          <w:rFonts w:hint="eastAsia"/>
          <w:sz w:val="20"/>
        </w:rPr>
      </w:pPr>
      <w:r>
        <w:rPr>
          <w:rFonts w:hint="eastAsia"/>
          <w:sz w:val="20"/>
        </w:rPr>
        <w:t>11.要求内置锂电1200mA或以上，全智能充电管理，具备无线充电功能，长续航，零维护。</w:t>
      </w:r>
    </w:p>
    <w:p>
      <w:pPr>
        <w:ind w:firstLine="400"/>
        <w:textAlignment w:val="center"/>
        <w:rPr>
          <w:rFonts w:hint="eastAsia"/>
          <w:sz w:val="20"/>
        </w:rPr>
      </w:pPr>
      <w:r>
        <w:rPr>
          <w:rFonts w:hint="eastAsia"/>
          <w:sz w:val="20"/>
        </w:rPr>
        <w:t>12.要求集成智能传感器，放下静音，拿起说话；超时不用，自动待机。</w:t>
      </w:r>
    </w:p>
    <w:p>
      <w:pPr>
        <w:ind w:firstLine="400"/>
        <w:textAlignment w:val="center"/>
        <w:rPr>
          <w:rFonts w:hint="eastAsia"/>
          <w:sz w:val="20"/>
        </w:rPr>
      </w:pPr>
      <w:r>
        <w:rPr>
          <w:rFonts w:hint="eastAsia"/>
          <w:sz w:val="20"/>
        </w:rPr>
        <w:t>13.具备支持接入学校管理平台的接口，能够联网智能管理所有话筒。</w:t>
      </w:r>
    </w:p>
    <w:p>
      <w:pPr>
        <w:ind w:firstLine="400"/>
        <w:textAlignment w:val="center"/>
        <w:rPr>
          <w:rFonts w:hint="eastAsia"/>
          <w:sz w:val="20"/>
        </w:rPr>
      </w:pPr>
      <w:r>
        <w:rPr>
          <w:rFonts w:hint="eastAsia"/>
          <w:sz w:val="20"/>
        </w:rPr>
        <w:t>14.具备智能辨别手持使用状态和挂在胸前使用状态的功能。</w:t>
      </w:r>
    </w:p>
    <w:p>
      <w:pPr>
        <w:ind w:firstLine="400"/>
        <w:textAlignment w:val="center"/>
        <w:rPr>
          <w:rFonts w:hint="eastAsia"/>
          <w:sz w:val="20"/>
        </w:rPr>
      </w:pPr>
      <w:r>
        <w:rPr>
          <w:rFonts w:hint="eastAsia"/>
          <w:sz w:val="20"/>
        </w:rPr>
        <w:t>15.要求集话筒、激光教鞭和无线PPT翻页三种使用功能一身。</w:t>
      </w:r>
    </w:p>
    <w:p>
      <w:pPr>
        <w:ind w:firstLine="400"/>
        <w:textAlignment w:val="center"/>
        <w:rPr>
          <w:rFonts w:hint="eastAsia"/>
          <w:sz w:val="20"/>
        </w:rPr>
      </w:pPr>
      <w:r>
        <w:rPr>
          <w:rFonts w:hint="eastAsia"/>
          <w:sz w:val="20"/>
        </w:rPr>
        <w:t>16.要求在使用状态下，可以同时进行充电。</w:t>
      </w:r>
    </w:p>
    <w:p>
      <w:pPr>
        <w:ind w:firstLine="400"/>
        <w:textAlignment w:val="center"/>
        <w:rPr>
          <w:rFonts w:hint="eastAsia"/>
          <w:sz w:val="20"/>
        </w:rPr>
      </w:pPr>
      <w:r>
        <w:rPr>
          <w:rFonts w:hint="eastAsia"/>
          <w:sz w:val="20"/>
        </w:rPr>
        <w:t>17.要求关机状态下，充电完成屏幕自动熄灭。</w:t>
      </w:r>
    </w:p>
    <w:p>
      <w:pPr>
        <w:ind w:firstLine="400"/>
        <w:textAlignment w:val="center"/>
        <w:rPr>
          <w:rFonts w:hint="eastAsia"/>
          <w:sz w:val="20"/>
        </w:rPr>
      </w:pPr>
      <w:r>
        <w:rPr>
          <w:rFonts w:hint="eastAsia"/>
          <w:sz w:val="20"/>
        </w:rPr>
        <w:t>18.具备同时支持外接头戴麦。</w:t>
      </w:r>
    </w:p>
    <w:p>
      <w:pPr>
        <w:ind w:firstLine="400"/>
        <w:textAlignment w:val="center"/>
        <w:rPr>
          <w:rFonts w:hint="eastAsia"/>
          <w:sz w:val="20"/>
        </w:rPr>
      </w:pPr>
      <w:r>
        <w:rPr>
          <w:rFonts w:hint="eastAsia"/>
          <w:sz w:val="20"/>
        </w:rPr>
        <w:t>★19.具备OLED显示屏，清晰显示系统状态及参数。</w:t>
      </w:r>
    </w:p>
    <w:p>
      <w:pPr>
        <w:ind w:firstLine="400"/>
        <w:textAlignment w:val="center"/>
        <w:rPr>
          <w:rFonts w:hint="eastAsia"/>
          <w:sz w:val="20"/>
        </w:rPr>
      </w:pPr>
      <w:r>
        <w:rPr>
          <w:rFonts w:hint="eastAsia"/>
          <w:sz w:val="20"/>
        </w:rPr>
        <w:t>20.具备自动静音功能，自动语音快速恢复，嘈杂环境，正常使用。</w:t>
      </w:r>
    </w:p>
    <w:p>
      <w:pPr>
        <w:ind w:firstLine="400"/>
        <w:textAlignment w:val="center"/>
        <w:rPr>
          <w:rFonts w:hint="eastAsia"/>
          <w:sz w:val="20"/>
        </w:rPr>
      </w:pPr>
      <w:r>
        <w:rPr>
          <w:rFonts w:hint="eastAsia"/>
          <w:sz w:val="20"/>
        </w:rPr>
        <w:t>★21.具备Type C 充电和数据接口。</w:t>
      </w:r>
    </w:p>
    <w:p>
      <w:pPr>
        <w:ind w:firstLine="400"/>
        <w:textAlignment w:val="center"/>
        <w:rPr>
          <w:rFonts w:hint="eastAsia"/>
          <w:sz w:val="20"/>
        </w:rPr>
      </w:pPr>
      <w:r>
        <w:rPr>
          <w:rFonts w:hint="eastAsia"/>
          <w:sz w:val="20"/>
        </w:rPr>
        <w:t>22.具备内置DSP数字防啸叫功能。</w:t>
      </w:r>
    </w:p>
    <w:p>
      <w:pPr>
        <w:ind w:firstLine="400"/>
        <w:textAlignment w:val="center"/>
        <w:rPr>
          <w:rFonts w:hint="eastAsia"/>
          <w:sz w:val="20"/>
        </w:rPr>
      </w:pPr>
      <w:r>
        <w:rPr>
          <w:rFonts w:hint="eastAsia"/>
          <w:sz w:val="20"/>
        </w:rPr>
        <w:t>23.具备内置7段麦克风均衡器。</w:t>
      </w:r>
    </w:p>
    <w:p>
      <w:pPr>
        <w:ind w:firstLine="400"/>
        <w:textAlignment w:val="center"/>
        <w:rPr>
          <w:rFonts w:hint="eastAsia"/>
          <w:sz w:val="20"/>
        </w:rPr>
      </w:pPr>
      <w:r>
        <w:rPr>
          <w:rFonts w:hint="eastAsia"/>
          <w:sz w:val="20"/>
        </w:rPr>
        <w:t>24.具备多功能无线充电底座，可桌面放置或挂墙插置充电。</w:t>
      </w:r>
    </w:p>
    <w:p>
      <w:pPr>
        <w:ind w:firstLine="400"/>
        <w:textAlignment w:val="center"/>
        <w:rPr>
          <w:rFonts w:hint="eastAsia"/>
          <w:sz w:val="20"/>
        </w:rPr>
      </w:pPr>
      <w:r>
        <w:rPr>
          <w:rFonts w:hint="eastAsia"/>
          <w:sz w:val="20"/>
        </w:rPr>
        <w:t>25.要求拾音器结构及功能特殊设计，防喷、防风噪，声音通透自然，没有喷麦的爆破音。</w:t>
      </w:r>
    </w:p>
    <w:p>
      <w:pPr>
        <w:ind w:firstLine="400"/>
        <w:textAlignment w:val="center"/>
        <w:rPr>
          <w:rFonts w:hint="eastAsia"/>
          <w:sz w:val="20"/>
        </w:rPr>
      </w:pPr>
      <w:r>
        <w:rPr>
          <w:rFonts w:hint="eastAsia"/>
          <w:sz w:val="20"/>
        </w:rPr>
        <w:t>26.要求握持舒适，按键间距合理。</w:t>
      </w:r>
    </w:p>
    <w:p>
      <w:pPr>
        <w:ind w:firstLine="400"/>
        <w:textAlignment w:val="center"/>
        <w:rPr>
          <w:rFonts w:hint="eastAsia"/>
          <w:sz w:val="20"/>
        </w:rPr>
      </w:pPr>
      <w:r>
        <w:rPr>
          <w:rFonts w:hint="eastAsia"/>
          <w:sz w:val="20"/>
        </w:rPr>
        <w:t>★27. 投标时需提供由厂家针对本项目出具的《投标授权函》，《售后服务承诺函》，《参数确认函》并加盖厂商公章或投标专用章。</w:t>
      </w:r>
    </w:p>
    <w:p>
      <w:pPr>
        <w:spacing w:line="400" w:lineRule="exact"/>
        <w:ind w:firstLine="0" w:firstLineChars="0"/>
        <w:rPr>
          <w:rFonts w:ascii="Arial" w:hAnsi="宋体" w:eastAsia="黑体"/>
          <w:b/>
          <w:szCs w:val="24"/>
        </w:rPr>
      </w:pPr>
    </w:p>
    <w:p>
      <w:pPr>
        <w:spacing w:line="400" w:lineRule="exact"/>
        <w:ind w:firstLine="0" w:firstLineChars="0"/>
        <w:rPr>
          <w:rFonts w:ascii="Arial" w:hAnsi="宋体" w:eastAsia="黑体"/>
          <w:b/>
          <w:szCs w:val="24"/>
        </w:rPr>
      </w:pPr>
      <w:r>
        <w:rPr>
          <w:rFonts w:hint="eastAsia" w:ascii="Arial" w:hAnsi="宋体" w:eastAsia="黑体"/>
          <w:b/>
          <w:szCs w:val="24"/>
        </w:rPr>
        <w:t>（十五）音箱  3对</w:t>
      </w:r>
    </w:p>
    <w:p>
      <w:pPr>
        <w:ind w:firstLine="400"/>
        <w:textAlignment w:val="center"/>
        <w:rPr>
          <w:rFonts w:hint="eastAsia"/>
          <w:sz w:val="20"/>
        </w:rPr>
      </w:pPr>
      <w:r>
        <w:rPr>
          <w:rFonts w:hint="eastAsia"/>
          <w:sz w:val="20"/>
        </w:rPr>
        <w:t>1.要求频率响应：100Hz～20kHz。</w:t>
      </w:r>
    </w:p>
    <w:p>
      <w:pPr>
        <w:ind w:firstLine="400"/>
        <w:textAlignment w:val="center"/>
        <w:rPr>
          <w:rFonts w:hint="eastAsia"/>
          <w:sz w:val="20"/>
        </w:rPr>
      </w:pPr>
      <w:r>
        <w:rPr>
          <w:rFonts w:hint="eastAsia"/>
          <w:sz w:val="20"/>
        </w:rPr>
        <w:t>2.要求额定阻抗：6Ω。</w:t>
      </w:r>
    </w:p>
    <w:p>
      <w:pPr>
        <w:ind w:firstLine="400"/>
        <w:textAlignment w:val="center"/>
        <w:rPr>
          <w:rFonts w:hint="eastAsia"/>
          <w:sz w:val="20"/>
        </w:rPr>
      </w:pPr>
      <w:r>
        <w:rPr>
          <w:rFonts w:hint="eastAsia"/>
          <w:sz w:val="20"/>
        </w:rPr>
        <w:t>3.要求灵敏度：88 dB。</w:t>
      </w:r>
    </w:p>
    <w:p>
      <w:pPr>
        <w:ind w:firstLine="400"/>
        <w:textAlignment w:val="center"/>
        <w:rPr>
          <w:rFonts w:hint="eastAsia"/>
          <w:sz w:val="20"/>
        </w:rPr>
      </w:pPr>
      <w:r>
        <w:rPr>
          <w:rFonts w:hint="eastAsia"/>
          <w:sz w:val="20"/>
        </w:rPr>
        <w:t>4.要求功率匹配：10～80W。</w:t>
      </w:r>
    </w:p>
    <w:p>
      <w:pPr>
        <w:ind w:firstLine="400"/>
        <w:textAlignment w:val="center"/>
        <w:rPr>
          <w:rFonts w:hint="eastAsia"/>
          <w:sz w:val="20"/>
        </w:rPr>
      </w:pPr>
      <w:r>
        <w:rPr>
          <w:rFonts w:hint="eastAsia"/>
          <w:sz w:val="20"/>
        </w:rPr>
        <w:t>★5.具备高保真5”玻纤低音 + 3”球顶丝膜高音。</w:t>
      </w:r>
    </w:p>
    <w:p>
      <w:pPr>
        <w:ind w:firstLine="400"/>
        <w:textAlignment w:val="center"/>
        <w:rPr>
          <w:rFonts w:hint="eastAsia"/>
          <w:sz w:val="20"/>
        </w:rPr>
      </w:pPr>
      <w:r>
        <w:rPr>
          <w:rFonts w:hint="eastAsia"/>
          <w:sz w:val="20"/>
        </w:rPr>
        <w:t>★6.要求箱体实木板材厚20mm。</w:t>
      </w:r>
    </w:p>
    <w:p>
      <w:pPr>
        <w:ind w:firstLine="400"/>
        <w:textAlignment w:val="center"/>
        <w:rPr>
          <w:rFonts w:hint="eastAsia"/>
          <w:sz w:val="20"/>
        </w:rPr>
      </w:pPr>
      <w:r>
        <w:rPr>
          <w:rFonts w:hint="eastAsia"/>
          <w:sz w:val="20"/>
        </w:rPr>
        <w:t>★7.具备倒梯形箱体设计。</w:t>
      </w:r>
    </w:p>
    <w:p>
      <w:pPr>
        <w:ind w:firstLine="400"/>
        <w:textAlignment w:val="center"/>
        <w:rPr>
          <w:rFonts w:hint="eastAsia"/>
          <w:sz w:val="20"/>
        </w:rPr>
      </w:pPr>
      <w:r>
        <w:rPr>
          <w:rFonts w:hint="eastAsia"/>
          <w:sz w:val="20"/>
        </w:rPr>
        <w:t>★8.具备安全挂绳。</w:t>
      </w:r>
    </w:p>
    <w:p>
      <w:pPr>
        <w:tabs>
          <w:tab w:val="left" w:pos="237"/>
        </w:tabs>
        <w:ind w:firstLine="400"/>
        <w:rPr>
          <w:rFonts w:hint="eastAsia"/>
          <w:sz w:val="20"/>
        </w:rPr>
      </w:pPr>
      <w:r>
        <w:rPr>
          <w:rFonts w:hint="eastAsia"/>
          <w:sz w:val="20"/>
        </w:rPr>
        <w:t>9.具备木纹贴皮外表，防潮美观。</w:t>
      </w:r>
    </w:p>
    <w:p>
      <w:pPr>
        <w:tabs>
          <w:tab w:val="left" w:pos="237"/>
        </w:tabs>
        <w:ind w:firstLine="0" w:firstLineChars="0"/>
        <w:rPr>
          <w:rFonts w:ascii="Arial" w:hAnsi="宋体" w:eastAsia="黑体"/>
          <w:b/>
          <w:szCs w:val="24"/>
        </w:rPr>
      </w:pPr>
    </w:p>
    <w:p>
      <w:pPr>
        <w:tabs>
          <w:tab w:val="left" w:pos="237"/>
        </w:tabs>
        <w:ind w:firstLine="0" w:firstLineChars="0"/>
        <w:rPr>
          <w:rFonts w:ascii="Arial" w:hAnsi="宋体" w:eastAsia="黑体"/>
          <w:b/>
          <w:szCs w:val="24"/>
        </w:rPr>
      </w:pPr>
      <w:r>
        <w:rPr>
          <w:rFonts w:hint="eastAsia" w:ascii="Arial" w:hAnsi="宋体" w:eastAsia="黑体"/>
          <w:b/>
          <w:szCs w:val="24"/>
        </w:rPr>
        <w:t>（十六）教学超低噪吊装麦克风   4支</w:t>
      </w:r>
    </w:p>
    <w:p>
      <w:pPr>
        <w:ind w:firstLine="400"/>
        <w:textAlignment w:val="center"/>
        <w:rPr>
          <w:rFonts w:hint="eastAsia"/>
          <w:sz w:val="20"/>
        </w:rPr>
      </w:pPr>
      <w:bookmarkStart w:id="41" w:name="OLE_LINK41"/>
      <w:r>
        <w:rPr>
          <w:rFonts w:hint="eastAsia"/>
          <w:sz w:val="20"/>
        </w:rPr>
        <w:t>1.要求心型指向，拾音角度不大于130度角。</w:t>
      </w:r>
    </w:p>
    <w:p>
      <w:pPr>
        <w:ind w:firstLine="400"/>
        <w:textAlignment w:val="center"/>
        <w:rPr>
          <w:rFonts w:hint="eastAsia"/>
          <w:sz w:val="20"/>
        </w:rPr>
      </w:pPr>
      <w:r>
        <w:rPr>
          <w:rFonts w:hint="eastAsia"/>
          <w:sz w:val="20"/>
        </w:rPr>
        <w:t>2.要求灵敏度大于-42dB。</w:t>
      </w:r>
    </w:p>
    <w:p>
      <w:pPr>
        <w:ind w:firstLine="400"/>
        <w:textAlignment w:val="center"/>
        <w:rPr>
          <w:rFonts w:hint="eastAsia"/>
          <w:sz w:val="20"/>
        </w:rPr>
      </w:pPr>
      <w:r>
        <w:rPr>
          <w:rFonts w:hint="eastAsia"/>
          <w:sz w:val="20"/>
        </w:rPr>
        <w:t>3.要求48V幻象供电。</w:t>
      </w:r>
    </w:p>
    <w:p>
      <w:pPr>
        <w:ind w:firstLine="400"/>
        <w:textAlignment w:val="center"/>
        <w:rPr>
          <w:rFonts w:hint="eastAsia"/>
          <w:sz w:val="20"/>
        </w:rPr>
      </w:pPr>
      <w:r>
        <w:rPr>
          <w:rFonts w:hint="eastAsia"/>
          <w:sz w:val="20"/>
        </w:rPr>
        <w:t>4.要求有效拾音距离&gt;2m。</w:t>
      </w:r>
    </w:p>
    <w:p>
      <w:pPr>
        <w:ind w:firstLine="400"/>
        <w:textAlignment w:val="center"/>
        <w:rPr>
          <w:rFonts w:hint="eastAsia"/>
          <w:sz w:val="20"/>
        </w:rPr>
      </w:pPr>
      <w:r>
        <w:rPr>
          <w:rFonts w:hint="eastAsia"/>
          <w:sz w:val="20"/>
        </w:rPr>
        <w:t>★5.要求带干涉管声腔设计。</w:t>
      </w:r>
    </w:p>
    <w:p>
      <w:pPr>
        <w:ind w:firstLine="400"/>
        <w:textAlignment w:val="center"/>
        <w:rPr>
          <w:rFonts w:hint="eastAsia"/>
          <w:sz w:val="20"/>
        </w:rPr>
      </w:pPr>
      <w:r>
        <w:rPr>
          <w:rFonts w:hint="eastAsia"/>
          <w:sz w:val="20"/>
        </w:rPr>
        <w:t>★6.要求全铜质材料制造，抗干扰，抗声干涉。</w:t>
      </w:r>
    </w:p>
    <w:p>
      <w:pPr>
        <w:ind w:firstLine="400"/>
        <w:textAlignment w:val="center"/>
        <w:rPr>
          <w:rFonts w:hint="eastAsia"/>
          <w:sz w:val="20"/>
        </w:rPr>
      </w:pPr>
      <w:r>
        <w:rPr>
          <w:rFonts w:hint="eastAsia"/>
          <w:sz w:val="20"/>
        </w:rPr>
        <w:t>7.要求信噪比&gt;92dB。</w:t>
      </w:r>
    </w:p>
    <w:p>
      <w:pPr>
        <w:ind w:firstLine="400"/>
        <w:textAlignment w:val="center"/>
        <w:rPr>
          <w:rFonts w:hint="eastAsia"/>
          <w:sz w:val="20"/>
        </w:rPr>
      </w:pPr>
      <w:r>
        <w:rPr>
          <w:rFonts w:hint="eastAsia"/>
          <w:sz w:val="20"/>
        </w:rPr>
        <w:t>8.具备XRL卡侬接口。</w:t>
      </w:r>
    </w:p>
    <w:p>
      <w:pPr>
        <w:ind w:firstLine="400"/>
        <w:textAlignment w:val="center"/>
        <w:rPr>
          <w:rFonts w:hint="eastAsia"/>
          <w:sz w:val="20"/>
        </w:rPr>
      </w:pPr>
      <w:r>
        <w:rPr>
          <w:rFonts w:hint="eastAsia"/>
          <w:sz w:val="20"/>
        </w:rPr>
        <w:t>9.具备平口非斜切口防风棉，防止切口变形，影响美观。</w:t>
      </w:r>
    </w:p>
    <w:p>
      <w:pPr>
        <w:ind w:firstLine="400"/>
        <w:textAlignment w:val="center"/>
        <w:rPr>
          <w:rFonts w:hint="eastAsia"/>
          <w:sz w:val="20"/>
        </w:rPr>
      </w:pPr>
      <w:r>
        <w:rPr>
          <w:rFonts w:hint="eastAsia"/>
          <w:sz w:val="20"/>
        </w:rPr>
        <w:t>10.要求包装内配套有麦夹、公母卡侬头、防风棉。</w:t>
      </w:r>
    </w:p>
    <w:p>
      <w:pPr>
        <w:tabs>
          <w:tab w:val="left" w:pos="237"/>
        </w:tabs>
        <w:ind w:firstLine="400"/>
        <w:rPr>
          <w:rFonts w:hAnsi="宋体" w:cs="宋体"/>
          <w:color w:val="000000"/>
          <w:szCs w:val="21"/>
        </w:rPr>
      </w:pPr>
      <w:r>
        <w:rPr>
          <w:rFonts w:hint="eastAsia"/>
          <w:sz w:val="20"/>
        </w:rPr>
        <w:t>★11.要求配套60-120cm长可伸缩铝合金吊杆。</w:t>
      </w:r>
    </w:p>
    <w:p>
      <w:pPr>
        <w:tabs>
          <w:tab w:val="left" w:pos="237"/>
        </w:tabs>
        <w:ind w:firstLine="0" w:firstLineChars="0"/>
        <w:rPr>
          <w:rFonts w:ascii="Arial" w:hAnsi="宋体" w:eastAsia="黑体"/>
          <w:b/>
          <w:szCs w:val="24"/>
        </w:rPr>
      </w:pPr>
    </w:p>
    <w:p>
      <w:pPr>
        <w:tabs>
          <w:tab w:val="left" w:pos="237"/>
        </w:tabs>
        <w:ind w:firstLine="0" w:firstLineChars="0"/>
        <w:rPr>
          <w:rFonts w:ascii="Arial" w:hAnsi="宋体" w:eastAsia="黑体"/>
          <w:b/>
          <w:szCs w:val="24"/>
        </w:rPr>
      </w:pPr>
      <w:r>
        <w:rPr>
          <w:rFonts w:ascii="Arial" w:hAnsi="宋体" w:eastAsia="黑体"/>
          <w:b/>
          <w:szCs w:val="24"/>
        </w:rPr>
        <w:t>（十七）</w:t>
      </w:r>
      <w:bookmarkEnd w:id="41"/>
      <w:r>
        <w:rPr>
          <w:rFonts w:ascii="Arial" w:hAnsi="宋体" w:eastAsia="黑体"/>
          <w:b/>
          <w:szCs w:val="24"/>
        </w:rPr>
        <w:t>多媒体讲桌</w:t>
      </w:r>
      <w:r>
        <w:rPr>
          <w:rFonts w:hint="eastAsia" w:ascii="Arial" w:hAnsi="宋体" w:eastAsia="黑体"/>
          <w:b/>
          <w:szCs w:val="24"/>
        </w:rPr>
        <w:t xml:space="preserve">  2台</w:t>
      </w:r>
    </w:p>
    <w:p>
      <w:pPr>
        <w:ind w:firstLine="400"/>
        <w:rPr>
          <w:rFonts w:hint="eastAsia"/>
          <w:sz w:val="20"/>
        </w:rPr>
      </w:pPr>
      <w:bookmarkStart w:id="42" w:name="OLE_LINK42"/>
      <w:r>
        <w:rPr>
          <w:rFonts w:hint="eastAsia"/>
          <w:sz w:val="20"/>
        </w:rPr>
        <w:t>1.产品尺寸：长1500×宽650×高950（mm）选用≥1.0mm精装冷轧钢板（钢板符合GBT3325中4.3的规定），并采用数控设备精加工制作；钢板表面均按照国家标准经酸洗、磷化防腐防锈后静电碰塑处理，塑面均匀、光洁度好、经久耐用（喷塑厚度符合GBT3325中4.3的规定）。</w:t>
      </w:r>
    </w:p>
    <w:p>
      <w:pPr>
        <w:ind w:firstLine="400"/>
        <w:rPr>
          <w:rFonts w:hint="eastAsia"/>
          <w:sz w:val="20"/>
        </w:rPr>
      </w:pPr>
      <w:r>
        <w:rPr>
          <w:rFonts w:hint="eastAsia"/>
          <w:sz w:val="20"/>
        </w:rPr>
        <w:t>2.讲桌前台面选用高档的原实木材料，即使冬天也不会有钢板冰冷的感觉，且外观更为美观大气。</w:t>
      </w:r>
    </w:p>
    <w:p>
      <w:pPr>
        <w:ind w:firstLine="400"/>
        <w:rPr>
          <w:rFonts w:hint="eastAsia"/>
          <w:sz w:val="20"/>
        </w:rPr>
      </w:pPr>
      <w:r>
        <w:rPr>
          <w:rFonts w:hint="eastAsia"/>
          <w:sz w:val="20"/>
        </w:rPr>
        <w:t>3.全封闭式设计，使多媒体设备能得到有力保护，防尘防盗设计，支持电脑主机、液晶显示器、中控、视频展台、音响功放、键盘鼠标、DVD等教学设备安装。</w:t>
      </w:r>
    </w:p>
    <w:p>
      <w:pPr>
        <w:ind w:firstLine="400"/>
        <w:rPr>
          <w:rFonts w:hint="eastAsia"/>
          <w:sz w:val="20"/>
        </w:rPr>
      </w:pPr>
      <w:r>
        <w:rPr>
          <w:rFonts w:hint="eastAsia"/>
          <w:sz w:val="20"/>
        </w:rPr>
        <w:t>4.支持17-22寸液晶显示器安装，显示器角度为11度，可根据不同老师身高180度范围随意调节观看角度，旋转式显示器面板，旋转功能采用轴承实现，轴承为工厂核心技术自组研发，可承重30kg，无障碍。比较传统的拉杆式面板，更便于安装，且老师调节显示器角度时不夹手，更安全方便，框架配置汽车钢化玻璃，承载力大，安全性高。</w:t>
      </w:r>
    </w:p>
    <w:p>
      <w:pPr>
        <w:ind w:firstLine="400"/>
        <w:rPr>
          <w:rFonts w:hint="eastAsia"/>
          <w:sz w:val="20"/>
        </w:rPr>
      </w:pPr>
      <w:r>
        <w:rPr>
          <w:rFonts w:hint="eastAsia"/>
          <w:sz w:val="20"/>
        </w:rPr>
        <w:t>5.采用上下分体结构，方便运输和装卸，整体流线型设计，圆弧过度，无尖锐，保证师生安全</w:t>
      </w:r>
    </w:p>
    <w:p>
      <w:pPr>
        <w:ind w:firstLine="400"/>
        <w:rPr>
          <w:rFonts w:hint="eastAsia"/>
          <w:sz w:val="20"/>
        </w:rPr>
      </w:pPr>
      <w:r>
        <w:rPr>
          <w:rFonts w:hint="eastAsia"/>
          <w:sz w:val="20"/>
        </w:rPr>
        <w:t>6.讲桌右侧配备中控盒，内带活动面板，支持安装任意型号中控，无中控时，可当做杂物抽屉使用。</w:t>
      </w:r>
    </w:p>
    <w:p>
      <w:pPr>
        <w:ind w:firstLine="400"/>
        <w:rPr>
          <w:rFonts w:hint="eastAsia"/>
          <w:sz w:val="20"/>
        </w:rPr>
      </w:pPr>
      <w:r>
        <w:rPr>
          <w:rFonts w:hint="eastAsia"/>
          <w:sz w:val="20"/>
        </w:rPr>
        <w:t>7.讲台右侧配备实物展台抽屉，可放置任意型号实物/视频展台，承重10公斤。</w:t>
      </w:r>
    </w:p>
    <w:p>
      <w:pPr>
        <w:ind w:firstLine="400"/>
        <w:rPr>
          <w:rFonts w:hint="eastAsia"/>
          <w:sz w:val="20"/>
        </w:rPr>
      </w:pPr>
      <w:r>
        <w:rPr>
          <w:rFonts w:hint="eastAsia"/>
          <w:sz w:val="20"/>
        </w:rPr>
        <w:t>8.讲台配设备调试门（前门），电脑主机和光驱开关小门一张，方便老师在不打开下柜门时操作及使用电脑。</w:t>
      </w:r>
    </w:p>
    <w:p>
      <w:pPr>
        <w:spacing w:line="432" w:lineRule="auto"/>
        <w:ind w:firstLine="400"/>
        <w:rPr>
          <w:rFonts w:hint="eastAsia"/>
          <w:sz w:val="20"/>
        </w:rPr>
      </w:pPr>
      <w:r>
        <w:rPr>
          <w:rFonts w:hint="eastAsia"/>
          <w:sz w:val="20"/>
        </w:rPr>
        <w:t>9.后检修门：由于电脑主机等设备后面的接线很多，所以在讲台的背面有一扇专供装配及检修的后门。极大地方便了电脑主机等设备的接线操作，除检修设备等特殊情况外，后门不需打开。讲台后检修门采用百叶窗设计，通风散热。</w:t>
      </w:r>
    </w:p>
    <w:p>
      <w:pPr>
        <w:spacing w:line="432" w:lineRule="auto"/>
        <w:ind w:firstLine="400"/>
        <w:rPr>
          <w:rFonts w:hint="eastAsia"/>
          <w:sz w:val="20"/>
        </w:rPr>
      </w:pPr>
      <w:r>
        <w:rPr>
          <w:rFonts w:hint="eastAsia"/>
          <w:sz w:val="20"/>
        </w:rPr>
        <w:t>10.通开锁设计（可选配电子锁），使键盘抽屉、中控抽屉、展台抽屉、显示器均一把钥匙控制，极大方老师对于钥匙的管理。</w:t>
      </w:r>
    </w:p>
    <w:p>
      <w:pPr>
        <w:spacing w:line="432" w:lineRule="auto"/>
        <w:ind w:firstLine="400"/>
        <w:rPr>
          <w:rFonts w:hint="eastAsia"/>
          <w:sz w:val="20"/>
        </w:rPr>
      </w:pPr>
      <w:r>
        <w:rPr>
          <w:rFonts w:hint="eastAsia"/>
          <w:sz w:val="20"/>
        </w:rPr>
        <w:t>11.配备有漏电保护开关和防静电接地装置，使用更安全。</w:t>
      </w:r>
    </w:p>
    <w:p>
      <w:pPr>
        <w:spacing w:line="400" w:lineRule="exact"/>
        <w:ind w:firstLine="0" w:firstLineChars="0"/>
        <w:rPr>
          <w:rFonts w:ascii="Arial" w:hAnsi="宋体" w:eastAsia="黑体"/>
          <w:b/>
          <w:szCs w:val="24"/>
        </w:rPr>
      </w:pPr>
    </w:p>
    <w:p>
      <w:pPr>
        <w:spacing w:line="400" w:lineRule="exact"/>
        <w:ind w:firstLine="0" w:firstLineChars="0"/>
        <w:rPr>
          <w:rFonts w:ascii="Arial" w:hAnsi="宋体" w:eastAsia="黑体"/>
          <w:b/>
          <w:szCs w:val="24"/>
        </w:rPr>
      </w:pPr>
      <w:r>
        <w:rPr>
          <w:rFonts w:ascii="Arial" w:hAnsi="宋体" w:eastAsia="黑体"/>
          <w:b/>
          <w:szCs w:val="24"/>
        </w:rPr>
        <w:t>（十八）</w:t>
      </w:r>
      <w:bookmarkEnd w:id="42"/>
      <w:r>
        <w:rPr>
          <w:rFonts w:ascii="Arial" w:hAnsi="宋体" w:eastAsia="黑体"/>
          <w:b/>
          <w:szCs w:val="24"/>
        </w:rPr>
        <w:t>电脑桌椅</w:t>
      </w:r>
      <w:r>
        <w:rPr>
          <w:rFonts w:hint="eastAsia" w:ascii="Arial" w:hAnsi="宋体" w:eastAsia="黑体"/>
          <w:b/>
          <w:szCs w:val="24"/>
        </w:rPr>
        <w:t xml:space="preserve">  115位</w:t>
      </w:r>
    </w:p>
    <w:p>
      <w:pPr>
        <w:spacing w:line="400" w:lineRule="exact"/>
        <w:ind w:firstLine="400"/>
        <w:rPr>
          <w:rFonts w:hint="eastAsia"/>
          <w:sz w:val="20"/>
        </w:rPr>
      </w:pPr>
      <w:bookmarkStart w:id="43" w:name="OLE_LINK43"/>
      <w:r>
        <w:rPr>
          <w:rFonts w:hint="eastAsia"/>
          <w:sz w:val="20"/>
        </w:rPr>
        <w:t xml:space="preserve">使用材料,桌面板采用20mm厚橡胶木板指接板，20mm厚实木框架包边，桌面厚度共40mm,电脑桌脚和中间脚采用250mm厚的橡胶木板,左右两边和前面中间框架封板采用5mm橡胶木板，离地15mm放置电脑中间，方便插座灵活使用，每张规格：长1400*宽600*高750㎜颜色：原木色。1、桌面实木采用4cm厚的橡胶木，桌架实木采用2.5cm厚的橡胶木，实木橡胶木都经过防腐防虫防裂处理，一遍淡黄色油漆，两遍聚酯清漆，美观耐用。2、橡胶木均采用优质符合国家标准产品，3、所有材料需符合国家环保要求。(备注:每个座位都必须配有书包挂钩,桌子两侧用90度脚马固定)。                                                                                                                                                </w:t>
      </w:r>
    </w:p>
    <w:p>
      <w:pPr>
        <w:spacing w:line="400" w:lineRule="exact"/>
        <w:ind w:firstLine="400"/>
        <w:rPr>
          <w:rFonts w:hint="eastAsia"/>
          <w:sz w:val="20"/>
        </w:rPr>
      </w:pPr>
      <w:r>
        <w:rPr>
          <w:rFonts w:hint="eastAsia"/>
          <w:sz w:val="20"/>
        </w:rPr>
        <w:t>学生椅：阳光行动牌：（360 mm ×330 mm× 780 mm）1、椅面：采用天然原木经蒸煮软化，在250吨以上的液压机上一次性液压成多层夹板，贴防火板，表面经过手工打磨光滑，无刺，包边采用环保透明油漆封边。坐、背板12 mm厚 ，具有高耐磨性，高抗压性。2、椅架：采用优质全新椭圆管焊接成行，管材规格为： 1.2mm*16 mm*34 mm，管壁厚为1.2mm。下脚套采用优质PP塑胶垫，隔音。椅子坐背板采用铝合金铆钉固定。3、椅子规格：坐板：360mm*330mm 。4、背板：150mm*36.5mm。5、椅背、椅面采用透孔，椅板与脚架采用抽芯钉连接，安装在椅背支架上。6、工艺要求：①工艺所有木材经过烘干，杀菌、杀虫处理，材料不变形、不生虫、不带有害气体、合水率不超过10%，达到国家标准，）。②纹理自然美观，结实耐用，抗腐蚀，环保健康型油漆，油漆附着力好，能持久保持色泽光亮，木材都经过防蛀虫，防脱水处理，确保木材不开裂，不变形。</w:t>
      </w:r>
    </w:p>
    <w:p>
      <w:pPr>
        <w:spacing w:line="400" w:lineRule="exact"/>
        <w:ind w:firstLine="0" w:firstLineChars="0"/>
        <w:rPr>
          <w:rFonts w:ascii="Arial" w:hAnsi="宋体" w:eastAsia="黑体"/>
          <w:b/>
          <w:szCs w:val="24"/>
        </w:rPr>
      </w:pPr>
    </w:p>
    <w:p>
      <w:pPr>
        <w:spacing w:line="400" w:lineRule="exact"/>
        <w:ind w:firstLine="0" w:firstLineChars="0"/>
        <w:rPr>
          <w:rFonts w:hint="eastAsia"/>
          <w:b/>
          <w:sz w:val="20"/>
        </w:rPr>
      </w:pPr>
      <w:r>
        <w:rPr>
          <w:rFonts w:ascii="Arial" w:hAnsi="宋体" w:eastAsia="黑体"/>
          <w:b/>
          <w:szCs w:val="24"/>
        </w:rPr>
        <w:t>（十九）</w:t>
      </w:r>
      <w:bookmarkEnd w:id="43"/>
      <w:r>
        <w:rPr>
          <w:rFonts w:ascii="Arial" w:hAnsi="宋体" w:eastAsia="黑体"/>
          <w:b/>
          <w:szCs w:val="24"/>
        </w:rPr>
        <w:t>机柜</w:t>
      </w:r>
      <w:r>
        <w:rPr>
          <w:rFonts w:hint="eastAsia" w:ascii="Arial" w:hAnsi="宋体" w:eastAsia="黑体"/>
          <w:b/>
          <w:szCs w:val="24"/>
        </w:rPr>
        <w:t xml:space="preserve">  2台  </w:t>
      </w:r>
      <w:r>
        <w:rPr>
          <w:rFonts w:hint="eastAsia" w:hAnsi="宋体"/>
          <w:szCs w:val="24"/>
        </w:rPr>
        <w:t xml:space="preserve">  </w:t>
      </w:r>
      <w:r>
        <w:rPr>
          <w:rFonts w:hint="eastAsia"/>
          <w:b/>
          <w:sz w:val="20"/>
        </w:rPr>
        <w:t xml:space="preserve"> </w:t>
      </w:r>
    </w:p>
    <w:p>
      <w:pPr>
        <w:spacing w:line="400" w:lineRule="exact"/>
        <w:ind w:firstLine="400"/>
        <w:rPr>
          <w:rFonts w:hint="eastAsia"/>
          <w:sz w:val="20"/>
        </w:rPr>
      </w:pPr>
      <w:bookmarkStart w:id="44" w:name="OLE_LINK44"/>
      <w:r>
        <w:rPr>
          <w:rFonts w:hint="eastAsia"/>
          <w:sz w:val="20"/>
        </w:rPr>
        <w:t>600*600*450网络机柜</w:t>
      </w:r>
    </w:p>
    <w:p>
      <w:pPr>
        <w:spacing w:line="400" w:lineRule="exact"/>
        <w:ind w:firstLine="0" w:firstLineChars="0"/>
        <w:rPr>
          <w:rFonts w:ascii="Arial" w:hAnsi="宋体" w:eastAsia="黑体"/>
          <w:b/>
          <w:szCs w:val="24"/>
        </w:rPr>
      </w:pPr>
    </w:p>
    <w:p>
      <w:pPr>
        <w:spacing w:line="400" w:lineRule="exact"/>
        <w:ind w:firstLine="0" w:firstLineChars="0"/>
        <w:rPr>
          <w:rFonts w:ascii="Arial" w:hAnsi="宋体" w:eastAsia="黑体"/>
          <w:b/>
          <w:szCs w:val="24"/>
        </w:rPr>
      </w:pPr>
      <w:r>
        <w:rPr>
          <w:rFonts w:ascii="Arial" w:hAnsi="宋体" w:eastAsia="黑体"/>
          <w:b/>
          <w:szCs w:val="24"/>
        </w:rPr>
        <w:t>（二十）</w:t>
      </w:r>
      <w:bookmarkEnd w:id="44"/>
      <w:r>
        <w:rPr>
          <w:rFonts w:ascii="Arial" w:hAnsi="宋体" w:eastAsia="黑体"/>
          <w:b/>
          <w:szCs w:val="24"/>
        </w:rPr>
        <w:t>六类双绞线</w:t>
      </w:r>
      <w:r>
        <w:rPr>
          <w:rFonts w:hint="eastAsia" w:ascii="Arial" w:hAnsi="宋体" w:eastAsia="黑体"/>
          <w:b/>
          <w:szCs w:val="24"/>
        </w:rPr>
        <w:t xml:space="preserve">  5箱</w:t>
      </w:r>
      <w:bookmarkStart w:id="45" w:name="OLE_LINK45"/>
    </w:p>
    <w:p>
      <w:pPr>
        <w:spacing w:line="400" w:lineRule="exact"/>
        <w:ind w:firstLine="400"/>
        <w:rPr>
          <w:rFonts w:hint="eastAsia"/>
          <w:sz w:val="20"/>
        </w:rPr>
      </w:pPr>
      <w:r>
        <w:rPr>
          <w:rFonts w:hint="eastAsia"/>
          <w:sz w:val="20"/>
        </w:rPr>
        <w:t>传输速率1000Mbps\单段长度100米\单股裸铜线, 聚乙烯(PE)绝缘，符合国际YD/T 1019-2001; ANSI/ EIA/ TIA-568-B.2-2001; ISO/ IEC11801，可应用于语音, 综合业务数据网络(ISDN), ATM155Mbps和622Mbps, 100MbpsTPDDI, 快速以太网和千兆以太网, 以及其它专为6类电缆设计的应用。</w:t>
      </w:r>
    </w:p>
    <w:p>
      <w:pPr>
        <w:pStyle w:val="3"/>
        <w:ind w:firstLine="0" w:firstLineChars="0"/>
        <w:rPr>
          <w:rFonts w:ascii="Arial" w:hAnsi="宋体" w:eastAsia="黑体"/>
          <w:b/>
          <w:sz w:val="24"/>
          <w:szCs w:val="24"/>
        </w:rPr>
      </w:pPr>
    </w:p>
    <w:p>
      <w:pPr>
        <w:pStyle w:val="3"/>
        <w:ind w:firstLine="0" w:firstLineChars="0"/>
        <w:rPr>
          <w:rFonts w:ascii="Arial" w:hAnsi="宋体" w:eastAsia="黑体"/>
          <w:b/>
          <w:sz w:val="24"/>
          <w:szCs w:val="24"/>
        </w:rPr>
      </w:pPr>
      <w:r>
        <w:rPr>
          <w:rFonts w:ascii="Arial" w:hAnsi="宋体" w:eastAsia="黑体"/>
          <w:b/>
          <w:sz w:val="24"/>
          <w:szCs w:val="24"/>
        </w:rPr>
        <w:t>（二十一）</w:t>
      </w:r>
      <w:bookmarkEnd w:id="45"/>
      <w:r>
        <w:rPr>
          <w:rFonts w:ascii="Arial" w:hAnsi="宋体" w:eastAsia="黑体"/>
          <w:b/>
          <w:sz w:val="24"/>
          <w:szCs w:val="24"/>
        </w:rPr>
        <w:t>窗帘</w:t>
      </w:r>
      <w:r>
        <w:rPr>
          <w:rFonts w:hint="eastAsia" w:ascii="Arial" w:hAnsi="宋体" w:eastAsia="黑体"/>
          <w:b/>
          <w:sz w:val="24"/>
          <w:szCs w:val="24"/>
        </w:rPr>
        <w:t xml:space="preserve">  80米</w:t>
      </w:r>
    </w:p>
    <w:p>
      <w:pPr>
        <w:tabs>
          <w:tab w:val="left" w:pos="462"/>
        </w:tabs>
        <w:ind w:firstLine="400"/>
        <w:rPr>
          <w:rFonts w:ascii="Arial" w:hAnsi="宋体" w:eastAsia="黑体"/>
          <w:b/>
          <w:szCs w:val="24"/>
        </w:rPr>
      </w:pPr>
      <w:bookmarkStart w:id="46" w:name="OLE_LINK46"/>
      <w:r>
        <w:rPr>
          <w:rFonts w:hint="eastAsia"/>
          <w:sz w:val="20"/>
        </w:rPr>
        <w:t>包括采用滑面遮光布,罗马杆,白布头,圈等.颜色及款式由用户要求定制</w:t>
      </w:r>
      <w:r>
        <w:rPr>
          <w:rFonts w:hint="eastAsia" w:hAnsi="宋体" w:cs="宋体"/>
          <w:color w:val="000000"/>
          <w:szCs w:val="21"/>
        </w:rPr>
        <w:t>。</w:t>
      </w:r>
    </w:p>
    <w:p>
      <w:pPr>
        <w:tabs>
          <w:tab w:val="left" w:pos="462"/>
        </w:tabs>
        <w:ind w:firstLine="0" w:firstLineChars="0"/>
        <w:rPr>
          <w:rFonts w:ascii="Arial" w:hAnsi="宋体" w:eastAsia="黑体"/>
          <w:b/>
          <w:szCs w:val="24"/>
        </w:rPr>
      </w:pPr>
    </w:p>
    <w:p>
      <w:pPr>
        <w:tabs>
          <w:tab w:val="left" w:pos="462"/>
        </w:tabs>
        <w:ind w:firstLine="0" w:firstLineChars="0"/>
        <w:rPr>
          <w:rFonts w:ascii="Arial" w:hAnsi="宋体" w:eastAsia="黑体"/>
          <w:b/>
          <w:szCs w:val="24"/>
        </w:rPr>
      </w:pPr>
      <w:r>
        <w:rPr>
          <w:rFonts w:ascii="Arial" w:hAnsi="宋体" w:eastAsia="黑体"/>
          <w:b/>
          <w:szCs w:val="24"/>
        </w:rPr>
        <w:t>（二十二）</w:t>
      </w:r>
      <w:bookmarkEnd w:id="46"/>
      <w:r>
        <w:rPr>
          <w:rFonts w:ascii="Arial" w:hAnsi="宋体" w:eastAsia="黑体"/>
          <w:b/>
          <w:szCs w:val="24"/>
        </w:rPr>
        <w:t>材料及安装调试费</w:t>
      </w:r>
      <w:r>
        <w:rPr>
          <w:rFonts w:hint="eastAsia" w:ascii="Arial" w:hAnsi="宋体" w:eastAsia="黑体"/>
          <w:b/>
          <w:szCs w:val="24"/>
        </w:rPr>
        <w:t xml:space="preserve">  2次</w:t>
      </w:r>
    </w:p>
    <w:p>
      <w:pPr>
        <w:tabs>
          <w:tab w:val="left" w:pos="648"/>
        </w:tabs>
        <w:ind w:firstLine="400"/>
        <w:rPr>
          <w:rFonts w:hint="eastAsia"/>
          <w:sz w:val="20"/>
        </w:rPr>
      </w:pPr>
      <w:bookmarkStart w:id="47" w:name="OLE_LINK47"/>
      <w:r>
        <w:rPr>
          <w:rFonts w:hint="eastAsia"/>
          <w:sz w:val="20"/>
        </w:rPr>
        <w:t>切地砖开槽埋线后回填贴地砖，VGA线，音响线，电源线，三芯护套线，音视频线，线槽，线管及各种配件等安装调试费。</w:t>
      </w:r>
    </w:p>
    <w:p>
      <w:pPr>
        <w:tabs>
          <w:tab w:val="left" w:pos="648"/>
        </w:tabs>
        <w:ind w:firstLine="0" w:firstLineChars="0"/>
        <w:rPr>
          <w:rFonts w:ascii="Arial" w:hAnsi="宋体" w:eastAsia="黑体"/>
          <w:b/>
          <w:szCs w:val="24"/>
        </w:rPr>
      </w:pPr>
    </w:p>
    <w:bookmarkEnd w:id="47"/>
    <w:p>
      <w:pPr>
        <w:tabs>
          <w:tab w:val="left" w:pos="664"/>
        </w:tabs>
        <w:ind w:firstLine="241" w:firstLineChars="100"/>
        <w:rPr>
          <w:rFonts w:ascii="Arial" w:hAnsi="宋体" w:eastAsia="黑体"/>
          <w:b/>
          <w:szCs w:val="24"/>
        </w:rPr>
      </w:pPr>
      <w:r>
        <w:rPr>
          <w:rFonts w:hint="eastAsia" w:ascii="Arial" w:hAnsi="宋体" w:eastAsia="黑体"/>
          <w:b/>
          <w:szCs w:val="24"/>
        </w:rPr>
        <w:t>（二十三）空调  13台</w:t>
      </w:r>
    </w:p>
    <w:p>
      <w:pPr>
        <w:tabs>
          <w:tab w:val="left" w:pos="664"/>
        </w:tabs>
        <w:ind w:firstLineChars="100"/>
        <w:rPr>
          <w:rFonts w:hint="eastAsia"/>
          <w:sz w:val="20"/>
        </w:rPr>
      </w:pPr>
      <w:r>
        <w:rPr>
          <w:rFonts w:hint="eastAsia"/>
          <w:sz w:val="20"/>
        </w:rPr>
        <w:t>3匹单冷定频壁挂式</w:t>
      </w:r>
    </w:p>
    <w:p>
      <w:pPr>
        <w:tabs>
          <w:tab w:val="left" w:pos="664"/>
        </w:tabs>
        <w:ind w:firstLineChars="100"/>
        <w:rPr>
          <w:rFonts w:hint="eastAsia"/>
          <w:sz w:val="20"/>
        </w:rPr>
      </w:pPr>
      <w:r>
        <w:rPr>
          <w:rFonts w:hint="eastAsia"/>
          <w:sz w:val="20"/>
        </w:rPr>
        <w:t xml:space="preserve">型号 KF-72GW/(72356)NhAd-2 颜色 白色   类型 壁挂式 </w:t>
      </w:r>
    </w:p>
    <w:p>
      <w:pPr>
        <w:tabs>
          <w:tab w:val="left" w:pos="664"/>
        </w:tabs>
        <w:ind w:firstLineChars="100"/>
        <w:rPr>
          <w:rFonts w:hint="eastAsia"/>
          <w:sz w:val="20"/>
        </w:rPr>
      </w:pPr>
      <w:r>
        <w:rPr>
          <w:rFonts w:hint="eastAsia"/>
          <w:sz w:val="20"/>
        </w:rPr>
        <w:t>匹数 正3P  能效等级 2级  定频 单冷</w:t>
      </w:r>
    </w:p>
    <w:p>
      <w:pPr>
        <w:tabs>
          <w:tab w:val="left" w:pos="664"/>
        </w:tabs>
        <w:ind w:firstLine="0" w:firstLineChars="0"/>
        <w:rPr>
          <w:rFonts w:hint="eastAsia" w:ascii="Arial" w:hAnsi="Arial" w:eastAsia="黑体"/>
          <w:b/>
          <w:sz w:val="28"/>
          <w:szCs w:val="28"/>
        </w:rPr>
      </w:pPr>
    </w:p>
    <w:p>
      <w:pPr>
        <w:tabs>
          <w:tab w:val="left" w:pos="664"/>
        </w:tabs>
        <w:ind w:firstLine="0" w:firstLineChars="0"/>
        <w:rPr>
          <w:rFonts w:ascii="Arial" w:hAnsi="宋体" w:eastAsia="黑体"/>
          <w:b/>
          <w:sz w:val="30"/>
          <w:szCs w:val="30"/>
        </w:rPr>
      </w:pPr>
      <w:r>
        <w:rPr>
          <w:rFonts w:hint="eastAsia" w:ascii="Arial" w:hAnsi="Arial" w:eastAsia="黑体"/>
          <w:b/>
          <w:sz w:val="28"/>
          <w:szCs w:val="28"/>
        </w:rPr>
        <w:t>B包：</w:t>
      </w:r>
      <w:r>
        <w:rPr>
          <w:rFonts w:hint="eastAsia" w:ascii="Arial" w:hAnsi="宋体" w:eastAsia="黑体"/>
          <w:b/>
          <w:sz w:val="30"/>
          <w:szCs w:val="30"/>
        </w:rPr>
        <w:t>地理信息系统实验室-地理信息系统桌面软件采购</w:t>
      </w:r>
    </w:p>
    <w:tbl>
      <w:tblPr>
        <w:tblStyle w:val="15"/>
        <w:tblW w:w="9513" w:type="dxa"/>
        <w:tblInd w:w="0" w:type="dxa"/>
        <w:tblLayout w:type="fixed"/>
        <w:tblCellMar>
          <w:top w:w="0" w:type="dxa"/>
          <w:left w:w="0" w:type="dxa"/>
          <w:bottom w:w="0" w:type="dxa"/>
          <w:right w:w="0" w:type="dxa"/>
        </w:tblCellMar>
      </w:tblPr>
      <w:tblGrid>
        <w:gridCol w:w="590"/>
        <w:gridCol w:w="875"/>
        <w:gridCol w:w="6994"/>
        <w:gridCol w:w="543"/>
        <w:gridCol w:w="511"/>
      </w:tblGrid>
      <w:tr>
        <w:tblPrEx>
          <w:tblCellMar>
            <w:top w:w="0" w:type="dxa"/>
            <w:left w:w="0" w:type="dxa"/>
            <w:bottom w:w="0" w:type="dxa"/>
            <w:right w:w="0" w:type="dxa"/>
          </w:tblCellMar>
        </w:tblPrEx>
        <w:trPr>
          <w:trHeight w:val="465" w:hRule="atLeast"/>
        </w:trPr>
        <w:tc>
          <w:tcPr>
            <w:tcW w:w="590" w:type="dxa"/>
            <w:vMerge w:val="restart"/>
            <w:tcBorders>
              <w:top w:val="single" w:color="000000" w:sz="4" w:space="0"/>
              <w:left w:val="single" w:color="000000" w:sz="4" w:space="0"/>
              <w:bottom w:val="single" w:color="000000" w:sz="4" w:space="0"/>
              <w:right w:val="single" w:color="000000" w:sz="4" w:space="0"/>
            </w:tcBorders>
            <w:shd w:val="clear" w:color="auto" w:fill="D8D8D8"/>
            <w:tcMar>
              <w:top w:w="15" w:type="dxa"/>
              <w:left w:w="15" w:type="dxa"/>
              <w:right w:w="15" w:type="dxa"/>
            </w:tcMar>
            <w:vAlign w:val="center"/>
          </w:tcPr>
          <w:p>
            <w:pPr>
              <w:ind w:firstLine="0" w:firstLineChars="0"/>
              <w:jc w:val="both"/>
              <w:textAlignment w:val="center"/>
              <w:rPr>
                <w:rFonts w:hAnsi="宋体" w:cs="宋体"/>
                <w:b/>
                <w:sz w:val="18"/>
                <w:szCs w:val="18"/>
              </w:rPr>
            </w:pPr>
            <w:r>
              <w:rPr>
                <w:rFonts w:ascii="Times New Roman" w:hAnsi="Times New Roman" w:cs="Times New Roman"/>
                <w:b/>
                <w:sz w:val="18"/>
                <w:szCs w:val="18"/>
              </w:rPr>
              <w:br w:type="textWrapping" w:clear="all"/>
            </w: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D8D8D8"/>
            <w:tcMar>
              <w:top w:w="15" w:type="dxa"/>
              <w:left w:w="15" w:type="dxa"/>
              <w:right w:w="15" w:type="dxa"/>
            </w:tcMar>
            <w:vAlign w:val="center"/>
          </w:tcPr>
          <w:p>
            <w:pPr>
              <w:spacing w:line="240" w:lineRule="auto"/>
              <w:ind w:firstLine="0" w:firstLineChars="0"/>
              <w:jc w:val="center"/>
              <w:textAlignment w:val="center"/>
              <w:rPr>
                <w:rFonts w:hAnsi="宋体" w:cs="宋体"/>
                <w:b/>
                <w:sz w:val="18"/>
                <w:szCs w:val="18"/>
              </w:rPr>
            </w:pPr>
            <w:r>
              <w:rPr>
                <w:rFonts w:hint="eastAsia" w:hAnsi="宋体" w:cs="宋体"/>
                <w:b/>
                <w:sz w:val="18"/>
                <w:szCs w:val="18"/>
              </w:rPr>
              <w:t>采购品目名称</w:t>
            </w:r>
          </w:p>
        </w:tc>
        <w:tc>
          <w:tcPr>
            <w:tcW w:w="6994" w:type="dxa"/>
            <w:vMerge w:val="restart"/>
            <w:tcBorders>
              <w:top w:val="single" w:color="000000" w:sz="4" w:space="0"/>
              <w:left w:val="single" w:color="000000" w:sz="4" w:space="0"/>
              <w:bottom w:val="single" w:color="000000" w:sz="4" w:space="0"/>
              <w:right w:val="single" w:color="000000" w:sz="4" w:space="0"/>
            </w:tcBorders>
            <w:shd w:val="clear" w:color="auto" w:fill="D8D8D8"/>
            <w:tcMar>
              <w:top w:w="15" w:type="dxa"/>
              <w:left w:w="15" w:type="dxa"/>
              <w:right w:w="15" w:type="dxa"/>
            </w:tcMar>
            <w:vAlign w:val="center"/>
          </w:tcPr>
          <w:p>
            <w:pPr>
              <w:ind w:firstLine="2319" w:firstLineChars="1100"/>
              <w:jc w:val="both"/>
              <w:textAlignment w:val="center"/>
              <w:rPr>
                <w:rFonts w:hAnsi="宋体" w:cs="宋体"/>
                <w:b/>
                <w:sz w:val="18"/>
                <w:szCs w:val="18"/>
              </w:rPr>
            </w:pPr>
            <w:r>
              <w:rPr>
                <w:rFonts w:hint="eastAsia" w:hAnsi="宋体" w:cs="宋体"/>
                <w:b/>
                <w:sz w:val="21"/>
                <w:szCs w:val="21"/>
              </w:rPr>
              <w:t>配置技术参数要求</w:t>
            </w:r>
          </w:p>
        </w:tc>
        <w:tc>
          <w:tcPr>
            <w:tcW w:w="543" w:type="dxa"/>
            <w:vMerge w:val="restart"/>
            <w:tcBorders>
              <w:top w:val="single" w:color="000000" w:sz="4" w:space="0"/>
              <w:left w:val="single" w:color="000000" w:sz="4" w:space="0"/>
              <w:bottom w:val="single" w:color="000000" w:sz="4" w:space="0"/>
              <w:right w:val="single" w:color="000000" w:sz="4" w:space="0"/>
            </w:tcBorders>
            <w:shd w:val="clear" w:color="auto" w:fill="D8D8D8"/>
            <w:tcMar>
              <w:top w:w="15" w:type="dxa"/>
              <w:left w:w="15" w:type="dxa"/>
              <w:right w:w="15" w:type="dxa"/>
            </w:tcMar>
          </w:tcPr>
          <w:p>
            <w:pPr>
              <w:ind w:firstLine="0" w:firstLineChars="0"/>
              <w:jc w:val="both"/>
              <w:textAlignment w:val="top"/>
              <w:rPr>
                <w:rFonts w:hAnsi="宋体" w:cs="宋体"/>
                <w:b/>
                <w:sz w:val="18"/>
                <w:szCs w:val="18"/>
              </w:rPr>
            </w:pPr>
          </w:p>
          <w:p>
            <w:pPr>
              <w:ind w:firstLine="0" w:firstLineChars="0"/>
              <w:jc w:val="both"/>
              <w:textAlignment w:val="top"/>
              <w:rPr>
                <w:rFonts w:hAnsi="宋体" w:cs="宋体"/>
                <w:b/>
                <w:sz w:val="18"/>
                <w:szCs w:val="18"/>
              </w:rPr>
            </w:pPr>
            <w:r>
              <w:rPr>
                <w:rFonts w:hint="eastAsia" w:hAnsi="宋体" w:cs="宋体"/>
                <w:b/>
                <w:sz w:val="18"/>
                <w:szCs w:val="18"/>
              </w:rPr>
              <w:t>数</w:t>
            </w:r>
            <w:r>
              <w:rPr>
                <w:rFonts w:ascii="Times New Roman" w:hAnsi="Times New Roman" w:cs="Times New Roman"/>
                <w:b/>
                <w:sz w:val="18"/>
                <w:szCs w:val="18"/>
              </w:rPr>
              <w:t xml:space="preserve"> </w:t>
            </w:r>
            <w:r>
              <w:rPr>
                <w:rFonts w:hint="eastAsia" w:hAnsi="宋体" w:cs="宋体"/>
                <w:b/>
                <w:sz w:val="18"/>
                <w:szCs w:val="18"/>
              </w:rPr>
              <w:t>量</w:t>
            </w:r>
          </w:p>
        </w:tc>
        <w:tc>
          <w:tcPr>
            <w:tcW w:w="511" w:type="dxa"/>
            <w:vMerge w:val="restart"/>
            <w:tcBorders>
              <w:top w:val="single" w:color="000000" w:sz="4" w:space="0"/>
              <w:left w:val="single" w:color="000000" w:sz="4" w:space="0"/>
              <w:bottom w:val="single" w:color="000000" w:sz="4" w:space="0"/>
              <w:right w:val="single" w:color="000000" w:sz="4" w:space="0"/>
            </w:tcBorders>
            <w:shd w:val="clear" w:color="auto" w:fill="D8D8D8"/>
            <w:tcMar>
              <w:top w:w="15" w:type="dxa"/>
              <w:left w:w="15" w:type="dxa"/>
              <w:right w:w="15" w:type="dxa"/>
            </w:tcMar>
          </w:tcPr>
          <w:p>
            <w:pPr>
              <w:ind w:firstLine="0" w:firstLineChars="0"/>
              <w:jc w:val="both"/>
              <w:textAlignment w:val="top"/>
              <w:rPr>
                <w:rFonts w:hAnsi="宋体" w:cs="宋体"/>
                <w:b/>
                <w:sz w:val="18"/>
                <w:szCs w:val="18"/>
              </w:rPr>
            </w:pPr>
          </w:p>
          <w:p>
            <w:pPr>
              <w:ind w:firstLine="0" w:firstLineChars="0"/>
              <w:jc w:val="both"/>
              <w:textAlignment w:val="top"/>
              <w:rPr>
                <w:rFonts w:hAnsi="宋体" w:cs="宋体"/>
                <w:b/>
                <w:sz w:val="18"/>
                <w:szCs w:val="18"/>
              </w:rPr>
            </w:pPr>
            <w:r>
              <w:rPr>
                <w:rFonts w:hint="eastAsia" w:hAnsi="宋体" w:cs="宋体"/>
                <w:b/>
                <w:sz w:val="18"/>
                <w:szCs w:val="18"/>
              </w:rPr>
              <w:t>单</w:t>
            </w:r>
            <w:r>
              <w:rPr>
                <w:rFonts w:ascii="Times New Roman" w:hAnsi="Times New Roman" w:cs="Times New Roman"/>
                <w:b/>
                <w:sz w:val="18"/>
                <w:szCs w:val="18"/>
              </w:rPr>
              <w:t xml:space="preserve"> </w:t>
            </w:r>
            <w:r>
              <w:rPr>
                <w:rFonts w:hint="eastAsia" w:hAnsi="宋体" w:cs="宋体"/>
                <w:b/>
                <w:sz w:val="18"/>
                <w:szCs w:val="18"/>
              </w:rPr>
              <w:t>位</w:t>
            </w:r>
          </w:p>
        </w:tc>
      </w:tr>
      <w:tr>
        <w:tblPrEx>
          <w:tblCellMar>
            <w:top w:w="0" w:type="dxa"/>
            <w:left w:w="0" w:type="dxa"/>
            <w:bottom w:w="0" w:type="dxa"/>
            <w:right w:w="0" w:type="dxa"/>
          </w:tblCellMar>
        </w:tblPrEx>
        <w:trPr>
          <w:trHeight w:val="350" w:hRule="atLeast"/>
        </w:trPr>
        <w:tc>
          <w:tcPr>
            <w:tcW w:w="590" w:type="dxa"/>
            <w:vMerge w:val="continue"/>
            <w:tcBorders>
              <w:top w:val="single" w:color="000000" w:sz="4" w:space="0"/>
              <w:left w:val="single" w:color="000000" w:sz="4" w:space="0"/>
              <w:bottom w:val="single" w:color="000000" w:sz="4" w:space="0"/>
              <w:right w:val="single" w:color="000000" w:sz="4" w:space="0"/>
            </w:tcBorders>
            <w:shd w:val="clear" w:color="auto" w:fill="D8D8D8"/>
            <w:tcMar>
              <w:top w:w="15" w:type="dxa"/>
              <w:left w:w="15" w:type="dxa"/>
              <w:right w:w="15" w:type="dxa"/>
            </w:tcMar>
            <w:vAlign w:val="center"/>
          </w:tcPr>
          <w:p>
            <w:pPr>
              <w:ind w:firstLine="361"/>
              <w:jc w:val="center"/>
              <w:rPr>
                <w:rFonts w:hAnsi="宋体" w:cs="宋体"/>
                <w:b/>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D8D8D8"/>
            <w:tcMar>
              <w:top w:w="15" w:type="dxa"/>
              <w:left w:w="15" w:type="dxa"/>
              <w:right w:w="15" w:type="dxa"/>
            </w:tcMar>
            <w:vAlign w:val="center"/>
          </w:tcPr>
          <w:p>
            <w:pPr>
              <w:ind w:firstLine="361"/>
              <w:jc w:val="center"/>
              <w:rPr>
                <w:rFonts w:hAnsi="宋体" w:cs="宋体"/>
                <w:b/>
                <w:sz w:val="18"/>
                <w:szCs w:val="18"/>
              </w:rPr>
            </w:pPr>
          </w:p>
        </w:tc>
        <w:tc>
          <w:tcPr>
            <w:tcW w:w="6994" w:type="dxa"/>
            <w:vMerge w:val="continue"/>
            <w:tcBorders>
              <w:top w:val="single" w:color="000000" w:sz="4" w:space="0"/>
              <w:left w:val="single" w:color="000000" w:sz="4" w:space="0"/>
              <w:bottom w:val="single" w:color="000000" w:sz="4" w:space="0"/>
              <w:right w:val="single" w:color="000000" w:sz="4" w:space="0"/>
            </w:tcBorders>
            <w:shd w:val="clear" w:color="auto" w:fill="D8D8D8"/>
            <w:tcMar>
              <w:top w:w="15" w:type="dxa"/>
              <w:left w:w="15" w:type="dxa"/>
              <w:right w:w="15" w:type="dxa"/>
            </w:tcMar>
            <w:vAlign w:val="center"/>
          </w:tcPr>
          <w:p>
            <w:pPr>
              <w:ind w:firstLine="361"/>
              <w:jc w:val="center"/>
              <w:rPr>
                <w:rFonts w:hAnsi="宋体" w:cs="宋体"/>
                <w:b/>
                <w:sz w:val="18"/>
                <w:szCs w:val="18"/>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D8D8D8"/>
            <w:tcMar>
              <w:top w:w="15" w:type="dxa"/>
              <w:left w:w="15" w:type="dxa"/>
              <w:right w:w="15" w:type="dxa"/>
            </w:tcMar>
          </w:tcPr>
          <w:p>
            <w:pPr>
              <w:ind w:firstLine="361"/>
              <w:jc w:val="center"/>
              <w:rPr>
                <w:rFonts w:hAnsi="宋体" w:cs="宋体"/>
                <w:b/>
                <w:sz w:val="18"/>
                <w:szCs w:val="18"/>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D8D8D8"/>
            <w:tcMar>
              <w:top w:w="15" w:type="dxa"/>
              <w:left w:w="15" w:type="dxa"/>
              <w:right w:w="15" w:type="dxa"/>
            </w:tcMar>
          </w:tcPr>
          <w:p>
            <w:pPr>
              <w:ind w:firstLine="361"/>
              <w:jc w:val="center"/>
              <w:rPr>
                <w:rFonts w:hAnsi="宋体" w:cs="宋体"/>
                <w:b/>
                <w:sz w:val="18"/>
                <w:szCs w:val="18"/>
              </w:rPr>
            </w:pPr>
          </w:p>
        </w:tc>
      </w:tr>
      <w:tr>
        <w:tblPrEx>
          <w:tblCellMar>
            <w:top w:w="0" w:type="dxa"/>
            <w:left w:w="0" w:type="dxa"/>
            <w:bottom w:w="0" w:type="dxa"/>
            <w:right w:w="0" w:type="dxa"/>
          </w:tblCellMar>
        </w:tblPrEx>
        <w:trPr>
          <w:trHeight w:val="5645" w:hRule="atLeast"/>
        </w:trPr>
        <w:tc>
          <w:tcPr>
            <w:tcW w:w="590"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r>
              <w:rPr>
                <w:rStyle w:val="41"/>
                <w:rFonts w:hint="default"/>
                <w:color w:val="auto"/>
              </w:rPr>
              <w:t>01</w:t>
            </w: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jc w:val="both"/>
              <w:textAlignment w:val="center"/>
              <w:rPr>
                <w:rFonts w:hAnsi="宋体" w:cs="宋体"/>
                <w:sz w:val="16"/>
                <w:szCs w:val="16"/>
              </w:rPr>
            </w:pPr>
            <w:r>
              <w:rPr>
                <w:rFonts w:hint="eastAsia" w:hAnsi="宋体" w:cs="宋体"/>
                <w:sz w:val="16"/>
                <w:szCs w:val="16"/>
              </w:rPr>
              <w:t xml:space="preserve">地理信息系统桌面软件 </w:t>
            </w:r>
          </w:p>
        </w:tc>
        <w:tc>
          <w:tcPr>
            <w:tcW w:w="6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6"/>
                <w:szCs w:val="16"/>
              </w:rPr>
              <w:t>一、地理信息系统高级版桌面软件V10.7-院校包（100用户）</w:t>
            </w:r>
          </w:p>
          <w:p>
            <w:pPr>
              <w:ind w:firstLine="320"/>
              <w:textAlignment w:val="center"/>
              <w:rPr>
                <w:rFonts w:hAnsi="宋体" w:cs="宋体"/>
                <w:sz w:val="16"/>
                <w:szCs w:val="16"/>
              </w:rPr>
            </w:pPr>
            <w:r>
              <w:rPr>
                <w:rFonts w:hint="eastAsia" w:hAnsi="宋体" w:cs="宋体"/>
                <w:sz w:val="16"/>
                <w:szCs w:val="16"/>
              </w:rPr>
              <w:t>高级版是桌面的旗舰产品，包含基础版和标准版的所有功能，是一个完整的GIS数据创建、更新、查询、制图、分析和管理的系统，可以执行高级的空间处理工具和制图综合功能。                  1. GIS桌面平台软件需要支持地图输出为EPS、SVG、AI、BMP等多种矢量图像格式；支持具有地理坐标参考的PDF地图格式输出，并且可以脱离GIS桌面软件，在免费的PDF软件中进行每个图层的打开和关闭操作，能够获取具体的点坐标、测量线段和面积（需截图在桌面软件导出pdf地图文件的设置界面过程、截图利用免费的pdf软件打开导出的地图，并进行图层控制、测量长度和面积的操作，要求桌面软件展示的数据与pdf文件的内容相同，并加盖原厂商或国内总代理的公章）。</w:t>
            </w:r>
          </w:p>
          <w:p>
            <w:pPr>
              <w:ind w:firstLine="0" w:firstLineChars="0"/>
              <w:textAlignment w:val="center"/>
              <w:rPr>
                <w:rFonts w:hAnsi="宋体" w:cs="宋体"/>
                <w:sz w:val="16"/>
                <w:szCs w:val="16"/>
              </w:rPr>
            </w:pPr>
            <w:r>
              <w:rPr>
                <w:rFonts w:hint="eastAsia" w:hAnsi="宋体" w:cs="宋体"/>
                <w:sz w:val="16"/>
                <w:szCs w:val="16"/>
              </w:rPr>
              <w:t>2.提供动态图例的功能，地图图例根据当前显示的地图图面要素的内容自动调整，图面要素增加，地图图例对应增加，图面要素减少时自动过滤没显示的要素的图例符号，使地图没有多余的图例（需要提供地图全图时的内容和图例、随着范围改变后的地图内容和图例的截图，并加盖原厂商或国内总代理的公章）。</w:t>
            </w:r>
          </w:p>
          <w:p>
            <w:pPr>
              <w:ind w:firstLine="0" w:firstLineChars="0"/>
              <w:textAlignment w:val="center"/>
              <w:rPr>
                <w:rFonts w:hAnsi="宋体" w:cs="宋体"/>
                <w:sz w:val="16"/>
                <w:szCs w:val="16"/>
              </w:rPr>
            </w:pPr>
            <w:r>
              <w:rPr>
                <w:rFonts w:hint="eastAsia" w:hAnsi="宋体" w:cs="宋体"/>
                <w:sz w:val="16"/>
                <w:szCs w:val="16"/>
              </w:rPr>
              <w:t>3. 提供地理分析建模框架，提供可视化模型构建器可将地理工具箱任意工具拖拽到可视化界面中，按照处理流程用箭头串联起来，以创建更为复杂的处理模型（需要截图可视化建模过程，包括GIS桌面分析工具的串联过程和截图运行模型）；生成的新模型可以设置模型参数、前提条件和中间数据（提供模型参数、前提条件、中间数据的设置截图过程，并加盖原厂商或国内总代理的公章）。</w:t>
            </w:r>
          </w:p>
          <w:p>
            <w:pPr>
              <w:ind w:firstLine="0" w:firstLineChars="0"/>
              <w:textAlignment w:val="center"/>
              <w:rPr>
                <w:rFonts w:hAnsi="宋体" w:cs="宋体"/>
                <w:sz w:val="16"/>
                <w:szCs w:val="16"/>
              </w:rPr>
            </w:pPr>
            <w:r>
              <w:rPr>
                <w:rFonts w:hint="eastAsia" w:hAnsi="宋体" w:cs="宋体"/>
                <w:sz w:val="16"/>
                <w:szCs w:val="16"/>
              </w:rPr>
              <w:t>4.提供可自定义的编辑模板，模版可以导入图层的分类渲染，在编辑矢量数据时可以预先设置多个属性字段的默认值，以减少编辑时的文字的输入，提高数据编辑效率；（需要提供自定义模版的设置、使用模板功能进行数据编辑的操作截图，并加盖原厂商或国内总代理的公章）。</w:t>
            </w:r>
          </w:p>
          <w:p>
            <w:pPr>
              <w:ind w:firstLine="0" w:firstLineChars="0"/>
              <w:textAlignment w:val="center"/>
              <w:rPr>
                <w:rFonts w:hAnsi="宋体" w:cs="宋体"/>
                <w:sz w:val="16"/>
                <w:szCs w:val="16"/>
              </w:rPr>
            </w:pPr>
            <w:r>
              <w:rPr>
                <w:rFonts w:hint="eastAsia" w:hAnsi="宋体" w:cs="宋体"/>
                <w:sz w:val="16"/>
                <w:szCs w:val="16"/>
              </w:rPr>
              <w:t>5. 提供遥感影像的基础处理工具，包括：对比度、亮度、DRA、拉伸、gamma 、透明度以及比较两个重叠数据图层的“卷帘”和“闪烁”工具（需要提供截图影像处理工具，包括：对比度、亮度、DRA、拉伸、gamma 、透明度以及比较两个重叠数据图层的“卷帘”和“闪烁”工具，并加盖原厂商或国内总代理的公章）。</w:t>
            </w:r>
          </w:p>
          <w:p>
            <w:pPr>
              <w:ind w:firstLine="0" w:firstLineChars="0"/>
              <w:textAlignment w:val="center"/>
              <w:rPr>
                <w:rFonts w:hAnsi="宋体" w:cs="宋体"/>
                <w:sz w:val="16"/>
                <w:szCs w:val="16"/>
              </w:rPr>
            </w:pPr>
            <w:r>
              <w:rPr>
                <w:rFonts w:hint="eastAsia" w:hAnsi="宋体" w:cs="宋体"/>
                <w:sz w:val="16"/>
                <w:szCs w:val="16"/>
              </w:rPr>
              <w:t>6.支持可视化多维科学数据集，包括HDF、NetCDF、GRIB，可通过向量场渲染方式对多维数据集进行符号化展示，支持挖掘时空模式的趋势信息。（需提供支持HDF、NetCDF、GRIB数据类型的软件界面截图，并加盖原厂商或国内总代理的公章）。</w:t>
            </w:r>
          </w:p>
          <w:p>
            <w:pPr>
              <w:ind w:firstLine="0" w:firstLineChars="0"/>
              <w:textAlignment w:val="center"/>
              <w:rPr>
                <w:rFonts w:hAnsi="宋体" w:cs="宋体"/>
                <w:sz w:val="16"/>
                <w:szCs w:val="16"/>
              </w:rPr>
            </w:pPr>
            <w:r>
              <w:rPr>
                <w:rFonts w:hint="eastAsia" w:hAnsi="宋体" w:cs="宋体"/>
                <w:sz w:val="16"/>
                <w:szCs w:val="16"/>
              </w:rPr>
              <w:t>7. 支持插入比例尺、指北针、图例、Excel、Word、PowerPoint文档对象、动态文本等地图修饰元素。（需提供插入Excel、Word、PowerPoint文档对象的软件界面截图，并加盖原厂商或国内总代理的公章）。</w:t>
            </w:r>
          </w:p>
          <w:p>
            <w:pPr>
              <w:ind w:firstLine="0" w:firstLineChars="0"/>
              <w:textAlignment w:val="center"/>
              <w:rPr>
                <w:rFonts w:hAnsi="宋体" w:cs="宋体"/>
                <w:sz w:val="16"/>
                <w:szCs w:val="16"/>
              </w:rPr>
            </w:pPr>
            <w:r>
              <w:rPr>
                <w:rFonts w:hint="eastAsia" w:hAnsi="宋体" w:cs="宋体"/>
                <w:sz w:val="16"/>
                <w:szCs w:val="16"/>
              </w:rPr>
              <w:t>8. ★在已经安装Envi遥感软件的前提下，支持Envi工具直接集成到地理信息桌面软件的工具箱中，Envi工具可以直接加载到模型构建器modelbuilder中与地理信息系统工具一起建立分析模型，实现遥感和地理信息系统软件一体化。（需提在软件工具箱中打开ENVI工具的软件界面截图，并加盖原厂商或国内总代理的公章）。</w:t>
            </w:r>
          </w:p>
          <w:p>
            <w:pPr>
              <w:ind w:firstLine="0" w:firstLineChars="0"/>
              <w:textAlignment w:val="center"/>
              <w:rPr>
                <w:rFonts w:hAnsi="宋体" w:cs="宋体"/>
                <w:sz w:val="16"/>
                <w:szCs w:val="16"/>
              </w:rPr>
            </w:pPr>
            <w:r>
              <w:rPr>
                <w:rFonts w:hint="eastAsia" w:hAnsi="宋体" w:cs="宋体"/>
                <w:sz w:val="16"/>
                <w:szCs w:val="16"/>
              </w:rPr>
              <w:t>9. ★支持Shapefile、Geodatabase、AutoCAD DWG等多种GIS数据格式，无需转换均能加载并无损访问，可直接编辑Shapefile、Geodatabase数据格式。（需提供直接编辑Shapefile、Geodatabase数据格式的软件界面截图，并加盖原厂商或国内总代理的公章。）</w:t>
            </w:r>
          </w:p>
          <w:p>
            <w:pPr>
              <w:ind w:firstLine="0" w:firstLineChars="0"/>
              <w:textAlignment w:val="center"/>
              <w:rPr>
                <w:rFonts w:hAnsi="宋体" w:cs="宋体"/>
                <w:sz w:val="16"/>
                <w:szCs w:val="16"/>
              </w:rPr>
            </w:pPr>
            <w:r>
              <w:rPr>
                <w:rFonts w:hint="eastAsia" w:hAnsi="宋体" w:cs="宋体"/>
                <w:sz w:val="16"/>
                <w:szCs w:val="16"/>
              </w:rPr>
              <w:t>10. 支持GeoTIFF、JPEG2000、Erdas Image、中国资源卫星、中国高分卫星、Envi，DMCii、Geoeye、IKONOS、WorldView、SPOT、AIRSAR Polarimetric、CEOS SAR Image、TerraSAR-X等影像格式，无需要转换均能加载并无损访问。</w:t>
            </w:r>
          </w:p>
          <w:p>
            <w:pPr>
              <w:ind w:firstLine="0" w:firstLineChars="0"/>
              <w:textAlignment w:val="center"/>
              <w:rPr>
                <w:rFonts w:hAnsi="宋体" w:cs="宋体"/>
                <w:sz w:val="16"/>
                <w:szCs w:val="16"/>
              </w:rPr>
            </w:pPr>
            <w:r>
              <w:rPr>
                <w:rFonts w:hint="eastAsia" w:hAnsi="宋体" w:cs="宋体"/>
                <w:sz w:val="16"/>
                <w:szCs w:val="16"/>
              </w:rPr>
              <w:t>11. 可直接访问数据库进行地理数据的可视化、分析和导出，支持的数据库类型包括达梦、人大金仓、南大通用GBase、HighGo、DB2、Oracle、PostgreSQL、SQL Server、SQLite、Netezza、Teradata、SAP HANA。</w:t>
            </w:r>
          </w:p>
          <w:p>
            <w:pPr>
              <w:ind w:firstLine="0" w:firstLineChars="0"/>
              <w:textAlignment w:val="center"/>
              <w:rPr>
                <w:rFonts w:hAnsi="宋体" w:cs="宋体"/>
                <w:sz w:val="16"/>
                <w:szCs w:val="16"/>
              </w:rPr>
            </w:pPr>
            <w:r>
              <w:rPr>
                <w:rFonts w:hint="eastAsia" w:hAnsi="宋体" w:cs="宋体"/>
                <w:sz w:val="16"/>
                <w:szCs w:val="16"/>
              </w:rPr>
              <w:t>12. ★支持加载和创建符合OGC i3s 规范的三维场景数据包。支持高效三维地理信息的展示并提供交互性三维剖切分析功能支持拓扑关系模型，提供30种以上常规拓扑规则定义；通过拓扑关系维护数据库中空间数据一致性和完整性，包括拓扑关系定义，校验，拓扑错误改正及编辑工具,可以自定义拓扑规则的应用范围，允许将拓扑错误设为异常而不再参与拓扑的下次检查（需要提供支持的30种拓扑规则的列表截图、提供在拓扑检查时将错误信息标记为异常的截图，并加盖原厂商或国内总代理的公章）。</w:t>
            </w:r>
          </w:p>
          <w:p>
            <w:pPr>
              <w:ind w:firstLine="0" w:firstLineChars="0"/>
              <w:textAlignment w:val="center"/>
              <w:rPr>
                <w:rFonts w:hAnsi="宋体" w:cs="宋体"/>
                <w:sz w:val="16"/>
                <w:szCs w:val="16"/>
              </w:rPr>
            </w:pPr>
            <w:r>
              <w:rPr>
                <w:rFonts w:hint="eastAsia" w:hAnsi="宋体" w:cs="宋体"/>
                <w:sz w:val="16"/>
                <w:szCs w:val="16"/>
              </w:rPr>
              <w:t>13. 支持多种影像的管理方式，包括栅格数据集，栅格目录，镶嵌数据集（提供影像管理数据结构栅格目录、镶嵌数据集支持的截图，并加盖原厂商或国内总代理的公章。）。</w:t>
            </w:r>
          </w:p>
          <w:p>
            <w:pPr>
              <w:ind w:firstLine="0" w:firstLineChars="0"/>
              <w:textAlignment w:val="center"/>
              <w:rPr>
                <w:rFonts w:hAnsi="宋体" w:cs="宋体"/>
                <w:sz w:val="16"/>
                <w:szCs w:val="16"/>
              </w:rPr>
            </w:pPr>
            <w:r>
              <w:rPr>
                <w:rFonts w:hint="eastAsia" w:hAnsi="宋体" w:cs="宋体"/>
                <w:sz w:val="16"/>
                <w:szCs w:val="16"/>
              </w:rPr>
              <w:t>14. 支持高级地图标注功能，标注时可以进行自动去除重复标注、可以实现标注与要素的自动避让、多标注的自动换行等操作（需要提供去除线要素标注重复、要素标注自动避让线要素、点标注自动换行的工具截图及效果图，并加盖原厂商或国内总代理的公章）；在无法放置标注的时候，提供索引型标注，并在地图空白处显示索引描述（需要提供无法放置标注时在地图空白处提供索引号与标注文本对应的工具及效果截图，并加盖原厂商或国内总代理的公章）。</w:t>
            </w:r>
          </w:p>
          <w:p>
            <w:pPr>
              <w:ind w:firstLine="0" w:firstLineChars="0"/>
              <w:textAlignment w:val="center"/>
              <w:rPr>
                <w:rFonts w:hAnsi="宋体" w:cs="宋体"/>
                <w:sz w:val="16"/>
                <w:szCs w:val="16"/>
              </w:rPr>
            </w:pPr>
            <w:r>
              <w:rPr>
                <w:rFonts w:hint="eastAsia" w:hAnsi="宋体" w:cs="宋体"/>
                <w:sz w:val="16"/>
                <w:szCs w:val="16"/>
              </w:rPr>
              <w:t xml:space="preserve"> 15. 支持地图册自动生成功能，在设定统一的图框和图幅要素后，根据行政区或者地图分幅文件，自动生成地图册，每幅地图的标题按照行政区名或分幅编号自动生成（需要提供按照分幅图层进行自动地图册生成，并使地图标题以图幅号自动生成的截图，并加盖原厂商或国内总代理的公章）。</w:t>
            </w:r>
          </w:p>
        </w:tc>
        <w:tc>
          <w:tcPr>
            <w:tcW w:w="54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r>
              <w:rPr>
                <w:rFonts w:hint="eastAsia" w:hAnsi="宋体" w:cs="宋体"/>
                <w:sz w:val="18"/>
                <w:szCs w:val="18"/>
              </w:rPr>
              <w:t>1</w:t>
            </w:r>
          </w:p>
        </w:tc>
        <w:tc>
          <w:tcPr>
            <w:tcW w:w="511"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r>
              <w:rPr>
                <w:rFonts w:hint="eastAsia" w:hAnsi="宋体" w:cs="宋体"/>
                <w:sz w:val="18"/>
                <w:szCs w:val="18"/>
              </w:rPr>
              <w:t>套</w:t>
            </w:r>
          </w:p>
        </w:tc>
      </w:tr>
      <w:tr>
        <w:tblPrEx>
          <w:tblCellMar>
            <w:top w:w="0" w:type="dxa"/>
            <w:left w:w="0" w:type="dxa"/>
            <w:bottom w:w="0" w:type="dxa"/>
            <w:right w:w="0" w:type="dxa"/>
          </w:tblCellMar>
        </w:tblPrEx>
        <w:trPr>
          <w:trHeight w:val="1740" w:hRule="atLeast"/>
        </w:trPr>
        <w:tc>
          <w:tcPr>
            <w:tcW w:w="59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320"/>
              <w:jc w:val="center"/>
              <w:rPr>
                <w:rFonts w:hAnsi="宋体" w:cs="宋体"/>
                <w:sz w:val="16"/>
                <w:szCs w:val="16"/>
              </w:rPr>
            </w:pPr>
          </w:p>
        </w:tc>
        <w:tc>
          <w:tcPr>
            <w:tcW w:w="6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6"/>
                <w:szCs w:val="16"/>
              </w:rPr>
              <w:t>二、地理信息系统桌面空间分析软件-院校包（100用户）</w:t>
            </w:r>
          </w:p>
          <w:p>
            <w:pPr>
              <w:ind w:firstLine="320"/>
              <w:textAlignment w:val="center"/>
              <w:rPr>
                <w:rFonts w:hAnsi="宋体" w:cs="宋体"/>
                <w:sz w:val="16"/>
                <w:szCs w:val="16"/>
              </w:rPr>
            </w:pPr>
            <w:r>
              <w:rPr>
                <w:rFonts w:hint="eastAsia" w:hAnsi="宋体" w:cs="宋体"/>
                <w:sz w:val="16"/>
                <w:szCs w:val="16"/>
              </w:rPr>
              <w:t>提供众多强大的栅格建模和分析功能，支持创建、查询和分析栅格数据并进行制图，从现存数据中得到新的数据及衍生信息，分析空间关系和空间特征，还可以进行栅格和矢量结合的分析。                 1. 支持多个栅格数据的逻辑查询和地图代数运赋值权重计算，并可脱离软件环境运行，如Python脚本环境。</w:t>
            </w:r>
          </w:p>
          <w:p>
            <w:pPr>
              <w:ind w:firstLine="0" w:firstLineChars="0"/>
              <w:textAlignment w:val="center"/>
              <w:rPr>
                <w:rFonts w:hAnsi="宋体" w:cs="宋体"/>
                <w:sz w:val="16"/>
                <w:szCs w:val="16"/>
              </w:rPr>
            </w:pPr>
            <w:r>
              <w:rPr>
                <w:rFonts w:hint="eastAsia" w:hAnsi="宋体" w:cs="宋体"/>
                <w:sz w:val="16"/>
                <w:szCs w:val="16"/>
              </w:rPr>
              <w:t>2. 提供丰富的空间分析工具集，包括空间叠加分析、密度分析、插值分析、邻域分析、表面分析、距离分析、太阳辐射分析等。</w:t>
            </w:r>
          </w:p>
          <w:p>
            <w:pPr>
              <w:ind w:firstLine="0" w:firstLineChars="0"/>
              <w:textAlignment w:val="center"/>
              <w:rPr>
                <w:rFonts w:hAnsi="宋体" w:cs="宋体"/>
                <w:sz w:val="16"/>
                <w:szCs w:val="16"/>
              </w:rPr>
            </w:pPr>
            <w:r>
              <w:rPr>
                <w:rFonts w:hint="eastAsia" w:hAnsi="宋体" w:cs="宋体"/>
                <w:sz w:val="16"/>
                <w:szCs w:val="16"/>
              </w:rPr>
              <w:t>3. 支持影像的多元分析，包括分类（监督分类与非监督分类）和主成分分析（PCA）。</w:t>
            </w:r>
          </w:p>
        </w:tc>
        <w:tc>
          <w:tcPr>
            <w:tcW w:w="5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p>
        </w:tc>
        <w:tc>
          <w:tcPr>
            <w:tcW w:w="51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r>
      <w:tr>
        <w:tblPrEx>
          <w:tblCellMar>
            <w:top w:w="0" w:type="dxa"/>
            <w:left w:w="0" w:type="dxa"/>
            <w:bottom w:w="0" w:type="dxa"/>
            <w:right w:w="0" w:type="dxa"/>
          </w:tblCellMar>
        </w:tblPrEx>
        <w:trPr>
          <w:trHeight w:val="1680" w:hRule="atLeast"/>
        </w:trPr>
        <w:tc>
          <w:tcPr>
            <w:tcW w:w="59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320"/>
              <w:jc w:val="center"/>
              <w:rPr>
                <w:rFonts w:hAnsi="宋体" w:cs="宋体"/>
                <w:sz w:val="16"/>
                <w:szCs w:val="16"/>
              </w:rPr>
            </w:pPr>
          </w:p>
        </w:tc>
        <w:tc>
          <w:tcPr>
            <w:tcW w:w="6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6"/>
                <w:szCs w:val="16"/>
              </w:rPr>
              <w:t>三、地理信息系统桌面三维可视化与分析软件-院校包（100用户）</w:t>
            </w:r>
          </w:p>
          <w:p>
            <w:pPr>
              <w:ind w:firstLine="320"/>
              <w:textAlignment w:val="center"/>
              <w:rPr>
                <w:rFonts w:hAnsi="宋体" w:cs="宋体"/>
                <w:sz w:val="16"/>
                <w:szCs w:val="16"/>
              </w:rPr>
            </w:pPr>
            <w:r>
              <w:rPr>
                <w:rFonts w:hint="eastAsia" w:hAnsi="宋体" w:cs="宋体"/>
                <w:sz w:val="16"/>
                <w:szCs w:val="16"/>
              </w:rPr>
              <w:t>提供强大的三维可视化、分析和表面建模工具，可以从不同的视点观察表面、查询表面以及通视分析，还可以将栅格和矢量数据贴在表面以创建一副真实的透视图，可以有效的编辑和管理三维数据。         1. 支持将三维数据储存为multipatch数据格式，并支持在地理信息系统桌面软件上移动、旋转、改变三维模型数据</w:t>
            </w:r>
          </w:p>
          <w:p>
            <w:pPr>
              <w:ind w:firstLine="0" w:firstLineChars="0"/>
              <w:textAlignment w:val="center"/>
              <w:rPr>
                <w:rFonts w:hAnsi="宋体" w:cs="宋体"/>
                <w:sz w:val="16"/>
                <w:szCs w:val="16"/>
              </w:rPr>
            </w:pPr>
            <w:r>
              <w:rPr>
                <w:rFonts w:hint="eastAsia" w:hAnsi="宋体" w:cs="宋体"/>
                <w:sz w:val="16"/>
                <w:szCs w:val="16"/>
              </w:rPr>
              <w:t>2. 支持通过桌面端调用Rule Package直接批量创建三维模型。</w:t>
            </w:r>
          </w:p>
          <w:p>
            <w:pPr>
              <w:ind w:firstLine="0" w:firstLineChars="0"/>
              <w:textAlignment w:val="center"/>
              <w:rPr>
                <w:rFonts w:hAnsi="宋体" w:cs="宋体"/>
                <w:sz w:val="16"/>
                <w:szCs w:val="16"/>
              </w:rPr>
            </w:pPr>
            <w:r>
              <w:rPr>
                <w:rFonts w:hint="eastAsia" w:hAnsi="宋体" w:cs="宋体"/>
                <w:sz w:val="16"/>
                <w:szCs w:val="16"/>
              </w:rPr>
              <w:t xml:space="preserve">3. 支持三维数据在空间数据库中统一的存储和管理。           </w:t>
            </w:r>
          </w:p>
        </w:tc>
        <w:tc>
          <w:tcPr>
            <w:tcW w:w="5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p>
        </w:tc>
        <w:tc>
          <w:tcPr>
            <w:tcW w:w="51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r>
      <w:tr>
        <w:tblPrEx>
          <w:tblCellMar>
            <w:top w:w="0" w:type="dxa"/>
            <w:left w:w="0" w:type="dxa"/>
            <w:bottom w:w="0" w:type="dxa"/>
            <w:right w:w="0" w:type="dxa"/>
          </w:tblCellMar>
        </w:tblPrEx>
        <w:trPr>
          <w:trHeight w:val="2040" w:hRule="atLeast"/>
        </w:trPr>
        <w:tc>
          <w:tcPr>
            <w:tcW w:w="59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320"/>
              <w:jc w:val="center"/>
              <w:rPr>
                <w:rFonts w:hAnsi="宋体" w:cs="宋体"/>
                <w:sz w:val="16"/>
                <w:szCs w:val="16"/>
              </w:rPr>
            </w:pPr>
          </w:p>
        </w:tc>
        <w:tc>
          <w:tcPr>
            <w:tcW w:w="6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6"/>
                <w:szCs w:val="16"/>
              </w:rPr>
              <w:t>四、地理信息系统桌面网络分析软件-院校包（100用户）</w:t>
            </w:r>
          </w:p>
          <w:p>
            <w:pPr>
              <w:ind w:firstLine="320"/>
              <w:textAlignment w:val="center"/>
              <w:rPr>
                <w:rFonts w:hAnsi="宋体" w:cs="宋体"/>
                <w:sz w:val="16"/>
                <w:szCs w:val="16"/>
              </w:rPr>
            </w:pPr>
            <w:r>
              <w:rPr>
                <w:rFonts w:hint="eastAsia" w:hAnsi="宋体" w:cs="宋体"/>
                <w:sz w:val="16"/>
                <w:szCs w:val="16"/>
              </w:rPr>
              <w:t>帮助用户创建和管理网络数据集，模拟现实世界中的网络条件与情景，基于网络数据集执行各种空间分析，包括行车时间分析、点到点的路径分析、路径方向、服务区域定义、最短路径、最佳路径、邻近设施、起始点目标点矩阵等。                                                                1. 支持构建专业的交通网络分析模型，支持转弯，单行，通行能力权重设置，支持动态设置障碍。</w:t>
            </w:r>
            <w:r>
              <w:rPr>
                <w:rFonts w:hint="eastAsia" w:hAnsi="宋体" w:cs="宋体"/>
                <w:sz w:val="16"/>
                <w:szCs w:val="16"/>
              </w:rPr>
              <w:br w:type="textWrapping"/>
            </w:r>
            <w:r>
              <w:rPr>
                <w:rFonts w:hint="eastAsia" w:hAnsi="宋体" w:cs="宋体"/>
                <w:sz w:val="16"/>
                <w:szCs w:val="16"/>
              </w:rPr>
              <w:t>2. 支持商业位置选址分析，包括最小化阻抗、最大化覆盖范围、最大化有容量限制的覆盖范围、最小化设施点、最大化人流量、最大化市场份额、目标市场份额。</w:t>
            </w:r>
          </w:p>
          <w:p>
            <w:pPr>
              <w:ind w:firstLine="0" w:firstLineChars="0"/>
              <w:textAlignment w:val="center"/>
              <w:rPr>
                <w:rFonts w:hAnsi="宋体" w:cs="宋体"/>
                <w:sz w:val="16"/>
                <w:szCs w:val="16"/>
              </w:rPr>
            </w:pPr>
            <w:r>
              <w:rPr>
                <w:rFonts w:hint="eastAsia" w:hAnsi="宋体" w:cs="宋体"/>
                <w:sz w:val="16"/>
                <w:szCs w:val="16"/>
              </w:rPr>
              <w:t>3. 支持网络分析中点、线、面的障碍限制，用于分析计算当中，例如“禁止”、“避免”、“喜好”等。</w:t>
            </w:r>
          </w:p>
        </w:tc>
        <w:tc>
          <w:tcPr>
            <w:tcW w:w="5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p>
        </w:tc>
        <w:tc>
          <w:tcPr>
            <w:tcW w:w="51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r>
      <w:tr>
        <w:tblPrEx>
          <w:tblCellMar>
            <w:top w:w="0" w:type="dxa"/>
            <w:left w:w="0" w:type="dxa"/>
            <w:bottom w:w="0" w:type="dxa"/>
            <w:right w:w="0" w:type="dxa"/>
          </w:tblCellMar>
        </w:tblPrEx>
        <w:trPr>
          <w:trHeight w:val="2235" w:hRule="atLeast"/>
        </w:trPr>
        <w:tc>
          <w:tcPr>
            <w:tcW w:w="59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320"/>
              <w:jc w:val="center"/>
              <w:rPr>
                <w:rFonts w:hAnsi="宋体" w:cs="宋体"/>
                <w:sz w:val="16"/>
                <w:szCs w:val="16"/>
              </w:rPr>
            </w:pPr>
          </w:p>
        </w:tc>
        <w:tc>
          <w:tcPr>
            <w:tcW w:w="6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6"/>
                <w:szCs w:val="16"/>
              </w:rPr>
              <w:t>五、 地理信息系统桌面地统计分析软件-院校包（100用户）</w:t>
            </w:r>
          </w:p>
          <w:p>
            <w:pPr>
              <w:ind w:firstLine="320"/>
              <w:textAlignment w:val="center"/>
              <w:rPr>
                <w:rFonts w:hAnsi="宋体" w:cs="宋体"/>
                <w:sz w:val="16"/>
                <w:szCs w:val="16"/>
              </w:rPr>
            </w:pPr>
            <w:r>
              <w:rPr>
                <w:rFonts w:hint="eastAsia" w:hAnsi="宋体" w:cs="宋体"/>
                <w:sz w:val="16"/>
                <w:szCs w:val="16"/>
              </w:rPr>
              <w:t>使用高级的统计工具来研究用户数据，用于生成表面以及分析和绘制连续数据集的高级统计工具。通过探索性空间数据分析工具，可以深入了解数据分布、全局异常值和局部异常值、全局趋势、空间自相关级别，以及多个数据集之间的差异。                                                        1. 包含交互式的图形工具，提供多视角的数据显示：如数据分布，全局趋势，空间自相关的级别和多数据集之间的变化等。带有缺省模型设计的稳定性参数，并为使用者提供可视化的协调的强有力的分析工具。</w:t>
            </w:r>
          </w:p>
          <w:p>
            <w:pPr>
              <w:ind w:firstLine="0" w:firstLineChars="0"/>
              <w:textAlignment w:val="center"/>
              <w:rPr>
                <w:rFonts w:hAnsi="宋体" w:cs="宋体"/>
                <w:sz w:val="16"/>
                <w:szCs w:val="16"/>
              </w:rPr>
            </w:pPr>
            <w:r>
              <w:rPr>
                <w:rFonts w:hint="eastAsia" w:hAnsi="宋体" w:cs="宋体"/>
                <w:sz w:val="16"/>
                <w:szCs w:val="16"/>
              </w:rPr>
              <w:t>2. 提供根据高级的地理统计分析技术通过离散点内插连续表面功能，如ESDA、克里格预测、距离权重倒数等技术，提供专门的高级地理统计分析模块。</w:t>
            </w:r>
          </w:p>
          <w:p>
            <w:pPr>
              <w:ind w:firstLine="0" w:firstLineChars="0"/>
              <w:textAlignment w:val="center"/>
              <w:rPr>
                <w:rFonts w:hAnsi="宋体" w:cs="宋体"/>
                <w:sz w:val="16"/>
                <w:szCs w:val="16"/>
              </w:rPr>
            </w:pPr>
            <w:r>
              <w:rPr>
                <w:rFonts w:hint="eastAsia" w:hAnsi="宋体" w:cs="宋体"/>
                <w:sz w:val="16"/>
                <w:szCs w:val="16"/>
              </w:rPr>
              <w:t xml:space="preserve">3. 能够进行预测而且给出这些预测的可信程度。  </w:t>
            </w:r>
          </w:p>
        </w:tc>
        <w:tc>
          <w:tcPr>
            <w:tcW w:w="5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p>
        </w:tc>
        <w:tc>
          <w:tcPr>
            <w:tcW w:w="51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r>
      <w:tr>
        <w:tblPrEx>
          <w:tblCellMar>
            <w:top w:w="0" w:type="dxa"/>
            <w:left w:w="0" w:type="dxa"/>
            <w:bottom w:w="0" w:type="dxa"/>
            <w:right w:w="0" w:type="dxa"/>
          </w:tblCellMar>
        </w:tblPrEx>
        <w:trPr>
          <w:trHeight w:val="1860" w:hRule="atLeast"/>
        </w:trPr>
        <w:tc>
          <w:tcPr>
            <w:tcW w:w="59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320"/>
              <w:jc w:val="center"/>
              <w:rPr>
                <w:rFonts w:hAnsi="宋体" w:cs="宋体"/>
                <w:sz w:val="16"/>
                <w:szCs w:val="16"/>
              </w:rPr>
            </w:pPr>
          </w:p>
        </w:tc>
        <w:tc>
          <w:tcPr>
            <w:tcW w:w="6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6"/>
                <w:szCs w:val="16"/>
              </w:rPr>
              <w:t>六、 地理信息系统桌面数据互操作软件-院校包（100用户）</w:t>
            </w:r>
          </w:p>
          <w:p>
            <w:pPr>
              <w:ind w:firstLine="320"/>
              <w:textAlignment w:val="center"/>
              <w:rPr>
                <w:rFonts w:hAnsi="宋体" w:cs="宋体"/>
                <w:sz w:val="16"/>
                <w:szCs w:val="16"/>
              </w:rPr>
            </w:pPr>
            <w:r>
              <w:rPr>
                <w:rFonts w:hint="eastAsia" w:hAnsi="宋体" w:cs="宋体"/>
                <w:sz w:val="16"/>
                <w:szCs w:val="16"/>
              </w:rPr>
              <w:t>使用FME技术在地理处理框架中运用并集成空间ETL功能，可以处理来自多个不用源和格式的数据。直接读取和使用 100 多种常见的 GIS 矢量数据格式，包括很多演化的 GML 规范。此外，可使用多种格式传送 GIS 数据。                                                                           1. 支持具有数据互操作技术功能，提供专门的数据互操作处理模块。支持使用FME Workbench来定义额外的格式和数据处理（提取和转换）规则。</w:t>
            </w:r>
          </w:p>
          <w:p>
            <w:pPr>
              <w:ind w:firstLine="0" w:firstLineChars="0"/>
              <w:textAlignment w:val="center"/>
              <w:rPr>
                <w:rFonts w:hAnsi="宋体" w:cs="宋体"/>
                <w:sz w:val="16"/>
                <w:szCs w:val="16"/>
              </w:rPr>
            </w:pPr>
            <w:r>
              <w:rPr>
                <w:rFonts w:hint="eastAsia" w:hAnsi="宋体" w:cs="宋体"/>
                <w:sz w:val="16"/>
                <w:szCs w:val="16"/>
              </w:rPr>
              <w:t>2. 支持超过90+种的通用GIS格式之间的数据转换，并可以创建高级转换器用于自定义的输出格式。</w:t>
            </w:r>
            <w:r>
              <w:rPr>
                <w:rFonts w:hint="eastAsia" w:hAnsi="宋体" w:cs="宋体"/>
                <w:sz w:val="16"/>
                <w:szCs w:val="16"/>
              </w:rPr>
              <w:br w:type="textWrapping"/>
            </w:r>
            <w:r>
              <w:rPr>
                <w:rFonts w:hint="eastAsia" w:hAnsi="宋体" w:cs="宋体"/>
                <w:sz w:val="16"/>
                <w:szCs w:val="16"/>
              </w:rPr>
              <w:t>3. 支持集成到地理处理框架中，以进行自动化的数据变换处理工作流。</w:t>
            </w:r>
          </w:p>
        </w:tc>
        <w:tc>
          <w:tcPr>
            <w:tcW w:w="5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p>
        </w:tc>
        <w:tc>
          <w:tcPr>
            <w:tcW w:w="51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r>
      <w:tr>
        <w:tblPrEx>
          <w:tblCellMar>
            <w:top w:w="0" w:type="dxa"/>
            <w:left w:w="0" w:type="dxa"/>
            <w:bottom w:w="0" w:type="dxa"/>
            <w:right w:w="0" w:type="dxa"/>
          </w:tblCellMar>
        </w:tblPrEx>
        <w:trPr>
          <w:trHeight w:val="1635" w:hRule="atLeast"/>
        </w:trPr>
        <w:tc>
          <w:tcPr>
            <w:tcW w:w="59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320"/>
              <w:jc w:val="center"/>
              <w:rPr>
                <w:rFonts w:hAnsi="宋体" w:cs="宋体"/>
                <w:sz w:val="16"/>
                <w:szCs w:val="16"/>
              </w:rPr>
            </w:pPr>
          </w:p>
        </w:tc>
        <w:tc>
          <w:tcPr>
            <w:tcW w:w="6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6"/>
                <w:szCs w:val="16"/>
              </w:rPr>
              <w:t>七、 地理信息系统桌面工作流管理软件-院校包（100用户）</w:t>
            </w:r>
          </w:p>
          <w:p>
            <w:pPr>
              <w:ind w:firstLine="320"/>
              <w:textAlignment w:val="center"/>
              <w:rPr>
                <w:rFonts w:hAnsi="宋体" w:cs="宋体"/>
                <w:sz w:val="16"/>
                <w:szCs w:val="16"/>
              </w:rPr>
            </w:pPr>
            <w:r>
              <w:rPr>
                <w:rFonts w:hint="eastAsia" w:hAnsi="宋体" w:cs="宋体"/>
                <w:sz w:val="16"/>
                <w:szCs w:val="16"/>
              </w:rPr>
              <w:t xml:space="preserve">以一致的方式将业务流程作为工作流管理，并维持责任制度，更好的管理GIS任务和资源。该模块支持工作流的管理、配置，是一个企业级工作流管理应用程序。                                                          </w:t>
            </w:r>
          </w:p>
          <w:p>
            <w:pPr>
              <w:ind w:firstLine="320"/>
              <w:textAlignment w:val="center"/>
              <w:rPr>
                <w:rFonts w:hAnsi="宋体" w:cs="宋体"/>
                <w:sz w:val="16"/>
                <w:szCs w:val="16"/>
              </w:rPr>
            </w:pPr>
            <w:r>
              <w:rPr>
                <w:rFonts w:hint="eastAsia" w:hAnsi="宋体" w:cs="宋体"/>
                <w:sz w:val="16"/>
                <w:szCs w:val="16"/>
              </w:rPr>
              <w:t>支持工作流的管理、配置，可以进行自动化、简单化工作流管理，无缝的将非GIS的商业应用程序和GIS集成。</w:t>
            </w:r>
          </w:p>
        </w:tc>
        <w:tc>
          <w:tcPr>
            <w:tcW w:w="5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p>
        </w:tc>
        <w:tc>
          <w:tcPr>
            <w:tcW w:w="51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r>
      <w:tr>
        <w:tblPrEx>
          <w:tblCellMar>
            <w:top w:w="0" w:type="dxa"/>
            <w:left w:w="0" w:type="dxa"/>
            <w:bottom w:w="0" w:type="dxa"/>
            <w:right w:w="0" w:type="dxa"/>
          </w:tblCellMar>
        </w:tblPrEx>
        <w:trPr>
          <w:trHeight w:val="2205" w:hRule="atLeast"/>
        </w:trPr>
        <w:tc>
          <w:tcPr>
            <w:tcW w:w="59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320"/>
              <w:jc w:val="center"/>
              <w:rPr>
                <w:rFonts w:hAnsi="宋体" w:cs="宋体"/>
                <w:sz w:val="16"/>
                <w:szCs w:val="16"/>
              </w:rPr>
            </w:pPr>
          </w:p>
        </w:tc>
        <w:tc>
          <w:tcPr>
            <w:tcW w:w="6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6"/>
                <w:szCs w:val="16"/>
              </w:rPr>
              <w:t>八、地理信息系统桌面逻辑示意图软件-院校包（100用户）</w:t>
            </w:r>
          </w:p>
          <w:p>
            <w:pPr>
              <w:ind w:firstLine="320"/>
              <w:textAlignment w:val="center"/>
              <w:rPr>
                <w:rFonts w:hAnsi="宋体" w:cs="宋体"/>
                <w:sz w:val="16"/>
                <w:szCs w:val="16"/>
              </w:rPr>
            </w:pPr>
            <w:r>
              <w:rPr>
                <w:rFonts w:hint="eastAsia" w:hAnsi="宋体" w:cs="宋体"/>
                <w:sz w:val="16"/>
                <w:szCs w:val="16"/>
              </w:rPr>
              <w:t>用于描述和理解数据的网络关系以缩短决策周期，可以根据线性网络数据生成逻辑示意图，是网络的简化表示，目的是体现自身结构和理解其运行方式。                                                 1. 支持从地理图的网络数据自动生成逻辑示意图。</w:t>
            </w:r>
          </w:p>
          <w:p>
            <w:pPr>
              <w:ind w:firstLine="0" w:firstLineChars="0"/>
              <w:textAlignment w:val="center"/>
              <w:rPr>
                <w:rFonts w:hAnsi="宋体" w:cs="宋体"/>
                <w:sz w:val="16"/>
                <w:szCs w:val="16"/>
              </w:rPr>
            </w:pPr>
            <w:r>
              <w:rPr>
                <w:rFonts w:hint="eastAsia" w:hAnsi="宋体" w:cs="宋体"/>
                <w:sz w:val="16"/>
                <w:szCs w:val="16"/>
              </w:rPr>
              <w:t>2. 支持逻辑示意图的分析功能，可进行网络连接要素（连通性）分析、网络路径分析、网络环路分析、查找叠置分析等。可使用逻辑示意图细化工具，或可直接对生成的逻辑示意图要素进行操作。</w:t>
            </w:r>
            <w:r>
              <w:rPr>
                <w:rFonts w:hint="eastAsia" w:hAnsi="宋体" w:cs="宋体"/>
                <w:sz w:val="16"/>
                <w:szCs w:val="16"/>
              </w:rPr>
              <w:br w:type="textWrapping"/>
            </w:r>
            <w:r>
              <w:rPr>
                <w:rFonts w:hint="eastAsia" w:hAnsi="宋体" w:cs="宋体"/>
                <w:sz w:val="16"/>
                <w:szCs w:val="16"/>
              </w:rPr>
              <w:t>3. 提供逻辑图的基本算法布局，包括地理逻辑示意图布局算法（包括遵循角度、压缩、线性分派等）、纯逻辑意图布局算法（压缩、主线树、径向树等）、等级布局算法（网格、主环、旋转树），并支持算法的扩展，支持节点布局显示操作，包括节点压缩、节点重叠、节点间距等。</w:t>
            </w:r>
          </w:p>
        </w:tc>
        <w:tc>
          <w:tcPr>
            <w:tcW w:w="5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p>
        </w:tc>
        <w:tc>
          <w:tcPr>
            <w:tcW w:w="51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r>
      <w:tr>
        <w:tblPrEx>
          <w:tblCellMar>
            <w:top w:w="0" w:type="dxa"/>
            <w:left w:w="0" w:type="dxa"/>
            <w:bottom w:w="0" w:type="dxa"/>
            <w:right w:w="0" w:type="dxa"/>
          </w:tblCellMar>
        </w:tblPrEx>
        <w:trPr>
          <w:trHeight w:val="1695" w:hRule="atLeast"/>
        </w:trPr>
        <w:tc>
          <w:tcPr>
            <w:tcW w:w="59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320"/>
              <w:jc w:val="center"/>
              <w:rPr>
                <w:rFonts w:hAnsi="宋体" w:cs="宋体"/>
                <w:sz w:val="16"/>
                <w:szCs w:val="16"/>
              </w:rPr>
            </w:pPr>
          </w:p>
        </w:tc>
        <w:tc>
          <w:tcPr>
            <w:tcW w:w="6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6"/>
                <w:szCs w:val="16"/>
              </w:rPr>
              <w:t>九、 地理信息系统桌面追踪分析软件-院校包（100用户）</w:t>
            </w:r>
          </w:p>
          <w:p>
            <w:pPr>
              <w:ind w:firstLine="320"/>
              <w:textAlignment w:val="center"/>
              <w:rPr>
                <w:rFonts w:hAnsi="宋体" w:cs="宋体"/>
                <w:sz w:val="16"/>
                <w:szCs w:val="16"/>
              </w:rPr>
            </w:pPr>
            <w:r>
              <w:rPr>
                <w:rFonts w:hint="eastAsia" w:hAnsi="宋体" w:cs="宋体"/>
                <w:sz w:val="16"/>
                <w:szCs w:val="16"/>
              </w:rPr>
              <w:t>用于绘制随时间变化而切换或更改状态的对象，揭示和分析出数据基于时间的模式和趋势，提供时间序列的回放和分析功能。                                                                   1. 支持对时态数据进行追踪和监控管理。</w:t>
            </w:r>
          </w:p>
          <w:p>
            <w:pPr>
              <w:ind w:firstLine="0" w:firstLineChars="0"/>
              <w:textAlignment w:val="center"/>
              <w:rPr>
                <w:rFonts w:hAnsi="宋体" w:cs="宋体"/>
                <w:sz w:val="16"/>
                <w:szCs w:val="16"/>
              </w:rPr>
            </w:pPr>
            <w:r>
              <w:rPr>
                <w:rFonts w:hint="eastAsia" w:hAnsi="宋体" w:cs="宋体"/>
                <w:sz w:val="16"/>
                <w:szCs w:val="16"/>
              </w:rPr>
              <w:t>2. 提供追踪管理器窗口，用于浏览轨迹和追踪要素，并与之交互。</w:t>
            </w:r>
          </w:p>
          <w:p>
            <w:pPr>
              <w:ind w:firstLine="0" w:firstLineChars="0"/>
              <w:textAlignment w:val="center"/>
              <w:rPr>
                <w:rFonts w:hAnsi="宋体" w:cs="宋体"/>
                <w:sz w:val="16"/>
                <w:szCs w:val="16"/>
              </w:rPr>
            </w:pPr>
            <w:r>
              <w:rPr>
                <w:rFonts w:hint="eastAsia" w:hAnsi="宋体" w:cs="宋体"/>
                <w:sz w:val="16"/>
                <w:szCs w:val="16"/>
              </w:rPr>
              <w:t>3.支持要素追踪间隔和线追踪间隔的追踪分析功能，能够计算轨迹中连续要素之间的不同。</w:t>
            </w:r>
          </w:p>
        </w:tc>
        <w:tc>
          <w:tcPr>
            <w:tcW w:w="5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p>
        </w:tc>
        <w:tc>
          <w:tcPr>
            <w:tcW w:w="51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r>
      <w:tr>
        <w:tblPrEx>
          <w:tblCellMar>
            <w:top w:w="0" w:type="dxa"/>
            <w:left w:w="0" w:type="dxa"/>
            <w:bottom w:w="0" w:type="dxa"/>
            <w:right w:w="0" w:type="dxa"/>
          </w:tblCellMar>
        </w:tblPrEx>
        <w:trPr>
          <w:trHeight w:val="1740" w:hRule="atLeast"/>
        </w:trPr>
        <w:tc>
          <w:tcPr>
            <w:tcW w:w="59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320"/>
              <w:jc w:val="center"/>
              <w:rPr>
                <w:rFonts w:hAnsi="宋体" w:cs="宋体"/>
                <w:sz w:val="16"/>
                <w:szCs w:val="16"/>
              </w:rPr>
            </w:pPr>
          </w:p>
        </w:tc>
        <w:tc>
          <w:tcPr>
            <w:tcW w:w="6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6"/>
                <w:szCs w:val="16"/>
              </w:rPr>
              <w:t>十、 地理信息系统桌面地图发布软件-院校包（100用户）</w:t>
            </w:r>
          </w:p>
          <w:p>
            <w:pPr>
              <w:ind w:firstLine="320"/>
              <w:textAlignment w:val="center"/>
              <w:rPr>
                <w:rFonts w:hAnsi="宋体" w:cs="宋体"/>
                <w:sz w:val="16"/>
                <w:szCs w:val="16"/>
              </w:rPr>
            </w:pPr>
            <w:r>
              <w:rPr>
                <w:rFonts w:hint="eastAsia" w:hAnsi="宋体" w:cs="宋体"/>
                <w:sz w:val="16"/>
                <w:szCs w:val="16"/>
              </w:rPr>
              <w:t>发布ArcGIS桌面系统制作的数据和地图，自由的分享地图和数据给其它用户。可将ArcMap（.mxd）、ArcGlobe（.3dd）文档转换为用于ArcReader的发布的地图格式。                              1.提供地图文档发布功能，支持通过免费软件直接对发布文档的浏览，查询，和地图打印。</w:t>
            </w:r>
          </w:p>
          <w:p>
            <w:pPr>
              <w:ind w:firstLine="0" w:firstLineChars="0"/>
              <w:textAlignment w:val="center"/>
              <w:rPr>
                <w:rFonts w:hAnsi="宋体" w:cs="宋体"/>
                <w:sz w:val="16"/>
                <w:szCs w:val="16"/>
              </w:rPr>
            </w:pPr>
            <w:r>
              <w:rPr>
                <w:rFonts w:hint="eastAsia" w:hAnsi="宋体" w:cs="宋体"/>
                <w:sz w:val="16"/>
                <w:szCs w:val="16"/>
              </w:rPr>
              <w:t>2.包括可编程控件，将发布地图嵌入其他应用程序。</w:t>
            </w:r>
          </w:p>
          <w:p>
            <w:pPr>
              <w:ind w:firstLine="0" w:firstLineChars="0"/>
              <w:textAlignment w:val="center"/>
              <w:rPr>
                <w:rFonts w:hAnsi="宋体" w:cs="宋体"/>
                <w:sz w:val="16"/>
                <w:szCs w:val="16"/>
              </w:rPr>
            </w:pPr>
            <w:r>
              <w:rPr>
                <w:rFonts w:hint="eastAsia" w:hAnsi="宋体" w:cs="宋体"/>
                <w:sz w:val="16"/>
                <w:szCs w:val="16"/>
              </w:rPr>
              <w:t>3. 发布地图时，数据可以进行压缩并加密 ，并可以进行数据打包。</w:t>
            </w:r>
          </w:p>
        </w:tc>
        <w:tc>
          <w:tcPr>
            <w:tcW w:w="5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p>
        </w:tc>
        <w:tc>
          <w:tcPr>
            <w:tcW w:w="51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r>
      <w:tr>
        <w:tblPrEx>
          <w:tblCellMar>
            <w:top w:w="0" w:type="dxa"/>
            <w:left w:w="0" w:type="dxa"/>
            <w:bottom w:w="0" w:type="dxa"/>
            <w:right w:w="0" w:type="dxa"/>
          </w:tblCellMar>
        </w:tblPrEx>
        <w:trPr>
          <w:trHeight w:val="1860" w:hRule="atLeast"/>
        </w:trPr>
        <w:tc>
          <w:tcPr>
            <w:tcW w:w="59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320"/>
              <w:jc w:val="center"/>
              <w:rPr>
                <w:rFonts w:hAnsi="宋体" w:cs="宋体"/>
                <w:sz w:val="16"/>
                <w:szCs w:val="16"/>
              </w:rPr>
            </w:pPr>
          </w:p>
        </w:tc>
        <w:tc>
          <w:tcPr>
            <w:tcW w:w="6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6"/>
                <w:szCs w:val="16"/>
              </w:rPr>
              <w:t>十一、地理信息系统桌面数据检查-院校包（100用户）</w:t>
            </w:r>
          </w:p>
          <w:p>
            <w:pPr>
              <w:ind w:firstLine="320"/>
              <w:textAlignment w:val="center"/>
              <w:rPr>
                <w:rFonts w:hAnsi="宋体" w:cs="宋体"/>
                <w:sz w:val="16"/>
                <w:szCs w:val="16"/>
              </w:rPr>
            </w:pPr>
            <w:r>
              <w:rPr>
                <w:rFonts w:hint="eastAsia" w:hAnsi="宋体" w:cs="宋体"/>
                <w:sz w:val="16"/>
                <w:szCs w:val="16"/>
              </w:rPr>
              <w:t>构建企业级的数据质量检查工作流的扩展模块，包含用于数据QA/QC流程管理的工具，能够自动化控制矢量和属性数据质量，可以帮助用户集中管理QC流程，并且可制定数据修订计划以实现批量、定时的检查。</w:t>
            </w:r>
          </w:p>
          <w:p>
            <w:pPr>
              <w:ind w:firstLine="320"/>
              <w:textAlignment w:val="center"/>
              <w:rPr>
                <w:rFonts w:hAnsi="宋体" w:cs="宋体"/>
                <w:sz w:val="16"/>
                <w:szCs w:val="16"/>
              </w:rPr>
            </w:pPr>
            <w:r>
              <w:rPr>
                <w:rFonts w:hint="eastAsia" w:hAnsi="宋体" w:cs="宋体"/>
                <w:sz w:val="16"/>
                <w:szCs w:val="16"/>
              </w:rPr>
              <w:t xml:space="preserve"> 支持企业级的数据质量检查工作流。能够自动化、可视化、简单化控制矢量和属性数据质量，可以帮助用户集中管理QC流程（查找、修改、验证错误），并且可制定数据修订计划以实现批量、定时的检查。 </w:t>
            </w:r>
          </w:p>
        </w:tc>
        <w:tc>
          <w:tcPr>
            <w:tcW w:w="5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p>
        </w:tc>
        <w:tc>
          <w:tcPr>
            <w:tcW w:w="51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r>
      <w:tr>
        <w:tblPrEx>
          <w:tblCellMar>
            <w:top w:w="0" w:type="dxa"/>
            <w:left w:w="0" w:type="dxa"/>
            <w:bottom w:w="0" w:type="dxa"/>
            <w:right w:w="0" w:type="dxa"/>
          </w:tblCellMar>
        </w:tblPrEx>
        <w:trPr>
          <w:trHeight w:val="2850" w:hRule="atLeast"/>
        </w:trPr>
        <w:tc>
          <w:tcPr>
            <w:tcW w:w="59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320"/>
              <w:jc w:val="center"/>
              <w:rPr>
                <w:rFonts w:hAnsi="宋体" w:cs="宋体"/>
                <w:sz w:val="16"/>
                <w:szCs w:val="16"/>
              </w:rPr>
            </w:pPr>
          </w:p>
        </w:tc>
        <w:tc>
          <w:tcPr>
            <w:tcW w:w="6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6"/>
                <w:szCs w:val="16"/>
              </w:rPr>
              <w:t>十二、地理信息系统桌面影像分析软件-院校包（100用户）</w:t>
            </w:r>
          </w:p>
          <w:p>
            <w:pPr>
              <w:ind w:firstLine="320"/>
              <w:textAlignment w:val="center"/>
              <w:rPr>
                <w:rFonts w:hAnsi="宋体" w:cs="宋体"/>
                <w:sz w:val="16"/>
                <w:szCs w:val="16"/>
              </w:rPr>
            </w:pPr>
            <w:r>
              <w:rPr>
                <w:rFonts w:hint="eastAsia" w:hAnsi="宋体" w:cs="宋体"/>
                <w:sz w:val="16"/>
                <w:szCs w:val="16"/>
              </w:rPr>
              <w:t>提供了一系列高级图像解译与信息挖掘功能，包括手动解译和自动解译2种方式，其中手动解译功能包括了立体测图和图像空间分析，可以使用编辑工具采集二/三维特征数据，并将特征类数据保存在地理数据库或文件中，计算机辅助解译包括了高级图像分类以及算数运算、叠加分析、统计分析、权重分析等一系列支持自定义模型定制的栅格函数及地理处理工具集。12个月的软件升级维护服务。（Pro主模块必须使用离线许可模式）(only Pro)                                                          1． 支持全动态视频数据，包括全动态视频视频数据加载、显示、标绘、分析、元数据及视频帧图像导出，并将视频中帧图像及标绘要素自动生成ppt文件。支持视频与地图位置进行实时交互，并支持在视频中直接量算位置、长度及面积。</w:t>
            </w:r>
          </w:p>
          <w:p>
            <w:pPr>
              <w:ind w:firstLine="0" w:firstLineChars="0"/>
              <w:textAlignment w:val="center"/>
              <w:rPr>
                <w:rFonts w:hAnsi="宋体" w:cs="宋体"/>
                <w:sz w:val="16"/>
                <w:szCs w:val="16"/>
              </w:rPr>
            </w:pPr>
            <w:r>
              <w:rPr>
                <w:rFonts w:hint="eastAsia" w:hAnsi="宋体" w:cs="宋体"/>
                <w:sz w:val="16"/>
                <w:szCs w:val="16"/>
              </w:rPr>
              <w:t>2． 拥有多维数据分析工具集用以管理、可视化和分析时间聚合数据。该工具集应拥有聚合多维数据集、生成多维异常、查找参数统计信息、生成趋势栅格及使用趋势栅格预测的能力。</w:t>
            </w:r>
          </w:p>
          <w:p>
            <w:pPr>
              <w:ind w:firstLine="0" w:firstLineChars="0"/>
              <w:textAlignment w:val="center"/>
              <w:rPr>
                <w:rFonts w:hAnsi="宋体" w:cs="宋体"/>
                <w:sz w:val="16"/>
                <w:szCs w:val="16"/>
              </w:rPr>
            </w:pPr>
            <w:r>
              <w:rPr>
                <w:rFonts w:hint="eastAsia" w:hAnsi="宋体" w:cs="宋体"/>
                <w:sz w:val="16"/>
                <w:szCs w:val="16"/>
              </w:rPr>
              <w:t>3． 拥有针对正射影像成果的像素编辑能力，可以交互式处理栅格和图像数据的像素值，可处理多光谱数据、高程数据，可使用预设的滤镜进行平滑等。</w:t>
            </w:r>
          </w:p>
        </w:tc>
        <w:tc>
          <w:tcPr>
            <w:tcW w:w="5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p>
        </w:tc>
        <w:tc>
          <w:tcPr>
            <w:tcW w:w="51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r>
      <w:tr>
        <w:tblPrEx>
          <w:tblCellMar>
            <w:top w:w="0" w:type="dxa"/>
            <w:left w:w="0" w:type="dxa"/>
            <w:bottom w:w="0" w:type="dxa"/>
            <w:right w:w="0" w:type="dxa"/>
          </w:tblCellMar>
        </w:tblPrEx>
        <w:trPr>
          <w:trHeight w:val="735" w:hRule="atLeast"/>
        </w:trPr>
        <w:tc>
          <w:tcPr>
            <w:tcW w:w="590"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320"/>
              <w:jc w:val="center"/>
              <w:rPr>
                <w:rFonts w:hAnsi="宋体" w:cs="宋体"/>
                <w:sz w:val="16"/>
                <w:szCs w:val="16"/>
              </w:rPr>
            </w:pPr>
          </w:p>
        </w:tc>
        <w:tc>
          <w:tcPr>
            <w:tcW w:w="6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8"/>
                <w:szCs w:val="18"/>
              </w:rPr>
              <w:t>★</w:t>
            </w:r>
            <w:r>
              <w:rPr>
                <w:rFonts w:hint="eastAsia" w:hAnsi="宋体" w:cs="宋体"/>
                <w:sz w:val="16"/>
                <w:szCs w:val="16"/>
              </w:rPr>
              <w:t>现场安装、培训、运保费及服务。提供ArcGIS Desktop许可-100用户，并附送ArcGIS Pro许可-100用户。包含了两年的软件免费升级</w:t>
            </w:r>
          </w:p>
        </w:tc>
        <w:tc>
          <w:tcPr>
            <w:tcW w:w="54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p>
        </w:tc>
        <w:tc>
          <w:tcPr>
            <w:tcW w:w="511"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r>
      <w:tr>
        <w:tblPrEx>
          <w:tblCellMar>
            <w:top w:w="0" w:type="dxa"/>
            <w:left w:w="0" w:type="dxa"/>
            <w:bottom w:w="0" w:type="dxa"/>
            <w:right w:w="0" w:type="dxa"/>
          </w:tblCellMar>
        </w:tblPrEx>
        <w:trPr>
          <w:trHeight w:val="735" w:hRule="atLeast"/>
        </w:trPr>
        <w:tc>
          <w:tcPr>
            <w:tcW w:w="9513"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r>
              <w:rPr>
                <w:rFonts w:hint="eastAsia" w:hAnsi="宋体" w:cs="宋体"/>
                <w:sz w:val="18"/>
                <w:szCs w:val="18"/>
              </w:rPr>
              <w:t>★原厂商具有中国软件行业协会颁发的AAA级企业信用等级证书，提供证书复印件并加盖厂商公章。</w:t>
            </w:r>
          </w:p>
          <w:p>
            <w:pPr>
              <w:ind w:firstLine="360"/>
              <w:jc w:val="both"/>
              <w:textAlignment w:val="center"/>
              <w:rPr>
                <w:rFonts w:hAnsi="宋体" w:cs="宋体"/>
                <w:sz w:val="18"/>
                <w:szCs w:val="18"/>
              </w:rPr>
            </w:pPr>
            <w:r>
              <w:rPr>
                <w:rFonts w:hint="eastAsia" w:hAnsi="宋体" w:cs="宋体"/>
                <w:sz w:val="18"/>
                <w:szCs w:val="18"/>
              </w:rPr>
              <w:t>为确保售后服务及供货渠道的合法性，投标商需提供原厂商或国内总代理针对此项目的授权书及二年期的免费售后技术支持服务函。</w:t>
            </w:r>
          </w:p>
        </w:tc>
      </w:tr>
      <w:bookmarkEnd w:id="26"/>
    </w:tbl>
    <w:p>
      <w:pPr>
        <w:pStyle w:val="5"/>
        <w:snapToGrid w:val="0"/>
        <w:spacing w:line="240" w:lineRule="auto"/>
        <w:ind w:firstLine="0" w:firstLineChars="0"/>
        <w:rPr>
          <w:rFonts w:ascii="Arial" w:hAnsi="Arial" w:eastAsia="黑体"/>
          <w:sz w:val="28"/>
          <w:szCs w:val="28"/>
        </w:rPr>
      </w:pPr>
      <w:bookmarkStart w:id="48" w:name="OLE_LINK21"/>
      <w:r>
        <w:rPr>
          <w:rFonts w:hint="eastAsia" w:ascii="Arial" w:hAnsi="Arial" w:eastAsia="黑体"/>
          <w:sz w:val="28"/>
          <w:szCs w:val="28"/>
        </w:rPr>
        <w:t>六、售后服务：</w:t>
      </w:r>
    </w:p>
    <w:p>
      <w:pPr>
        <w:spacing w:line="240" w:lineRule="auto"/>
        <w:ind w:firstLine="480"/>
        <w:rPr>
          <w:rFonts w:hint="eastAsia"/>
          <w:bCs/>
          <w:kern w:val="2"/>
          <w:szCs w:val="24"/>
        </w:rPr>
      </w:pPr>
      <w:r>
        <w:rPr>
          <w:rFonts w:hint="eastAsia"/>
          <w:bCs/>
          <w:kern w:val="2"/>
          <w:szCs w:val="24"/>
        </w:rPr>
        <w:t>1、质量保证期: 货物自验收合格签字之日起开始计算保修期，整机免费保修期为不少于12个月。（招标参数中特殊要求除外）</w:t>
      </w:r>
    </w:p>
    <w:p>
      <w:pPr>
        <w:spacing w:line="240" w:lineRule="auto"/>
        <w:ind w:firstLine="480"/>
        <w:rPr>
          <w:rFonts w:hint="eastAsia"/>
          <w:bCs/>
          <w:kern w:val="2"/>
          <w:szCs w:val="24"/>
        </w:rPr>
      </w:pPr>
      <w:r>
        <w:rPr>
          <w:rFonts w:hint="eastAsia"/>
          <w:bCs/>
          <w:kern w:val="2"/>
          <w:szCs w:val="24"/>
        </w:rPr>
        <w:t>在商定的质保期内，供货方/生产商要在没有任何附加条件的情况下提供免费质保服务（包括仪器所需耗材、配件等的更换）。质量保证期内出现质量问题，如经维修，设备不能正常运行的，供货方/生产商应免费予以更换同品牌、同规格、同型号产品。如遇仪器故障，在7个工作日内不能解决故障的，免费提供周转机供客户免费使用（耗材除外），使客户不用停机等待。免费维修与更换残缺部件的期限为收到用户通知后7天内完成。</w:t>
      </w:r>
    </w:p>
    <w:p>
      <w:pPr>
        <w:spacing w:line="240" w:lineRule="auto"/>
        <w:ind w:firstLine="480"/>
        <w:rPr>
          <w:rFonts w:hint="eastAsia"/>
          <w:bCs/>
          <w:kern w:val="2"/>
          <w:szCs w:val="24"/>
        </w:rPr>
      </w:pPr>
      <w:r>
        <w:rPr>
          <w:rFonts w:hint="eastAsia"/>
          <w:bCs/>
          <w:kern w:val="2"/>
          <w:szCs w:val="24"/>
        </w:rPr>
        <w:t>供方为需方终身提供配件及维修等服务。生产厂商为采购方/使用方承诺终身免费提供远程诊断、软件升级（包括原有软件版本更新、原有版本软件由低一级升到高一级的升级或其他方式的升级等，如升级软件需要更换电脑，由使用方承担费用），供货方/生产商同时要终身提供维修服务及备件的订购及提供各种技术支持、技术最新发展及应用动态、相关的最新软件及应用文献。</w:t>
      </w:r>
    </w:p>
    <w:p>
      <w:pPr>
        <w:spacing w:line="240" w:lineRule="auto"/>
        <w:ind w:firstLine="480"/>
        <w:rPr>
          <w:rFonts w:hint="eastAsia"/>
          <w:bCs/>
          <w:kern w:val="2"/>
          <w:szCs w:val="24"/>
        </w:rPr>
      </w:pPr>
      <w:r>
        <w:rPr>
          <w:rFonts w:hint="eastAsia"/>
          <w:bCs/>
          <w:kern w:val="2"/>
          <w:szCs w:val="24"/>
        </w:rPr>
        <w:t>质保期外的仪器保修：要求保修期外额外供货方/生产商应能提供1年（12个月）的免人工费、差旅费的维修服务，如有零配件更换只需收取其成本费或仅收取相关的零部件费用,并以最优惠的价格提供所需零部件。</w:t>
      </w:r>
    </w:p>
    <w:p>
      <w:pPr>
        <w:spacing w:line="240" w:lineRule="auto"/>
        <w:ind w:firstLine="480"/>
        <w:rPr>
          <w:rFonts w:hint="eastAsia"/>
          <w:bCs/>
          <w:kern w:val="2"/>
          <w:szCs w:val="24"/>
        </w:rPr>
      </w:pPr>
      <w:r>
        <w:rPr>
          <w:rFonts w:hint="eastAsia"/>
          <w:bCs/>
          <w:kern w:val="2"/>
          <w:szCs w:val="24"/>
        </w:rPr>
        <w:t>质保期外的维修服务，供货方/生产商将维修人员的身份证等信息提前告诉需方，由使用方负责订购机票、安排食宿等事宜，费用由使用方负责，维修及人工费用由双方商定后以最优惠价格支付。如使用方需要产品的延保服务，供货方/生产商应提供最优惠价格的产品延保服务。</w:t>
      </w:r>
    </w:p>
    <w:p>
      <w:pPr>
        <w:spacing w:line="240" w:lineRule="auto"/>
        <w:ind w:firstLine="480"/>
        <w:rPr>
          <w:rFonts w:hint="eastAsia"/>
          <w:bCs/>
          <w:kern w:val="2"/>
          <w:szCs w:val="24"/>
        </w:rPr>
      </w:pPr>
      <w:r>
        <w:rPr>
          <w:rFonts w:hint="eastAsia"/>
          <w:bCs/>
          <w:kern w:val="2"/>
          <w:szCs w:val="24"/>
        </w:rPr>
        <w:t>不论质保期内外，供货方/生产厂商应保证每年度对仪器设备进行一次全面维护保养。</w:t>
      </w:r>
    </w:p>
    <w:p>
      <w:pPr>
        <w:pStyle w:val="5"/>
        <w:snapToGrid w:val="0"/>
        <w:spacing w:line="240" w:lineRule="auto"/>
        <w:ind w:firstLine="0" w:firstLineChars="0"/>
        <w:rPr>
          <w:rFonts w:ascii="Arial" w:hAnsi="Arial" w:eastAsia="黑体"/>
          <w:sz w:val="28"/>
          <w:szCs w:val="28"/>
        </w:rPr>
      </w:pPr>
    </w:p>
    <w:p>
      <w:pPr>
        <w:pStyle w:val="5"/>
        <w:snapToGrid w:val="0"/>
        <w:spacing w:line="240" w:lineRule="auto"/>
        <w:ind w:firstLine="0" w:firstLineChars="0"/>
        <w:rPr>
          <w:rFonts w:ascii="Arial" w:hAnsi="Arial" w:eastAsia="黑体"/>
          <w:sz w:val="28"/>
          <w:szCs w:val="28"/>
        </w:rPr>
      </w:pPr>
      <w:r>
        <w:rPr>
          <w:rFonts w:hint="eastAsia" w:ascii="Arial" w:hAnsi="Arial" w:eastAsia="黑体"/>
          <w:sz w:val="28"/>
          <w:szCs w:val="28"/>
        </w:rPr>
        <w:t>七、验收标准：</w:t>
      </w:r>
    </w:p>
    <w:p>
      <w:pPr>
        <w:pStyle w:val="5"/>
        <w:snapToGrid w:val="0"/>
        <w:spacing w:line="240" w:lineRule="auto"/>
        <w:ind w:firstLine="480"/>
        <w:rPr>
          <w:rFonts w:ascii="仿宋_GB2312" w:hAnsi="仿宋_GB2312" w:eastAsia="仿宋_GB2312" w:cs="仿宋_GB2312"/>
          <w:bCs w:val="0"/>
          <w:kern w:val="2"/>
          <w:sz w:val="30"/>
          <w:szCs w:val="30"/>
        </w:rPr>
      </w:pPr>
      <w:r>
        <w:rPr>
          <w:rFonts w:hint="eastAsia" w:hAnsi="Times New Roman"/>
          <w:b w:val="0"/>
          <w:sz w:val="24"/>
          <w:szCs w:val="24"/>
        </w:rPr>
        <w:t>按照招标文件要求和所签订合同条款</w:t>
      </w:r>
      <w:bookmarkStart w:id="49" w:name="OLE_LINK9"/>
      <w:r>
        <w:rPr>
          <w:rFonts w:hint="eastAsia" w:hAnsi="Times New Roman"/>
          <w:b w:val="0"/>
          <w:sz w:val="24"/>
          <w:szCs w:val="24"/>
        </w:rPr>
        <w:t>验收</w:t>
      </w:r>
      <w:bookmarkEnd w:id="49"/>
      <w:r>
        <w:rPr>
          <w:rFonts w:hint="eastAsia" w:hAnsi="Times New Roman"/>
          <w:b w:val="0"/>
          <w:sz w:val="24"/>
          <w:szCs w:val="24"/>
        </w:rPr>
        <w:t>。</w:t>
      </w:r>
    </w:p>
    <w:p>
      <w:pPr>
        <w:pStyle w:val="5"/>
        <w:snapToGrid w:val="0"/>
        <w:spacing w:line="240" w:lineRule="auto"/>
        <w:ind w:firstLine="0" w:firstLineChars="0"/>
        <w:rPr>
          <w:rFonts w:ascii="仿宋_GB2312" w:hAnsi="仿宋_GB2312" w:eastAsia="仿宋_GB2312" w:cs="仿宋_GB2312"/>
          <w:bCs w:val="0"/>
          <w:kern w:val="2"/>
          <w:sz w:val="30"/>
          <w:szCs w:val="30"/>
        </w:rPr>
      </w:pPr>
      <w:r>
        <w:rPr>
          <w:rFonts w:hint="eastAsia" w:ascii="Arial" w:hAnsi="Arial" w:eastAsia="黑体"/>
          <w:sz w:val="28"/>
          <w:szCs w:val="28"/>
        </w:rPr>
        <w:t>八、付款方式</w:t>
      </w:r>
      <w:r>
        <w:rPr>
          <w:rFonts w:hint="eastAsia" w:ascii="仿宋_GB2312" w:hAnsi="仿宋_GB2312" w:eastAsia="仿宋_GB2312" w:cs="仿宋_GB2312"/>
          <w:bCs w:val="0"/>
          <w:kern w:val="2"/>
          <w:sz w:val="30"/>
          <w:szCs w:val="30"/>
        </w:rPr>
        <w:t>：</w:t>
      </w:r>
    </w:p>
    <w:p>
      <w:pPr>
        <w:pStyle w:val="5"/>
        <w:snapToGrid w:val="0"/>
        <w:spacing w:line="240" w:lineRule="auto"/>
        <w:ind w:firstLine="0" w:firstLineChars="0"/>
        <w:rPr>
          <w:rFonts w:hAnsi="Times New Roman"/>
          <w:b w:val="0"/>
          <w:sz w:val="24"/>
          <w:szCs w:val="24"/>
        </w:rPr>
      </w:pPr>
      <w:r>
        <w:rPr>
          <w:rFonts w:hint="eastAsia" w:ascii="仿宋" w:hAnsi="仿宋" w:eastAsia="仿宋"/>
          <w:bCs w:val="0"/>
          <w:kern w:val="2"/>
          <w:sz w:val="24"/>
          <w:szCs w:val="24"/>
          <w:highlight w:val="red"/>
        </w:rPr>
        <w:t xml:space="preserve">    </w:t>
      </w:r>
      <w:r>
        <w:rPr>
          <w:rFonts w:hint="eastAsia" w:hAnsi="Times New Roman"/>
          <w:b w:val="0"/>
          <w:sz w:val="24"/>
          <w:szCs w:val="24"/>
        </w:rPr>
        <w:t>付款方式：买方验收合格后，经核准由买方按合同规定和实际发票金额三周以内支付货款。</w:t>
      </w:r>
    </w:p>
    <w:bookmarkEnd w:id="48"/>
    <w:p>
      <w:pPr>
        <w:ind w:firstLine="0" w:firstLineChars="0"/>
        <w:rPr>
          <w:rFonts w:ascii="Arial" w:hAnsi="Arial" w:eastAsia="黑体"/>
          <w:b/>
          <w:sz w:val="28"/>
          <w:szCs w:val="28"/>
        </w:rPr>
      </w:pPr>
      <w:r>
        <w:rPr>
          <w:rFonts w:hint="eastAsia" w:ascii="Arial" w:hAnsi="Arial" w:eastAsia="黑体"/>
          <w:b/>
          <w:sz w:val="28"/>
          <w:szCs w:val="28"/>
        </w:rPr>
        <w:t>九、商务要求</w:t>
      </w:r>
    </w:p>
    <w:p>
      <w:pPr>
        <w:shd w:val="clear" w:color="auto" w:fill="FFFFFF"/>
        <w:snapToGrid w:val="0"/>
        <w:spacing w:line="240" w:lineRule="auto"/>
        <w:ind w:firstLine="480"/>
        <w:rPr>
          <w:rFonts w:ascii="仿宋_GB2312" w:hAnsi="仿宋_GB2312" w:eastAsia="仿宋_GB2312" w:cs="仿宋_GB2312"/>
          <w:bCs/>
          <w:szCs w:val="24"/>
        </w:rPr>
      </w:pPr>
      <w:r>
        <w:rPr>
          <w:rFonts w:hint="eastAsia" w:ascii="仿宋_GB2312" w:hAnsi="仿宋_GB2312" w:eastAsia="仿宋_GB2312" w:cs="仿宋_GB2312"/>
          <w:bCs/>
          <w:szCs w:val="24"/>
        </w:rPr>
        <w:t>1 、本项目招标范围内的伴随服务包括：</w:t>
      </w:r>
    </w:p>
    <w:p>
      <w:pPr>
        <w:shd w:val="clear" w:color="auto" w:fill="FFFFFF"/>
        <w:snapToGrid w:val="0"/>
        <w:spacing w:line="240" w:lineRule="auto"/>
        <w:ind w:firstLine="480"/>
        <w:rPr>
          <w:rFonts w:ascii="仿宋_GB2312" w:hAnsi="仿宋_GB2312" w:eastAsia="仿宋_GB2312" w:cs="仿宋_GB2312"/>
          <w:bCs/>
          <w:szCs w:val="24"/>
        </w:rPr>
      </w:pPr>
      <w:r>
        <w:rPr>
          <w:rFonts w:hint="eastAsia" w:ascii="仿宋_GB2312" w:hAnsi="仿宋_GB2312" w:eastAsia="仿宋_GB2312" w:cs="仿宋_GB2312"/>
          <w:bCs/>
          <w:szCs w:val="24"/>
        </w:rPr>
        <w:t>（1）货物服务产品按进口国家级标准，全部货物的运输；</w:t>
      </w:r>
    </w:p>
    <w:p>
      <w:pPr>
        <w:shd w:val="clear" w:color="auto" w:fill="FFFFFF"/>
        <w:snapToGrid w:val="0"/>
        <w:spacing w:line="240" w:lineRule="auto"/>
        <w:ind w:firstLine="480"/>
        <w:rPr>
          <w:rFonts w:ascii="仿宋_GB2312" w:hAnsi="仿宋_GB2312" w:eastAsia="仿宋_GB2312" w:cs="仿宋_GB2312"/>
          <w:bCs/>
          <w:szCs w:val="24"/>
        </w:rPr>
      </w:pPr>
      <w:r>
        <w:rPr>
          <w:rFonts w:hint="eastAsia" w:ascii="仿宋_GB2312" w:hAnsi="仿宋_GB2312" w:eastAsia="仿宋_GB2312" w:cs="仿宋_GB2312"/>
          <w:bCs/>
          <w:szCs w:val="24"/>
        </w:rPr>
        <w:t>（2）全部自备服务设备工具，到各现场等费用；</w:t>
      </w:r>
    </w:p>
    <w:p>
      <w:pPr>
        <w:shd w:val="clear" w:color="auto" w:fill="FFFFFF"/>
        <w:snapToGrid w:val="0"/>
        <w:spacing w:line="240" w:lineRule="auto"/>
        <w:ind w:firstLine="480"/>
        <w:rPr>
          <w:rFonts w:ascii="仿宋_GB2312" w:hAnsi="仿宋_GB2312" w:eastAsia="仿宋_GB2312" w:cs="仿宋_GB2312"/>
          <w:bCs/>
          <w:szCs w:val="24"/>
        </w:rPr>
      </w:pPr>
      <w:r>
        <w:rPr>
          <w:rFonts w:hint="eastAsia" w:ascii="仿宋_GB2312" w:hAnsi="仿宋_GB2312" w:eastAsia="仿宋_GB2312" w:cs="仿宋_GB2312"/>
          <w:bCs/>
          <w:szCs w:val="24"/>
        </w:rPr>
        <w:t>（3）安装、人员培训等；</w:t>
      </w:r>
    </w:p>
    <w:p>
      <w:pPr>
        <w:shd w:val="clear" w:color="auto" w:fill="FFFFFF"/>
        <w:snapToGrid w:val="0"/>
        <w:spacing w:line="240" w:lineRule="auto"/>
        <w:ind w:firstLine="480"/>
        <w:rPr>
          <w:rFonts w:ascii="仿宋_GB2312" w:hAnsi="仿宋_GB2312" w:eastAsia="仿宋_GB2312" w:cs="仿宋_GB2312"/>
          <w:bCs/>
          <w:szCs w:val="24"/>
        </w:rPr>
      </w:pPr>
      <w:r>
        <w:rPr>
          <w:rFonts w:hint="eastAsia" w:ascii="仿宋_GB2312" w:hAnsi="仿宋_GB2312" w:eastAsia="仿宋_GB2312" w:cs="仿宋_GB2312"/>
          <w:bCs/>
          <w:szCs w:val="24"/>
        </w:rPr>
        <w:t>（4）伴随货物服务报价包含在报价总价内。</w:t>
      </w:r>
    </w:p>
    <w:p>
      <w:pPr>
        <w:shd w:val="clear" w:color="auto" w:fill="FFFFFF"/>
        <w:snapToGrid w:val="0"/>
        <w:spacing w:line="240" w:lineRule="auto"/>
        <w:ind w:firstLine="480"/>
        <w:rPr>
          <w:rFonts w:ascii="仿宋_GB2312" w:hAnsi="仿宋_GB2312" w:eastAsia="仿宋_GB2312" w:cs="仿宋_GB2312"/>
          <w:bCs/>
          <w:szCs w:val="24"/>
        </w:rPr>
      </w:pPr>
      <w:r>
        <w:rPr>
          <w:rFonts w:hint="eastAsia" w:ascii="仿宋_GB2312" w:hAnsi="仿宋_GB2312" w:eastAsia="仿宋_GB2312" w:cs="仿宋_GB2312"/>
          <w:bCs/>
          <w:szCs w:val="24"/>
        </w:rPr>
        <w:t>2、 报价服务必须保质保量，享受上门服务。</w:t>
      </w:r>
    </w:p>
    <w:p>
      <w:pPr>
        <w:shd w:val="clear" w:color="auto" w:fill="FFFFFF"/>
        <w:snapToGrid w:val="0"/>
        <w:spacing w:line="240" w:lineRule="auto"/>
        <w:ind w:firstLine="480"/>
        <w:rPr>
          <w:rFonts w:ascii="仿宋_GB2312" w:hAnsi="仿宋_GB2312" w:eastAsia="仿宋_GB2312" w:cs="仿宋_GB2312"/>
          <w:bCs/>
          <w:szCs w:val="24"/>
        </w:rPr>
      </w:pPr>
      <w:r>
        <w:rPr>
          <w:rFonts w:hint="eastAsia" w:ascii="仿宋_GB2312" w:hAnsi="仿宋_GB2312" w:eastAsia="仿宋_GB2312" w:cs="仿宋_GB2312"/>
          <w:bCs/>
          <w:szCs w:val="24"/>
        </w:rPr>
        <w:t>3、 地点：由采购人指定。</w:t>
      </w:r>
    </w:p>
    <w:p>
      <w:pPr>
        <w:shd w:val="clear" w:color="auto" w:fill="FFFFFF"/>
        <w:snapToGrid w:val="0"/>
        <w:spacing w:line="240" w:lineRule="auto"/>
        <w:ind w:firstLine="480"/>
        <w:rPr>
          <w:rFonts w:ascii="仿宋_GB2312" w:hAnsi="仿宋_GB2312" w:eastAsia="仿宋_GB2312" w:cs="仿宋_GB2312"/>
          <w:bCs/>
          <w:szCs w:val="24"/>
        </w:rPr>
      </w:pPr>
      <w:r>
        <w:rPr>
          <w:rFonts w:hint="eastAsia" w:ascii="仿宋_GB2312" w:hAnsi="仿宋_GB2312" w:eastAsia="仿宋_GB2312" w:cs="仿宋_GB2312"/>
          <w:bCs/>
          <w:szCs w:val="24"/>
        </w:rPr>
        <w:t>4、 付款方式：按签订合同相关规定</w:t>
      </w:r>
      <w:bookmarkStart w:id="50" w:name="OLE_LINK8"/>
      <w:r>
        <w:rPr>
          <w:rFonts w:hint="eastAsia" w:ascii="仿宋_GB2312" w:hAnsi="仿宋_GB2312" w:eastAsia="仿宋_GB2312" w:cs="仿宋_GB2312"/>
          <w:bCs/>
          <w:szCs w:val="24"/>
        </w:rPr>
        <w:t>。</w:t>
      </w:r>
      <w:bookmarkEnd w:id="50"/>
    </w:p>
    <w:p>
      <w:pPr>
        <w:spacing w:line="240" w:lineRule="auto"/>
        <w:ind w:firstLine="480"/>
        <w:rPr>
          <w:rFonts w:ascii="仿宋_GB2312" w:hAnsi="仿宋_GB2312" w:eastAsia="仿宋_GB2312" w:cs="仿宋_GB2312"/>
          <w:bCs/>
          <w:szCs w:val="24"/>
        </w:rPr>
      </w:pPr>
      <w:r>
        <w:rPr>
          <w:rFonts w:hint="eastAsia" w:ascii="仿宋_GB2312" w:hAnsi="仿宋_GB2312" w:eastAsia="仿宋_GB2312" w:cs="仿宋_GB2312"/>
          <w:bCs/>
          <w:szCs w:val="24"/>
        </w:rPr>
        <w:t>5、 交付时间：</w:t>
      </w:r>
      <w:r>
        <w:rPr>
          <w:rFonts w:hint="eastAsia" w:ascii="仿宋_GB2312" w:hAnsi="仿宋_GB2312" w:eastAsia="仿宋_GB2312" w:cs="仿宋_GB2312"/>
          <w:bCs/>
          <w:szCs w:val="24"/>
          <w:lang w:val="zh-CN"/>
        </w:rPr>
        <w:t>签订采购合同之日起</w:t>
      </w:r>
      <w:r>
        <w:rPr>
          <w:rFonts w:hint="eastAsia" w:ascii="Arial" w:hAnsi="Arial" w:eastAsia="黑体"/>
          <w:b/>
          <w:sz w:val="28"/>
          <w:szCs w:val="28"/>
        </w:rPr>
        <w:t>30</w:t>
      </w:r>
      <w:r>
        <w:rPr>
          <w:rFonts w:hint="eastAsia" w:ascii="仿宋_GB2312" w:hAnsi="仿宋_GB2312" w:eastAsia="仿宋_GB2312" w:cs="仿宋_GB2312"/>
          <w:bCs/>
          <w:szCs w:val="24"/>
          <w:lang w:val="zh-CN"/>
        </w:rPr>
        <w:t>天内完成 。</w:t>
      </w:r>
    </w:p>
    <w:p>
      <w:pPr>
        <w:shd w:val="clear" w:color="auto" w:fill="FFFFFF"/>
        <w:snapToGrid w:val="0"/>
        <w:spacing w:line="240" w:lineRule="auto"/>
        <w:ind w:firstLine="482"/>
        <w:rPr>
          <w:rFonts w:ascii="仿宋_GB2312" w:hAnsi="仿宋_GB2312" w:eastAsia="仿宋_GB2312" w:cs="仿宋_GB2312"/>
          <w:b/>
          <w:szCs w:val="24"/>
        </w:rPr>
      </w:pPr>
      <w:r>
        <w:rPr>
          <w:rFonts w:hint="eastAsia" w:ascii="仿宋_GB2312" w:hAnsi="仿宋_GB2312" w:eastAsia="仿宋_GB2312" w:cs="仿宋_GB2312"/>
          <w:b/>
          <w:szCs w:val="24"/>
        </w:rPr>
        <w:t>6、本项目未尽事宜由双方在签订合同时详细约定。</w:t>
      </w:r>
    </w:p>
    <w:p>
      <w:pPr>
        <w:pStyle w:val="4"/>
        <w:ind w:firstLine="2650" w:firstLineChars="600"/>
        <w:jc w:val="both"/>
        <w:rPr>
          <w:rFonts w:hint="eastAsia"/>
        </w:rPr>
      </w:pPr>
      <w:bookmarkStart w:id="51" w:name="_Toc476664378"/>
      <w:bookmarkStart w:id="52" w:name="_Toc476643574"/>
      <w:bookmarkStart w:id="53" w:name="_Toc476667949"/>
      <w:r>
        <w:rPr>
          <w:rFonts w:hint="eastAsia"/>
        </w:rPr>
        <w:t>第四章合同条款</w:t>
      </w:r>
    </w:p>
    <w:p>
      <w:pPr>
        <w:pStyle w:val="4"/>
        <w:ind w:firstLine="2891" w:firstLineChars="800"/>
        <w:jc w:val="both"/>
        <w:rPr>
          <w:rFonts w:hint="eastAsia"/>
          <w:kern w:val="2"/>
          <w:sz w:val="36"/>
          <w:szCs w:val="36"/>
        </w:rPr>
      </w:pPr>
      <w:r>
        <w:rPr>
          <w:rFonts w:hint="eastAsia"/>
          <w:kern w:val="2"/>
          <w:sz w:val="36"/>
          <w:szCs w:val="36"/>
        </w:rPr>
        <w:t>合同通用条款部分</w:t>
      </w:r>
    </w:p>
    <w:p>
      <w:pPr>
        <w:widowControl w:val="0"/>
        <w:ind w:firstLine="3975" w:firstLineChars="1100"/>
        <w:jc w:val="both"/>
        <w:rPr>
          <w:rFonts w:hint="eastAsia"/>
          <w:b/>
          <w:kern w:val="2"/>
          <w:sz w:val="36"/>
          <w:szCs w:val="36"/>
        </w:rPr>
      </w:pPr>
      <w:r>
        <w:rPr>
          <w:b/>
          <w:kern w:val="2"/>
          <w:sz w:val="36"/>
          <w:szCs w:val="36"/>
        </w:rPr>
        <w:t>(</w:t>
      </w:r>
      <w:r>
        <w:rPr>
          <w:rFonts w:hint="eastAsia"/>
          <w:b/>
          <w:kern w:val="2"/>
          <w:sz w:val="36"/>
          <w:szCs w:val="36"/>
        </w:rPr>
        <w:t>略</w:t>
      </w:r>
      <w:r>
        <w:rPr>
          <w:b/>
          <w:kern w:val="2"/>
          <w:sz w:val="36"/>
          <w:szCs w:val="36"/>
        </w:rPr>
        <w:t>)</w:t>
      </w:r>
    </w:p>
    <w:p>
      <w:pPr>
        <w:widowControl w:val="0"/>
        <w:ind w:firstLine="2891" w:firstLineChars="800"/>
        <w:jc w:val="both"/>
        <w:rPr>
          <w:rFonts w:hint="eastAsia"/>
          <w:b/>
          <w:kern w:val="2"/>
          <w:sz w:val="36"/>
          <w:szCs w:val="36"/>
        </w:rPr>
      </w:pPr>
      <w:r>
        <w:rPr>
          <w:rFonts w:hint="eastAsia"/>
          <w:b/>
          <w:kern w:val="2"/>
          <w:sz w:val="36"/>
          <w:szCs w:val="36"/>
        </w:rPr>
        <w:t>合同专用条款部分</w:t>
      </w:r>
      <w:bookmarkEnd w:id="51"/>
      <w:bookmarkEnd w:id="52"/>
      <w:bookmarkEnd w:id="53"/>
    </w:p>
    <w:p>
      <w:pPr>
        <w:snapToGrid w:val="0"/>
        <w:spacing w:before="19" w:line="500" w:lineRule="exact"/>
        <w:ind w:firstLine="480"/>
        <w:rPr>
          <w:rFonts w:hAnsi="宋体"/>
          <w:b/>
          <w:u w:val="single"/>
        </w:rPr>
      </w:pPr>
      <w:r>
        <w:rPr>
          <w:rFonts w:hint="eastAsia" w:hAnsi="宋体"/>
        </w:rPr>
        <w:t>甲方</w:t>
      </w:r>
      <w:r>
        <w:rPr>
          <w:rFonts w:hAnsi="宋体"/>
        </w:rPr>
        <w:t>:</w:t>
      </w:r>
    </w:p>
    <w:p>
      <w:pPr>
        <w:snapToGrid w:val="0"/>
        <w:spacing w:before="19" w:line="500" w:lineRule="exact"/>
        <w:ind w:firstLine="480"/>
        <w:rPr>
          <w:rFonts w:hAnsi="宋体"/>
          <w:b/>
          <w:u w:val="single"/>
        </w:rPr>
      </w:pPr>
      <w:r>
        <w:rPr>
          <w:rFonts w:hint="eastAsia" w:hAnsi="宋体"/>
        </w:rPr>
        <w:t>乙方</w:t>
      </w:r>
      <w:r>
        <w:rPr>
          <w:rFonts w:hAnsi="宋体"/>
        </w:rPr>
        <w:t>:</w:t>
      </w:r>
    </w:p>
    <w:p>
      <w:pPr>
        <w:shd w:val="clear" w:color="auto" w:fill="FFFFFF"/>
        <w:snapToGrid w:val="0"/>
        <w:spacing w:line="240" w:lineRule="auto"/>
        <w:ind w:firstLine="480"/>
        <w:rPr>
          <w:rFonts w:hint="eastAsia"/>
          <w:b/>
          <w:kern w:val="2"/>
          <w:sz w:val="36"/>
          <w:szCs w:val="36"/>
        </w:rPr>
      </w:pPr>
      <w:r>
        <w:rPr>
          <w:rFonts w:hint="eastAsia" w:hAnsi="宋体"/>
        </w:rPr>
        <w:t>甲乙双方根据年</w:t>
      </w:r>
      <w:r>
        <w:rPr>
          <w:rFonts w:hAnsi="宋体"/>
        </w:rPr>
        <w:t xml:space="preserve"> </w:t>
      </w:r>
      <w:r>
        <w:rPr>
          <w:rFonts w:hint="eastAsia" w:hAnsi="宋体"/>
        </w:rPr>
        <w:t>月</w:t>
      </w:r>
      <w:r>
        <w:rPr>
          <w:rFonts w:hAnsi="宋体"/>
        </w:rPr>
        <w:t xml:space="preserve">  </w:t>
      </w:r>
      <w:r>
        <w:rPr>
          <w:rFonts w:hint="eastAsia" w:hAnsi="宋体"/>
        </w:rPr>
        <w:t>地理信息系统实验室建设项目（项目编号:ZD2020-640）公开招标结果及招标文件的要求,经协商一致,同意以下专用条款作为本项目合同条款的补充。当合同条款与专用条款不一致时，以专用条款为准。</w:t>
      </w:r>
    </w:p>
    <w:p>
      <w:pPr>
        <w:pStyle w:val="5"/>
        <w:snapToGrid w:val="0"/>
        <w:spacing w:before="0" w:after="0" w:line="360" w:lineRule="auto"/>
        <w:ind w:firstLine="562"/>
        <w:rPr>
          <w:rFonts w:hAnsi="宋体"/>
          <w:bCs w:val="0"/>
          <w:sz w:val="28"/>
          <w:szCs w:val="30"/>
        </w:rPr>
      </w:pPr>
      <w:r>
        <w:rPr>
          <w:rFonts w:hint="eastAsia" w:hAnsi="宋体"/>
          <w:bCs w:val="0"/>
          <w:sz w:val="28"/>
          <w:szCs w:val="30"/>
        </w:rPr>
        <w:t>一、合同标的及金额等</w:t>
      </w:r>
      <w:r>
        <w:rPr>
          <w:rFonts w:hAnsi="宋体"/>
          <w:bCs w:val="0"/>
          <w:sz w:val="28"/>
          <w:szCs w:val="30"/>
        </w:rPr>
        <w:t>(</w:t>
      </w:r>
      <w:r>
        <w:rPr>
          <w:rFonts w:hint="eastAsia" w:hAnsi="宋体"/>
          <w:bCs w:val="0"/>
          <w:sz w:val="28"/>
          <w:szCs w:val="30"/>
        </w:rPr>
        <w:t>详见附件清单</w:t>
      </w:r>
      <w:r>
        <w:rPr>
          <w:rFonts w:hAnsi="宋体"/>
          <w:bCs w:val="0"/>
          <w:sz w:val="28"/>
          <w:szCs w:val="30"/>
        </w:rPr>
        <w:t>)</w:t>
      </w:r>
    </w:p>
    <w:tbl>
      <w:tblPr>
        <w:tblStyle w:val="15"/>
        <w:tblW w:w="8452" w:type="dxa"/>
        <w:tblInd w:w="40" w:type="dxa"/>
        <w:tblLayout w:type="fixed"/>
        <w:tblCellMar>
          <w:top w:w="0" w:type="dxa"/>
          <w:left w:w="30" w:type="dxa"/>
          <w:bottom w:w="0" w:type="dxa"/>
          <w:right w:w="30" w:type="dxa"/>
        </w:tblCellMar>
      </w:tblPr>
      <w:tblGrid>
        <w:gridCol w:w="588"/>
        <w:gridCol w:w="1390"/>
        <w:gridCol w:w="2332"/>
        <w:gridCol w:w="1080"/>
        <w:gridCol w:w="1080"/>
        <w:gridCol w:w="1080"/>
        <w:gridCol w:w="902"/>
      </w:tblGrid>
      <w:tr>
        <w:tblPrEx>
          <w:tblCellMar>
            <w:top w:w="0" w:type="dxa"/>
            <w:left w:w="30" w:type="dxa"/>
            <w:bottom w:w="0" w:type="dxa"/>
            <w:right w:w="30" w:type="dxa"/>
          </w:tblCellMar>
        </w:tblPrEx>
        <w:trPr>
          <w:trHeight w:val="593" w:hRule="exact"/>
        </w:trPr>
        <w:tc>
          <w:tcPr>
            <w:tcW w:w="588"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0" w:firstLineChars="0"/>
              <w:jc w:val="center"/>
              <w:rPr>
                <w:rFonts w:hAnsi="宋体" w:cs="Arial"/>
                <w:b/>
                <w:szCs w:val="21"/>
              </w:rPr>
            </w:pPr>
            <w:r>
              <w:rPr>
                <w:rFonts w:hint="eastAsia" w:hAnsi="宋体" w:cs="Arial"/>
                <w:b/>
                <w:szCs w:val="21"/>
              </w:rPr>
              <w:t>序号</w:t>
            </w:r>
          </w:p>
        </w:tc>
        <w:tc>
          <w:tcPr>
            <w:tcW w:w="139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0" w:firstLineChars="0"/>
              <w:jc w:val="center"/>
              <w:rPr>
                <w:rFonts w:hAnsi="宋体" w:cs="Arial"/>
                <w:b/>
                <w:szCs w:val="21"/>
              </w:rPr>
            </w:pPr>
            <w:r>
              <w:rPr>
                <w:rFonts w:hint="eastAsia" w:hAnsi="宋体" w:cs="Arial"/>
                <w:b/>
                <w:szCs w:val="21"/>
              </w:rPr>
              <w:t>项目名称</w:t>
            </w:r>
          </w:p>
        </w:tc>
        <w:tc>
          <w:tcPr>
            <w:tcW w:w="2332"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2"/>
              <w:jc w:val="both"/>
              <w:rPr>
                <w:rFonts w:hAnsi="宋体" w:cs="Arial"/>
                <w:b/>
                <w:szCs w:val="21"/>
              </w:rPr>
            </w:pPr>
            <w:r>
              <w:rPr>
                <w:rFonts w:hAnsi="宋体" w:cs="Arial"/>
                <w:b/>
                <w:szCs w:val="21"/>
              </w:rPr>
              <w:t xml:space="preserve"> </w:t>
            </w:r>
            <w:r>
              <w:rPr>
                <w:rFonts w:hint="eastAsia" w:hAnsi="宋体" w:cs="Arial"/>
                <w:b/>
                <w:szCs w:val="21"/>
              </w:rPr>
              <w:t>项目内容</w:t>
            </w: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0" w:firstLineChars="0"/>
              <w:jc w:val="center"/>
              <w:rPr>
                <w:rFonts w:hAnsi="宋体" w:cs="Arial"/>
                <w:b/>
                <w:szCs w:val="21"/>
              </w:rPr>
            </w:pPr>
            <w:r>
              <w:rPr>
                <w:rFonts w:hint="eastAsia" w:hAnsi="宋体" w:cs="Arial"/>
                <w:b/>
                <w:szCs w:val="21"/>
              </w:rPr>
              <w:t>单价（元）</w:t>
            </w: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0" w:firstLineChars="0"/>
              <w:jc w:val="center"/>
              <w:rPr>
                <w:rFonts w:hAnsi="宋体" w:cs="Arial"/>
                <w:b/>
                <w:szCs w:val="21"/>
              </w:rPr>
            </w:pPr>
            <w:r>
              <w:rPr>
                <w:rFonts w:hint="eastAsia" w:hAnsi="宋体" w:cs="Arial"/>
                <w:b/>
                <w:szCs w:val="21"/>
              </w:rPr>
              <w:t>数量</w:t>
            </w: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0" w:firstLineChars="0"/>
              <w:jc w:val="center"/>
              <w:rPr>
                <w:rFonts w:hAnsi="宋体" w:cs="Arial"/>
                <w:b/>
                <w:szCs w:val="21"/>
              </w:rPr>
            </w:pPr>
            <w:r>
              <w:rPr>
                <w:rFonts w:hint="eastAsia" w:hAnsi="宋体" w:cs="Arial"/>
                <w:b/>
                <w:szCs w:val="21"/>
              </w:rPr>
              <w:t>合计（元）</w:t>
            </w:r>
          </w:p>
        </w:tc>
        <w:tc>
          <w:tcPr>
            <w:tcW w:w="902"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0" w:firstLineChars="0"/>
              <w:jc w:val="center"/>
              <w:rPr>
                <w:rFonts w:hAnsi="宋体" w:cs="Arial"/>
                <w:b/>
                <w:szCs w:val="21"/>
              </w:rPr>
            </w:pPr>
            <w:r>
              <w:rPr>
                <w:rFonts w:hint="eastAsia" w:hAnsi="宋体" w:cs="Arial"/>
                <w:b/>
                <w:szCs w:val="21"/>
              </w:rPr>
              <w:t>备注</w:t>
            </w:r>
          </w:p>
        </w:tc>
      </w:tr>
      <w:tr>
        <w:tblPrEx>
          <w:tblCellMar>
            <w:top w:w="0" w:type="dxa"/>
            <w:left w:w="30" w:type="dxa"/>
            <w:bottom w:w="0" w:type="dxa"/>
            <w:right w:w="30" w:type="dxa"/>
          </w:tblCellMar>
        </w:tblPrEx>
        <w:trPr>
          <w:trHeight w:val="770" w:hRule="exact"/>
        </w:trPr>
        <w:tc>
          <w:tcPr>
            <w:tcW w:w="58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0" w:firstLineChars="0"/>
              <w:jc w:val="both"/>
              <w:rPr>
                <w:rFonts w:hAnsi="宋体" w:cs="Arial"/>
                <w:szCs w:val="21"/>
              </w:rPr>
            </w:pPr>
            <w:r>
              <w:rPr>
                <w:rFonts w:hAnsi="宋体" w:cs="Arial"/>
                <w:szCs w:val="21"/>
              </w:rPr>
              <w:t xml:space="preserve">  1</w:t>
            </w:r>
          </w:p>
        </w:tc>
        <w:tc>
          <w:tcPr>
            <w:tcW w:w="1390" w:type="dxa"/>
            <w:tcBorders>
              <w:top w:val="single" w:color="auto" w:sz="8" w:space="0"/>
              <w:left w:val="single" w:color="auto" w:sz="8" w:space="0"/>
              <w:bottom w:val="single" w:color="auto" w:sz="8" w:space="0"/>
              <w:right w:val="single" w:color="auto" w:sz="8" w:space="0"/>
            </w:tcBorders>
            <w:vAlign w:val="bottom"/>
          </w:tcPr>
          <w:p>
            <w:pPr>
              <w:ind w:firstLine="480"/>
              <w:rPr>
                <w:rFonts w:hAnsi="宋体" w:cs="宋体"/>
              </w:rPr>
            </w:pPr>
          </w:p>
          <w:p>
            <w:pPr>
              <w:ind w:firstLine="480"/>
              <w:jc w:val="center"/>
              <w:rPr>
                <w:rFonts w:hAnsi="宋体" w:cs="Arial"/>
              </w:rPr>
            </w:pPr>
          </w:p>
        </w:tc>
        <w:tc>
          <w:tcPr>
            <w:tcW w:w="233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right="480" w:firstLine="360" w:firstLineChars="150"/>
              <w:jc w:val="center"/>
              <w:rPr>
                <w:rFonts w:hAnsi="宋体" w:cs="Arial"/>
                <w:szCs w:val="21"/>
              </w:rPr>
            </w:pP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center"/>
              <w:rPr>
                <w:rFonts w:hAnsi="宋体" w:cs="Arial"/>
                <w:szCs w:val="21"/>
              </w:rPr>
            </w:pP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center"/>
              <w:rPr>
                <w:rFonts w:hAnsi="宋体" w:cs="Arial"/>
                <w:szCs w:val="21"/>
              </w:rPr>
            </w:pPr>
          </w:p>
        </w:tc>
        <w:tc>
          <w:tcPr>
            <w:tcW w:w="1080" w:type="dxa"/>
            <w:tcBorders>
              <w:top w:val="single" w:color="auto" w:sz="8" w:space="0"/>
              <w:left w:val="single" w:color="auto" w:sz="8" w:space="0"/>
              <w:bottom w:val="single" w:color="auto" w:sz="8" w:space="0"/>
              <w:right w:val="single" w:color="auto" w:sz="8" w:space="0"/>
            </w:tcBorders>
          </w:tcPr>
          <w:p>
            <w:pPr>
              <w:ind w:firstLine="480"/>
              <w:jc w:val="center"/>
              <w:rPr>
                <w:rFonts w:hAnsi="宋体" w:cs="Arial"/>
                <w:szCs w:val="21"/>
              </w:rPr>
            </w:pPr>
          </w:p>
        </w:tc>
        <w:tc>
          <w:tcPr>
            <w:tcW w:w="902" w:type="dxa"/>
            <w:tcBorders>
              <w:top w:val="single" w:color="auto" w:sz="8" w:space="0"/>
              <w:left w:val="single" w:color="auto" w:sz="8" w:space="0"/>
              <w:bottom w:val="single" w:color="auto" w:sz="8" w:space="0"/>
              <w:right w:val="single" w:color="auto" w:sz="8" w:space="0"/>
            </w:tcBorders>
            <w:vAlign w:val="center"/>
          </w:tcPr>
          <w:p>
            <w:pPr>
              <w:ind w:firstLine="480"/>
              <w:rPr>
                <w:rFonts w:hAnsi="宋体" w:cs="Arial"/>
                <w:szCs w:val="21"/>
              </w:rPr>
            </w:pPr>
          </w:p>
        </w:tc>
      </w:tr>
      <w:tr>
        <w:tblPrEx>
          <w:tblCellMar>
            <w:top w:w="0" w:type="dxa"/>
            <w:left w:w="30" w:type="dxa"/>
            <w:bottom w:w="0" w:type="dxa"/>
            <w:right w:w="30" w:type="dxa"/>
          </w:tblCellMar>
        </w:tblPrEx>
        <w:trPr>
          <w:trHeight w:val="734" w:hRule="exact"/>
        </w:trPr>
        <w:tc>
          <w:tcPr>
            <w:tcW w:w="58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0" w:firstLineChars="0"/>
              <w:jc w:val="both"/>
              <w:rPr>
                <w:rFonts w:hAnsi="宋体" w:cs="Arial"/>
                <w:szCs w:val="21"/>
              </w:rPr>
            </w:pPr>
            <w:r>
              <w:rPr>
                <w:rFonts w:hAnsi="宋体" w:cs="Arial"/>
                <w:szCs w:val="21"/>
              </w:rPr>
              <w:t xml:space="preserve">  2</w:t>
            </w:r>
          </w:p>
        </w:tc>
        <w:tc>
          <w:tcPr>
            <w:tcW w:w="1390" w:type="dxa"/>
            <w:tcBorders>
              <w:top w:val="single" w:color="auto" w:sz="8" w:space="0"/>
              <w:left w:val="single" w:color="auto" w:sz="8" w:space="0"/>
              <w:bottom w:val="single" w:color="auto" w:sz="8" w:space="0"/>
              <w:right w:val="single" w:color="auto" w:sz="8" w:space="0"/>
            </w:tcBorders>
            <w:vAlign w:val="bottom"/>
          </w:tcPr>
          <w:p>
            <w:pPr>
              <w:ind w:firstLine="480"/>
              <w:rPr>
                <w:rFonts w:hAnsi="宋体" w:cs="宋体"/>
              </w:rPr>
            </w:pPr>
          </w:p>
          <w:p>
            <w:pPr>
              <w:ind w:firstLine="480"/>
              <w:jc w:val="center"/>
              <w:rPr>
                <w:rFonts w:hAnsi="宋体" w:cs="Arial"/>
              </w:rPr>
            </w:pPr>
          </w:p>
        </w:tc>
        <w:tc>
          <w:tcPr>
            <w:tcW w:w="233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right="480" w:firstLine="360" w:firstLineChars="150"/>
              <w:jc w:val="center"/>
              <w:rPr>
                <w:rFonts w:hAnsi="宋体" w:cs="Arial"/>
                <w:szCs w:val="21"/>
              </w:rPr>
            </w:pP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center"/>
              <w:rPr>
                <w:rFonts w:hAnsi="宋体" w:cs="Arial"/>
                <w:szCs w:val="21"/>
              </w:rPr>
            </w:pP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center"/>
              <w:rPr>
                <w:rFonts w:hAnsi="宋体" w:cs="Arial"/>
                <w:szCs w:val="21"/>
              </w:rPr>
            </w:pPr>
          </w:p>
        </w:tc>
        <w:tc>
          <w:tcPr>
            <w:tcW w:w="1080" w:type="dxa"/>
            <w:tcBorders>
              <w:top w:val="single" w:color="auto" w:sz="8" w:space="0"/>
              <w:left w:val="single" w:color="auto" w:sz="8" w:space="0"/>
              <w:bottom w:val="single" w:color="auto" w:sz="8" w:space="0"/>
              <w:right w:val="single" w:color="auto" w:sz="8" w:space="0"/>
            </w:tcBorders>
          </w:tcPr>
          <w:p>
            <w:pPr>
              <w:ind w:firstLine="480"/>
              <w:jc w:val="center"/>
              <w:rPr>
                <w:rFonts w:hAnsi="宋体" w:cs="Arial"/>
                <w:szCs w:val="21"/>
              </w:rPr>
            </w:pPr>
          </w:p>
        </w:tc>
        <w:tc>
          <w:tcPr>
            <w:tcW w:w="902" w:type="dxa"/>
            <w:tcBorders>
              <w:top w:val="single" w:color="auto" w:sz="8" w:space="0"/>
              <w:left w:val="single" w:color="auto" w:sz="8" w:space="0"/>
              <w:bottom w:val="single" w:color="auto" w:sz="8" w:space="0"/>
              <w:right w:val="single" w:color="auto" w:sz="8" w:space="0"/>
            </w:tcBorders>
            <w:vAlign w:val="center"/>
          </w:tcPr>
          <w:p>
            <w:pPr>
              <w:ind w:firstLine="480"/>
              <w:rPr>
                <w:rFonts w:hAnsi="宋体" w:cs="Arial"/>
                <w:szCs w:val="21"/>
              </w:rPr>
            </w:pPr>
          </w:p>
        </w:tc>
      </w:tr>
      <w:tr>
        <w:tblPrEx>
          <w:tblCellMar>
            <w:top w:w="0" w:type="dxa"/>
            <w:left w:w="30" w:type="dxa"/>
            <w:bottom w:w="0" w:type="dxa"/>
            <w:right w:w="30" w:type="dxa"/>
          </w:tblCellMar>
        </w:tblPrEx>
        <w:trPr>
          <w:trHeight w:val="734" w:hRule="exact"/>
        </w:trPr>
        <w:tc>
          <w:tcPr>
            <w:tcW w:w="58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480"/>
              <w:jc w:val="center"/>
              <w:rPr>
                <w:rFonts w:hAnsi="宋体" w:cs="Arial"/>
                <w:szCs w:val="21"/>
              </w:rPr>
            </w:pPr>
          </w:p>
        </w:tc>
        <w:tc>
          <w:tcPr>
            <w:tcW w:w="1390" w:type="dxa"/>
            <w:tcBorders>
              <w:top w:val="single" w:color="auto" w:sz="8" w:space="0"/>
              <w:left w:val="single" w:color="auto" w:sz="8" w:space="0"/>
              <w:bottom w:val="single" w:color="auto" w:sz="8" w:space="0"/>
              <w:right w:val="single" w:color="auto" w:sz="8" w:space="0"/>
            </w:tcBorders>
            <w:vAlign w:val="bottom"/>
          </w:tcPr>
          <w:p>
            <w:pPr>
              <w:ind w:firstLine="480"/>
              <w:rPr>
                <w:rFonts w:hint="eastAsia"/>
              </w:rPr>
            </w:pPr>
          </w:p>
        </w:tc>
        <w:tc>
          <w:tcPr>
            <w:tcW w:w="233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right="480" w:firstLine="360" w:firstLineChars="150"/>
              <w:jc w:val="center"/>
              <w:rPr>
                <w:rFonts w:hAnsi="宋体" w:cs="Arial"/>
                <w:szCs w:val="21"/>
              </w:rPr>
            </w:pP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center"/>
              <w:rPr>
                <w:rFonts w:hAnsi="宋体" w:cs="Arial"/>
                <w:szCs w:val="21"/>
              </w:rPr>
            </w:pP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center"/>
              <w:rPr>
                <w:rFonts w:hAnsi="宋体" w:cs="Arial"/>
                <w:szCs w:val="21"/>
              </w:rPr>
            </w:pPr>
          </w:p>
        </w:tc>
        <w:tc>
          <w:tcPr>
            <w:tcW w:w="1080" w:type="dxa"/>
            <w:tcBorders>
              <w:top w:val="single" w:color="auto" w:sz="8" w:space="0"/>
              <w:left w:val="single" w:color="auto" w:sz="8" w:space="0"/>
              <w:bottom w:val="single" w:color="auto" w:sz="8" w:space="0"/>
              <w:right w:val="single" w:color="auto" w:sz="8" w:space="0"/>
            </w:tcBorders>
          </w:tcPr>
          <w:p>
            <w:pPr>
              <w:ind w:firstLine="480"/>
              <w:jc w:val="center"/>
              <w:rPr>
                <w:rFonts w:hAnsi="宋体" w:cs="Arial"/>
                <w:szCs w:val="21"/>
              </w:rPr>
            </w:pPr>
          </w:p>
        </w:tc>
        <w:tc>
          <w:tcPr>
            <w:tcW w:w="902" w:type="dxa"/>
            <w:tcBorders>
              <w:top w:val="single" w:color="auto" w:sz="8" w:space="0"/>
              <w:left w:val="single" w:color="auto" w:sz="8" w:space="0"/>
              <w:bottom w:val="single" w:color="auto" w:sz="8" w:space="0"/>
              <w:right w:val="single" w:color="auto" w:sz="8" w:space="0"/>
            </w:tcBorders>
            <w:vAlign w:val="center"/>
          </w:tcPr>
          <w:p>
            <w:pPr>
              <w:ind w:firstLine="480"/>
              <w:rPr>
                <w:rFonts w:hAnsi="宋体" w:cs="Arial"/>
                <w:szCs w:val="21"/>
              </w:rPr>
            </w:pPr>
          </w:p>
        </w:tc>
      </w:tr>
      <w:tr>
        <w:tblPrEx>
          <w:tblCellMar>
            <w:top w:w="0" w:type="dxa"/>
            <w:left w:w="30" w:type="dxa"/>
            <w:bottom w:w="0" w:type="dxa"/>
            <w:right w:w="30" w:type="dxa"/>
          </w:tblCellMar>
        </w:tblPrEx>
        <w:trPr>
          <w:trHeight w:val="579" w:hRule="exact"/>
        </w:trPr>
        <w:tc>
          <w:tcPr>
            <w:tcW w:w="1978"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482"/>
              <w:jc w:val="center"/>
              <w:rPr>
                <w:rFonts w:hAnsi="宋体" w:cs="Arial"/>
                <w:szCs w:val="21"/>
              </w:rPr>
            </w:pPr>
            <w:r>
              <w:rPr>
                <w:rFonts w:hint="eastAsia" w:hAnsi="宋体" w:cs="Arial"/>
                <w:b/>
                <w:szCs w:val="21"/>
              </w:rPr>
              <w:t>合同总额</w:t>
            </w:r>
          </w:p>
        </w:tc>
        <w:tc>
          <w:tcPr>
            <w:tcW w:w="6474" w:type="dxa"/>
            <w:gridSpan w:val="5"/>
            <w:tcBorders>
              <w:top w:val="single" w:color="auto" w:sz="8" w:space="0"/>
              <w:left w:val="single" w:color="auto" w:sz="8" w:space="0"/>
              <w:bottom w:val="single" w:color="auto" w:sz="8" w:space="0"/>
              <w:right w:val="single" w:color="auto" w:sz="8" w:space="0"/>
            </w:tcBorders>
            <w:vAlign w:val="center"/>
          </w:tcPr>
          <w:p>
            <w:pPr>
              <w:ind w:firstLine="480"/>
              <w:rPr>
                <w:rFonts w:hAnsi="宋体" w:cs="Arial"/>
                <w:szCs w:val="21"/>
              </w:rPr>
            </w:pPr>
            <w:r>
              <w:rPr>
                <w:rFonts w:hint="eastAsia" w:hAnsi="宋体" w:cs="Arial"/>
                <w:szCs w:val="21"/>
              </w:rPr>
              <w:t>（小写）：</w:t>
            </w:r>
            <w:r>
              <w:rPr>
                <w:rFonts w:ascii="Arial" w:hAnsi="Arial" w:cs="Arial"/>
                <w:szCs w:val="21"/>
              </w:rPr>
              <w:t>¥</w:t>
            </w:r>
            <w:r>
              <w:rPr>
                <w:rFonts w:hint="eastAsia" w:ascii="Arial" w:hAnsi="Arial" w:cs="Arial"/>
                <w:szCs w:val="21"/>
              </w:rPr>
              <w:t>元</w:t>
            </w:r>
          </w:p>
        </w:tc>
      </w:tr>
      <w:tr>
        <w:tblPrEx>
          <w:tblCellMar>
            <w:top w:w="0" w:type="dxa"/>
            <w:left w:w="30" w:type="dxa"/>
            <w:bottom w:w="0" w:type="dxa"/>
            <w:right w:w="30" w:type="dxa"/>
          </w:tblCellMar>
        </w:tblPrEx>
        <w:trPr>
          <w:trHeight w:val="474" w:hRule="atLeast"/>
        </w:trPr>
        <w:tc>
          <w:tcPr>
            <w:tcW w:w="1978" w:type="dxa"/>
            <w:gridSpan w:val="2"/>
            <w:vMerge w:val="continue"/>
            <w:tcBorders>
              <w:top w:val="single" w:color="auto" w:sz="8" w:space="0"/>
              <w:left w:val="single" w:color="auto" w:sz="8" w:space="0"/>
              <w:bottom w:val="single" w:color="auto" w:sz="8" w:space="0"/>
              <w:right w:val="single" w:color="auto" w:sz="8" w:space="0"/>
            </w:tcBorders>
            <w:vAlign w:val="center"/>
          </w:tcPr>
          <w:p>
            <w:pPr>
              <w:ind w:firstLine="480"/>
              <w:rPr>
                <w:rFonts w:hAnsi="宋体" w:cs="Arial"/>
                <w:szCs w:val="21"/>
              </w:rPr>
            </w:pPr>
          </w:p>
        </w:tc>
        <w:tc>
          <w:tcPr>
            <w:tcW w:w="6474" w:type="dxa"/>
            <w:gridSpan w:val="5"/>
            <w:tcBorders>
              <w:top w:val="single" w:color="auto" w:sz="8" w:space="0"/>
              <w:left w:val="single" w:color="auto" w:sz="8" w:space="0"/>
              <w:bottom w:val="single" w:color="auto" w:sz="8" w:space="0"/>
              <w:right w:val="single" w:color="auto" w:sz="8" w:space="0"/>
            </w:tcBorders>
            <w:vAlign w:val="center"/>
          </w:tcPr>
          <w:p>
            <w:pPr>
              <w:ind w:firstLine="480"/>
              <w:rPr>
                <w:rFonts w:hAnsi="宋体" w:cs="Arial"/>
                <w:szCs w:val="21"/>
              </w:rPr>
            </w:pPr>
            <w:r>
              <w:rPr>
                <w:rFonts w:hint="eastAsia" w:hAnsi="宋体" w:cs="Arial"/>
                <w:szCs w:val="21"/>
              </w:rPr>
              <w:t>（大写）</w:t>
            </w:r>
            <w:r>
              <w:rPr>
                <w:rFonts w:hAnsi="宋体" w:cs="Arial"/>
                <w:szCs w:val="21"/>
              </w:rPr>
              <w:t>:</w:t>
            </w:r>
            <w:r>
              <w:rPr>
                <w:rFonts w:hint="eastAsia" w:hAnsi="宋体" w:cs="Arial"/>
                <w:sz w:val="28"/>
                <w:szCs w:val="21"/>
              </w:rPr>
              <w:t>元整</w:t>
            </w:r>
          </w:p>
        </w:tc>
      </w:tr>
    </w:tbl>
    <w:p>
      <w:pPr>
        <w:pStyle w:val="5"/>
        <w:snapToGrid w:val="0"/>
        <w:spacing w:before="0" w:after="0" w:line="360" w:lineRule="auto"/>
        <w:ind w:firstLine="0" w:firstLineChars="0"/>
        <w:rPr>
          <w:rFonts w:hAnsi="宋体"/>
          <w:sz w:val="28"/>
          <w:szCs w:val="28"/>
        </w:rPr>
      </w:pPr>
      <w:r>
        <w:rPr>
          <w:rFonts w:hint="eastAsia" w:hAnsi="宋体"/>
          <w:sz w:val="28"/>
          <w:szCs w:val="28"/>
        </w:rPr>
        <w:t>二、交付时间与地点要求：见用户需求书。</w:t>
      </w:r>
    </w:p>
    <w:p>
      <w:pPr>
        <w:pStyle w:val="5"/>
        <w:snapToGrid w:val="0"/>
        <w:spacing w:before="0" w:after="0" w:line="360" w:lineRule="auto"/>
        <w:ind w:firstLine="562"/>
        <w:rPr>
          <w:rFonts w:hAnsi="宋体"/>
          <w:bCs w:val="0"/>
          <w:sz w:val="28"/>
          <w:szCs w:val="28"/>
        </w:rPr>
      </w:pPr>
      <w:r>
        <w:rPr>
          <w:rFonts w:hint="eastAsia" w:hAnsi="宋体"/>
          <w:sz w:val="28"/>
          <w:szCs w:val="28"/>
        </w:rPr>
        <w:t>三、</w:t>
      </w:r>
      <w:r>
        <w:rPr>
          <w:rFonts w:hint="eastAsia" w:hAnsi="宋体"/>
          <w:bCs w:val="0"/>
          <w:sz w:val="28"/>
          <w:szCs w:val="28"/>
        </w:rPr>
        <w:t>付款方式：买方验收合格后，经核准由买方按合同规定和实际发票金额三周以内支付货款。</w:t>
      </w:r>
    </w:p>
    <w:p>
      <w:pPr>
        <w:pStyle w:val="5"/>
        <w:snapToGrid w:val="0"/>
        <w:spacing w:before="0" w:after="0" w:line="360" w:lineRule="auto"/>
        <w:ind w:firstLine="562"/>
        <w:rPr>
          <w:rFonts w:hAnsi="宋体"/>
          <w:bCs w:val="0"/>
          <w:sz w:val="28"/>
          <w:szCs w:val="30"/>
        </w:rPr>
      </w:pPr>
      <w:r>
        <w:rPr>
          <w:rFonts w:hint="eastAsia" w:hAnsi="宋体"/>
          <w:bCs w:val="0"/>
          <w:sz w:val="28"/>
          <w:szCs w:val="30"/>
        </w:rPr>
        <w:t>四、合同纠纷处理</w:t>
      </w:r>
    </w:p>
    <w:p>
      <w:pPr>
        <w:widowControl w:val="0"/>
        <w:snapToGrid w:val="0"/>
        <w:ind w:firstLine="480"/>
        <w:jc w:val="both"/>
        <w:rPr>
          <w:rFonts w:hAnsi="宋体"/>
          <w:b/>
          <w:szCs w:val="24"/>
        </w:rPr>
      </w:pPr>
      <w:r>
        <w:rPr>
          <w:rFonts w:hint="eastAsia" w:hAnsi="宋体"/>
        </w:rPr>
        <w:t>本合同执行过程中发生纠纷，双方通过协商解决，如协商不成，可向甲方所在地人民法院提起诉讼。</w:t>
      </w:r>
    </w:p>
    <w:p>
      <w:pPr>
        <w:pStyle w:val="5"/>
        <w:snapToGrid w:val="0"/>
        <w:spacing w:before="0" w:after="0" w:line="360" w:lineRule="auto"/>
        <w:ind w:firstLine="562"/>
        <w:rPr>
          <w:rFonts w:hAnsi="宋体"/>
          <w:bCs w:val="0"/>
          <w:sz w:val="28"/>
          <w:szCs w:val="30"/>
        </w:rPr>
      </w:pPr>
      <w:bookmarkStart w:id="54" w:name="_Toc476643577"/>
      <w:r>
        <w:rPr>
          <w:rFonts w:hint="eastAsia" w:hAnsi="宋体"/>
          <w:bCs w:val="0"/>
          <w:sz w:val="28"/>
          <w:szCs w:val="30"/>
        </w:rPr>
        <w:t>五、合同生效</w:t>
      </w:r>
      <w:bookmarkEnd w:id="54"/>
    </w:p>
    <w:p>
      <w:pPr>
        <w:snapToGrid w:val="0"/>
        <w:ind w:left="555" w:firstLine="480"/>
        <w:jc w:val="both"/>
        <w:rPr>
          <w:rFonts w:hAnsi="宋体"/>
        </w:rPr>
      </w:pPr>
      <w:r>
        <w:rPr>
          <w:rFonts w:hint="eastAsia" w:hAnsi="宋体"/>
        </w:rPr>
        <w:t>本合同由甲乙双方签字盖章后生效。</w:t>
      </w:r>
    </w:p>
    <w:p>
      <w:pPr>
        <w:pStyle w:val="5"/>
        <w:snapToGrid w:val="0"/>
        <w:spacing w:before="0" w:after="0" w:line="360" w:lineRule="auto"/>
        <w:ind w:firstLine="562"/>
        <w:rPr>
          <w:rFonts w:hAnsi="宋体"/>
          <w:bCs w:val="0"/>
          <w:sz w:val="28"/>
          <w:szCs w:val="30"/>
        </w:rPr>
      </w:pPr>
      <w:bookmarkStart w:id="55" w:name="_Toc476643578"/>
      <w:r>
        <w:rPr>
          <w:rFonts w:hint="eastAsia" w:hAnsi="宋体"/>
          <w:bCs w:val="0"/>
          <w:sz w:val="28"/>
          <w:szCs w:val="30"/>
        </w:rPr>
        <w:t>六、合同鉴证</w:t>
      </w:r>
      <w:bookmarkEnd w:id="55"/>
    </w:p>
    <w:p>
      <w:pPr>
        <w:snapToGrid w:val="0"/>
        <w:ind w:firstLine="480"/>
        <w:jc w:val="both"/>
        <w:rPr>
          <w:rFonts w:hAnsi="宋体"/>
          <w:b/>
        </w:rPr>
      </w:pPr>
      <w:r>
        <w:rPr>
          <w:rFonts w:hint="eastAsia" w:hAnsi="宋体"/>
        </w:rPr>
        <w:t>招标代理机构应当在本合同上签章，以证明本合同条款与招标文件、投标文件的相关要求相符并且未对采购内容和技术参数进行实质性修改。</w:t>
      </w:r>
    </w:p>
    <w:p>
      <w:pPr>
        <w:pStyle w:val="5"/>
        <w:snapToGrid w:val="0"/>
        <w:spacing w:before="0" w:after="0" w:line="360" w:lineRule="auto"/>
        <w:ind w:firstLine="562"/>
        <w:rPr>
          <w:rFonts w:hAnsi="宋体"/>
          <w:bCs w:val="0"/>
          <w:sz w:val="28"/>
          <w:szCs w:val="30"/>
        </w:rPr>
      </w:pPr>
      <w:bookmarkStart w:id="56" w:name="_Toc476643579"/>
      <w:r>
        <w:rPr>
          <w:rFonts w:hint="eastAsia" w:hAnsi="宋体"/>
          <w:bCs w:val="0"/>
          <w:sz w:val="28"/>
          <w:szCs w:val="30"/>
        </w:rPr>
        <w:t>七、本合同的组成文件</w:t>
      </w:r>
      <w:bookmarkEnd w:id="56"/>
    </w:p>
    <w:p>
      <w:pPr>
        <w:snapToGrid w:val="0"/>
        <w:ind w:left="555" w:firstLine="480"/>
        <w:jc w:val="both"/>
        <w:rPr>
          <w:rFonts w:hAnsi="宋体"/>
        </w:rPr>
      </w:pPr>
      <w:r>
        <w:rPr>
          <w:rFonts w:hAnsi="宋体"/>
        </w:rPr>
        <w:t>1.</w:t>
      </w:r>
      <w:r>
        <w:rPr>
          <w:rFonts w:hint="eastAsia" w:hAnsi="宋体"/>
        </w:rPr>
        <w:t>合同通用条款和专用条款；</w:t>
      </w:r>
    </w:p>
    <w:p>
      <w:pPr>
        <w:snapToGrid w:val="0"/>
        <w:ind w:left="555" w:firstLine="480"/>
        <w:jc w:val="both"/>
        <w:rPr>
          <w:rFonts w:hAnsi="宋体"/>
        </w:rPr>
      </w:pPr>
      <w:r>
        <w:rPr>
          <w:rFonts w:hAnsi="宋体"/>
        </w:rPr>
        <w:t>2.</w:t>
      </w:r>
      <w:r>
        <w:rPr>
          <w:rFonts w:hint="eastAsia" w:hAnsi="宋体"/>
        </w:rPr>
        <w:t>招标文件、乙方的投标文件和评标时的澄清函（如有）；</w:t>
      </w:r>
    </w:p>
    <w:p>
      <w:pPr>
        <w:snapToGrid w:val="0"/>
        <w:ind w:left="555" w:firstLine="480"/>
        <w:jc w:val="both"/>
        <w:rPr>
          <w:rFonts w:hAnsi="宋体"/>
        </w:rPr>
      </w:pPr>
      <w:r>
        <w:rPr>
          <w:rFonts w:hAnsi="宋体"/>
        </w:rPr>
        <w:t>3.</w:t>
      </w:r>
      <w:r>
        <w:rPr>
          <w:rFonts w:hint="eastAsia" w:hAnsi="宋体"/>
        </w:rPr>
        <w:t>中标通知书；</w:t>
      </w:r>
    </w:p>
    <w:p>
      <w:pPr>
        <w:snapToGrid w:val="0"/>
        <w:ind w:left="555" w:firstLine="480"/>
        <w:jc w:val="both"/>
        <w:rPr>
          <w:rFonts w:hAnsi="宋体"/>
        </w:rPr>
      </w:pPr>
      <w:r>
        <w:rPr>
          <w:rFonts w:hAnsi="宋体"/>
        </w:rPr>
        <w:t>4.</w:t>
      </w:r>
      <w:r>
        <w:rPr>
          <w:rFonts w:hint="eastAsia" w:hAnsi="宋体"/>
        </w:rPr>
        <w:t>甲乙双方商定的其他必要文件。</w:t>
      </w:r>
    </w:p>
    <w:p>
      <w:pPr>
        <w:snapToGrid w:val="0"/>
        <w:ind w:firstLine="480"/>
        <w:jc w:val="both"/>
        <w:rPr>
          <w:rFonts w:hAnsi="宋体"/>
          <w:bCs/>
        </w:rPr>
      </w:pPr>
      <w:r>
        <w:rPr>
          <w:rFonts w:hint="eastAsia" w:hAnsi="宋体"/>
          <w:bCs/>
        </w:rPr>
        <w:t>上述合同文件内容互为补充，如有不明确，由甲方负责解释。</w:t>
      </w:r>
    </w:p>
    <w:p>
      <w:pPr>
        <w:pStyle w:val="5"/>
        <w:snapToGrid w:val="0"/>
        <w:spacing w:before="0" w:after="0" w:line="360" w:lineRule="auto"/>
        <w:ind w:firstLine="562"/>
        <w:rPr>
          <w:rFonts w:hAnsi="宋体"/>
          <w:bCs w:val="0"/>
          <w:sz w:val="28"/>
          <w:szCs w:val="30"/>
        </w:rPr>
      </w:pPr>
      <w:bookmarkStart w:id="57" w:name="_Toc476643580"/>
      <w:r>
        <w:rPr>
          <w:rFonts w:hint="eastAsia" w:hAnsi="宋体"/>
          <w:bCs w:val="0"/>
          <w:sz w:val="28"/>
          <w:szCs w:val="30"/>
        </w:rPr>
        <w:t>八、合同备案</w:t>
      </w:r>
      <w:bookmarkEnd w:id="57"/>
    </w:p>
    <w:p>
      <w:pPr>
        <w:snapToGrid w:val="0"/>
        <w:ind w:firstLine="480"/>
        <w:jc w:val="both"/>
        <w:rPr>
          <w:rFonts w:hAnsi="宋体" w:cs="宋体"/>
        </w:rPr>
      </w:pPr>
      <w:r>
        <w:rPr>
          <w:rFonts w:hint="eastAsia" w:hAnsi="宋体"/>
          <w:bCs/>
        </w:rPr>
        <w:t>本合同一式七份，中文书写。甲方执四份、乙方执一份、招标代理机构执两份，招标代理机构负责报政府采购主管部门备案。</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ind w:firstLine="482"/>
        <w:jc w:val="both"/>
        <w:rPr>
          <w:rFonts w:hAnsi="宋体"/>
        </w:rPr>
      </w:pPr>
      <w:r>
        <w:rPr>
          <w:rFonts w:hint="eastAsia" w:hAnsi="宋体"/>
          <w:b/>
        </w:rPr>
        <w:t>甲方：</w:t>
      </w:r>
      <w:r>
        <w:rPr>
          <w:rFonts w:hint="eastAsia" w:hAnsi="宋体"/>
          <w:b/>
          <w:u w:val="single"/>
        </w:rPr>
        <w:t xml:space="preserve">（盖章）  </w:t>
      </w:r>
      <w:r>
        <w:rPr>
          <w:rFonts w:hint="eastAsia" w:hAnsi="宋体"/>
          <w:b/>
        </w:rPr>
        <w:t xml:space="preserve">             乙方：</w:t>
      </w:r>
      <w:r>
        <w:rPr>
          <w:rFonts w:hint="eastAsia" w:hAnsi="宋体"/>
          <w:b/>
          <w:u w:val="single"/>
        </w:rPr>
        <w:t>（盖章）</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ind w:firstLine="480"/>
        <w:jc w:val="both"/>
        <w:rPr>
          <w:rFonts w:hAnsi="宋体"/>
          <w:u w:val="single"/>
        </w:rPr>
      </w:pPr>
      <w:r>
        <w:rPr>
          <w:rFonts w:hint="eastAsia" w:hAnsi="宋体"/>
        </w:rPr>
        <w:t>地址：                       地址：</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ind w:firstLine="480"/>
        <w:jc w:val="both"/>
        <w:rPr>
          <w:rFonts w:hAnsi="宋体"/>
        </w:rPr>
      </w:pPr>
      <w:r>
        <w:rPr>
          <w:rFonts w:hint="eastAsia" w:hAnsi="宋体"/>
        </w:rPr>
        <w:t>法定（或授权）代表人：       法定（或授权）代表人：</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ind w:firstLine="480"/>
        <w:jc w:val="both"/>
        <w:rPr>
          <w:rFonts w:hAnsi="宋体"/>
        </w:rPr>
      </w:pPr>
      <w:r>
        <w:rPr>
          <w:rFonts w:hint="eastAsia" w:hAnsi="宋体"/>
        </w:rPr>
        <w:t>年月日                       年月日</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2"/>
        <w:jc w:val="both"/>
        <w:rPr>
          <w:rFonts w:hAnsi="宋体"/>
          <w:b/>
          <w:sz w:val="28"/>
        </w:rPr>
      </w:pPr>
      <w:r>
        <w:rPr>
          <w:rFonts w:hint="eastAsia" w:hAnsi="宋体"/>
          <w:b/>
          <w:sz w:val="28"/>
        </w:rPr>
        <w:t>招标代理机构声明：本合同标的经海南政鼎招标代理有限公司依法定程序采购，合同主要条款内容与招投标文件的内容一致。</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2"/>
        <w:jc w:val="both"/>
        <w:rPr>
          <w:rFonts w:hAnsi="宋体"/>
          <w:b/>
          <w:sz w:val="28"/>
          <w:u w:val="single"/>
        </w:rPr>
      </w:pPr>
      <w:r>
        <w:rPr>
          <w:rFonts w:hint="eastAsia" w:hAnsi="宋体"/>
          <w:b/>
          <w:sz w:val="28"/>
        </w:rPr>
        <w:t>招标代理机构：</w:t>
      </w:r>
      <w:r>
        <w:rPr>
          <w:rFonts w:hint="eastAsia" w:hAnsi="宋体"/>
          <w:b/>
          <w:sz w:val="28"/>
          <w:u w:val="single"/>
        </w:rPr>
        <w:t>海南政鼎招标代理有限公司（盖章）</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80"/>
        <w:jc w:val="both"/>
        <w:rPr>
          <w:rFonts w:hAnsi="宋体"/>
          <w:sz w:val="28"/>
        </w:rPr>
      </w:pPr>
      <w:r>
        <w:rPr>
          <w:rFonts w:hint="eastAsia" w:hAnsi="宋体"/>
        </w:rPr>
        <w:t>经办人：</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80"/>
        <w:jc w:val="both"/>
        <w:rPr>
          <w:rFonts w:hAnsi="宋体"/>
        </w:rPr>
      </w:pPr>
      <w:r>
        <w:rPr>
          <w:rFonts w:hint="eastAsia" w:hAnsi="宋体"/>
        </w:rPr>
        <w:t>年月日</w:t>
      </w:r>
    </w:p>
    <w:p>
      <w:pPr>
        <w:pStyle w:val="4"/>
        <w:shd w:val="clear" w:color="auto" w:fill="FFFFFF"/>
        <w:spacing w:line="360" w:lineRule="auto"/>
        <w:ind w:firstLine="1767" w:firstLineChars="400"/>
        <w:jc w:val="both"/>
        <w:rPr>
          <w:rFonts w:hAnsi="宋体"/>
        </w:rPr>
      </w:pPr>
      <w:bookmarkStart w:id="58" w:name="_Toc476667950"/>
      <w:bookmarkStart w:id="59" w:name="_Toc476664379"/>
      <w:bookmarkStart w:id="60" w:name="_Toc476643581"/>
      <w:r>
        <w:rPr>
          <w:rFonts w:hint="eastAsia" w:hAnsi="宋体"/>
        </w:rPr>
        <w:t>第五章投标文件内容和格式</w:t>
      </w:r>
      <w:bookmarkEnd w:id="58"/>
      <w:bookmarkEnd w:id="59"/>
      <w:bookmarkEnd w:id="60"/>
    </w:p>
    <w:p>
      <w:pPr>
        <w:pStyle w:val="4"/>
        <w:shd w:val="clear" w:color="auto" w:fill="FFFFFF"/>
        <w:spacing w:line="360" w:lineRule="auto"/>
        <w:ind w:firstLine="3600" w:firstLineChars="1200"/>
        <w:jc w:val="both"/>
        <w:rPr>
          <w:rFonts w:hAnsi="宋体"/>
          <w:b w:val="0"/>
          <w:kern w:val="0"/>
          <w:sz w:val="30"/>
          <w:szCs w:val="30"/>
        </w:rPr>
      </w:pPr>
      <w:r>
        <w:rPr>
          <w:rFonts w:hint="eastAsia" w:hAnsi="宋体"/>
          <w:b w:val="0"/>
          <w:kern w:val="0"/>
          <w:sz w:val="30"/>
          <w:szCs w:val="30"/>
        </w:rPr>
        <w:t>AB包通用</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80"/>
        <w:rPr>
          <w:rFonts w:hAnsi="宋体"/>
        </w:rPr>
      </w:pPr>
      <w:r>
        <w:rPr>
          <w:rFonts w:hint="eastAsia" w:hAnsi="宋体"/>
        </w:rPr>
        <w:t>请投标人按照以下文件要求的格式、内容制作投标文件，并按以下顺序编制目录及页码，否则可能将影响对投标文件的评价：</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480"/>
        <w:rPr>
          <w:rFonts w:hAnsi="宋体"/>
          <w:szCs w:val="24"/>
        </w:rPr>
      </w:pPr>
      <w:r>
        <w:rPr>
          <w:rFonts w:hAnsi="宋体"/>
          <w:szCs w:val="24"/>
        </w:rPr>
        <w:t>1</w:t>
      </w:r>
      <w:r>
        <w:rPr>
          <w:rFonts w:hint="eastAsia" w:hAnsi="宋体"/>
          <w:szCs w:val="24"/>
        </w:rPr>
        <w:t>、投标函（表</w:t>
      </w:r>
      <w:r>
        <w:rPr>
          <w:rFonts w:hAnsi="宋体"/>
          <w:szCs w:val="24"/>
        </w:rPr>
        <w:t>1</w:t>
      </w:r>
      <w:r>
        <w:rPr>
          <w:rFonts w:hint="eastAsia" w:hAnsi="宋体"/>
          <w:szCs w:val="24"/>
        </w:rPr>
        <w:t>）</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480"/>
        <w:rPr>
          <w:rFonts w:hAnsi="宋体"/>
          <w:szCs w:val="24"/>
        </w:rPr>
      </w:pPr>
      <w:r>
        <w:rPr>
          <w:rFonts w:hAnsi="宋体"/>
          <w:szCs w:val="24"/>
        </w:rPr>
        <w:t>2</w:t>
      </w:r>
      <w:r>
        <w:rPr>
          <w:rFonts w:hint="eastAsia" w:hAnsi="宋体"/>
          <w:szCs w:val="24"/>
        </w:rPr>
        <w:t>、开标一览表（表</w:t>
      </w:r>
      <w:r>
        <w:rPr>
          <w:rFonts w:hAnsi="宋体"/>
          <w:szCs w:val="24"/>
        </w:rPr>
        <w:t>2</w:t>
      </w:r>
      <w:r>
        <w:rPr>
          <w:rFonts w:hint="eastAsia" w:hAnsi="宋体"/>
          <w:szCs w:val="24"/>
        </w:rPr>
        <w:t>）</w:t>
      </w:r>
    </w:p>
    <w:p>
      <w:pPr>
        <w:spacing w:line="240" w:lineRule="auto"/>
        <w:ind w:firstLine="480"/>
        <w:rPr>
          <w:rFonts w:hAnsi="宋体"/>
          <w:szCs w:val="24"/>
        </w:rPr>
      </w:pPr>
      <w:r>
        <w:rPr>
          <w:rFonts w:hint="eastAsia" w:hAnsi="宋体"/>
          <w:szCs w:val="24"/>
        </w:rPr>
        <w:t>3、投标报价明细表（表3）</w:t>
      </w:r>
    </w:p>
    <w:p>
      <w:pPr>
        <w:spacing w:line="240" w:lineRule="auto"/>
        <w:ind w:firstLine="480"/>
        <w:rPr>
          <w:rFonts w:hAnsi="宋体"/>
          <w:szCs w:val="24"/>
        </w:rPr>
      </w:pPr>
      <w:r>
        <w:rPr>
          <w:rFonts w:hint="eastAsia" w:hAnsi="宋体"/>
          <w:szCs w:val="24"/>
        </w:rPr>
        <w:t>4、</w:t>
      </w:r>
      <w:r>
        <w:rPr>
          <w:rFonts w:hint="eastAsia" w:hAnsi="宋体"/>
          <w:kern w:val="28"/>
          <w:szCs w:val="24"/>
        </w:rPr>
        <w:t>地理信息系统实验室建设项目</w:t>
      </w:r>
      <w:r>
        <w:rPr>
          <w:rFonts w:hint="eastAsia" w:hAnsi="宋体"/>
          <w:szCs w:val="24"/>
        </w:rPr>
        <w:t>质量要求响应表（表4）</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480"/>
        <w:rPr>
          <w:rFonts w:hAnsi="宋体"/>
        </w:rPr>
      </w:pPr>
      <w:r>
        <w:rPr>
          <w:rFonts w:hint="eastAsia" w:hAnsi="宋体"/>
        </w:rPr>
        <w:t>5、</w:t>
      </w:r>
      <w:r>
        <w:rPr>
          <w:rFonts w:hint="eastAsia" w:hAnsi="宋体"/>
          <w:szCs w:val="24"/>
        </w:rPr>
        <w:t>授权委托书（表，法人或负责人代表、授权代表身份证复印件）</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exact"/>
        <w:ind w:firstLine="480"/>
        <w:jc w:val="both"/>
        <w:rPr>
          <w:rFonts w:hAnsi="宋体"/>
        </w:rPr>
      </w:pPr>
      <w:r>
        <w:rPr>
          <w:rFonts w:hint="eastAsia" w:hAnsi="宋体"/>
        </w:rPr>
        <w:t>6、营业执照（三合一新证复印件）</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exact"/>
        <w:ind w:firstLine="480"/>
        <w:jc w:val="both"/>
        <w:rPr>
          <w:rFonts w:hAnsi="宋体"/>
        </w:rPr>
      </w:pPr>
      <w:r>
        <w:rPr>
          <w:rFonts w:hint="eastAsia" w:hAnsi="宋体"/>
        </w:rPr>
        <w:t>7、提供</w:t>
      </w:r>
      <w:r>
        <w:rPr>
          <w:rFonts w:hAnsi="宋体"/>
        </w:rPr>
        <w:t>20</w:t>
      </w:r>
      <w:r>
        <w:rPr>
          <w:rFonts w:hint="eastAsia" w:hAnsi="宋体"/>
        </w:rPr>
        <w:t>20年任意3个月社保缴费记录证明</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exact"/>
        <w:ind w:firstLine="480"/>
        <w:jc w:val="both"/>
        <w:rPr>
          <w:rFonts w:hAnsi="宋体"/>
          <w:b/>
          <w:sz w:val="32"/>
          <w:szCs w:val="32"/>
        </w:rPr>
      </w:pPr>
      <w:r>
        <w:rPr>
          <w:rFonts w:hint="eastAsia" w:hAnsi="宋体"/>
        </w:rPr>
        <w:t>8、近三年无违法记录声明书</w:t>
      </w:r>
    </w:p>
    <w:p>
      <w:pPr>
        <w:shd w:val="clear" w:color="auto" w:fill="FFFFFF"/>
        <w:wordWrap w:val="0"/>
        <w:adjustRightInd w:val="0"/>
        <w:snapToGrid w:val="0"/>
        <w:spacing w:line="240" w:lineRule="auto"/>
        <w:ind w:firstLine="480"/>
        <w:rPr>
          <w:rFonts w:hAnsi="宋体"/>
        </w:rPr>
      </w:pPr>
      <w:r>
        <w:rPr>
          <w:rFonts w:hint="eastAsia" w:hAnsi="宋体"/>
        </w:rPr>
        <w:t>9、提供</w:t>
      </w:r>
      <w:r>
        <w:rPr>
          <w:rFonts w:hAnsi="宋体"/>
        </w:rPr>
        <w:t>20</w:t>
      </w:r>
      <w:r>
        <w:rPr>
          <w:rFonts w:hint="eastAsia" w:hAnsi="宋体"/>
        </w:rPr>
        <w:t>20年任意3个月的企业纳税证明</w:t>
      </w:r>
      <w:r>
        <w:rPr>
          <w:rFonts w:hint="eastAsia" w:hAnsi="宋体" w:cs="宋体"/>
        </w:rPr>
        <w:t>或者会计师事务所出具的2019年公司财务审计报告；</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480"/>
        <w:jc w:val="both"/>
        <w:rPr>
          <w:rFonts w:hAnsi="宋体"/>
        </w:rPr>
      </w:pPr>
      <w:r>
        <w:rPr>
          <w:rFonts w:hint="eastAsia" w:hAnsi="宋体"/>
        </w:rPr>
        <w:t>10、保证金缴费记录复印件</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480"/>
        <w:jc w:val="both"/>
        <w:rPr>
          <w:rFonts w:hAnsi="宋体"/>
        </w:rPr>
      </w:pPr>
      <w:r>
        <w:rPr>
          <w:rFonts w:hint="eastAsia" w:hAnsi="宋体"/>
        </w:rPr>
        <w:t>11、中小企业声明函</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480"/>
        <w:jc w:val="both"/>
        <w:rPr>
          <w:rFonts w:hAnsi="宋体"/>
        </w:rPr>
      </w:pPr>
      <w:r>
        <w:rPr>
          <w:rFonts w:hint="eastAsia" w:hAnsi="宋体"/>
        </w:rPr>
        <w:t>12、投标人参加本项目投标无串通投标行为的承诺函</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480"/>
        <w:jc w:val="both"/>
        <w:rPr>
          <w:rFonts w:hAnsi="宋体"/>
        </w:rPr>
      </w:pPr>
      <w:r>
        <w:rPr>
          <w:rFonts w:hint="eastAsia" w:hAnsi="宋体"/>
        </w:rPr>
        <w:t>13、根据招标文件要求，提供授权书、技术参数确认及售后服务承诺函</w:t>
      </w:r>
    </w:p>
    <w:p>
      <w:pPr>
        <w:spacing w:line="240" w:lineRule="auto"/>
        <w:ind w:firstLine="480"/>
        <w:rPr>
          <w:rFonts w:hAnsi="宋体" w:cs="宋体"/>
        </w:rPr>
      </w:pPr>
      <w:r>
        <w:rPr>
          <w:rFonts w:hint="eastAsia" w:hAnsi="宋体"/>
        </w:rPr>
        <w:t>14、</w:t>
      </w:r>
      <w:r>
        <w:rPr>
          <w:rFonts w:hint="eastAsia" w:hAnsi="宋体" w:cs="宋体"/>
          <w:kern w:val="2"/>
          <w:szCs w:val="24"/>
        </w:rPr>
        <w:t>供应商须提供在“信用中国”网站（www.creditchina.gov.cn）、中国政府采购网 （www.ccgp.gov.cn）没有列入失信被执行人、重大税收违法案件当事人名单、政府采购严重违法失信行为记录名单，提供网页查询结果合格的截图；</w:t>
      </w:r>
      <w:r>
        <w:rPr>
          <w:rFonts w:hAnsi="宋体" w:cs="宋体"/>
        </w:rPr>
        <w:t> </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480"/>
        <w:jc w:val="both"/>
        <w:rPr>
          <w:rFonts w:hAnsi="宋体"/>
        </w:rPr>
      </w:pPr>
      <w:r>
        <w:rPr>
          <w:rFonts w:hint="eastAsia" w:hAnsi="宋体"/>
        </w:rPr>
        <w:t>15、投标人投标时提供“国家企业信用信息公示系统”网站（http://www.gsxt.gov.cn/index.html）基础信息中的“股东及出资信息”和“主要人员信息”（提供信息查询结果界面截图，加盖投标人公章）；</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480"/>
        <w:jc w:val="both"/>
        <w:rPr>
          <w:rFonts w:hAnsi="宋体"/>
        </w:rPr>
      </w:pPr>
      <w:r>
        <w:rPr>
          <w:rFonts w:hint="eastAsia" w:hAnsi="宋体"/>
        </w:rPr>
        <w:t>16、投标时提供本项目投标被授权人近期任意一个月在投标人处缴纳的社保证明复印件；</w:t>
      </w:r>
      <w:r>
        <w:rPr>
          <w:rFonts w:hAnsi="宋体"/>
        </w:rPr>
        <w:t> </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480"/>
        <w:jc w:val="both"/>
        <w:rPr>
          <w:rFonts w:hAnsi="宋体"/>
        </w:rPr>
      </w:pPr>
      <w:r>
        <w:rPr>
          <w:rFonts w:hint="eastAsia" w:hAnsi="宋体"/>
        </w:rPr>
        <w:t>17、投标人认为需要的其它材料</w:t>
      </w:r>
    </w:p>
    <w:p>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480"/>
        <w:jc w:val="both"/>
        <w:rPr>
          <w:rFonts w:hAnsi="宋体"/>
        </w:rPr>
      </w:pPr>
      <w:r>
        <w:rPr>
          <w:rFonts w:hint="eastAsia" w:hAnsi="宋体"/>
        </w:rPr>
        <w:t>注：以上复印件均需要加盖公章</w:t>
      </w:r>
    </w:p>
    <w:p>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80"/>
        <w:jc w:val="both"/>
        <w:rPr>
          <w:rFonts w:hAnsi="宋体"/>
        </w:rPr>
      </w:pPr>
    </w:p>
    <w:p>
      <w:pPr>
        <w:shd w:val="clear" w:color="auto" w:fill="FFFFFF"/>
        <w:spacing w:line="500" w:lineRule="exact"/>
        <w:ind w:firstLine="3534" w:firstLineChars="1100"/>
        <w:jc w:val="both"/>
        <w:rPr>
          <w:rFonts w:hAnsi="宋体"/>
          <w:b/>
          <w:sz w:val="32"/>
          <w:szCs w:val="32"/>
        </w:rPr>
      </w:pPr>
    </w:p>
    <w:p>
      <w:pPr>
        <w:shd w:val="clear" w:color="auto" w:fill="FFFFFF"/>
        <w:spacing w:line="500" w:lineRule="exact"/>
        <w:ind w:firstLine="3534" w:firstLineChars="1100"/>
        <w:jc w:val="both"/>
        <w:rPr>
          <w:rFonts w:hAnsi="宋体"/>
          <w:b/>
          <w:sz w:val="32"/>
          <w:szCs w:val="32"/>
        </w:rPr>
      </w:pPr>
      <w:r>
        <w:rPr>
          <w:rFonts w:hint="eastAsia" w:hAnsi="宋体"/>
          <w:b/>
          <w:sz w:val="32"/>
          <w:szCs w:val="32"/>
        </w:rPr>
        <w:t>表</w:t>
      </w:r>
      <w:r>
        <w:rPr>
          <w:rFonts w:hAnsi="宋体"/>
          <w:b/>
          <w:sz w:val="32"/>
          <w:szCs w:val="32"/>
        </w:rPr>
        <w:t>1</w:t>
      </w:r>
      <w:r>
        <w:rPr>
          <w:rFonts w:hint="eastAsia" w:hAnsi="宋体"/>
          <w:b/>
          <w:sz w:val="32"/>
          <w:szCs w:val="32"/>
        </w:rPr>
        <w:t>、投标函</w:t>
      </w:r>
    </w:p>
    <w:p>
      <w:pPr>
        <w:shd w:val="clear" w:color="auto" w:fill="FFFFFF"/>
        <w:ind w:firstLine="480"/>
        <w:rPr>
          <w:rFonts w:hint="eastAsia"/>
        </w:rPr>
      </w:pPr>
    </w:p>
    <w:p>
      <w:pPr>
        <w:shd w:val="clear" w:color="auto" w:fill="FFFFFF"/>
        <w:snapToGrid w:val="0"/>
        <w:spacing w:before="19" w:line="480" w:lineRule="exact"/>
        <w:ind w:firstLine="562"/>
        <w:rPr>
          <w:rFonts w:hAnsi="宋体"/>
          <w:b/>
          <w:sz w:val="28"/>
        </w:rPr>
      </w:pPr>
      <w:r>
        <w:rPr>
          <w:rFonts w:hint="eastAsia" w:hAnsi="宋体"/>
          <w:b/>
          <w:sz w:val="28"/>
        </w:rPr>
        <w:t>致：海南政鼎招标代理有限公司</w:t>
      </w:r>
    </w:p>
    <w:p>
      <w:pPr>
        <w:shd w:val="clear" w:color="auto" w:fill="FFFFFF"/>
        <w:spacing w:before="19"/>
        <w:ind w:firstLine="480"/>
        <w:rPr>
          <w:rFonts w:hAnsi="宋体"/>
        </w:rPr>
      </w:pPr>
    </w:p>
    <w:p>
      <w:pPr>
        <w:shd w:val="clear" w:color="auto" w:fill="FFFFFF"/>
        <w:spacing w:before="19"/>
        <w:ind w:firstLine="480"/>
        <w:rPr>
          <w:rFonts w:hAnsi="宋体"/>
        </w:rPr>
      </w:pPr>
      <w:r>
        <w:rPr>
          <w:rFonts w:hint="eastAsia" w:hAnsi="宋体"/>
        </w:rPr>
        <w:t>根据贵单位项目编号为的投标邀请函，正式授权下述签字人（姓名和职务）代表投标人（投标单位名称）提交投标文件。</w:t>
      </w:r>
    </w:p>
    <w:p>
      <w:pPr>
        <w:shd w:val="clear" w:color="auto" w:fill="FFFFFF"/>
        <w:snapToGrid w:val="0"/>
        <w:spacing w:line="480" w:lineRule="exact"/>
        <w:ind w:firstLine="480"/>
        <w:rPr>
          <w:rFonts w:hAnsi="宋体"/>
        </w:rPr>
      </w:pPr>
      <w:r>
        <w:rPr>
          <w:rFonts w:hint="eastAsia" w:hAnsi="宋体"/>
        </w:rPr>
        <w:t>根据此函，我们宣布同意如下：</w:t>
      </w:r>
    </w:p>
    <w:p>
      <w:pPr>
        <w:shd w:val="clear" w:color="auto" w:fill="FFFFFF"/>
        <w:snapToGrid w:val="0"/>
        <w:spacing w:line="480" w:lineRule="exact"/>
        <w:ind w:firstLine="480"/>
        <w:rPr>
          <w:rFonts w:hAnsi="宋体"/>
        </w:rPr>
      </w:pPr>
      <w:r>
        <w:rPr>
          <w:rFonts w:hAnsi="宋体"/>
        </w:rPr>
        <w:t>1</w:t>
      </w:r>
      <w:r>
        <w:rPr>
          <w:rFonts w:hint="eastAsia" w:hAnsi="宋体"/>
        </w:rPr>
        <w:t>、我方接受招标文件的所有的条款和规定。</w:t>
      </w:r>
    </w:p>
    <w:p>
      <w:pPr>
        <w:shd w:val="clear" w:color="auto" w:fill="FFFFFF"/>
        <w:snapToGrid w:val="0"/>
        <w:spacing w:line="480" w:lineRule="exact"/>
        <w:ind w:firstLine="480"/>
        <w:rPr>
          <w:rFonts w:hAnsi="宋体"/>
        </w:rPr>
      </w:pPr>
      <w:r>
        <w:rPr>
          <w:rFonts w:hAnsi="宋体"/>
        </w:rPr>
        <w:t>2</w:t>
      </w:r>
      <w:r>
        <w:rPr>
          <w:rFonts w:hint="eastAsia" w:hAnsi="宋体"/>
        </w:rPr>
        <w:t>、我方同意按照招标文件第二章“投标人须知”的规定，本投标文件的有效期为从投标截止日期起计算的</w:t>
      </w:r>
      <w:r>
        <w:rPr>
          <w:rFonts w:hAnsi="宋体"/>
          <w:b/>
          <w:bCs/>
          <w:u w:val="single"/>
        </w:rPr>
        <w:t>60</w:t>
      </w:r>
      <w:r>
        <w:rPr>
          <w:rFonts w:hint="eastAsia" w:hAnsi="宋体"/>
          <w:u w:val="single"/>
        </w:rPr>
        <w:t>天</w:t>
      </w:r>
      <w:r>
        <w:rPr>
          <w:rFonts w:hint="eastAsia" w:hAnsi="宋体"/>
        </w:rPr>
        <w:t>，在此期间，本投标文件将始终对我方具有约束力，并可随时被接受。</w:t>
      </w:r>
    </w:p>
    <w:p>
      <w:pPr>
        <w:shd w:val="clear" w:color="auto" w:fill="FFFFFF"/>
        <w:snapToGrid w:val="0"/>
        <w:spacing w:line="480" w:lineRule="exact"/>
        <w:ind w:firstLine="480"/>
        <w:rPr>
          <w:rFonts w:hAnsi="宋体"/>
        </w:rPr>
      </w:pPr>
      <w:r>
        <w:rPr>
          <w:rFonts w:hAnsi="宋体"/>
        </w:rPr>
        <w:t>3</w:t>
      </w:r>
      <w:r>
        <w:rPr>
          <w:rFonts w:hint="eastAsia" w:hAnsi="宋体"/>
        </w:rPr>
        <w:t>、我们同意提供贵单位要求的有关本次投标的所有资料或证据，并保证资料、证据的真实有效性。</w:t>
      </w:r>
    </w:p>
    <w:p>
      <w:pPr>
        <w:shd w:val="clear" w:color="auto" w:fill="FFFFFF"/>
        <w:snapToGrid w:val="0"/>
        <w:spacing w:line="480" w:lineRule="exact"/>
        <w:ind w:firstLine="480"/>
        <w:rPr>
          <w:rFonts w:hAnsi="宋体"/>
        </w:rPr>
      </w:pPr>
      <w:r>
        <w:rPr>
          <w:rFonts w:hAnsi="宋体"/>
        </w:rPr>
        <w:t>4</w:t>
      </w:r>
      <w:r>
        <w:rPr>
          <w:rFonts w:hint="eastAsia" w:hAnsi="宋体"/>
        </w:rPr>
        <w:t>、我方完全理解贵方不一定要接受最低投标价的投标，即最低投标价不是中标的保证。</w:t>
      </w:r>
    </w:p>
    <w:p>
      <w:pPr>
        <w:shd w:val="clear" w:color="auto" w:fill="FFFFFF"/>
        <w:snapToGrid w:val="0"/>
        <w:spacing w:line="480" w:lineRule="exact"/>
        <w:ind w:firstLine="480"/>
        <w:rPr>
          <w:rFonts w:hAnsi="宋体"/>
        </w:rPr>
      </w:pPr>
      <w:r>
        <w:rPr>
          <w:rFonts w:hAnsi="宋体"/>
        </w:rPr>
        <w:t>5</w:t>
      </w:r>
      <w:r>
        <w:rPr>
          <w:rFonts w:hint="eastAsia" w:hAnsi="宋体"/>
        </w:rPr>
        <w:t>、如果我方中标，我们将根据招标文件的规定严格履行自己的责任和义务。</w:t>
      </w:r>
    </w:p>
    <w:p>
      <w:pPr>
        <w:shd w:val="clear" w:color="auto" w:fill="FFFFFF"/>
        <w:snapToGrid w:val="0"/>
        <w:spacing w:line="480" w:lineRule="exact"/>
        <w:ind w:firstLine="480"/>
        <w:rPr>
          <w:rFonts w:hAnsi="宋体"/>
        </w:rPr>
      </w:pPr>
      <w:r>
        <w:rPr>
          <w:rFonts w:hAnsi="宋体"/>
        </w:rPr>
        <w:t>6</w:t>
      </w:r>
      <w:r>
        <w:rPr>
          <w:rFonts w:hint="eastAsia" w:hAnsi="宋体"/>
        </w:rPr>
        <w:t>、如果我方中标，我方将支付本次招标的服务费。</w:t>
      </w:r>
    </w:p>
    <w:p>
      <w:pPr>
        <w:shd w:val="clear" w:color="auto" w:fill="FFFFFF"/>
        <w:snapToGrid w:val="0"/>
        <w:spacing w:line="480" w:lineRule="exact"/>
        <w:ind w:firstLine="480"/>
        <w:rPr>
          <w:rFonts w:hAnsi="宋体"/>
        </w:rPr>
      </w:pPr>
    </w:p>
    <w:p>
      <w:pPr>
        <w:shd w:val="clear" w:color="auto" w:fill="FFFFFF"/>
        <w:snapToGrid w:val="0"/>
        <w:ind w:firstLine="480"/>
        <w:rPr>
          <w:rFonts w:hAnsi="宋体"/>
        </w:rPr>
      </w:pPr>
      <w:r>
        <w:rPr>
          <w:rFonts w:hint="eastAsia" w:hAnsi="宋体"/>
        </w:rPr>
        <w:t>投标人名称：</w:t>
      </w:r>
      <w:r>
        <w:rPr>
          <w:rFonts w:hint="eastAsia" w:hAnsi="宋体"/>
          <w:u w:val="single"/>
        </w:rPr>
        <w:t>（公章）</w:t>
      </w:r>
    </w:p>
    <w:p>
      <w:pPr>
        <w:shd w:val="clear" w:color="auto" w:fill="FFFFFF"/>
        <w:snapToGrid w:val="0"/>
        <w:ind w:firstLine="480"/>
        <w:rPr>
          <w:rFonts w:hAnsi="宋体"/>
          <w:u w:val="single"/>
        </w:rPr>
      </w:pPr>
      <w:r>
        <w:rPr>
          <w:rFonts w:hint="eastAsia" w:hAnsi="宋体"/>
        </w:rPr>
        <w:t>地址：邮编：</w:t>
      </w:r>
    </w:p>
    <w:p>
      <w:pPr>
        <w:shd w:val="clear" w:color="auto" w:fill="FFFFFF"/>
        <w:snapToGrid w:val="0"/>
        <w:ind w:firstLine="480"/>
        <w:rPr>
          <w:rFonts w:hAnsi="宋体"/>
          <w:u w:val="single"/>
        </w:rPr>
      </w:pPr>
      <w:r>
        <w:rPr>
          <w:rFonts w:hint="eastAsia" w:hAnsi="宋体"/>
        </w:rPr>
        <w:t>电话：传真：</w:t>
      </w:r>
    </w:p>
    <w:p>
      <w:pPr>
        <w:shd w:val="clear" w:color="auto" w:fill="FFFFFF"/>
        <w:snapToGrid w:val="0"/>
        <w:ind w:firstLine="480"/>
        <w:rPr>
          <w:rFonts w:hAnsi="宋体"/>
          <w:u w:val="single"/>
        </w:rPr>
      </w:pPr>
      <w:r>
        <w:rPr>
          <w:rFonts w:hint="eastAsia" w:hAnsi="宋体"/>
        </w:rPr>
        <w:t>授权代表：</w:t>
      </w:r>
      <w:r>
        <w:rPr>
          <w:rFonts w:hint="eastAsia" w:hAnsi="宋体"/>
          <w:u w:val="single"/>
        </w:rPr>
        <w:t>（签字或私章）</w:t>
      </w:r>
      <w:r>
        <w:rPr>
          <w:rFonts w:hint="eastAsia" w:hAnsi="宋体"/>
        </w:rPr>
        <w:t>职务：</w:t>
      </w:r>
    </w:p>
    <w:p>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80"/>
        <w:jc w:val="both"/>
        <w:rPr>
          <w:rFonts w:hAnsi="宋体"/>
          <w:u w:val="single"/>
        </w:rPr>
      </w:pPr>
      <w:r>
        <w:rPr>
          <w:rFonts w:hint="eastAsia" w:hAnsi="宋体"/>
        </w:rPr>
        <w:t>日期：</w:t>
      </w:r>
    </w:p>
    <w:p>
      <w:pPr>
        <w:shd w:val="clear" w:color="auto" w:fill="FFFFFF"/>
        <w:topLinePunct/>
        <w:spacing w:before="4"/>
        <w:ind w:firstLine="480"/>
        <w:rPr>
          <w:rFonts w:hAnsi="宋体"/>
        </w:rPr>
      </w:pPr>
    </w:p>
    <w:p>
      <w:pPr>
        <w:pageBreakBefore/>
        <w:snapToGrid w:val="0"/>
        <w:ind w:firstLine="643"/>
        <w:jc w:val="both"/>
        <w:rPr>
          <w:rFonts w:hAnsi="宋体"/>
          <w:u w:val="single"/>
        </w:rPr>
      </w:pPr>
      <w:r>
        <w:rPr>
          <w:rFonts w:hAnsi="宋体"/>
          <w:b/>
          <w:sz w:val="32"/>
          <w:szCs w:val="32"/>
        </w:rPr>
        <w:t xml:space="preserve">                </w:t>
      </w:r>
      <w:r>
        <w:rPr>
          <w:rFonts w:hint="eastAsia" w:hAnsi="宋体"/>
          <w:b/>
          <w:sz w:val="32"/>
          <w:szCs w:val="32"/>
        </w:rPr>
        <w:t>表</w:t>
      </w:r>
      <w:r>
        <w:rPr>
          <w:rFonts w:hAnsi="宋体"/>
          <w:b/>
          <w:sz w:val="32"/>
          <w:szCs w:val="32"/>
        </w:rPr>
        <w:t>2</w:t>
      </w:r>
      <w:r>
        <w:rPr>
          <w:rFonts w:hint="eastAsia" w:hAnsi="宋体"/>
          <w:b/>
          <w:sz w:val="32"/>
          <w:szCs w:val="32"/>
        </w:rPr>
        <w:t>、开标一览表</w:t>
      </w:r>
    </w:p>
    <w:p>
      <w:pPr>
        <w:shd w:val="clear" w:color="auto" w:fill="FFFFFF"/>
        <w:snapToGrid w:val="0"/>
        <w:ind w:left="1680" w:leftChars="200" w:hanging="1200" w:hangingChars="500"/>
        <w:rPr>
          <w:rFonts w:hAnsi="宋体"/>
        </w:rPr>
      </w:pPr>
    </w:p>
    <w:p>
      <w:pPr>
        <w:shd w:val="clear" w:color="auto" w:fill="FFFFFF"/>
        <w:snapToGrid w:val="0"/>
        <w:ind w:firstLine="0" w:firstLineChars="0"/>
        <w:rPr>
          <w:rFonts w:hAnsi="宋体"/>
          <w:kern w:val="28"/>
          <w:szCs w:val="24"/>
        </w:rPr>
      </w:pPr>
      <w:r>
        <w:rPr>
          <w:rFonts w:hint="eastAsia" w:hAnsi="宋体"/>
        </w:rPr>
        <w:t>项目名称：</w:t>
      </w:r>
      <w:r>
        <w:rPr>
          <w:rFonts w:hint="eastAsia" w:hAnsi="宋体"/>
          <w:u w:val="single"/>
        </w:rPr>
        <w:t>地理信息系统实验室建设项目</w:t>
      </w:r>
      <w:r>
        <w:rPr>
          <w:rFonts w:hint="eastAsia" w:hAnsi="宋体"/>
          <w:kern w:val="28"/>
          <w:szCs w:val="24"/>
        </w:rPr>
        <w:t xml:space="preserve"> </w:t>
      </w:r>
    </w:p>
    <w:p>
      <w:pPr>
        <w:shd w:val="clear" w:color="auto" w:fill="FFFFFF"/>
        <w:ind w:firstLine="0" w:firstLineChars="0"/>
        <w:rPr>
          <w:rFonts w:hAnsi="宋体"/>
          <w:b/>
          <w:bCs/>
          <w:snapToGrid w:val="0"/>
        </w:rPr>
      </w:pPr>
      <w:r>
        <w:rPr>
          <w:rFonts w:hint="eastAsia" w:hAnsi="宋体"/>
        </w:rPr>
        <w:t>项目编号：</w:t>
      </w:r>
      <w:r>
        <w:rPr>
          <w:rFonts w:hAnsi="宋体"/>
          <w:u w:val="single"/>
        </w:rPr>
        <w:t>ZD20</w:t>
      </w:r>
      <w:r>
        <w:rPr>
          <w:rFonts w:hint="eastAsia" w:hAnsi="宋体"/>
          <w:u w:val="single"/>
        </w:rPr>
        <w:t>20</w:t>
      </w:r>
      <w:r>
        <w:rPr>
          <w:rFonts w:hAnsi="宋体"/>
          <w:u w:val="single"/>
        </w:rPr>
        <w:t>-</w:t>
      </w:r>
      <w:r>
        <w:rPr>
          <w:rFonts w:hint="eastAsia" w:hAnsi="宋体"/>
          <w:u w:val="single"/>
        </w:rPr>
        <w:t>640</w:t>
      </w:r>
    </w:p>
    <w:tbl>
      <w:tblPr>
        <w:tblStyle w:val="15"/>
        <w:tblW w:w="8934" w:type="dxa"/>
        <w:jc w:val="center"/>
        <w:tblLayout w:type="fixed"/>
        <w:tblCellMar>
          <w:top w:w="0" w:type="dxa"/>
          <w:left w:w="108" w:type="dxa"/>
          <w:bottom w:w="0" w:type="dxa"/>
          <w:right w:w="108" w:type="dxa"/>
        </w:tblCellMar>
      </w:tblPr>
      <w:tblGrid>
        <w:gridCol w:w="2197"/>
        <w:gridCol w:w="6737"/>
      </w:tblGrid>
      <w:tr>
        <w:trPr>
          <w:trHeight w:val="563"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ind w:firstLine="480"/>
              <w:rPr>
                <w:rFonts w:hAnsi="宋体"/>
                <w:snapToGrid w:val="0"/>
              </w:rPr>
            </w:pPr>
            <w:r>
              <w:rPr>
                <w:rFonts w:hint="eastAsia" w:hAnsi="宋体"/>
                <w:snapToGrid w:val="0"/>
              </w:rPr>
              <w:t>项目名称</w:t>
            </w:r>
            <w:r>
              <w:rPr>
                <w:rFonts w:hAnsi="宋体"/>
                <w:snapToGrid w:val="0"/>
              </w:rPr>
              <w:t>/</w:t>
            </w:r>
            <w:r>
              <w:rPr>
                <w:rFonts w:hint="eastAsia" w:hAnsi="宋体"/>
              </w:rPr>
              <w:t>包</w:t>
            </w:r>
          </w:p>
        </w:tc>
        <w:tc>
          <w:tcPr>
            <w:tcW w:w="6737" w:type="dxa"/>
            <w:tcBorders>
              <w:top w:val="single" w:color="auto" w:sz="4" w:space="0"/>
              <w:left w:val="single" w:color="auto" w:sz="4" w:space="0"/>
              <w:bottom w:val="single" w:color="auto" w:sz="4" w:space="0"/>
              <w:right w:val="single" w:color="auto" w:sz="4" w:space="0"/>
            </w:tcBorders>
            <w:vAlign w:val="center"/>
          </w:tcPr>
          <w:p>
            <w:pPr>
              <w:ind w:firstLine="480"/>
              <w:rPr>
                <w:rFonts w:hAnsi="宋体"/>
                <w:snapToGrid w:val="0"/>
              </w:rPr>
            </w:pPr>
          </w:p>
        </w:tc>
      </w:tr>
      <w:tr>
        <w:tblPrEx>
          <w:tblCellMar>
            <w:top w:w="0" w:type="dxa"/>
            <w:left w:w="108" w:type="dxa"/>
            <w:bottom w:w="0" w:type="dxa"/>
            <w:right w:w="108" w:type="dxa"/>
          </w:tblCellMar>
        </w:tblPrEx>
        <w:trPr>
          <w:trHeight w:val="1707"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ind w:firstLine="480"/>
              <w:rPr>
                <w:rFonts w:hAnsi="宋体"/>
                <w:snapToGrid w:val="0"/>
              </w:rPr>
            </w:pPr>
            <w:r>
              <w:rPr>
                <w:rFonts w:hint="eastAsia" w:hAnsi="宋体"/>
                <w:snapToGrid w:val="0"/>
              </w:rPr>
              <w:t>投标报价</w:t>
            </w:r>
          </w:p>
          <w:p>
            <w:pPr>
              <w:ind w:firstLine="480"/>
              <w:rPr>
                <w:rFonts w:hAnsi="宋体"/>
                <w:snapToGrid w:val="0"/>
              </w:rPr>
            </w:pPr>
            <w:r>
              <w:rPr>
                <w:rFonts w:hint="eastAsia" w:hAnsi="宋体"/>
                <w:snapToGrid w:val="0"/>
              </w:rPr>
              <w:t>总计</w:t>
            </w:r>
          </w:p>
        </w:tc>
        <w:tc>
          <w:tcPr>
            <w:tcW w:w="6737" w:type="dxa"/>
            <w:tcBorders>
              <w:top w:val="single" w:color="auto" w:sz="4" w:space="0"/>
              <w:left w:val="single" w:color="auto" w:sz="4" w:space="0"/>
              <w:bottom w:val="single" w:color="auto" w:sz="4" w:space="0"/>
              <w:right w:val="single" w:color="auto" w:sz="4" w:space="0"/>
            </w:tcBorders>
            <w:vAlign w:val="center"/>
          </w:tcPr>
          <w:p>
            <w:pPr>
              <w:ind w:firstLine="480"/>
              <w:rPr>
                <w:rFonts w:hAnsi="宋体"/>
                <w:snapToGrid w:val="0"/>
              </w:rPr>
            </w:pPr>
          </w:p>
          <w:p>
            <w:pPr>
              <w:ind w:firstLine="480"/>
              <w:rPr>
                <w:rFonts w:hAnsi="宋体"/>
                <w:snapToGrid w:val="0"/>
              </w:rPr>
            </w:pPr>
            <w:r>
              <w:rPr>
                <w:rFonts w:hint="eastAsia" w:hAnsi="宋体"/>
                <w:snapToGrid w:val="0"/>
              </w:rPr>
              <w:t>（小写）</w:t>
            </w:r>
            <w:r>
              <w:rPr>
                <w:rFonts w:hAnsi="宋体"/>
                <w:snapToGrid w:val="0"/>
                <w:u w:val="single"/>
              </w:rPr>
              <w:t xml:space="preserve">               </w:t>
            </w:r>
            <w:r>
              <w:rPr>
                <w:rFonts w:hAnsi="宋体"/>
                <w:snapToGrid w:val="0"/>
              </w:rPr>
              <w:t xml:space="preserve">                                                                                                  </w:t>
            </w:r>
          </w:p>
          <w:p>
            <w:pPr>
              <w:ind w:firstLine="480"/>
              <w:rPr>
                <w:rFonts w:hAnsi="宋体"/>
                <w:snapToGrid w:val="0"/>
              </w:rPr>
            </w:pPr>
            <w:r>
              <w:rPr>
                <w:rFonts w:hint="eastAsia" w:hAnsi="宋体"/>
                <w:snapToGrid w:val="0"/>
              </w:rPr>
              <w:t>（大写）</w:t>
            </w:r>
            <w:r>
              <w:rPr>
                <w:rFonts w:hAnsi="宋体"/>
                <w:snapToGrid w:val="0"/>
                <w:u w:val="single"/>
              </w:rPr>
              <w:t xml:space="preserve">               </w:t>
            </w:r>
          </w:p>
          <w:p>
            <w:pPr>
              <w:ind w:firstLine="480"/>
              <w:rPr>
                <w:rFonts w:hAnsi="宋体"/>
                <w:snapToGrid w:val="0"/>
              </w:rPr>
            </w:pPr>
            <w:r>
              <w:rPr>
                <w:rFonts w:hAnsi="宋体"/>
                <w:snapToGrid w:val="0"/>
              </w:rPr>
              <w:t xml:space="preserve"> </w:t>
            </w:r>
          </w:p>
        </w:tc>
      </w:tr>
      <w:tr>
        <w:tblPrEx>
          <w:tblCellMar>
            <w:top w:w="0" w:type="dxa"/>
            <w:left w:w="108" w:type="dxa"/>
            <w:bottom w:w="0" w:type="dxa"/>
            <w:right w:w="108" w:type="dxa"/>
          </w:tblCellMar>
        </w:tblPrEx>
        <w:trPr>
          <w:trHeight w:val="946"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ind w:firstLine="480"/>
              <w:rPr>
                <w:rFonts w:hAnsi="宋体"/>
                <w:snapToGrid w:val="0"/>
              </w:rPr>
            </w:pPr>
            <w:r>
              <w:rPr>
                <w:rFonts w:hint="eastAsia" w:hAnsi="宋体"/>
                <w:snapToGrid w:val="0"/>
              </w:rPr>
              <w:t>交付时间</w:t>
            </w:r>
          </w:p>
        </w:tc>
        <w:tc>
          <w:tcPr>
            <w:tcW w:w="673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240" w:lineRule="auto"/>
              <w:ind w:firstLine="240" w:firstLineChars="100"/>
              <w:rPr>
                <w:rFonts w:hAnsi="宋体"/>
                <w:kern w:val="28"/>
                <w:szCs w:val="24"/>
              </w:rPr>
            </w:pPr>
          </w:p>
          <w:p>
            <w:pPr>
              <w:shd w:val="clear" w:color="auto" w:fill="FFFFFF"/>
              <w:snapToGrid w:val="0"/>
              <w:spacing w:line="240" w:lineRule="auto"/>
              <w:ind w:firstLine="240" w:firstLineChars="100"/>
              <w:rPr>
                <w:rFonts w:ascii="Times New Roman" w:hAnsi="Times New Roman"/>
                <w:szCs w:val="24"/>
              </w:rPr>
            </w:pPr>
            <w:r>
              <w:rPr>
                <w:rFonts w:hint="eastAsia" w:hAnsi="宋体"/>
                <w:kern w:val="28"/>
                <w:szCs w:val="24"/>
              </w:rPr>
              <w:t>地理信息系统实验室建设项目</w:t>
            </w:r>
            <w:r>
              <w:rPr>
                <w:rFonts w:hint="eastAsia" w:hAnsi="宋体"/>
                <w:snapToGrid w:val="0"/>
              </w:rPr>
              <w:t>供货完成时间：签订采购合同之日起</w:t>
            </w:r>
            <w:r>
              <w:rPr>
                <w:rFonts w:hint="eastAsia" w:hAnsi="宋体"/>
                <w:snapToGrid w:val="0"/>
                <w:u w:val="single"/>
              </w:rPr>
              <w:t xml:space="preserve">    </w:t>
            </w:r>
            <w:r>
              <w:rPr>
                <w:rFonts w:hint="eastAsia" w:hAnsi="宋体"/>
                <w:snapToGrid w:val="0"/>
              </w:rPr>
              <w:t>天内完成</w:t>
            </w:r>
            <w:r>
              <w:rPr>
                <w:rFonts w:hint="eastAsia" w:ascii="Times New Roman" w:hAnsi="Times New Roman"/>
                <w:szCs w:val="24"/>
              </w:rPr>
              <w:t>。</w:t>
            </w:r>
          </w:p>
          <w:p>
            <w:pPr>
              <w:shd w:val="clear" w:color="auto" w:fill="FFFFFF"/>
              <w:snapToGrid w:val="0"/>
              <w:spacing w:line="240" w:lineRule="auto"/>
              <w:ind w:firstLine="0" w:firstLineChars="0"/>
              <w:rPr>
                <w:rFonts w:hAnsi="宋体"/>
                <w:snapToGrid w:val="0"/>
              </w:rPr>
            </w:pPr>
          </w:p>
        </w:tc>
      </w:tr>
    </w:tbl>
    <w:p>
      <w:pPr>
        <w:ind w:firstLine="120" w:firstLineChars="50"/>
        <w:rPr>
          <w:rFonts w:hAnsi="宋体"/>
          <w:snapToGrid w:val="0"/>
        </w:rPr>
      </w:pPr>
      <w:r>
        <w:rPr>
          <w:rFonts w:hAnsi="宋体"/>
          <w:snapToGrid w:val="0"/>
        </w:rPr>
        <w:t xml:space="preserve">        </w:t>
      </w:r>
    </w:p>
    <w:p>
      <w:pPr>
        <w:ind w:firstLine="600" w:firstLineChars="250"/>
        <w:rPr>
          <w:rFonts w:hAnsi="宋体"/>
          <w:snapToGrid w:val="0"/>
        </w:rPr>
      </w:pPr>
      <w:r>
        <w:rPr>
          <w:rFonts w:hint="eastAsia" w:hAnsi="宋体"/>
          <w:snapToGrid w:val="0"/>
        </w:rPr>
        <w:t>投标单位全称：（盖章</w:t>
      </w:r>
      <w:r>
        <w:rPr>
          <w:rFonts w:hint="eastAsia" w:hAnsi="宋体"/>
        </w:rPr>
        <w:t xml:space="preserve">）              </w:t>
      </w:r>
    </w:p>
    <w:p>
      <w:pPr>
        <w:ind w:firstLine="480"/>
        <w:rPr>
          <w:rFonts w:hAnsi="宋体"/>
          <w:snapToGrid w:val="0"/>
        </w:rPr>
      </w:pPr>
      <w:r>
        <w:rPr>
          <w:rFonts w:hAnsi="宋体"/>
          <w:snapToGrid w:val="0"/>
        </w:rPr>
        <w:t xml:space="preserve">    </w:t>
      </w:r>
      <w:r>
        <w:rPr>
          <w:rFonts w:hint="eastAsia" w:hAnsi="宋体"/>
          <w:snapToGrid w:val="0"/>
        </w:rPr>
        <w:t>全权代表：</w:t>
      </w:r>
    </w:p>
    <w:p>
      <w:pPr>
        <w:snapToGrid w:val="0"/>
        <w:ind w:firstLine="120" w:firstLineChars="50"/>
        <w:rPr>
          <w:rFonts w:hAnsi="宋体"/>
        </w:rPr>
      </w:pPr>
      <w:r>
        <w:rPr>
          <w:rFonts w:hAnsi="宋体"/>
        </w:rPr>
        <w:t xml:space="preserve">       </w:t>
      </w:r>
      <w:r>
        <w:rPr>
          <w:rFonts w:hint="eastAsia" w:hAnsi="宋体"/>
        </w:rPr>
        <w:t>日</w:t>
      </w:r>
      <w:r>
        <w:rPr>
          <w:rFonts w:hAnsi="宋体"/>
        </w:rPr>
        <w:t xml:space="preserve">    </w:t>
      </w:r>
      <w:r>
        <w:rPr>
          <w:rFonts w:hint="eastAsia" w:hAnsi="宋体"/>
        </w:rPr>
        <w:t>期：</w:t>
      </w:r>
    </w:p>
    <w:p>
      <w:pPr>
        <w:ind w:left="823" w:hanging="823" w:hangingChars="343"/>
        <w:rPr>
          <w:rFonts w:hAnsi="宋体"/>
          <w:b/>
          <w:bCs/>
        </w:rPr>
      </w:pPr>
      <w:r>
        <w:rPr>
          <w:rFonts w:hAnsi="宋体"/>
          <w:snapToGrid w:val="0"/>
        </w:rPr>
        <w:t xml:space="preserve"> </w:t>
      </w:r>
    </w:p>
    <w:p>
      <w:pPr>
        <w:shd w:val="clear" w:color="auto" w:fill="FFFFFF"/>
        <w:spacing w:before="19"/>
        <w:ind w:firstLine="480"/>
        <w:rPr>
          <w:rFonts w:hAnsi="宋体"/>
        </w:rPr>
      </w:pPr>
    </w:p>
    <w:p>
      <w:pPr>
        <w:shd w:val="clear" w:color="auto" w:fill="FFFFFF"/>
        <w:tabs>
          <w:tab w:val="left" w:pos="360"/>
        </w:tabs>
        <w:spacing w:before="67"/>
        <w:ind w:firstLine="482"/>
        <w:rPr>
          <w:rFonts w:hAnsi="宋体"/>
          <w:b/>
        </w:rPr>
      </w:pPr>
      <w:r>
        <w:rPr>
          <w:rFonts w:hint="eastAsia" w:hAnsi="宋体"/>
          <w:b/>
        </w:rPr>
        <w:t>注</w:t>
      </w:r>
      <w:r>
        <w:rPr>
          <w:rFonts w:hAnsi="宋体"/>
          <w:b/>
        </w:rPr>
        <w:t>:1</w:t>
      </w:r>
      <w:r>
        <w:rPr>
          <w:rFonts w:hint="eastAsia" w:hAnsi="宋体"/>
          <w:b/>
        </w:rPr>
        <w:t>、投标总金额包括本招标书中要求的所有服务、税等费用；</w:t>
      </w:r>
    </w:p>
    <w:p>
      <w:pPr>
        <w:numPr>
          <w:ilvl w:val="0"/>
          <w:numId w:val="3"/>
        </w:numPr>
        <w:shd w:val="clear" w:color="auto" w:fill="FFFFFF"/>
        <w:ind w:left="368" w:firstLine="472" w:firstLineChars="196"/>
        <w:rPr>
          <w:rFonts w:hAnsi="宋体"/>
          <w:b/>
        </w:rPr>
      </w:pPr>
      <w:r>
        <w:rPr>
          <w:rFonts w:hint="eastAsia" w:hAnsi="宋体"/>
          <w:b/>
        </w:rPr>
        <w:t>开标一览表格式不得自行改动。</w:t>
      </w:r>
    </w:p>
    <w:p>
      <w:pPr>
        <w:shd w:val="clear" w:color="auto" w:fill="FFFFFF"/>
        <w:ind w:left="470" w:leftChars="196" w:firstLine="0" w:firstLineChars="0"/>
        <w:rPr>
          <w:rFonts w:hAnsi="宋体"/>
          <w:b/>
        </w:rPr>
      </w:pPr>
    </w:p>
    <w:p>
      <w:pPr>
        <w:shd w:val="clear" w:color="auto" w:fill="FFFFFF"/>
        <w:ind w:firstLine="482"/>
        <w:rPr>
          <w:rFonts w:hAnsi="宋体"/>
          <w:b/>
        </w:rPr>
      </w:pPr>
    </w:p>
    <w:p>
      <w:pPr>
        <w:shd w:val="clear" w:color="auto" w:fill="FFFFFF"/>
        <w:snapToGrid w:val="0"/>
        <w:spacing w:after="100" w:afterAutospacing="1"/>
        <w:ind w:firstLine="472" w:firstLineChars="196"/>
        <w:rPr>
          <w:rFonts w:hAnsi="宋体"/>
          <w:b/>
          <w:szCs w:val="24"/>
        </w:rPr>
      </w:pPr>
    </w:p>
    <w:p>
      <w:pPr>
        <w:shd w:val="clear" w:color="auto" w:fill="FFFFFF"/>
        <w:snapToGrid w:val="0"/>
        <w:spacing w:after="100" w:afterAutospacing="1"/>
        <w:ind w:firstLine="472" w:firstLineChars="196"/>
        <w:rPr>
          <w:rFonts w:hAnsi="宋体"/>
          <w:b/>
          <w:szCs w:val="24"/>
        </w:rPr>
      </w:pPr>
    </w:p>
    <w:p>
      <w:pPr>
        <w:shd w:val="clear" w:color="auto" w:fill="FFFFFF"/>
        <w:snapToGrid w:val="0"/>
        <w:spacing w:after="100" w:afterAutospacing="1"/>
        <w:ind w:firstLine="472" w:firstLineChars="196"/>
        <w:rPr>
          <w:rFonts w:hAnsi="宋体"/>
          <w:b/>
          <w:szCs w:val="24"/>
        </w:rPr>
      </w:pPr>
    </w:p>
    <w:p>
      <w:pPr>
        <w:shd w:val="clear" w:color="auto" w:fill="FFFFFF"/>
        <w:ind w:firstLine="472" w:firstLineChars="196"/>
        <w:rPr>
          <w:rFonts w:hAnsi="宋体"/>
          <w:b/>
        </w:rPr>
      </w:pPr>
      <w:r>
        <w:rPr>
          <w:rFonts w:hAnsi="宋体"/>
          <w:b/>
        </w:rPr>
        <w:br w:type="page"/>
      </w:r>
    </w:p>
    <w:p>
      <w:pPr>
        <w:ind w:firstLine="2891" w:firstLineChars="900"/>
        <w:rPr>
          <w:rFonts w:ascii="仿宋_GB2312" w:hAnsi="仿宋_GB2312" w:eastAsia="仿宋_GB2312" w:cs="仿宋_GB2312"/>
          <w:b/>
          <w:sz w:val="32"/>
          <w:szCs w:val="32"/>
        </w:rPr>
      </w:pPr>
      <w:bookmarkStart w:id="61" w:name="OLE_LINK16"/>
      <w:r>
        <w:rPr>
          <w:rFonts w:hint="eastAsia" w:hAnsi="宋体"/>
          <w:b/>
          <w:sz w:val="32"/>
          <w:szCs w:val="32"/>
        </w:rPr>
        <w:t>表</w:t>
      </w:r>
      <w:r>
        <w:rPr>
          <w:rFonts w:hAnsi="宋体"/>
          <w:b/>
          <w:sz w:val="32"/>
          <w:szCs w:val="32"/>
        </w:rPr>
        <w:t>3</w:t>
      </w:r>
      <w:r>
        <w:rPr>
          <w:rFonts w:hint="eastAsia" w:hAnsi="宋体"/>
          <w:b/>
          <w:sz w:val="32"/>
          <w:szCs w:val="32"/>
        </w:rPr>
        <w:t>、投标报价明细表</w:t>
      </w:r>
    </w:p>
    <w:bookmarkEnd w:id="61"/>
    <w:p>
      <w:pPr>
        <w:shd w:val="clear" w:color="auto" w:fill="FFFFFF"/>
        <w:snapToGrid w:val="0"/>
        <w:ind w:left="1205" w:hanging="1205" w:hangingChars="500"/>
        <w:rPr>
          <w:rFonts w:hAnsi="宋体"/>
          <w:b/>
          <w:bCs/>
        </w:rPr>
      </w:pPr>
    </w:p>
    <w:p>
      <w:pPr>
        <w:shd w:val="clear" w:color="auto" w:fill="FFFFFF"/>
        <w:snapToGrid w:val="0"/>
        <w:ind w:left="1205" w:hanging="1205" w:hangingChars="500"/>
        <w:rPr>
          <w:rFonts w:hAnsi="宋体"/>
        </w:rPr>
      </w:pPr>
      <w:r>
        <w:rPr>
          <w:rFonts w:hint="eastAsia" w:hAnsi="宋体"/>
          <w:b/>
          <w:bCs/>
        </w:rPr>
        <w:t>项目名称：             项目编号</w:t>
      </w:r>
      <w:bookmarkStart w:id="62" w:name="OLE_LINK14"/>
      <w:r>
        <w:rPr>
          <w:rFonts w:hint="eastAsia" w:hAnsi="宋体"/>
          <w:b/>
          <w:bCs/>
        </w:rPr>
        <w:t>：</w:t>
      </w:r>
      <w:bookmarkEnd w:id="62"/>
      <w:r>
        <w:rPr>
          <w:rFonts w:hint="eastAsia" w:hAnsi="宋体"/>
          <w:b/>
          <w:bCs/>
        </w:rPr>
        <w:t xml:space="preserve">           包号：</w:t>
      </w:r>
    </w:p>
    <w:tbl>
      <w:tblPr>
        <w:tblStyle w:val="15"/>
        <w:tblW w:w="0" w:type="auto"/>
        <w:tblInd w:w="-199" w:type="dxa"/>
        <w:tblLayout w:type="fixed"/>
        <w:tblCellMar>
          <w:top w:w="0" w:type="dxa"/>
          <w:left w:w="54" w:type="dxa"/>
          <w:bottom w:w="0" w:type="dxa"/>
          <w:right w:w="54" w:type="dxa"/>
        </w:tblCellMar>
      </w:tblPr>
      <w:tblGrid>
        <w:gridCol w:w="797"/>
        <w:gridCol w:w="1109"/>
        <w:gridCol w:w="1168"/>
        <w:gridCol w:w="765"/>
        <w:gridCol w:w="1314"/>
        <w:gridCol w:w="724"/>
        <w:gridCol w:w="745"/>
        <w:gridCol w:w="682"/>
        <w:gridCol w:w="1153"/>
      </w:tblGrid>
      <w:tr>
        <w:tblPrEx>
          <w:tblCellMar>
            <w:top w:w="0" w:type="dxa"/>
            <w:left w:w="54" w:type="dxa"/>
            <w:bottom w:w="0" w:type="dxa"/>
            <w:right w:w="54" w:type="dxa"/>
          </w:tblCellMar>
        </w:tblPrEx>
        <w:trPr>
          <w:cantSplit/>
          <w:trHeight w:val="499" w:hRule="atLeast"/>
        </w:trPr>
        <w:tc>
          <w:tcPr>
            <w:tcW w:w="797" w:type="dxa"/>
            <w:tcBorders>
              <w:top w:val="single" w:color="auto" w:sz="6" w:space="0"/>
              <w:left w:val="single" w:color="auto" w:sz="6" w:space="0"/>
              <w:bottom w:val="single" w:color="auto" w:sz="6" w:space="0"/>
              <w:right w:val="single" w:color="auto" w:sz="6" w:space="0"/>
            </w:tcBorders>
            <w:vAlign w:val="center"/>
          </w:tcPr>
          <w:p>
            <w:pPr>
              <w:shd w:val="clear" w:color="auto" w:fill="FFFFFF"/>
              <w:snapToGrid w:val="0"/>
              <w:ind w:left="1205" w:hanging="1205" w:hangingChars="500"/>
              <w:jc w:val="center"/>
              <w:rPr>
                <w:rFonts w:hAnsi="宋体"/>
                <w:b/>
                <w:bCs/>
              </w:rPr>
            </w:pPr>
            <w:r>
              <w:rPr>
                <w:rFonts w:hint="eastAsia" w:hAnsi="宋体"/>
                <w:b/>
                <w:bCs/>
              </w:rPr>
              <w:t>序号</w:t>
            </w:r>
          </w:p>
        </w:tc>
        <w:tc>
          <w:tcPr>
            <w:tcW w:w="1109" w:type="dxa"/>
            <w:tcBorders>
              <w:top w:val="single" w:color="auto" w:sz="6" w:space="0"/>
              <w:left w:val="single" w:color="auto" w:sz="6" w:space="0"/>
              <w:bottom w:val="single" w:color="auto" w:sz="6" w:space="0"/>
              <w:right w:val="single" w:color="auto" w:sz="6" w:space="0"/>
            </w:tcBorders>
            <w:vAlign w:val="center"/>
          </w:tcPr>
          <w:p>
            <w:pPr>
              <w:shd w:val="clear" w:color="auto" w:fill="FFFFFF"/>
              <w:snapToGrid w:val="0"/>
              <w:ind w:left="1205" w:hanging="1205" w:hangingChars="500"/>
              <w:rPr>
                <w:rFonts w:hAnsi="宋体"/>
                <w:b/>
                <w:bCs/>
              </w:rPr>
            </w:pPr>
            <w:r>
              <w:rPr>
                <w:rFonts w:hint="eastAsia" w:hAnsi="宋体"/>
                <w:b/>
                <w:bCs/>
              </w:rPr>
              <w:t>项目名称</w:t>
            </w:r>
          </w:p>
        </w:tc>
        <w:tc>
          <w:tcPr>
            <w:tcW w:w="1168" w:type="dxa"/>
            <w:tcBorders>
              <w:top w:val="single" w:color="auto" w:sz="6" w:space="0"/>
              <w:left w:val="single" w:color="auto" w:sz="6" w:space="0"/>
              <w:bottom w:val="single" w:color="auto" w:sz="6" w:space="0"/>
              <w:right w:val="single" w:color="auto" w:sz="6" w:space="0"/>
            </w:tcBorders>
            <w:vAlign w:val="center"/>
          </w:tcPr>
          <w:p>
            <w:pPr>
              <w:shd w:val="clear" w:color="auto" w:fill="FFFFFF"/>
              <w:snapToGrid w:val="0"/>
              <w:ind w:left="1205" w:hanging="1205" w:hangingChars="500"/>
              <w:rPr>
                <w:rFonts w:hAnsi="宋体"/>
                <w:b/>
                <w:bCs/>
              </w:rPr>
            </w:pPr>
            <w:r>
              <w:rPr>
                <w:rFonts w:hint="eastAsia" w:hAnsi="宋体"/>
                <w:b/>
                <w:bCs/>
              </w:rPr>
              <w:t xml:space="preserve">品牌规格  </w:t>
            </w:r>
          </w:p>
        </w:tc>
        <w:tc>
          <w:tcPr>
            <w:tcW w:w="765" w:type="dxa"/>
            <w:tcBorders>
              <w:top w:val="single" w:color="auto" w:sz="6" w:space="0"/>
              <w:left w:val="single" w:color="auto" w:sz="4" w:space="0"/>
              <w:bottom w:val="single" w:color="auto" w:sz="6" w:space="0"/>
              <w:right w:val="single" w:color="auto" w:sz="4" w:space="0"/>
            </w:tcBorders>
            <w:vAlign w:val="center"/>
          </w:tcPr>
          <w:p>
            <w:pPr>
              <w:shd w:val="clear" w:color="auto" w:fill="FFFFFF"/>
              <w:snapToGrid w:val="0"/>
              <w:ind w:left="1205" w:hanging="1205" w:hangingChars="500"/>
              <w:rPr>
                <w:rFonts w:hAnsi="宋体"/>
                <w:b/>
                <w:bCs/>
              </w:rPr>
            </w:pPr>
            <w:r>
              <w:rPr>
                <w:rFonts w:hint="eastAsia" w:hAnsi="宋体"/>
                <w:b/>
                <w:bCs/>
              </w:rPr>
              <w:t>产地</w:t>
            </w:r>
          </w:p>
        </w:tc>
        <w:tc>
          <w:tcPr>
            <w:tcW w:w="1314" w:type="dxa"/>
            <w:tcBorders>
              <w:top w:val="single" w:color="auto" w:sz="6" w:space="0"/>
              <w:left w:val="single" w:color="auto" w:sz="4" w:space="0"/>
              <w:bottom w:val="single" w:color="auto" w:sz="6" w:space="0"/>
              <w:right w:val="single" w:color="auto" w:sz="6" w:space="0"/>
            </w:tcBorders>
            <w:vAlign w:val="center"/>
          </w:tcPr>
          <w:p>
            <w:pPr>
              <w:shd w:val="clear" w:color="auto" w:fill="FFFFFF"/>
              <w:snapToGrid w:val="0"/>
              <w:ind w:left="1205" w:hanging="1205" w:hangingChars="500"/>
              <w:rPr>
                <w:rFonts w:hAnsi="宋体"/>
                <w:b/>
                <w:bCs/>
              </w:rPr>
            </w:pPr>
            <w:r>
              <w:rPr>
                <w:rFonts w:hint="eastAsia" w:hAnsi="宋体"/>
                <w:b/>
                <w:bCs/>
              </w:rPr>
              <w:t>采购要求</w:t>
            </w:r>
          </w:p>
        </w:tc>
        <w:tc>
          <w:tcPr>
            <w:tcW w:w="724" w:type="dxa"/>
            <w:tcBorders>
              <w:top w:val="single" w:color="auto" w:sz="6" w:space="0"/>
              <w:left w:val="single" w:color="auto" w:sz="6" w:space="0"/>
              <w:bottom w:val="single" w:color="auto" w:sz="6" w:space="0"/>
              <w:right w:val="single" w:color="auto" w:sz="4" w:space="0"/>
            </w:tcBorders>
            <w:vAlign w:val="center"/>
          </w:tcPr>
          <w:p>
            <w:pPr>
              <w:shd w:val="clear" w:color="auto" w:fill="FFFFFF"/>
              <w:snapToGrid w:val="0"/>
              <w:ind w:left="1205" w:hanging="1205" w:hangingChars="500"/>
              <w:rPr>
                <w:rFonts w:hAnsi="宋体"/>
                <w:b/>
                <w:bCs/>
              </w:rPr>
            </w:pPr>
            <w:r>
              <w:rPr>
                <w:rFonts w:hint="eastAsia" w:hAnsi="宋体"/>
                <w:b/>
                <w:bCs/>
              </w:rPr>
              <w:t>数量</w:t>
            </w:r>
          </w:p>
        </w:tc>
        <w:tc>
          <w:tcPr>
            <w:tcW w:w="745" w:type="dxa"/>
            <w:tcBorders>
              <w:top w:val="single" w:color="auto" w:sz="6" w:space="0"/>
              <w:left w:val="single" w:color="auto" w:sz="6" w:space="0"/>
              <w:bottom w:val="single" w:color="auto" w:sz="6" w:space="0"/>
              <w:right w:val="single" w:color="auto" w:sz="4" w:space="0"/>
            </w:tcBorders>
            <w:vAlign w:val="center"/>
          </w:tcPr>
          <w:p>
            <w:pPr>
              <w:shd w:val="clear" w:color="auto" w:fill="FFFFFF"/>
              <w:snapToGrid w:val="0"/>
              <w:ind w:left="1205" w:hanging="1205" w:hangingChars="500"/>
              <w:rPr>
                <w:rFonts w:hAnsi="宋体"/>
                <w:b/>
                <w:bCs/>
              </w:rPr>
            </w:pPr>
            <w:r>
              <w:rPr>
                <w:rFonts w:hint="eastAsia" w:hAnsi="宋体"/>
                <w:b/>
                <w:bCs/>
              </w:rPr>
              <w:t>单位</w:t>
            </w:r>
          </w:p>
        </w:tc>
        <w:tc>
          <w:tcPr>
            <w:tcW w:w="682" w:type="dxa"/>
            <w:tcBorders>
              <w:top w:val="single" w:color="auto" w:sz="6" w:space="0"/>
              <w:left w:val="single" w:color="auto" w:sz="6" w:space="0"/>
              <w:bottom w:val="single" w:color="auto" w:sz="6" w:space="0"/>
              <w:right w:val="single" w:color="auto" w:sz="4" w:space="0"/>
            </w:tcBorders>
            <w:vAlign w:val="center"/>
          </w:tcPr>
          <w:p>
            <w:pPr>
              <w:shd w:val="clear" w:color="auto" w:fill="FFFFFF"/>
              <w:snapToGrid w:val="0"/>
              <w:ind w:left="1205" w:hanging="1205" w:hangingChars="500"/>
              <w:rPr>
                <w:rFonts w:hAnsi="宋体"/>
                <w:b/>
                <w:bCs/>
              </w:rPr>
            </w:pPr>
            <w:r>
              <w:rPr>
                <w:rFonts w:hint="eastAsia" w:hAnsi="宋体"/>
                <w:b/>
                <w:bCs/>
              </w:rPr>
              <w:t>单价</w:t>
            </w:r>
          </w:p>
        </w:tc>
        <w:tc>
          <w:tcPr>
            <w:tcW w:w="1153" w:type="dxa"/>
            <w:tcBorders>
              <w:top w:val="single" w:color="auto" w:sz="6" w:space="0"/>
              <w:left w:val="single" w:color="auto" w:sz="6" w:space="0"/>
              <w:bottom w:val="single" w:color="auto" w:sz="6" w:space="0"/>
              <w:right w:val="single" w:color="auto" w:sz="4" w:space="0"/>
            </w:tcBorders>
            <w:vAlign w:val="center"/>
          </w:tcPr>
          <w:p>
            <w:pPr>
              <w:shd w:val="clear" w:color="auto" w:fill="FFFFFF"/>
              <w:snapToGrid w:val="0"/>
              <w:ind w:left="1205" w:hanging="1205" w:hangingChars="500"/>
              <w:rPr>
                <w:rFonts w:hAnsi="宋体"/>
                <w:b/>
                <w:bCs/>
              </w:rPr>
            </w:pPr>
            <w:r>
              <w:rPr>
                <w:rFonts w:hint="eastAsia" w:hAnsi="宋体"/>
                <w:b/>
                <w:bCs/>
              </w:rPr>
              <w:t>单项总价</w:t>
            </w:r>
          </w:p>
        </w:tc>
      </w:tr>
      <w:tr>
        <w:tblPrEx>
          <w:tblCellMar>
            <w:top w:w="0" w:type="dxa"/>
            <w:left w:w="54" w:type="dxa"/>
            <w:bottom w:w="0" w:type="dxa"/>
            <w:right w:w="54" w:type="dxa"/>
          </w:tblCellMar>
        </w:tblPrEx>
        <w:trPr>
          <w:cantSplit/>
          <w:trHeight w:val="488" w:hRule="atLeast"/>
        </w:trPr>
        <w:tc>
          <w:tcPr>
            <w:tcW w:w="797" w:type="dxa"/>
            <w:tcBorders>
              <w:top w:val="single" w:color="auto" w:sz="6" w:space="0"/>
              <w:left w:val="single" w:color="auto" w:sz="6" w:space="0"/>
              <w:bottom w:val="single" w:color="auto" w:sz="4" w:space="0"/>
              <w:right w:val="single" w:color="auto" w:sz="6" w:space="0"/>
            </w:tcBorders>
          </w:tcPr>
          <w:p>
            <w:pPr>
              <w:ind w:firstLine="240" w:firstLineChars="100"/>
              <w:jc w:val="both"/>
              <w:rPr>
                <w:rFonts w:ascii="仿宋_GB2312" w:hAnsi="仿宋_GB2312" w:eastAsia="仿宋_GB2312" w:cs="仿宋_GB2312"/>
              </w:rPr>
            </w:pPr>
            <w:r>
              <w:rPr>
                <w:rFonts w:hint="eastAsia" w:ascii="仿宋_GB2312" w:hAnsi="仿宋_GB2312" w:eastAsia="仿宋_GB2312" w:cs="仿宋_GB2312"/>
              </w:rPr>
              <w:t>1</w:t>
            </w:r>
          </w:p>
        </w:tc>
        <w:tc>
          <w:tcPr>
            <w:tcW w:w="1109" w:type="dxa"/>
            <w:tcBorders>
              <w:top w:val="single" w:color="auto" w:sz="6" w:space="0"/>
              <w:left w:val="single" w:color="auto" w:sz="6" w:space="0"/>
              <w:bottom w:val="single" w:color="auto" w:sz="4" w:space="0"/>
              <w:right w:val="single" w:color="auto" w:sz="6" w:space="0"/>
            </w:tcBorders>
          </w:tcPr>
          <w:p>
            <w:pPr>
              <w:ind w:firstLine="480"/>
              <w:rPr>
                <w:rFonts w:ascii="仿宋_GB2312" w:hAnsi="仿宋_GB2312" w:eastAsia="仿宋_GB2312" w:cs="仿宋_GB2312"/>
              </w:rPr>
            </w:pPr>
          </w:p>
        </w:tc>
        <w:tc>
          <w:tcPr>
            <w:tcW w:w="1168" w:type="dxa"/>
            <w:tcBorders>
              <w:top w:val="single" w:color="auto" w:sz="6" w:space="0"/>
              <w:left w:val="single" w:color="auto" w:sz="6" w:space="0"/>
              <w:bottom w:val="single" w:color="auto" w:sz="4" w:space="0"/>
              <w:right w:val="single" w:color="auto" w:sz="6" w:space="0"/>
            </w:tcBorders>
          </w:tcPr>
          <w:p>
            <w:pPr>
              <w:ind w:firstLine="480"/>
              <w:rPr>
                <w:rFonts w:ascii="仿宋_GB2312" w:hAnsi="仿宋_GB2312" w:eastAsia="仿宋_GB2312" w:cs="仿宋_GB2312"/>
              </w:rPr>
            </w:pPr>
          </w:p>
        </w:tc>
        <w:tc>
          <w:tcPr>
            <w:tcW w:w="765" w:type="dxa"/>
            <w:tcBorders>
              <w:top w:val="single" w:color="auto" w:sz="6" w:space="0"/>
              <w:left w:val="single" w:color="auto" w:sz="4" w:space="0"/>
              <w:bottom w:val="single" w:color="auto" w:sz="4" w:space="0"/>
              <w:right w:val="single" w:color="auto" w:sz="4" w:space="0"/>
            </w:tcBorders>
          </w:tcPr>
          <w:p>
            <w:pPr>
              <w:ind w:firstLine="480"/>
              <w:rPr>
                <w:rFonts w:ascii="仿宋_GB2312" w:hAnsi="仿宋_GB2312" w:eastAsia="仿宋_GB2312" w:cs="仿宋_GB2312"/>
              </w:rPr>
            </w:pPr>
          </w:p>
        </w:tc>
        <w:tc>
          <w:tcPr>
            <w:tcW w:w="1314" w:type="dxa"/>
            <w:tcBorders>
              <w:top w:val="single" w:color="auto" w:sz="6" w:space="0"/>
              <w:left w:val="single" w:color="auto" w:sz="4" w:space="0"/>
              <w:bottom w:val="single" w:color="auto" w:sz="4" w:space="0"/>
              <w:right w:val="single" w:color="auto" w:sz="6" w:space="0"/>
            </w:tcBorders>
          </w:tcPr>
          <w:p>
            <w:pPr>
              <w:ind w:firstLine="480"/>
              <w:rPr>
                <w:rFonts w:ascii="仿宋_GB2312" w:hAnsi="仿宋_GB2312" w:eastAsia="仿宋_GB2312" w:cs="仿宋_GB2312"/>
              </w:rPr>
            </w:pPr>
          </w:p>
        </w:tc>
        <w:tc>
          <w:tcPr>
            <w:tcW w:w="724" w:type="dxa"/>
            <w:tcBorders>
              <w:top w:val="single" w:color="auto" w:sz="6" w:space="0"/>
              <w:left w:val="single" w:color="auto" w:sz="6" w:space="0"/>
              <w:bottom w:val="single" w:color="auto" w:sz="4" w:space="0"/>
              <w:right w:val="single" w:color="auto" w:sz="4" w:space="0"/>
            </w:tcBorders>
          </w:tcPr>
          <w:p>
            <w:pPr>
              <w:ind w:firstLine="480"/>
              <w:rPr>
                <w:rFonts w:ascii="仿宋_GB2312" w:hAnsi="仿宋_GB2312" w:eastAsia="仿宋_GB2312" w:cs="仿宋_GB2312"/>
              </w:rPr>
            </w:pPr>
          </w:p>
        </w:tc>
        <w:tc>
          <w:tcPr>
            <w:tcW w:w="745" w:type="dxa"/>
            <w:tcBorders>
              <w:top w:val="single" w:color="auto" w:sz="6" w:space="0"/>
              <w:left w:val="single" w:color="auto" w:sz="6" w:space="0"/>
              <w:bottom w:val="single" w:color="auto" w:sz="4" w:space="0"/>
              <w:right w:val="single" w:color="auto" w:sz="4" w:space="0"/>
            </w:tcBorders>
          </w:tcPr>
          <w:p>
            <w:pPr>
              <w:ind w:firstLine="480"/>
              <w:rPr>
                <w:rFonts w:ascii="仿宋_GB2312" w:hAnsi="仿宋_GB2312" w:eastAsia="仿宋_GB2312" w:cs="仿宋_GB2312"/>
              </w:rPr>
            </w:pPr>
          </w:p>
        </w:tc>
        <w:tc>
          <w:tcPr>
            <w:tcW w:w="682" w:type="dxa"/>
            <w:tcBorders>
              <w:top w:val="single" w:color="auto" w:sz="6" w:space="0"/>
              <w:left w:val="single" w:color="auto" w:sz="6" w:space="0"/>
              <w:bottom w:val="single" w:color="auto" w:sz="4" w:space="0"/>
              <w:right w:val="single" w:color="auto" w:sz="4" w:space="0"/>
            </w:tcBorders>
          </w:tcPr>
          <w:p>
            <w:pPr>
              <w:ind w:firstLine="480"/>
              <w:rPr>
                <w:rFonts w:ascii="仿宋_GB2312" w:hAnsi="仿宋_GB2312" w:eastAsia="仿宋_GB2312" w:cs="仿宋_GB2312"/>
              </w:rPr>
            </w:pPr>
          </w:p>
        </w:tc>
        <w:tc>
          <w:tcPr>
            <w:tcW w:w="1153" w:type="dxa"/>
            <w:tcBorders>
              <w:top w:val="single" w:color="auto" w:sz="6" w:space="0"/>
              <w:left w:val="single" w:color="auto" w:sz="6" w:space="0"/>
              <w:bottom w:val="single" w:color="auto" w:sz="4" w:space="0"/>
              <w:right w:val="single" w:color="auto" w:sz="4" w:space="0"/>
            </w:tcBorders>
          </w:tcPr>
          <w:p>
            <w:pPr>
              <w:ind w:firstLine="480"/>
              <w:rPr>
                <w:rFonts w:ascii="仿宋_GB2312" w:hAnsi="仿宋_GB2312" w:eastAsia="仿宋_GB2312" w:cs="仿宋_GB2312"/>
              </w:rPr>
            </w:pPr>
          </w:p>
        </w:tc>
      </w:tr>
      <w:tr>
        <w:tblPrEx>
          <w:tblCellMar>
            <w:top w:w="0" w:type="dxa"/>
            <w:left w:w="54" w:type="dxa"/>
            <w:bottom w:w="0" w:type="dxa"/>
            <w:right w:w="54" w:type="dxa"/>
          </w:tblCellMar>
        </w:tblPrEx>
        <w:trPr>
          <w:cantSplit/>
          <w:trHeight w:val="150" w:hRule="atLeast"/>
        </w:trPr>
        <w:tc>
          <w:tcPr>
            <w:tcW w:w="797" w:type="dxa"/>
            <w:tcBorders>
              <w:top w:val="single" w:color="auto" w:sz="4" w:space="0"/>
              <w:left w:val="single" w:color="auto" w:sz="6" w:space="0"/>
              <w:bottom w:val="single" w:color="auto" w:sz="4" w:space="0"/>
              <w:right w:val="single" w:color="auto" w:sz="6" w:space="0"/>
            </w:tcBorders>
          </w:tcPr>
          <w:p>
            <w:pPr>
              <w:ind w:firstLine="240" w:firstLineChars="100"/>
              <w:jc w:val="both"/>
              <w:rPr>
                <w:rFonts w:ascii="仿宋_GB2312" w:hAnsi="仿宋_GB2312" w:eastAsia="仿宋_GB2312" w:cs="仿宋_GB2312"/>
              </w:rPr>
            </w:pPr>
            <w:r>
              <w:rPr>
                <w:rFonts w:hint="eastAsia" w:ascii="仿宋_GB2312" w:hAnsi="仿宋_GB2312" w:eastAsia="仿宋_GB2312" w:cs="仿宋_GB2312"/>
              </w:rPr>
              <w:t>2</w:t>
            </w:r>
          </w:p>
        </w:tc>
        <w:tc>
          <w:tcPr>
            <w:tcW w:w="1109" w:type="dxa"/>
            <w:tcBorders>
              <w:top w:val="single" w:color="auto" w:sz="4" w:space="0"/>
              <w:left w:val="single" w:color="auto" w:sz="6" w:space="0"/>
              <w:bottom w:val="single" w:color="auto" w:sz="4" w:space="0"/>
              <w:right w:val="single" w:color="auto" w:sz="6" w:space="0"/>
            </w:tcBorders>
          </w:tcPr>
          <w:p>
            <w:pPr>
              <w:ind w:firstLine="480"/>
              <w:rPr>
                <w:rFonts w:ascii="仿宋_GB2312" w:hAnsi="仿宋_GB2312" w:eastAsia="仿宋_GB2312" w:cs="仿宋_GB2312"/>
              </w:rPr>
            </w:pPr>
          </w:p>
        </w:tc>
        <w:tc>
          <w:tcPr>
            <w:tcW w:w="1168" w:type="dxa"/>
            <w:tcBorders>
              <w:top w:val="single" w:color="auto" w:sz="4" w:space="0"/>
              <w:left w:val="single" w:color="auto" w:sz="6" w:space="0"/>
              <w:bottom w:val="single" w:color="auto" w:sz="4" w:space="0"/>
              <w:right w:val="single" w:color="auto" w:sz="6" w:space="0"/>
            </w:tcBorders>
          </w:tcPr>
          <w:p>
            <w:pPr>
              <w:ind w:firstLine="480"/>
              <w:rPr>
                <w:rFonts w:ascii="仿宋_GB2312" w:hAnsi="仿宋_GB2312" w:eastAsia="仿宋_GB2312" w:cs="仿宋_GB2312"/>
              </w:rPr>
            </w:pPr>
          </w:p>
        </w:tc>
        <w:tc>
          <w:tcPr>
            <w:tcW w:w="765" w:type="dxa"/>
            <w:tcBorders>
              <w:top w:val="single" w:color="auto" w:sz="4" w:space="0"/>
              <w:left w:val="single" w:color="auto" w:sz="4" w:space="0"/>
              <w:bottom w:val="single" w:color="auto" w:sz="4" w:space="0"/>
              <w:right w:val="single" w:color="auto" w:sz="4" w:space="0"/>
            </w:tcBorders>
          </w:tcPr>
          <w:p>
            <w:pPr>
              <w:ind w:firstLine="480"/>
              <w:rPr>
                <w:rFonts w:ascii="仿宋_GB2312" w:hAnsi="仿宋_GB2312" w:eastAsia="仿宋_GB2312" w:cs="仿宋_GB2312"/>
              </w:rPr>
            </w:pPr>
          </w:p>
        </w:tc>
        <w:tc>
          <w:tcPr>
            <w:tcW w:w="1314" w:type="dxa"/>
            <w:tcBorders>
              <w:top w:val="single" w:color="auto" w:sz="4" w:space="0"/>
              <w:left w:val="single" w:color="auto" w:sz="4" w:space="0"/>
              <w:bottom w:val="single" w:color="auto" w:sz="4" w:space="0"/>
              <w:right w:val="single" w:color="auto" w:sz="6" w:space="0"/>
            </w:tcBorders>
          </w:tcPr>
          <w:p>
            <w:pPr>
              <w:ind w:firstLine="480"/>
              <w:rPr>
                <w:rFonts w:ascii="仿宋_GB2312" w:hAnsi="仿宋_GB2312" w:eastAsia="仿宋_GB2312" w:cs="仿宋_GB2312"/>
              </w:rPr>
            </w:pPr>
          </w:p>
        </w:tc>
        <w:tc>
          <w:tcPr>
            <w:tcW w:w="724" w:type="dxa"/>
            <w:tcBorders>
              <w:top w:val="single" w:color="auto" w:sz="4" w:space="0"/>
              <w:left w:val="single" w:color="auto" w:sz="6" w:space="0"/>
              <w:bottom w:val="single" w:color="auto" w:sz="4" w:space="0"/>
              <w:right w:val="single" w:color="auto" w:sz="4" w:space="0"/>
            </w:tcBorders>
          </w:tcPr>
          <w:p>
            <w:pPr>
              <w:ind w:firstLine="480"/>
              <w:rPr>
                <w:rFonts w:ascii="仿宋_GB2312" w:hAnsi="仿宋_GB2312" w:eastAsia="仿宋_GB2312" w:cs="仿宋_GB2312"/>
              </w:rPr>
            </w:pPr>
          </w:p>
        </w:tc>
        <w:tc>
          <w:tcPr>
            <w:tcW w:w="745" w:type="dxa"/>
            <w:tcBorders>
              <w:top w:val="single" w:color="auto" w:sz="4" w:space="0"/>
              <w:left w:val="single" w:color="auto" w:sz="6" w:space="0"/>
              <w:bottom w:val="single" w:color="auto" w:sz="4" w:space="0"/>
              <w:right w:val="single" w:color="auto" w:sz="4" w:space="0"/>
            </w:tcBorders>
          </w:tcPr>
          <w:p>
            <w:pPr>
              <w:ind w:firstLine="480"/>
              <w:rPr>
                <w:rFonts w:ascii="仿宋_GB2312" w:hAnsi="仿宋_GB2312" w:eastAsia="仿宋_GB2312" w:cs="仿宋_GB2312"/>
              </w:rPr>
            </w:pPr>
          </w:p>
        </w:tc>
        <w:tc>
          <w:tcPr>
            <w:tcW w:w="682" w:type="dxa"/>
            <w:tcBorders>
              <w:top w:val="single" w:color="auto" w:sz="4" w:space="0"/>
              <w:left w:val="single" w:color="auto" w:sz="6" w:space="0"/>
              <w:bottom w:val="single" w:color="auto" w:sz="4" w:space="0"/>
              <w:right w:val="single" w:color="auto" w:sz="4" w:space="0"/>
            </w:tcBorders>
          </w:tcPr>
          <w:p>
            <w:pPr>
              <w:ind w:firstLine="480"/>
              <w:rPr>
                <w:rFonts w:ascii="仿宋_GB2312" w:hAnsi="仿宋_GB2312" w:eastAsia="仿宋_GB2312" w:cs="仿宋_GB2312"/>
              </w:rPr>
            </w:pPr>
          </w:p>
        </w:tc>
        <w:tc>
          <w:tcPr>
            <w:tcW w:w="1153" w:type="dxa"/>
            <w:tcBorders>
              <w:top w:val="single" w:color="auto" w:sz="4" w:space="0"/>
              <w:left w:val="single" w:color="auto" w:sz="6" w:space="0"/>
              <w:bottom w:val="single" w:color="auto" w:sz="4" w:space="0"/>
              <w:right w:val="single" w:color="auto" w:sz="4" w:space="0"/>
            </w:tcBorders>
          </w:tcPr>
          <w:p>
            <w:pPr>
              <w:ind w:firstLine="480"/>
              <w:rPr>
                <w:rFonts w:ascii="仿宋_GB2312" w:hAnsi="仿宋_GB2312" w:eastAsia="仿宋_GB2312" w:cs="仿宋_GB2312"/>
              </w:rPr>
            </w:pPr>
          </w:p>
        </w:tc>
      </w:tr>
      <w:tr>
        <w:tblPrEx>
          <w:tblCellMar>
            <w:top w:w="0" w:type="dxa"/>
            <w:left w:w="54" w:type="dxa"/>
            <w:bottom w:w="0" w:type="dxa"/>
            <w:right w:w="54" w:type="dxa"/>
          </w:tblCellMar>
        </w:tblPrEx>
        <w:trPr>
          <w:cantSplit/>
          <w:trHeight w:val="150" w:hRule="atLeast"/>
        </w:trPr>
        <w:tc>
          <w:tcPr>
            <w:tcW w:w="797" w:type="dxa"/>
            <w:tcBorders>
              <w:top w:val="single" w:color="auto" w:sz="4" w:space="0"/>
              <w:left w:val="single" w:color="auto" w:sz="6" w:space="0"/>
              <w:bottom w:val="single" w:color="auto" w:sz="4" w:space="0"/>
              <w:right w:val="single" w:color="auto" w:sz="6" w:space="0"/>
            </w:tcBorders>
          </w:tcPr>
          <w:p>
            <w:pPr>
              <w:ind w:firstLine="240" w:firstLineChars="100"/>
              <w:jc w:val="both"/>
              <w:rPr>
                <w:rFonts w:ascii="仿宋_GB2312" w:hAnsi="仿宋_GB2312" w:eastAsia="仿宋_GB2312" w:cs="仿宋_GB2312"/>
              </w:rPr>
            </w:pPr>
            <w:r>
              <w:rPr>
                <w:rFonts w:hint="eastAsia" w:ascii="仿宋_GB2312" w:hAnsi="仿宋_GB2312" w:eastAsia="仿宋_GB2312" w:cs="仿宋_GB2312"/>
              </w:rPr>
              <w:t>3</w:t>
            </w:r>
          </w:p>
        </w:tc>
        <w:tc>
          <w:tcPr>
            <w:tcW w:w="1109" w:type="dxa"/>
            <w:tcBorders>
              <w:top w:val="single" w:color="auto" w:sz="4" w:space="0"/>
              <w:left w:val="single" w:color="auto" w:sz="6" w:space="0"/>
              <w:bottom w:val="single" w:color="auto" w:sz="4" w:space="0"/>
              <w:right w:val="single" w:color="auto" w:sz="6" w:space="0"/>
            </w:tcBorders>
          </w:tcPr>
          <w:p>
            <w:pPr>
              <w:ind w:firstLine="480"/>
              <w:rPr>
                <w:rFonts w:ascii="仿宋_GB2312" w:hAnsi="仿宋_GB2312" w:eastAsia="仿宋_GB2312" w:cs="仿宋_GB2312"/>
              </w:rPr>
            </w:pPr>
          </w:p>
        </w:tc>
        <w:tc>
          <w:tcPr>
            <w:tcW w:w="1168" w:type="dxa"/>
            <w:tcBorders>
              <w:top w:val="single" w:color="auto" w:sz="4" w:space="0"/>
              <w:left w:val="single" w:color="auto" w:sz="6" w:space="0"/>
              <w:bottom w:val="single" w:color="auto" w:sz="4" w:space="0"/>
              <w:right w:val="single" w:color="auto" w:sz="6" w:space="0"/>
            </w:tcBorders>
          </w:tcPr>
          <w:p>
            <w:pPr>
              <w:ind w:firstLine="480"/>
              <w:rPr>
                <w:rFonts w:ascii="仿宋_GB2312" w:hAnsi="仿宋_GB2312" w:eastAsia="仿宋_GB2312" w:cs="仿宋_GB2312"/>
              </w:rPr>
            </w:pPr>
          </w:p>
        </w:tc>
        <w:tc>
          <w:tcPr>
            <w:tcW w:w="765" w:type="dxa"/>
            <w:tcBorders>
              <w:top w:val="single" w:color="auto" w:sz="4" w:space="0"/>
              <w:left w:val="single" w:color="auto" w:sz="4" w:space="0"/>
              <w:bottom w:val="single" w:color="auto" w:sz="4" w:space="0"/>
              <w:right w:val="single" w:color="auto" w:sz="4" w:space="0"/>
            </w:tcBorders>
          </w:tcPr>
          <w:p>
            <w:pPr>
              <w:ind w:firstLine="480"/>
              <w:rPr>
                <w:rFonts w:ascii="仿宋_GB2312" w:hAnsi="仿宋_GB2312" w:eastAsia="仿宋_GB2312" w:cs="仿宋_GB2312"/>
              </w:rPr>
            </w:pPr>
          </w:p>
        </w:tc>
        <w:tc>
          <w:tcPr>
            <w:tcW w:w="1314" w:type="dxa"/>
            <w:tcBorders>
              <w:top w:val="single" w:color="auto" w:sz="4" w:space="0"/>
              <w:left w:val="single" w:color="auto" w:sz="4" w:space="0"/>
              <w:bottom w:val="single" w:color="auto" w:sz="4" w:space="0"/>
              <w:right w:val="single" w:color="auto" w:sz="6" w:space="0"/>
            </w:tcBorders>
          </w:tcPr>
          <w:p>
            <w:pPr>
              <w:ind w:firstLine="480"/>
              <w:rPr>
                <w:rFonts w:ascii="仿宋_GB2312" w:hAnsi="仿宋_GB2312" w:eastAsia="仿宋_GB2312" w:cs="仿宋_GB2312"/>
              </w:rPr>
            </w:pPr>
          </w:p>
        </w:tc>
        <w:tc>
          <w:tcPr>
            <w:tcW w:w="724" w:type="dxa"/>
            <w:tcBorders>
              <w:top w:val="single" w:color="auto" w:sz="4" w:space="0"/>
              <w:left w:val="single" w:color="auto" w:sz="6" w:space="0"/>
              <w:bottom w:val="single" w:color="auto" w:sz="4" w:space="0"/>
              <w:right w:val="single" w:color="auto" w:sz="4" w:space="0"/>
            </w:tcBorders>
          </w:tcPr>
          <w:p>
            <w:pPr>
              <w:ind w:firstLine="480"/>
              <w:rPr>
                <w:rFonts w:ascii="仿宋_GB2312" w:hAnsi="仿宋_GB2312" w:eastAsia="仿宋_GB2312" w:cs="仿宋_GB2312"/>
              </w:rPr>
            </w:pPr>
          </w:p>
        </w:tc>
        <w:tc>
          <w:tcPr>
            <w:tcW w:w="745" w:type="dxa"/>
            <w:tcBorders>
              <w:top w:val="single" w:color="auto" w:sz="4" w:space="0"/>
              <w:left w:val="single" w:color="auto" w:sz="6" w:space="0"/>
              <w:bottom w:val="single" w:color="auto" w:sz="4" w:space="0"/>
              <w:right w:val="single" w:color="auto" w:sz="4" w:space="0"/>
            </w:tcBorders>
          </w:tcPr>
          <w:p>
            <w:pPr>
              <w:ind w:firstLine="480"/>
              <w:rPr>
                <w:rFonts w:ascii="仿宋_GB2312" w:hAnsi="仿宋_GB2312" w:eastAsia="仿宋_GB2312" w:cs="仿宋_GB2312"/>
              </w:rPr>
            </w:pPr>
          </w:p>
        </w:tc>
        <w:tc>
          <w:tcPr>
            <w:tcW w:w="682" w:type="dxa"/>
            <w:tcBorders>
              <w:top w:val="single" w:color="auto" w:sz="4" w:space="0"/>
              <w:left w:val="single" w:color="auto" w:sz="6" w:space="0"/>
              <w:bottom w:val="single" w:color="auto" w:sz="4" w:space="0"/>
              <w:right w:val="single" w:color="auto" w:sz="4" w:space="0"/>
            </w:tcBorders>
          </w:tcPr>
          <w:p>
            <w:pPr>
              <w:ind w:firstLine="480"/>
              <w:rPr>
                <w:rFonts w:ascii="仿宋_GB2312" w:hAnsi="仿宋_GB2312" w:eastAsia="仿宋_GB2312" w:cs="仿宋_GB2312"/>
              </w:rPr>
            </w:pPr>
          </w:p>
        </w:tc>
        <w:tc>
          <w:tcPr>
            <w:tcW w:w="1153" w:type="dxa"/>
            <w:tcBorders>
              <w:top w:val="single" w:color="auto" w:sz="4" w:space="0"/>
              <w:left w:val="single" w:color="auto" w:sz="6" w:space="0"/>
              <w:bottom w:val="single" w:color="auto" w:sz="4" w:space="0"/>
              <w:right w:val="single" w:color="auto" w:sz="4" w:space="0"/>
            </w:tcBorders>
          </w:tcPr>
          <w:p>
            <w:pPr>
              <w:ind w:firstLine="480"/>
              <w:rPr>
                <w:rFonts w:ascii="仿宋_GB2312" w:hAnsi="仿宋_GB2312" w:eastAsia="仿宋_GB2312" w:cs="仿宋_GB2312"/>
              </w:rPr>
            </w:pPr>
          </w:p>
        </w:tc>
      </w:tr>
    </w:tbl>
    <w:p>
      <w:pPr>
        <w:shd w:val="clear" w:color="auto" w:fill="FFFFFF"/>
        <w:snapToGrid w:val="0"/>
        <w:spacing w:line="240" w:lineRule="auto"/>
        <w:ind w:firstLine="480"/>
        <w:rPr>
          <w:rFonts w:hAnsi="宋体"/>
        </w:rPr>
      </w:pPr>
      <w:r>
        <w:rPr>
          <w:rFonts w:hint="eastAsia" w:hAnsi="宋体"/>
        </w:rPr>
        <w:t>报价总价合计小写：</w:t>
      </w:r>
    </w:p>
    <w:p>
      <w:pPr>
        <w:shd w:val="clear" w:color="auto" w:fill="FFFFFF"/>
        <w:snapToGrid w:val="0"/>
        <w:spacing w:line="240" w:lineRule="auto"/>
        <w:ind w:firstLine="480"/>
        <w:rPr>
          <w:rFonts w:hAnsi="宋体"/>
        </w:rPr>
      </w:pPr>
      <w:r>
        <w:rPr>
          <w:rFonts w:hint="eastAsia" w:hAnsi="宋体"/>
        </w:rPr>
        <w:t>报价总价合计大写：</w:t>
      </w:r>
    </w:p>
    <w:p>
      <w:pPr>
        <w:shd w:val="clear" w:color="auto" w:fill="FFFFFF"/>
        <w:snapToGrid w:val="0"/>
        <w:spacing w:line="240" w:lineRule="auto"/>
        <w:ind w:firstLine="480"/>
        <w:rPr>
          <w:rFonts w:hAnsi="宋体"/>
        </w:rPr>
      </w:pPr>
      <w:r>
        <w:rPr>
          <w:rFonts w:hint="eastAsia" w:hAnsi="宋体"/>
        </w:rPr>
        <w:t>投标报价人全称： （盖章）</w:t>
      </w:r>
    </w:p>
    <w:p>
      <w:pPr>
        <w:shd w:val="clear" w:color="auto" w:fill="FFFFFF"/>
        <w:snapToGrid w:val="0"/>
        <w:spacing w:line="240" w:lineRule="auto"/>
        <w:ind w:firstLine="480"/>
        <w:rPr>
          <w:rFonts w:hAnsi="宋体"/>
        </w:rPr>
      </w:pPr>
      <w:r>
        <w:rPr>
          <w:rFonts w:hint="eastAsia" w:hAnsi="宋体"/>
        </w:rPr>
        <w:t xml:space="preserve">投标人代表签名：             </w:t>
      </w:r>
    </w:p>
    <w:p>
      <w:pPr>
        <w:shd w:val="clear" w:color="auto" w:fill="FFFFFF"/>
        <w:snapToGrid w:val="0"/>
        <w:spacing w:line="240" w:lineRule="auto"/>
        <w:ind w:firstLine="0" w:firstLineChars="0"/>
        <w:rPr>
          <w:rFonts w:hAnsi="宋体"/>
        </w:rPr>
      </w:pPr>
      <w:r>
        <w:rPr>
          <w:rFonts w:hint="eastAsia" w:hAnsi="宋体"/>
        </w:rPr>
        <w:t xml:space="preserve">    日 期：</w:t>
      </w:r>
    </w:p>
    <w:p>
      <w:pPr>
        <w:shd w:val="clear" w:color="auto" w:fill="FFFFFF"/>
        <w:snapToGrid w:val="0"/>
        <w:spacing w:line="240" w:lineRule="auto"/>
        <w:ind w:firstLine="0" w:firstLineChars="0"/>
        <w:rPr>
          <w:rFonts w:hAnsi="宋体"/>
        </w:rPr>
      </w:pPr>
    </w:p>
    <w:p>
      <w:pPr>
        <w:tabs>
          <w:tab w:val="left" w:pos="654"/>
          <w:tab w:val="left" w:pos="1734"/>
          <w:tab w:val="left" w:pos="2814"/>
          <w:tab w:val="left" w:pos="3894"/>
          <w:tab w:val="left" w:pos="5334"/>
          <w:tab w:val="left" w:pos="6414"/>
          <w:tab w:val="left" w:pos="7254"/>
          <w:tab w:val="left" w:pos="8574"/>
          <w:tab w:val="left" w:pos="9654"/>
        </w:tabs>
        <w:ind w:firstLine="482"/>
        <w:rPr>
          <w:rFonts w:ascii="仿宋_GB2312" w:hAnsi="仿宋_GB2312" w:eastAsia="仿宋_GB2312" w:cs="仿宋_GB2312"/>
          <w:sz w:val="28"/>
          <w:szCs w:val="28"/>
        </w:rPr>
      </w:pPr>
      <w:r>
        <w:rPr>
          <w:rFonts w:hint="eastAsia" w:ascii="仿宋_GB2312" w:hAnsi="仿宋_GB2312" w:eastAsia="仿宋_GB2312" w:cs="仿宋_GB2312"/>
          <w:b/>
        </w:rPr>
        <w:t xml:space="preserve">注： </w:t>
      </w:r>
      <w:r>
        <w:rPr>
          <w:rFonts w:hint="eastAsia" w:ascii="仿宋_GB2312" w:hAnsi="仿宋_GB2312" w:eastAsia="仿宋_GB2312" w:cs="仿宋_GB2312"/>
          <w:bCs/>
        </w:rPr>
        <w:t>1、</w:t>
      </w:r>
      <w:r>
        <w:rPr>
          <w:rFonts w:hint="eastAsia" w:ascii="仿宋_GB2312" w:hAnsi="仿宋_GB2312" w:eastAsia="仿宋_GB2312" w:cs="仿宋_GB2312"/>
          <w:snapToGrid w:val="0"/>
        </w:rPr>
        <w:t>此表为表样，行数可自行添加，但表式不变；</w:t>
      </w:r>
    </w:p>
    <w:p>
      <w:pPr>
        <w:tabs>
          <w:tab w:val="left" w:pos="654"/>
          <w:tab w:val="left" w:pos="1734"/>
          <w:tab w:val="left" w:pos="2814"/>
          <w:tab w:val="left" w:pos="3894"/>
          <w:tab w:val="left" w:pos="5334"/>
          <w:tab w:val="left" w:pos="6414"/>
          <w:tab w:val="left" w:pos="7254"/>
          <w:tab w:val="left" w:pos="8574"/>
          <w:tab w:val="left" w:pos="9654"/>
        </w:tabs>
        <w:ind w:firstLine="600" w:firstLineChars="250"/>
        <w:outlineLvl w:val="0"/>
        <w:rPr>
          <w:rFonts w:ascii="仿宋_GB2312" w:hAnsi="仿宋_GB2312" w:eastAsia="仿宋_GB2312" w:cs="仿宋_GB2312"/>
          <w:bCs/>
        </w:rPr>
      </w:pPr>
      <w:r>
        <w:rPr>
          <w:rFonts w:hint="eastAsia" w:ascii="仿宋_GB2312" w:hAnsi="仿宋_GB2312" w:eastAsia="仿宋_GB2312" w:cs="仿宋_GB2312"/>
          <w:bCs/>
        </w:rPr>
        <w:t>2、所有项目用人民币元报价。</w:t>
      </w:r>
    </w:p>
    <w:p>
      <w:pPr>
        <w:ind w:firstLine="600" w:firstLineChars="250"/>
        <w:rPr>
          <w:rFonts w:ascii="仿宋_GB2312" w:hAnsi="仿宋_GB2312" w:eastAsia="仿宋_GB2312" w:cs="仿宋_GB2312"/>
          <w:bCs/>
        </w:rPr>
      </w:pPr>
      <w:r>
        <w:rPr>
          <w:rFonts w:hint="eastAsia" w:ascii="仿宋_GB2312" w:hAnsi="仿宋_GB2312" w:eastAsia="仿宋_GB2312" w:cs="仿宋_GB2312"/>
          <w:bCs/>
        </w:rPr>
        <w:t>3、单价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pPr>
        <w:shd w:val="clear" w:color="auto" w:fill="FFFFFF"/>
        <w:snapToGrid w:val="0"/>
        <w:ind w:firstLine="2570" w:firstLineChars="800"/>
        <w:jc w:val="both"/>
        <w:rPr>
          <w:rFonts w:hAnsi="宋体"/>
          <w:b/>
          <w:sz w:val="32"/>
          <w:szCs w:val="32"/>
        </w:rPr>
      </w:pPr>
    </w:p>
    <w:p>
      <w:pPr>
        <w:shd w:val="clear" w:color="auto" w:fill="FFFFFF"/>
        <w:snapToGrid w:val="0"/>
        <w:ind w:firstLine="2570" w:firstLineChars="800"/>
        <w:jc w:val="both"/>
        <w:rPr>
          <w:rFonts w:hAnsi="宋体"/>
          <w:b/>
          <w:sz w:val="32"/>
          <w:szCs w:val="32"/>
        </w:rPr>
      </w:pPr>
    </w:p>
    <w:p>
      <w:pPr>
        <w:shd w:val="clear" w:color="auto" w:fill="FFFFFF"/>
        <w:snapToGrid w:val="0"/>
        <w:ind w:firstLine="2570" w:firstLineChars="800"/>
        <w:jc w:val="both"/>
        <w:rPr>
          <w:rFonts w:hAnsi="宋体"/>
          <w:b/>
          <w:sz w:val="32"/>
          <w:szCs w:val="32"/>
        </w:rPr>
      </w:pPr>
    </w:p>
    <w:p>
      <w:pPr>
        <w:shd w:val="clear" w:color="auto" w:fill="FFFFFF"/>
        <w:snapToGrid w:val="0"/>
        <w:ind w:firstLine="2570" w:firstLineChars="800"/>
        <w:jc w:val="both"/>
        <w:rPr>
          <w:rFonts w:hAnsi="宋体"/>
          <w:b/>
          <w:sz w:val="32"/>
          <w:szCs w:val="32"/>
        </w:rPr>
      </w:pPr>
    </w:p>
    <w:p>
      <w:pPr>
        <w:shd w:val="clear" w:color="auto" w:fill="FFFFFF"/>
        <w:snapToGrid w:val="0"/>
        <w:ind w:firstLine="2570" w:firstLineChars="800"/>
        <w:jc w:val="both"/>
        <w:rPr>
          <w:rFonts w:hAnsi="宋体"/>
          <w:b/>
          <w:sz w:val="32"/>
          <w:szCs w:val="32"/>
        </w:rPr>
      </w:pPr>
    </w:p>
    <w:p>
      <w:pPr>
        <w:shd w:val="clear" w:color="auto" w:fill="FFFFFF"/>
        <w:snapToGrid w:val="0"/>
        <w:ind w:firstLine="2570" w:firstLineChars="800"/>
        <w:jc w:val="both"/>
        <w:rPr>
          <w:rFonts w:hAnsi="宋体"/>
          <w:b/>
          <w:sz w:val="32"/>
          <w:szCs w:val="32"/>
        </w:rPr>
      </w:pPr>
    </w:p>
    <w:p>
      <w:pPr>
        <w:shd w:val="clear" w:color="auto" w:fill="FFFFFF"/>
        <w:snapToGrid w:val="0"/>
        <w:ind w:firstLine="2570" w:firstLineChars="800"/>
        <w:jc w:val="both"/>
        <w:rPr>
          <w:rFonts w:hAnsi="宋体"/>
          <w:b/>
          <w:sz w:val="32"/>
          <w:szCs w:val="32"/>
        </w:rPr>
      </w:pPr>
    </w:p>
    <w:p>
      <w:pPr>
        <w:shd w:val="clear" w:color="auto" w:fill="FFFFFF"/>
        <w:snapToGrid w:val="0"/>
        <w:ind w:firstLine="2570" w:firstLineChars="800"/>
        <w:jc w:val="both"/>
        <w:rPr>
          <w:rFonts w:hAnsi="宋体"/>
          <w:b/>
          <w:sz w:val="32"/>
          <w:szCs w:val="32"/>
        </w:rPr>
      </w:pPr>
    </w:p>
    <w:p>
      <w:pPr>
        <w:shd w:val="clear" w:color="auto" w:fill="FFFFFF"/>
        <w:snapToGrid w:val="0"/>
        <w:ind w:firstLine="2570" w:firstLineChars="800"/>
        <w:jc w:val="both"/>
        <w:rPr>
          <w:rFonts w:hAnsi="宋体"/>
          <w:b/>
          <w:sz w:val="32"/>
          <w:szCs w:val="32"/>
        </w:rPr>
      </w:pPr>
    </w:p>
    <w:p>
      <w:pPr>
        <w:tabs>
          <w:tab w:val="left" w:pos="2100"/>
        </w:tabs>
        <w:ind w:left="480" w:leftChars="200" w:firstLine="321" w:firstLineChars="100"/>
        <w:jc w:val="both"/>
        <w:rPr>
          <w:rFonts w:ascii="仿宋_GB2312" w:hAnsi="仿宋_GB2312" w:eastAsia="仿宋_GB2312" w:cs="仿宋_GB2312"/>
          <w:b/>
          <w:sz w:val="30"/>
          <w:szCs w:val="30"/>
        </w:rPr>
      </w:pPr>
      <w:r>
        <w:rPr>
          <w:rFonts w:hint="eastAsia" w:hAnsi="宋体"/>
          <w:b/>
          <w:sz w:val="32"/>
          <w:szCs w:val="32"/>
        </w:rPr>
        <w:t>表4、</w:t>
      </w:r>
      <w:r>
        <w:rPr>
          <w:rFonts w:hint="eastAsia" w:ascii="仿宋_GB2312" w:hAnsi="仿宋_GB2312" w:eastAsia="仿宋_GB2312" w:cs="仿宋_GB2312"/>
          <w:b/>
          <w:sz w:val="30"/>
          <w:szCs w:val="30"/>
        </w:rPr>
        <w:t>地理信息系统实验室建设项目质量要求响应表</w:t>
      </w:r>
    </w:p>
    <w:p>
      <w:pPr>
        <w:pStyle w:val="40"/>
        <w:ind w:firstLine="480"/>
        <w:rPr>
          <w:rFonts w:ascii="仿宋_GB2312" w:hAnsi="仿宋_GB2312" w:eastAsia="仿宋_GB2312" w:cs="仿宋_GB2312"/>
          <w:sz w:val="21"/>
          <w:szCs w:val="21"/>
        </w:rPr>
      </w:pPr>
      <w:r>
        <w:rPr>
          <w:rFonts w:hint="eastAsia" w:ascii="仿宋_GB2312" w:hAnsi="仿宋_GB2312" w:eastAsia="仿宋_GB2312" w:cs="仿宋_GB2312"/>
        </w:rPr>
        <w:t>项目编号</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rPr>
        <w:t xml:space="preserve">   包号：     </w:t>
      </w:r>
      <w:r>
        <w:rPr>
          <w:rFonts w:hint="eastAsia" w:ascii="仿宋_GB2312" w:hAnsi="仿宋_GB2312" w:eastAsia="仿宋_GB2312" w:cs="仿宋_GB2312"/>
          <w:sz w:val="21"/>
          <w:szCs w:val="21"/>
        </w:rPr>
        <w:t xml:space="preserve">             </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814"/>
        <w:gridCol w:w="2030"/>
        <w:gridCol w:w="1744"/>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Align w:val="center"/>
          </w:tcPr>
          <w:p>
            <w:pPr>
              <w:pStyle w:val="40"/>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814" w:type="dxa"/>
            <w:vAlign w:val="center"/>
          </w:tcPr>
          <w:p>
            <w:pPr>
              <w:pStyle w:val="40"/>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项目名称</w:t>
            </w:r>
          </w:p>
        </w:tc>
        <w:tc>
          <w:tcPr>
            <w:tcW w:w="2030" w:type="dxa"/>
            <w:vAlign w:val="center"/>
          </w:tcPr>
          <w:p>
            <w:pPr>
              <w:pStyle w:val="40"/>
              <w:ind w:firstLine="210" w:firstLineChars="100"/>
              <w:rPr>
                <w:rFonts w:ascii="仿宋_GB2312" w:hAnsi="仿宋_GB2312" w:eastAsia="仿宋_GB2312" w:cs="仿宋_GB2312"/>
                <w:sz w:val="21"/>
                <w:szCs w:val="21"/>
              </w:rPr>
            </w:pPr>
            <w:r>
              <w:rPr>
                <w:rFonts w:hint="eastAsia" w:ascii="仿宋_GB2312" w:hAnsi="仿宋_GB2312" w:eastAsia="仿宋_GB2312" w:cs="仿宋_GB2312"/>
                <w:sz w:val="21"/>
                <w:szCs w:val="21"/>
              </w:rPr>
              <w:t>招标文件要求</w:t>
            </w:r>
          </w:p>
        </w:tc>
        <w:tc>
          <w:tcPr>
            <w:tcW w:w="1744" w:type="dxa"/>
            <w:vAlign w:val="center"/>
          </w:tcPr>
          <w:p>
            <w:pPr>
              <w:pStyle w:val="40"/>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投标响应</w:t>
            </w:r>
          </w:p>
        </w:tc>
        <w:tc>
          <w:tcPr>
            <w:tcW w:w="2385" w:type="dxa"/>
            <w:vAlign w:val="center"/>
          </w:tcPr>
          <w:p>
            <w:pPr>
              <w:pStyle w:val="40"/>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18"/>
                <w:szCs w:val="18"/>
              </w:rPr>
              <w:t>偏离对服务货物质量的影响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Pr>
          <w:p>
            <w:pPr>
              <w:pStyle w:val="40"/>
              <w:ind w:firstLine="420"/>
              <w:rPr>
                <w:rFonts w:ascii="仿宋_GB2312" w:hAnsi="仿宋_GB2312" w:eastAsia="仿宋_GB2312" w:cs="仿宋_GB2312"/>
                <w:sz w:val="21"/>
                <w:szCs w:val="21"/>
              </w:rPr>
            </w:pPr>
          </w:p>
        </w:tc>
        <w:tc>
          <w:tcPr>
            <w:tcW w:w="1814" w:type="dxa"/>
          </w:tcPr>
          <w:p>
            <w:pPr>
              <w:pStyle w:val="40"/>
              <w:ind w:firstLine="420"/>
              <w:rPr>
                <w:rFonts w:ascii="仿宋_GB2312" w:hAnsi="仿宋_GB2312" w:eastAsia="仿宋_GB2312" w:cs="仿宋_GB2312"/>
                <w:sz w:val="21"/>
                <w:szCs w:val="21"/>
              </w:rPr>
            </w:pPr>
          </w:p>
        </w:tc>
        <w:tc>
          <w:tcPr>
            <w:tcW w:w="2030" w:type="dxa"/>
          </w:tcPr>
          <w:p>
            <w:pPr>
              <w:pStyle w:val="40"/>
              <w:ind w:firstLine="420"/>
              <w:rPr>
                <w:rFonts w:ascii="仿宋_GB2312" w:hAnsi="仿宋_GB2312" w:eastAsia="仿宋_GB2312" w:cs="仿宋_GB2312"/>
                <w:sz w:val="21"/>
                <w:szCs w:val="21"/>
              </w:rPr>
            </w:pPr>
          </w:p>
        </w:tc>
        <w:tc>
          <w:tcPr>
            <w:tcW w:w="1744" w:type="dxa"/>
          </w:tcPr>
          <w:p>
            <w:pPr>
              <w:pStyle w:val="40"/>
              <w:ind w:firstLine="420"/>
              <w:rPr>
                <w:rFonts w:ascii="仿宋_GB2312" w:hAnsi="仿宋_GB2312" w:eastAsia="仿宋_GB2312" w:cs="仿宋_GB2312"/>
                <w:sz w:val="21"/>
                <w:szCs w:val="21"/>
              </w:rPr>
            </w:pPr>
          </w:p>
        </w:tc>
        <w:tc>
          <w:tcPr>
            <w:tcW w:w="2385" w:type="dxa"/>
          </w:tcPr>
          <w:p>
            <w:pPr>
              <w:pStyle w:val="40"/>
              <w:ind w:firstLine="420"/>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Pr>
          <w:p>
            <w:pPr>
              <w:pStyle w:val="40"/>
              <w:ind w:firstLine="420"/>
              <w:rPr>
                <w:rFonts w:ascii="仿宋_GB2312" w:hAnsi="仿宋_GB2312" w:eastAsia="仿宋_GB2312" w:cs="仿宋_GB2312"/>
                <w:sz w:val="21"/>
                <w:szCs w:val="21"/>
              </w:rPr>
            </w:pPr>
          </w:p>
        </w:tc>
        <w:tc>
          <w:tcPr>
            <w:tcW w:w="1814" w:type="dxa"/>
          </w:tcPr>
          <w:p>
            <w:pPr>
              <w:pStyle w:val="40"/>
              <w:ind w:firstLine="420"/>
              <w:rPr>
                <w:rFonts w:ascii="仿宋_GB2312" w:hAnsi="仿宋_GB2312" w:eastAsia="仿宋_GB2312" w:cs="仿宋_GB2312"/>
                <w:sz w:val="21"/>
                <w:szCs w:val="21"/>
              </w:rPr>
            </w:pPr>
          </w:p>
        </w:tc>
        <w:tc>
          <w:tcPr>
            <w:tcW w:w="2030" w:type="dxa"/>
          </w:tcPr>
          <w:p>
            <w:pPr>
              <w:pStyle w:val="40"/>
              <w:ind w:firstLine="420"/>
              <w:rPr>
                <w:rFonts w:ascii="仿宋_GB2312" w:hAnsi="仿宋_GB2312" w:eastAsia="仿宋_GB2312" w:cs="仿宋_GB2312"/>
                <w:sz w:val="21"/>
                <w:szCs w:val="21"/>
              </w:rPr>
            </w:pPr>
          </w:p>
        </w:tc>
        <w:tc>
          <w:tcPr>
            <w:tcW w:w="1744" w:type="dxa"/>
          </w:tcPr>
          <w:p>
            <w:pPr>
              <w:pStyle w:val="40"/>
              <w:ind w:firstLine="420"/>
              <w:rPr>
                <w:rFonts w:ascii="仿宋_GB2312" w:hAnsi="仿宋_GB2312" w:eastAsia="仿宋_GB2312" w:cs="仿宋_GB2312"/>
                <w:sz w:val="21"/>
                <w:szCs w:val="21"/>
              </w:rPr>
            </w:pPr>
          </w:p>
        </w:tc>
        <w:tc>
          <w:tcPr>
            <w:tcW w:w="2385" w:type="dxa"/>
          </w:tcPr>
          <w:p>
            <w:pPr>
              <w:pStyle w:val="40"/>
              <w:ind w:firstLine="420"/>
              <w:rPr>
                <w:rFonts w:ascii="仿宋_GB2312" w:hAnsi="仿宋_GB2312" w:eastAsia="仿宋_GB2312" w:cs="仿宋_GB2312"/>
                <w:sz w:val="21"/>
                <w:szCs w:val="21"/>
              </w:rPr>
            </w:pPr>
          </w:p>
        </w:tc>
      </w:tr>
    </w:tbl>
    <w:p>
      <w:pPr>
        <w:spacing w:line="400" w:lineRule="exact"/>
        <w:ind w:left="617" w:leftChars="57" w:hanging="480" w:hangingChars="200"/>
        <w:rPr>
          <w:rFonts w:ascii="仿宋_GB2312" w:hAnsi="仿宋_GB2312" w:eastAsia="仿宋_GB2312" w:cs="仿宋_GB2312"/>
        </w:rPr>
      </w:pPr>
      <w:r>
        <w:rPr>
          <w:rFonts w:hint="eastAsia" w:ascii="仿宋_GB2312" w:hAnsi="仿宋_GB2312" w:eastAsia="仿宋_GB2312" w:cs="仿宋_GB2312"/>
        </w:rPr>
        <w:t>注：1.本表只填写投标文件中与招标文件有偏离（包括正偏离和负偏离）的内容，投标文件货物服务指标响应与招标文件要求完全一致的，不用在此表中列出。</w:t>
      </w:r>
    </w:p>
    <w:p>
      <w:pPr>
        <w:spacing w:line="400" w:lineRule="exact"/>
        <w:ind w:firstLine="480"/>
        <w:rPr>
          <w:rFonts w:ascii="仿宋_GB2312" w:hAnsi="仿宋_GB2312" w:eastAsia="仿宋_GB2312" w:cs="仿宋_GB2312"/>
        </w:rPr>
      </w:pPr>
      <w:r>
        <w:rPr>
          <w:rFonts w:hint="eastAsia" w:ascii="仿宋_GB2312" w:hAnsi="仿宋_GB2312" w:eastAsia="仿宋_GB2312" w:cs="仿宋_GB2312"/>
        </w:rPr>
        <w:t>2．供应商必须据实填写，不得虚假响应，否则将取消其投标或中标资格，并按有关规定进行处罚。</w:t>
      </w:r>
    </w:p>
    <w:p>
      <w:pPr>
        <w:adjustRightInd w:val="0"/>
        <w:spacing w:line="400" w:lineRule="exact"/>
        <w:ind w:firstLine="490" w:firstLineChars="175"/>
        <w:rPr>
          <w:rFonts w:ascii="仿宋_GB2312" w:hAnsi="仿宋_GB2312" w:eastAsia="仿宋_GB2312" w:cs="仿宋_GB2312"/>
          <w:bCs/>
          <w:sz w:val="28"/>
          <w:szCs w:val="28"/>
        </w:rPr>
      </w:pPr>
    </w:p>
    <w:p>
      <w:pPr>
        <w:adjustRightInd w:val="0"/>
        <w:spacing w:line="400" w:lineRule="exact"/>
        <w:ind w:firstLine="420" w:firstLineChars="175"/>
        <w:rPr>
          <w:rFonts w:ascii="仿宋_GB2312" w:hAnsi="仿宋_GB2312" w:eastAsia="仿宋_GB2312" w:cs="仿宋_GB2312"/>
          <w:bCs/>
        </w:rPr>
      </w:pPr>
      <w:r>
        <w:rPr>
          <w:rFonts w:hint="eastAsia" w:ascii="仿宋_GB2312" w:hAnsi="仿宋_GB2312" w:eastAsia="仿宋_GB2312" w:cs="仿宋_GB2312"/>
          <w:bCs/>
        </w:rPr>
        <w:t>投标人名称：        （盖章）</w:t>
      </w:r>
    </w:p>
    <w:p>
      <w:pPr>
        <w:adjustRightInd w:val="0"/>
        <w:spacing w:line="400" w:lineRule="exact"/>
        <w:ind w:firstLine="420" w:firstLineChars="175"/>
        <w:rPr>
          <w:rFonts w:ascii="仿宋_GB2312" w:hAnsi="仿宋_GB2312" w:eastAsia="仿宋_GB2312" w:cs="仿宋_GB2312"/>
          <w:bCs/>
        </w:rPr>
      </w:pPr>
      <w:r>
        <w:rPr>
          <w:rFonts w:hint="eastAsia" w:ascii="仿宋_GB2312" w:hAnsi="仿宋_GB2312" w:eastAsia="仿宋_GB2312" w:cs="仿宋_GB2312"/>
        </w:rPr>
        <w:t>法定代表人或授权代表（签字）</w:t>
      </w:r>
      <w:r>
        <w:rPr>
          <w:rFonts w:hint="eastAsia" w:ascii="仿宋_GB2312" w:hAnsi="仿宋_GB2312" w:eastAsia="仿宋_GB2312" w:cs="仿宋_GB2312"/>
          <w:bCs/>
        </w:rPr>
        <w:t>：</w:t>
      </w:r>
    </w:p>
    <w:p>
      <w:pPr>
        <w:spacing w:line="400" w:lineRule="exact"/>
        <w:ind w:firstLine="480"/>
        <w:rPr>
          <w:rFonts w:ascii="仿宋_GB2312" w:hAnsi="仿宋_GB2312" w:eastAsia="仿宋_GB2312" w:cs="仿宋_GB2312"/>
          <w:bCs/>
        </w:rPr>
      </w:pPr>
      <w:r>
        <w:rPr>
          <w:rFonts w:hint="eastAsia" w:ascii="仿宋_GB2312" w:hAnsi="仿宋_GB2312" w:eastAsia="仿宋_GB2312" w:cs="仿宋_GB2312"/>
          <w:bCs/>
        </w:rPr>
        <w:t>投标日期:</w:t>
      </w:r>
    </w:p>
    <w:p>
      <w:pPr>
        <w:shd w:val="clear" w:color="auto" w:fill="FFFFFF"/>
        <w:snapToGrid w:val="0"/>
        <w:ind w:firstLine="2891" w:firstLineChars="900"/>
        <w:jc w:val="both"/>
        <w:rPr>
          <w:rFonts w:hAnsi="宋体"/>
          <w:b/>
          <w:sz w:val="32"/>
          <w:szCs w:val="32"/>
        </w:rPr>
      </w:pPr>
    </w:p>
    <w:p>
      <w:pPr>
        <w:shd w:val="clear" w:color="auto" w:fill="FFFFFF"/>
        <w:snapToGrid w:val="0"/>
        <w:ind w:firstLine="2891" w:firstLineChars="900"/>
        <w:jc w:val="both"/>
        <w:rPr>
          <w:rFonts w:hAnsi="宋体"/>
          <w:b/>
          <w:sz w:val="32"/>
          <w:szCs w:val="32"/>
        </w:rPr>
      </w:pPr>
    </w:p>
    <w:p>
      <w:pPr>
        <w:shd w:val="clear" w:color="auto" w:fill="FFFFFF"/>
        <w:snapToGrid w:val="0"/>
        <w:ind w:firstLine="2891" w:firstLineChars="900"/>
        <w:jc w:val="both"/>
        <w:rPr>
          <w:rFonts w:hAnsi="宋体"/>
          <w:b/>
          <w:sz w:val="32"/>
          <w:szCs w:val="32"/>
        </w:rPr>
      </w:pPr>
    </w:p>
    <w:p>
      <w:pPr>
        <w:shd w:val="clear" w:color="auto" w:fill="FFFFFF"/>
        <w:snapToGrid w:val="0"/>
        <w:ind w:firstLine="2891" w:firstLineChars="900"/>
        <w:jc w:val="both"/>
        <w:rPr>
          <w:rFonts w:hAnsi="宋体"/>
          <w:b/>
          <w:sz w:val="32"/>
          <w:szCs w:val="32"/>
        </w:rPr>
      </w:pPr>
    </w:p>
    <w:p>
      <w:pPr>
        <w:shd w:val="clear" w:color="auto" w:fill="FFFFFF"/>
        <w:snapToGrid w:val="0"/>
        <w:ind w:firstLine="2891" w:firstLineChars="900"/>
        <w:jc w:val="both"/>
        <w:rPr>
          <w:rFonts w:hAnsi="宋体"/>
          <w:b/>
          <w:sz w:val="32"/>
          <w:szCs w:val="32"/>
        </w:rPr>
      </w:pPr>
      <w:bookmarkStart w:id="63" w:name="OLE_LINK13"/>
      <w:r>
        <w:rPr>
          <w:rFonts w:hint="eastAsia" w:hAnsi="宋体"/>
          <w:b/>
          <w:sz w:val="32"/>
          <w:szCs w:val="32"/>
        </w:rPr>
        <w:t>表5、</w:t>
      </w:r>
      <w:bookmarkEnd w:id="63"/>
      <w:r>
        <w:rPr>
          <w:rFonts w:hint="eastAsia" w:hAnsi="宋体"/>
          <w:b/>
          <w:sz w:val="32"/>
          <w:szCs w:val="32"/>
        </w:rPr>
        <w:t>授权委托书</w:t>
      </w:r>
    </w:p>
    <w:p>
      <w:pPr>
        <w:shd w:val="clear" w:color="auto" w:fill="FFFFFF"/>
        <w:ind w:firstLine="562"/>
        <w:rPr>
          <w:rFonts w:hAnsi="宋体"/>
          <w:b/>
          <w:sz w:val="28"/>
        </w:rPr>
      </w:pPr>
    </w:p>
    <w:p>
      <w:pPr>
        <w:shd w:val="clear" w:color="auto" w:fill="FFFFFF"/>
        <w:ind w:firstLine="562"/>
        <w:rPr>
          <w:rFonts w:hAnsi="宋体"/>
          <w:b/>
          <w:sz w:val="28"/>
        </w:rPr>
      </w:pPr>
      <w:r>
        <w:rPr>
          <w:rFonts w:hint="eastAsia" w:hAnsi="宋体"/>
          <w:b/>
          <w:sz w:val="28"/>
        </w:rPr>
        <w:t>致海南政鼎招标代理有限公司：</w:t>
      </w:r>
    </w:p>
    <w:p>
      <w:pPr>
        <w:shd w:val="clear" w:color="auto" w:fill="FFFFFF"/>
        <w:ind w:firstLine="480"/>
        <w:rPr>
          <w:rFonts w:hAnsi="宋体"/>
        </w:rPr>
      </w:pPr>
      <w:r>
        <w:rPr>
          <w:rFonts w:hint="eastAsia" w:hAnsi="宋体"/>
        </w:rPr>
        <w:t>本授权书声明：</w:t>
      </w:r>
    </w:p>
    <w:p>
      <w:pPr>
        <w:shd w:val="clear" w:color="auto" w:fill="FFFFFF"/>
        <w:snapToGrid w:val="0"/>
        <w:ind w:firstLine="480"/>
        <w:rPr>
          <w:rFonts w:hAnsi="宋体"/>
          <w:u w:val="single"/>
        </w:rPr>
      </w:pPr>
      <w:r>
        <w:rPr>
          <w:rFonts w:hint="eastAsia" w:hAnsi="宋体"/>
        </w:rPr>
        <w:t>委托人：</w:t>
      </w:r>
    </w:p>
    <w:p>
      <w:pPr>
        <w:shd w:val="clear" w:color="auto" w:fill="FFFFFF"/>
        <w:snapToGrid w:val="0"/>
        <w:ind w:firstLine="480"/>
        <w:rPr>
          <w:rFonts w:hAnsi="宋体"/>
        </w:rPr>
      </w:pPr>
      <w:r>
        <w:rPr>
          <w:rFonts w:hint="eastAsia" w:hAnsi="宋体"/>
        </w:rPr>
        <w:t>地址：法定代表（负责）人：</w:t>
      </w:r>
    </w:p>
    <w:p>
      <w:pPr>
        <w:shd w:val="clear" w:color="auto" w:fill="FFFFFF"/>
        <w:snapToGrid w:val="0"/>
        <w:ind w:firstLine="480"/>
        <w:rPr>
          <w:rFonts w:hAnsi="宋体"/>
        </w:rPr>
      </w:pPr>
      <w:r>
        <w:rPr>
          <w:rFonts w:hint="eastAsia" w:hAnsi="宋体"/>
        </w:rPr>
        <w:t>受托人：姓名性别：出生日期：</w:t>
      </w:r>
      <w:r>
        <w:rPr>
          <w:rFonts w:hAnsi="宋体"/>
        </w:rPr>
        <w:t xml:space="preserve">  </w:t>
      </w:r>
      <w:r>
        <w:rPr>
          <w:rFonts w:hint="eastAsia" w:hAnsi="宋体"/>
        </w:rPr>
        <w:t>年</w:t>
      </w:r>
      <w:r>
        <w:rPr>
          <w:rFonts w:hAnsi="宋体"/>
        </w:rPr>
        <w:t xml:space="preserve">   </w:t>
      </w:r>
      <w:r>
        <w:rPr>
          <w:rFonts w:hint="eastAsia" w:hAnsi="宋体"/>
        </w:rPr>
        <w:t>月</w:t>
      </w:r>
      <w:r>
        <w:rPr>
          <w:rFonts w:hAnsi="宋体"/>
        </w:rPr>
        <w:t xml:space="preserve">   </w:t>
      </w:r>
      <w:r>
        <w:rPr>
          <w:rFonts w:hint="eastAsia" w:hAnsi="宋体"/>
        </w:rPr>
        <w:t>日</w:t>
      </w:r>
    </w:p>
    <w:p>
      <w:pPr>
        <w:shd w:val="clear" w:color="auto" w:fill="FFFFFF"/>
        <w:snapToGrid w:val="0"/>
        <w:ind w:firstLine="480"/>
        <w:rPr>
          <w:rFonts w:hAnsi="宋体"/>
        </w:rPr>
      </w:pPr>
      <w:r>
        <w:rPr>
          <w:rFonts w:hint="eastAsia" w:hAnsi="宋体"/>
        </w:rPr>
        <w:t>所在单位：职务：</w:t>
      </w:r>
    </w:p>
    <w:p>
      <w:pPr>
        <w:shd w:val="clear" w:color="auto" w:fill="FFFFFF"/>
        <w:snapToGrid w:val="0"/>
        <w:ind w:firstLine="480"/>
        <w:rPr>
          <w:rFonts w:hAnsi="宋体"/>
        </w:rPr>
      </w:pPr>
      <w:r>
        <w:rPr>
          <w:rFonts w:hint="eastAsia" w:hAnsi="宋体"/>
        </w:rPr>
        <w:t>身份证：联系方式</w:t>
      </w:r>
      <w:r>
        <w:rPr>
          <w:rFonts w:hAnsi="宋体"/>
        </w:rPr>
        <w:t>:</w:t>
      </w:r>
    </w:p>
    <w:p>
      <w:pPr>
        <w:shd w:val="clear" w:color="auto" w:fill="FFFFFF"/>
        <w:snapToGrid w:val="0"/>
        <w:ind w:firstLine="480"/>
        <w:rPr>
          <w:rFonts w:hAnsi="宋体"/>
        </w:rPr>
      </w:pPr>
      <w:r>
        <w:rPr>
          <w:rFonts w:hint="eastAsia" w:hAnsi="宋体"/>
        </w:rPr>
        <w:t>兹委托受托人代表我方参加海南政鼎招标有限公司组织的</w:t>
      </w:r>
      <w:r>
        <w:rPr>
          <w:rFonts w:hint="eastAsia" w:hAnsi="宋体"/>
          <w:u w:val="single"/>
        </w:rPr>
        <w:t>地理信息系统实验室建设项目（项目编号为：</w:t>
      </w:r>
      <w:r>
        <w:rPr>
          <w:rFonts w:hAnsi="宋体"/>
          <w:u w:val="single"/>
        </w:rPr>
        <w:t>ZD20</w:t>
      </w:r>
      <w:r>
        <w:rPr>
          <w:rFonts w:hint="eastAsia" w:hAnsi="宋体"/>
          <w:u w:val="single"/>
        </w:rPr>
        <w:t>20</w:t>
      </w:r>
      <w:r>
        <w:rPr>
          <w:rFonts w:hAnsi="宋体"/>
          <w:u w:val="single"/>
        </w:rPr>
        <w:t>-</w:t>
      </w:r>
      <w:r>
        <w:rPr>
          <w:rFonts w:hint="eastAsia" w:hAnsi="宋体"/>
          <w:u w:val="single"/>
        </w:rPr>
        <w:t>640）</w:t>
      </w:r>
      <w:r>
        <w:rPr>
          <w:rFonts w:hint="eastAsia" w:hAnsi="宋体"/>
        </w:rPr>
        <w:t>的招标活动，并授权其全权办理以下事宜：</w:t>
      </w:r>
    </w:p>
    <w:p>
      <w:pPr>
        <w:shd w:val="clear" w:color="auto" w:fill="FFFFFF"/>
        <w:snapToGrid w:val="0"/>
        <w:ind w:firstLine="480"/>
        <w:rPr>
          <w:rFonts w:hAnsi="宋体"/>
        </w:rPr>
      </w:pPr>
      <w:r>
        <w:rPr>
          <w:rFonts w:hAnsi="宋体"/>
        </w:rPr>
        <w:t>1</w:t>
      </w:r>
      <w:r>
        <w:rPr>
          <w:rFonts w:hint="eastAsia" w:hAnsi="宋体"/>
        </w:rPr>
        <w:t>、参加投标活动；</w:t>
      </w:r>
    </w:p>
    <w:p>
      <w:pPr>
        <w:shd w:val="clear" w:color="auto" w:fill="FFFFFF"/>
        <w:snapToGrid w:val="0"/>
        <w:ind w:firstLine="480"/>
        <w:rPr>
          <w:rFonts w:hAnsi="宋体"/>
        </w:rPr>
      </w:pPr>
      <w:r>
        <w:rPr>
          <w:rFonts w:hAnsi="宋体"/>
        </w:rPr>
        <w:t>2</w:t>
      </w:r>
      <w:r>
        <w:rPr>
          <w:rFonts w:hint="eastAsia" w:hAnsi="宋体"/>
        </w:rPr>
        <w:t>、出席开标评标会议；</w:t>
      </w:r>
    </w:p>
    <w:p>
      <w:pPr>
        <w:shd w:val="clear" w:color="auto" w:fill="FFFFFF"/>
        <w:snapToGrid w:val="0"/>
        <w:ind w:firstLine="480"/>
        <w:rPr>
          <w:rFonts w:hAnsi="宋体"/>
        </w:rPr>
      </w:pPr>
      <w:r>
        <w:rPr>
          <w:rFonts w:hAnsi="宋体"/>
        </w:rPr>
        <w:t>3</w:t>
      </w:r>
      <w:r>
        <w:rPr>
          <w:rFonts w:hint="eastAsia" w:hAnsi="宋体"/>
        </w:rPr>
        <w:t>、签订与中标事宜有关的合同；</w:t>
      </w:r>
    </w:p>
    <w:p>
      <w:pPr>
        <w:shd w:val="clear" w:color="auto" w:fill="FFFFFF"/>
        <w:snapToGrid w:val="0"/>
        <w:ind w:firstLine="480"/>
        <w:rPr>
          <w:rFonts w:hAnsi="宋体"/>
        </w:rPr>
      </w:pPr>
      <w:r>
        <w:rPr>
          <w:rFonts w:hAnsi="宋体"/>
        </w:rPr>
        <w:t>4</w:t>
      </w:r>
      <w:r>
        <w:rPr>
          <w:rFonts w:hint="eastAsia" w:hAnsi="宋体"/>
        </w:rPr>
        <w:t>、负责合同的履行、服务以及在合同履行过程中有关事宜的洽谈和处理。</w:t>
      </w:r>
    </w:p>
    <w:p>
      <w:pPr>
        <w:shd w:val="clear" w:color="auto" w:fill="FFFFFF"/>
        <w:snapToGrid w:val="0"/>
        <w:ind w:firstLine="480"/>
        <w:rPr>
          <w:rFonts w:hAnsi="宋体"/>
        </w:rPr>
      </w:pPr>
      <w:r>
        <w:rPr>
          <w:rFonts w:hint="eastAsia" w:hAnsi="宋体"/>
        </w:rPr>
        <w:t>受托人在办理上述事宜过程中以其自己的名义所签署的所有文件我方均予以承认。受托人无转委托权。</w:t>
      </w:r>
    </w:p>
    <w:p>
      <w:pPr>
        <w:shd w:val="clear" w:color="auto" w:fill="FFFFFF"/>
        <w:snapToGrid w:val="0"/>
        <w:ind w:firstLine="480"/>
        <w:rPr>
          <w:rFonts w:hAnsi="宋体"/>
        </w:rPr>
      </w:pPr>
      <w:r>
        <w:rPr>
          <w:rFonts w:hint="eastAsia" w:hAnsi="宋体"/>
        </w:rPr>
        <w:t>委托期限：至上述事宜处理完毕止。</w:t>
      </w:r>
    </w:p>
    <w:p>
      <w:pPr>
        <w:shd w:val="clear" w:color="auto" w:fill="FFFFFF"/>
        <w:snapToGrid w:val="0"/>
        <w:ind w:firstLine="482"/>
        <w:rPr>
          <w:rFonts w:hAnsi="宋体"/>
          <w:b/>
          <w:bCs/>
        </w:rPr>
      </w:pPr>
    </w:p>
    <w:p>
      <w:pPr>
        <w:shd w:val="clear" w:color="auto" w:fill="FFFFFF"/>
        <w:snapToGrid w:val="0"/>
        <w:ind w:firstLine="482"/>
        <w:rPr>
          <w:rFonts w:hAnsi="宋体"/>
          <w:sz w:val="28"/>
          <w:szCs w:val="28"/>
        </w:rPr>
      </w:pPr>
      <w:r>
        <w:rPr>
          <w:rFonts w:hAnsi="宋体"/>
          <w:b/>
          <w:bCs/>
        </w:rPr>
        <w:t xml:space="preserve">          </w:t>
      </w:r>
      <w:r>
        <w:rPr>
          <w:rFonts w:hint="eastAsia" w:hAnsi="宋体"/>
          <w:b/>
          <w:bCs/>
          <w:sz w:val="28"/>
          <w:szCs w:val="28"/>
        </w:rPr>
        <w:t>（附法人和委托人正反两面身份证复印件）</w:t>
      </w:r>
    </w:p>
    <w:p>
      <w:pPr>
        <w:shd w:val="clear" w:color="auto" w:fill="FFFFFF"/>
        <w:snapToGrid w:val="0"/>
        <w:ind w:firstLine="480"/>
        <w:rPr>
          <w:rFonts w:hAnsi="宋体"/>
        </w:rPr>
      </w:pPr>
    </w:p>
    <w:p>
      <w:pPr>
        <w:shd w:val="clear" w:color="auto" w:fill="FFFFFF"/>
        <w:snapToGrid w:val="0"/>
        <w:ind w:firstLine="480"/>
        <w:rPr>
          <w:rFonts w:hAnsi="宋体"/>
          <w:u w:val="single"/>
        </w:rPr>
      </w:pPr>
      <w:r>
        <w:rPr>
          <w:rFonts w:hint="eastAsia" w:hAnsi="宋体"/>
        </w:rPr>
        <w:t>委托单位</w:t>
      </w:r>
      <w:r>
        <w:rPr>
          <w:rFonts w:hint="eastAsia" w:hAnsi="宋体"/>
          <w:u w:val="single"/>
        </w:rPr>
        <w:t>（公章）</w:t>
      </w:r>
    </w:p>
    <w:p>
      <w:pPr>
        <w:shd w:val="clear" w:color="auto" w:fill="FFFFFF"/>
        <w:snapToGrid w:val="0"/>
        <w:ind w:firstLine="480"/>
        <w:rPr>
          <w:rFonts w:hAnsi="宋体"/>
          <w:u w:val="single"/>
        </w:rPr>
      </w:pPr>
      <w:r>
        <w:rPr>
          <w:rFonts w:hint="eastAsia" w:hAnsi="宋体"/>
        </w:rPr>
        <w:t>法定代表或负责人</w:t>
      </w:r>
      <w:r>
        <w:rPr>
          <w:rFonts w:hint="eastAsia" w:hAnsi="宋体"/>
          <w:u w:val="single"/>
        </w:rPr>
        <w:t>（签名或私章）</w:t>
      </w:r>
    </w:p>
    <w:p>
      <w:pPr>
        <w:shd w:val="clear" w:color="auto" w:fill="FFFFFF"/>
        <w:snapToGrid w:val="0"/>
        <w:ind w:firstLine="480"/>
        <w:rPr>
          <w:rFonts w:hAnsi="宋体"/>
          <w:u w:val="single"/>
        </w:rPr>
      </w:pPr>
      <w:r>
        <w:rPr>
          <w:rFonts w:hint="eastAsia" w:hAnsi="宋体"/>
        </w:rPr>
        <w:t>受托人</w:t>
      </w:r>
      <w:r>
        <w:rPr>
          <w:rFonts w:hint="eastAsia" w:hAnsi="宋体"/>
          <w:u w:val="single"/>
        </w:rPr>
        <w:t>（签名或私章）</w:t>
      </w:r>
    </w:p>
    <w:p>
      <w:pPr>
        <w:shd w:val="clear" w:color="auto" w:fill="FFFFFF"/>
        <w:snapToGrid w:val="0"/>
        <w:ind w:firstLine="480"/>
        <w:rPr>
          <w:rFonts w:hAnsi="宋体"/>
        </w:rPr>
      </w:pPr>
      <w:r>
        <w:rPr>
          <w:rFonts w:hint="eastAsia" w:hAnsi="宋体"/>
        </w:rPr>
        <w:t>年月日</w:t>
      </w:r>
    </w:p>
    <w:p>
      <w:pPr>
        <w:shd w:val="clear" w:color="auto" w:fill="FFFFFF"/>
        <w:snapToGrid w:val="0"/>
        <w:ind w:firstLine="3960" w:firstLineChars="1650"/>
        <w:rPr>
          <w:rFonts w:hAnsi="宋体"/>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ind w:firstLine="0" w:firstLineChars="0"/>
        <w:jc w:val="both"/>
        <w:rPr>
          <w:rFonts w:hAnsi="宋体"/>
          <w:b/>
          <w:sz w:val="32"/>
          <w:szCs w:val="32"/>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ind w:firstLine="2891" w:firstLineChars="900"/>
        <w:jc w:val="both"/>
        <w:rPr>
          <w:rFonts w:hAnsi="宋体"/>
          <w:b/>
          <w:sz w:val="32"/>
          <w:szCs w:val="32"/>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ind w:firstLine="2891" w:firstLineChars="900"/>
        <w:jc w:val="both"/>
        <w:rPr>
          <w:rFonts w:hAnsi="宋体"/>
          <w:b/>
          <w:sz w:val="32"/>
          <w:szCs w:val="32"/>
        </w:rPr>
      </w:pPr>
      <w:r>
        <w:rPr>
          <w:rFonts w:hint="eastAsia" w:hAnsi="宋体"/>
          <w:b/>
          <w:sz w:val="32"/>
          <w:szCs w:val="32"/>
        </w:rPr>
        <w:t>6、营业执照</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ind w:firstLine="643"/>
        <w:jc w:val="both"/>
        <w:rPr>
          <w:rFonts w:hAnsi="宋体"/>
          <w:b/>
          <w:sz w:val="32"/>
          <w:szCs w:val="32"/>
        </w:rPr>
      </w:pPr>
      <w:r>
        <w:rPr>
          <w:rFonts w:hAnsi="宋体"/>
          <w:b/>
          <w:sz w:val="32"/>
          <w:szCs w:val="32"/>
        </w:rPr>
        <w:t xml:space="preserve">             </w:t>
      </w:r>
      <w:r>
        <w:rPr>
          <w:rFonts w:hint="eastAsia" w:hAnsi="宋体"/>
        </w:rPr>
        <w:t>（三合一新证复印件）</w:t>
      </w:r>
    </w:p>
    <w:p>
      <w:pPr>
        <w:tabs>
          <w:tab w:val="left" w:pos="630"/>
        </w:tabs>
        <w:ind w:firstLine="480"/>
        <w:rPr>
          <w:rFonts w:hAnsi="宋体"/>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ind w:firstLine="643"/>
        <w:jc w:val="both"/>
        <w:rPr>
          <w:rFonts w:hAnsi="宋体"/>
          <w:b/>
          <w:sz w:val="32"/>
          <w:szCs w:val="32"/>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ind w:firstLine="643"/>
        <w:jc w:val="both"/>
        <w:rPr>
          <w:rFonts w:hAnsi="宋体"/>
          <w:b/>
          <w:sz w:val="32"/>
          <w:szCs w:val="32"/>
        </w:rPr>
      </w:pPr>
      <w:r>
        <w:rPr>
          <w:rFonts w:hAnsi="宋体"/>
          <w:b/>
          <w:sz w:val="32"/>
          <w:szCs w:val="32"/>
        </w:rPr>
        <w:t xml:space="preserve">  </w:t>
      </w:r>
      <w:r>
        <w:rPr>
          <w:rFonts w:hint="eastAsia" w:hAnsi="宋体"/>
          <w:b/>
          <w:sz w:val="32"/>
          <w:szCs w:val="32"/>
        </w:rPr>
        <w:t>7、提供</w:t>
      </w:r>
      <w:r>
        <w:rPr>
          <w:rFonts w:hAnsi="宋体"/>
          <w:b/>
          <w:sz w:val="32"/>
          <w:szCs w:val="32"/>
        </w:rPr>
        <w:t>20</w:t>
      </w:r>
      <w:r>
        <w:rPr>
          <w:rFonts w:hint="eastAsia" w:hAnsi="宋体"/>
          <w:b/>
          <w:sz w:val="32"/>
          <w:szCs w:val="32"/>
        </w:rPr>
        <w:t>20年度任意3个月社保缴费记录证明</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ind w:firstLine="0" w:firstLineChars="0"/>
        <w:jc w:val="both"/>
        <w:rPr>
          <w:rFonts w:hAnsi="宋体"/>
          <w:b/>
          <w:sz w:val="32"/>
          <w:szCs w:val="32"/>
        </w:rPr>
      </w:pPr>
      <w:r>
        <w:rPr>
          <w:rFonts w:hAnsi="宋体"/>
          <w:b/>
          <w:sz w:val="32"/>
          <w:szCs w:val="32"/>
        </w:rPr>
        <w:t xml:space="preserve">             </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ind w:firstLine="0" w:firstLineChars="0"/>
        <w:jc w:val="both"/>
        <w:rPr>
          <w:rFonts w:hAnsi="宋体"/>
          <w:b/>
          <w:sz w:val="32"/>
          <w:szCs w:val="32"/>
        </w:rPr>
      </w:pPr>
      <w:r>
        <w:rPr>
          <w:rFonts w:hAnsi="宋体"/>
          <w:b/>
          <w:sz w:val="32"/>
          <w:szCs w:val="32"/>
        </w:rPr>
        <w:t xml:space="preserve">           </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ind w:firstLine="1928" w:firstLineChars="600"/>
        <w:jc w:val="both"/>
        <w:rPr>
          <w:rFonts w:hAnsi="宋体"/>
          <w:b/>
          <w:sz w:val="32"/>
          <w:szCs w:val="32"/>
        </w:rPr>
      </w:pPr>
      <w:r>
        <w:rPr>
          <w:rFonts w:hAnsi="宋体"/>
          <w:b/>
          <w:sz w:val="32"/>
          <w:szCs w:val="32"/>
        </w:rPr>
        <w:t xml:space="preserve"> </w:t>
      </w:r>
      <w:r>
        <w:rPr>
          <w:rFonts w:hint="eastAsia" w:hAnsi="宋体"/>
          <w:b/>
          <w:sz w:val="32"/>
          <w:szCs w:val="32"/>
        </w:rPr>
        <w:t>8、近三年无违法记录声明书</w:t>
      </w:r>
    </w:p>
    <w:p>
      <w:pPr>
        <w:ind w:firstLine="480"/>
        <w:rPr>
          <w:rFonts w:ascii="Verdana" w:hAnsi="Verdana" w:cs="Verdana"/>
          <w:szCs w:val="21"/>
        </w:rPr>
      </w:pPr>
    </w:p>
    <w:p>
      <w:pPr>
        <w:spacing w:line="280" w:lineRule="atLeast"/>
        <w:ind w:firstLine="562"/>
        <w:rPr>
          <w:rFonts w:hAnsi="宋体" w:cs="宋体"/>
          <w:b/>
          <w:sz w:val="28"/>
          <w:szCs w:val="28"/>
        </w:rPr>
      </w:pPr>
      <w:r>
        <w:rPr>
          <w:rFonts w:hint="eastAsia" w:hAnsi="宋体" w:cs="宋体"/>
          <w:b/>
          <w:bCs/>
          <w:sz w:val="28"/>
          <w:szCs w:val="28"/>
        </w:rPr>
        <w:t>海南政鼎招标代理有限公司</w:t>
      </w:r>
      <w:r>
        <w:rPr>
          <w:rFonts w:hint="eastAsia" w:hAnsi="宋体" w:cs="宋体"/>
          <w:b/>
          <w:sz w:val="28"/>
          <w:szCs w:val="28"/>
        </w:rPr>
        <w:t>：</w:t>
      </w:r>
    </w:p>
    <w:p>
      <w:pPr>
        <w:spacing w:line="280" w:lineRule="atLeast"/>
        <w:ind w:firstLine="560"/>
        <w:rPr>
          <w:rFonts w:hAnsi="宋体" w:cs="宋体"/>
          <w:sz w:val="28"/>
          <w:szCs w:val="28"/>
        </w:rPr>
      </w:pPr>
      <w:r>
        <w:rPr>
          <w:rFonts w:hAnsi="宋体" w:cs="宋体"/>
          <w:sz w:val="28"/>
          <w:szCs w:val="28"/>
        </w:rPr>
        <w:t xml:space="preserve"> </w:t>
      </w:r>
    </w:p>
    <w:p>
      <w:pPr>
        <w:spacing w:line="280" w:lineRule="atLeast"/>
        <w:ind w:firstLine="560"/>
        <w:rPr>
          <w:rFonts w:hAnsi="宋体" w:cs="宋体"/>
          <w:sz w:val="28"/>
          <w:szCs w:val="28"/>
        </w:rPr>
      </w:pPr>
      <w:r>
        <w:rPr>
          <w:rFonts w:hint="eastAsia" w:hAnsi="宋体" w:cs="宋体"/>
          <w:sz w:val="28"/>
          <w:szCs w:val="28"/>
        </w:rPr>
        <w:t>本公司声明如下：</w:t>
      </w:r>
    </w:p>
    <w:p>
      <w:pPr>
        <w:shd w:val="clear" w:color="auto" w:fill="FFFFFF"/>
        <w:snapToGrid w:val="0"/>
        <w:ind w:firstLine="560"/>
        <w:rPr>
          <w:rFonts w:hAnsi="宋体" w:cs="Arial"/>
          <w:sz w:val="28"/>
          <w:szCs w:val="28"/>
        </w:rPr>
      </w:pPr>
      <w:r>
        <w:rPr>
          <w:rFonts w:hint="eastAsia" w:hAnsi="宋体" w:cs="宋体"/>
          <w:sz w:val="28"/>
          <w:szCs w:val="28"/>
        </w:rPr>
        <w:t>本单位在参加</w:t>
      </w:r>
      <w:r>
        <w:rPr>
          <w:rFonts w:hint="eastAsia" w:hAnsi="宋体" w:cs="Arial"/>
          <w:sz w:val="28"/>
          <w:szCs w:val="28"/>
        </w:rPr>
        <w:t>（采购编号</w:t>
      </w:r>
      <w:r>
        <w:rPr>
          <w:rFonts w:hAnsi="宋体" w:cs="Arial"/>
          <w:sz w:val="28"/>
          <w:szCs w:val="28"/>
        </w:rPr>
        <w:t xml:space="preserve">: </w:t>
      </w:r>
      <w:r>
        <w:rPr>
          <w:rFonts w:hint="eastAsia" w:hAnsi="宋体" w:cs="Arial"/>
          <w:sz w:val="28"/>
          <w:szCs w:val="28"/>
        </w:rPr>
        <w:t>ZD2020-640、地理信息系统实验室建设项目）的政府采购活动近三年内，未有任何违法行为记录。</w:t>
      </w:r>
    </w:p>
    <w:p>
      <w:pPr>
        <w:spacing w:line="280" w:lineRule="atLeast"/>
        <w:ind w:firstLine="560"/>
        <w:rPr>
          <w:rFonts w:hAnsi="宋体" w:cs="宋体"/>
          <w:sz w:val="28"/>
          <w:szCs w:val="28"/>
        </w:rPr>
      </w:pPr>
    </w:p>
    <w:p>
      <w:pPr>
        <w:spacing w:line="280" w:lineRule="atLeast"/>
        <w:ind w:firstLine="3640" w:firstLineChars="1300"/>
        <w:rPr>
          <w:rFonts w:hAnsi="宋体" w:cs="宋体"/>
          <w:sz w:val="28"/>
          <w:szCs w:val="28"/>
        </w:rPr>
      </w:pPr>
      <w:r>
        <w:rPr>
          <w:rFonts w:hint="eastAsia" w:hAnsi="宋体" w:cs="宋体"/>
          <w:sz w:val="28"/>
          <w:szCs w:val="28"/>
        </w:rPr>
        <w:t>承诺人：（投标人公章）：</w:t>
      </w:r>
      <w:r>
        <w:rPr>
          <w:rFonts w:hAnsi="宋体" w:cs="宋体"/>
          <w:sz w:val="28"/>
          <w:szCs w:val="28"/>
        </w:rPr>
        <w:t xml:space="preserve"> </w:t>
      </w:r>
    </w:p>
    <w:p>
      <w:pPr>
        <w:spacing w:line="280" w:lineRule="atLeast"/>
        <w:ind w:firstLine="3500" w:firstLineChars="1250"/>
        <w:rPr>
          <w:rFonts w:hAnsi="宋体" w:cs="宋体"/>
          <w:sz w:val="28"/>
          <w:szCs w:val="28"/>
        </w:rPr>
      </w:pPr>
      <w:r>
        <w:rPr>
          <w:rFonts w:hAnsi="宋体" w:cs="宋体"/>
          <w:sz w:val="28"/>
          <w:szCs w:val="28"/>
        </w:rPr>
        <w:t xml:space="preserve"> </w:t>
      </w:r>
      <w:r>
        <w:rPr>
          <w:rFonts w:hint="eastAsia" w:hAnsi="宋体" w:cs="宋体"/>
          <w:sz w:val="28"/>
          <w:szCs w:val="28"/>
        </w:rPr>
        <w:t>法定代表人或授权委托人（签字）：</w:t>
      </w:r>
    </w:p>
    <w:p>
      <w:pPr>
        <w:spacing w:line="280" w:lineRule="atLeast"/>
        <w:ind w:firstLine="560"/>
        <w:jc w:val="center"/>
        <w:rPr>
          <w:rFonts w:hAnsi="宋体" w:cs="宋体"/>
          <w:sz w:val="28"/>
          <w:szCs w:val="28"/>
        </w:rPr>
      </w:pPr>
      <w:r>
        <w:rPr>
          <w:rFonts w:hAnsi="宋体" w:cs="宋体"/>
          <w:sz w:val="28"/>
          <w:szCs w:val="28"/>
        </w:rPr>
        <w:t xml:space="preserve">          </w:t>
      </w:r>
      <w:r>
        <w:rPr>
          <w:rFonts w:hint="eastAsia" w:hAnsi="宋体" w:cs="宋体"/>
          <w:sz w:val="28"/>
          <w:szCs w:val="28"/>
        </w:rPr>
        <w:t>签发日期：</w:t>
      </w:r>
      <w:r>
        <w:rPr>
          <w:rFonts w:hAnsi="宋体" w:cs="宋体"/>
          <w:sz w:val="28"/>
          <w:szCs w:val="28"/>
        </w:rPr>
        <w:t>20</w:t>
      </w:r>
      <w:r>
        <w:rPr>
          <w:rFonts w:hint="eastAsia" w:hAnsi="宋体" w:cs="宋体"/>
          <w:sz w:val="28"/>
          <w:szCs w:val="28"/>
        </w:rPr>
        <w:t>20年</w:t>
      </w:r>
      <w:r>
        <w:rPr>
          <w:rFonts w:hAnsi="宋体" w:cs="宋体"/>
          <w:sz w:val="28"/>
          <w:szCs w:val="28"/>
        </w:rPr>
        <w:t xml:space="preserve">  </w:t>
      </w:r>
      <w:r>
        <w:rPr>
          <w:rFonts w:hint="eastAsia" w:hAnsi="宋体" w:cs="宋体"/>
          <w:sz w:val="28"/>
          <w:szCs w:val="28"/>
        </w:rPr>
        <w:t>月</w:t>
      </w:r>
      <w:r>
        <w:rPr>
          <w:rFonts w:hAnsi="宋体" w:cs="宋体"/>
          <w:sz w:val="28"/>
          <w:szCs w:val="28"/>
        </w:rPr>
        <w:t xml:space="preserve">  </w:t>
      </w:r>
      <w:r>
        <w:rPr>
          <w:rFonts w:hint="eastAsia" w:hAnsi="宋体" w:cs="宋体"/>
          <w:sz w:val="28"/>
          <w:szCs w:val="28"/>
        </w:rPr>
        <w:t>日</w:t>
      </w:r>
    </w:p>
    <w:p>
      <w:pPr>
        <w:ind w:firstLine="480"/>
        <w:rPr>
          <w:rFonts w:ascii="Verdana" w:hAnsi="Verdana" w:cs="Verdana"/>
          <w:szCs w:val="21"/>
        </w:rPr>
      </w:pPr>
    </w:p>
    <w:p>
      <w:pPr>
        <w:pStyle w:val="31"/>
        <w:snapToGrid w:val="0"/>
        <w:ind w:left="840" w:firstLine="0" w:firstLineChars="0"/>
        <w:rPr>
          <w:rFonts w:hAnsi="宋体"/>
          <w:b/>
          <w:sz w:val="32"/>
          <w:szCs w:val="32"/>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643"/>
        <w:jc w:val="both"/>
        <w:rPr>
          <w:rFonts w:hAnsi="宋体"/>
          <w:b/>
          <w:sz w:val="32"/>
          <w:szCs w:val="32"/>
        </w:rPr>
      </w:pPr>
      <w:r>
        <w:rPr>
          <w:rFonts w:hAnsi="宋体"/>
          <w:b/>
          <w:sz w:val="32"/>
          <w:szCs w:val="32"/>
        </w:rPr>
        <w:t xml:space="preserve">        </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321" w:firstLineChars="100"/>
        <w:jc w:val="center"/>
        <w:rPr>
          <w:rFonts w:hAnsi="宋体"/>
          <w:b/>
          <w:sz w:val="32"/>
          <w:szCs w:val="32"/>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643"/>
        <w:jc w:val="center"/>
        <w:rPr>
          <w:rFonts w:hAnsi="宋体"/>
          <w:b/>
          <w:sz w:val="32"/>
          <w:szCs w:val="32"/>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643"/>
        <w:jc w:val="center"/>
        <w:rPr>
          <w:rFonts w:hAnsi="宋体"/>
          <w:b/>
          <w:sz w:val="32"/>
          <w:szCs w:val="32"/>
        </w:rPr>
      </w:pPr>
      <w:r>
        <w:rPr>
          <w:rFonts w:hint="eastAsia" w:hAnsi="宋体"/>
          <w:b/>
          <w:sz w:val="32"/>
          <w:szCs w:val="32"/>
        </w:rPr>
        <w:t>9、提供2020年度任意3个月的企业纳税证明或者会计师事务所出具的2019年公司财务审计报告；</w:t>
      </w: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0" w:firstLineChars="0"/>
        <w:rPr>
          <w:rFonts w:hAnsi="宋体"/>
          <w:b/>
          <w:sz w:val="32"/>
          <w:szCs w:val="32"/>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643"/>
        <w:jc w:val="center"/>
        <w:rPr>
          <w:rFonts w:hAnsi="宋体"/>
          <w:b/>
          <w:sz w:val="32"/>
          <w:szCs w:val="32"/>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643"/>
        <w:jc w:val="both"/>
        <w:rPr>
          <w:rFonts w:hAnsi="宋体"/>
        </w:rPr>
      </w:pPr>
      <w:r>
        <w:rPr>
          <w:rFonts w:hAnsi="宋体"/>
          <w:b/>
          <w:sz w:val="32"/>
          <w:szCs w:val="32"/>
        </w:rPr>
        <w:t xml:space="preserve">        </w:t>
      </w:r>
      <w:r>
        <w:rPr>
          <w:rFonts w:hint="eastAsia" w:hAnsi="宋体"/>
          <w:b/>
          <w:sz w:val="32"/>
          <w:szCs w:val="32"/>
        </w:rPr>
        <w:t xml:space="preserve"> 10、保证金缴费记录复印件</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0" w:firstLineChars="0"/>
        <w:rPr>
          <w:rFonts w:hAnsi="宋体"/>
          <w:b/>
          <w:sz w:val="32"/>
          <w:szCs w:val="32"/>
        </w:rPr>
      </w:pPr>
      <w:r>
        <w:rPr>
          <w:rFonts w:hAnsi="宋体"/>
        </w:rPr>
        <w:t xml:space="preserve">   </w:t>
      </w:r>
      <w:r>
        <w:rPr>
          <w:rFonts w:hAnsi="宋体"/>
          <w:b/>
          <w:sz w:val="32"/>
          <w:szCs w:val="32"/>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0" w:firstLineChars="0"/>
        <w:jc w:val="both"/>
        <w:rPr>
          <w:rFonts w:hAnsi="宋体"/>
          <w:b/>
          <w:sz w:val="32"/>
          <w:szCs w:val="32"/>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line="240" w:lineRule="auto"/>
        <w:ind w:firstLine="2891" w:firstLineChars="900"/>
        <w:jc w:val="both"/>
        <w:rPr>
          <w:rFonts w:hAnsi="宋体"/>
          <w:b/>
          <w:sz w:val="32"/>
          <w:szCs w:val="32"/>
        </w:rPr>
      </w:pPr>
      <w:r>
        <w:rPr>
          <w:rFonts w:hint="eastAsia" w:hAnsi="宋体"/>
          <w:b/>
          <w:sz w:val="32"/>
          <w:szCs w:val="32"/>
        </w:rPr>
        <w:t>11、中小企业声明函</w:t>
      </w:r>
    </w:p>
    <w:p>
      <w:pPr>
        <w:ind w:firstLine="643"/>
        <w:jc w:val="both"/>
        <w:rPr>
          <w:rFonts w:ascii="新宋体" w:hAnsi="新宋体" w:eastAsia="新宋体" w:cs="新宋体"/>
          <w:b/>
          <w:bCs/>
          <w:sz w:val="32"/>
          <w:szCs w:val="32"/>
        </w:rPr>
      </w:pPr>
    </w:p>
    <w:p>
      <w:pPr>
        <w:ind w:firstLine="480"/>
        <w:rPr>
          <w:rFonts w:hAnsi="宋体"/>
        </w:rPr>
      </w:pPr>
      <w:r>
        <w:rPr>
          <w:rFonts w:hint="eastAsia" w:hAnsi="宋体"/>
        </w:rPr>
        <w:t>本公司郑重声明，根据《政府采购促进中小企业发展暂行办法》（财库</w:t>
      </w:r>
      <w:r>
        <w:rPr>
          <w:rFonts w:hAnsi="宋体"/>
        </w:rPr>
        <w:t>[2011]181</w:t>
      </w:r>
      <w:r>
        <w:rPr>
          <w:rFonts w:hint="eastAsia" w:hAnsi="宋体"/>
        </w:rPr>
        <w:t>号）的规定，本公司为</w:t>
      </w:r>
      <w:r>
        <w:rPr>
          <w:rFonts w:hAnsi="宋体"/>
        </w:rPr>
        <w:t xml:space="preserve"> </w:t>
      </w:r>
      <w:r>
        <w:rPr>
          <w:rFonts w:hAnsi="宋体"/>
          <w:u w:val="single"/>
        </w:rPr>
        <w:t xml:space="preserve">                                </w:t>
      </w:r>
      <w:r>
        <w:rPr>
          <w:rFonts w:hint="eastAsia" w:hAnsi="宋体"/>
        </w:rPr>
        <w:t>（请填写：中型、小型、微型）企业。即，本公司同时满足以下条件：</w:t>
      </w:r>
    </w:p>
    <w:p>
      <w:pPr>
        <w:ind w:firstLine="480"/>
        <w:rPr>
          <w:rFonts w:hAnsi="宋体"/>
        </w:rPr>
      </w:pPr>
      <w:r>
        <w:rPr>
          <w:rFonts w:hAnsi="宋体"/>
        </w:rPr>
        <w:t>1</w:t>
      </w:r>
      <w:r>
        <w:rPr>
          <w:rFonts w:hint="eastAsia" w:hAnsi="宋体"/>
        </w:rPr>
        <w:t>、根据《工业和信息部、国家统计局、国家发展和改革委员会、财政部关于印发中小企业划型标准规定的通知》（工信部联企业</w:t>
      </w:r>
      <w:r>
        <w:rPr>
          <w:rFonts w:hAnsi="宋体"/>
        </w:rPr>
        <w:t>[2011]300</w:t>
      </w:r>
      <w:r>
        <w:rPr>
          <w:rFonts w:hint="eastAsia" w:hAnsi="宋体"/>
        </w:rPr>
        <w:t>号）规定的划分标准，本公司为</w:t>
      </w:r>
      <w:r>
        <w:rPr>
          <w:rFonts w:hAnsi="宋体"/>
          <w:u w:val="single"/>
        </w:rPr>
        <w:t xml:space="preserve">                                 </w:t>
      </w:r>
      <w:r>
        <w:rPr>
          <w:rFonts w:hint="eastAsia" w:hAnsi="宋体"/>
        </w:rPr>
        <w:t>（请填写：中型、小型、微型）企业。</w:t>
      </w:r>
    </w:p>
    <w:p>
      <w:pPr>
        <w:ind w:firstLine="480"/>
        <w:rPr>
          <w:rFonts w:hAnsi="宋体"/>
          <w:u w:val="single"/>
        </w:rPr>
      </w:pPr>
      <w:r>
        <w:rPr>
          <w:rFonts w:hAnsi="宋体"/>
        </w:rPr>
        <w:t>2</w:t>
      </w:r>
      <w:r>
        <w:rPr>
          <w:rFonts w:hint="eastAsia" w:hAnsi="宋体"/>
        </w:rPr>
        <w:t>、本公司参加</w:t>
      </w:r>
      <w:r>
        <w:rPr>
          <w:rFonts w:hAnsi="宋体"/>
          <w:u w:val="single"/>
        </w:rPr>
        <w:t xml:space="preserve">                </w:t>
      </w:r>
      <w:r>
        <w:rPr>
          <w:rFonts w:hint="eastAsia" w:hAnsi="宋体"/>
        </w:rPr>
        <w:t>单位的</w:t>
      </w:r>
      <w:r>
        <w:rPr>
          <w:rFonts w:hAnsi="宋体"/>
          <w:u w:val="single"/>
        </w:rPr>
        <w:t xml:space="preserve">                               </w:t>
      </w:r>
    </w:p>
    <w:p>
      <w:pPr>
        <w:ind w:firstLine="480"/>
        <w:rPr>
          <w:rFonts w:hAnsi="宋体"/>
        </w:rPr>
      </w:pPr>
      <w:r>
        <w:rPr>
          <w:rFonts w:hint="eastAsia" w:hAnsi="宋体"/>
        </w:rPr>
        <w:t>项目采购活动提供本企业制造的货物，由本企业承担工程、提供服务，或者提供其他</w:t>
      </w:r>
      <w:r>
        <w:rPr>
          <w:rFonts w:hAnsi="宋体"/>
          <w:u w:val="single"/>
        </w:rPr>
        <w:t xml:space="preserve">        </w:t>
      </w:r>
      <w:r>
        <w:rPr>
          <w:rFonts w:hint="eastAsia" w:hAnsi="宋体"/>
        </w:rPr>
        <w:t>（请填写：中型、小型、微型）企业制造的货物。本条所称货物不包括使用大型企业注册商标的货物。</w:t>
      </w:r>
    </w:p>
    <w:p>
      <w:pPr>
        <w:ind w:firstLine="480"/>
        <w:rPr>
          <w:rFonts w:ascii="新宋体" w:hAnsi="新宋体" w:eastAsia="新宋体" w:cs="新宋体"/>
          <w:sz w:val="28"/>
          <w:szCs w:val="28"/>
        </w:rPr>
      </w:pPr>
      <w:r>
        <w:rPr>
          <w:rFonts w:hint="eastAsia" w:hAnsi="宋体"/>
        </w:rPr>
        <w:t>本公司对上述声明的真实性负责。如有虚假，将依法承担相应责任。</w:t>
      </w:r>
      <w:r>
        <w:rPr>
          <w:rFonts w:ascii="新宋体" w:hAnsi="新宋体" w:eastAsia="新宋体" w:cs="新宋体"/>
          <w:sz w:val="28"/>
          <w:szCs w:val="28"/>
        </w:rPr>
        <w:t xml:space="preserve"> </w:t>
      </w:r>
    </w:p>
    <w:p>
      <w:pPr>
        <w:ind w:left="645" w:firstLine="560"/>
        <w:rPr>
          <w:rFonts w:ascii="新宋体" w:hAnsi="新宋体" w:eastAsia="新宋体" w:cs="新宋体"/>
          <w:sz w:val="28"/>
          <w:szCs w:val="28"/>
        </w:rPr>
      </w:pPr>
    </w:p>
    <w:p>
      <w:pPr>
        <w:ind w:left="645" w:firstLine="560"/>
        <w:rPr>
          <w:rFonts w:ascii="新宋体" w:hAnsi="新宋体" w:eastAsia="新宋体" w:cs="新宋体"/>
          <w:sz w:val="28"/>
          <w:szCs w:val="28"/>
        </w:rPr>
      </w:pPr>
      <w:r>
        <w:rPr>
          <w:rFonts w:ascii="新宋体" w:hAnsi="新宋体" w:eastAsia="新宋体" w:cs="新宋体"/>
          <w:sz w:val="28"/>
          <w:szCs w:val="28"/>
        </w:rPr>
        <w:t xml:space="preserve">                      </w:t>
      </w:r>
      <w:r>
        <w:rPr>
          <w:rFonts w:hint="eastAsia" w:hAnsi="宋体"/>
        </w:rPr>
        <w:t>企业名称（盖章）</w:t>
      </w:r>
      <w:r>
        <w:rPr>
          <w:rFonts w:hint="eastAsia" w:ascii="新宋体" w:hAnsi="新宋体" w:eastAsia="新宋体" w:cs="新宋体"/>
          <w:sz w:val="28"/>
          <w:szCs w:val="28"/>
        </w:rPr>
        <w:t>：</w:t>
      </w:r>
      <w:r>
        <w:rPr>
          <w:rFonts w:ascii="新宋体" w:hAnsi="新宋体" w:eastAsia="新宋体" w:cs="新宋体"/>
          <w:sz w:val="28"/>
          <w:szCs w:val="28"/>
          <w:u w:val="single"/>
        </w:rPr>
        <w:t xml:space="preserve">          </w:t>
      </w:r>
    </w:p>
    <w:p>
      <w:pPr>
        <w:spacing w:line="480" w:lineRule="exact"/>
        <w:ind w:firstLine="560"/>
        <w:jc w:val="center"/>
        <w:rPr>
          <w:rFonts w:ascii="新宋体" w:hAnsi="新宋体" w:eastAsia="新宋体" w:cs="新宋体"/>
          <w:sz w:val="28"/>
          <w:szCs w:val="28"/>
          <w:u w:val="single"/>
        </w:rPr>
      </w:pPr>
      <w:r>
        <w:rPr>
          <w:rFonts w:ascii="新宋体" w:hAnsi="新宋体" w:eastAsia="新宋体" w:cs="新宋体"/>
          <w:sz w:val="28"/>
          <w:szCs w:val="28"/>
        </w:rPr>
        <w:t xml:space="preserve">                   </w:t>
      </w:r>
      <w:r>
        <w:rPr>
          <w:rFonts w:hAnsi="宋体"/>
        </w:rPr>
        <w:t xml:space="preserve"> </w:t>
      </w:r>
      <w:r>
        <w:rPr>
          <w:rFonts w:hint="eastAsia" w:hAnsi="宋体"/>
        </w:rPr>
        <w:t>日</w:t>
      </w:r>
      <w:r>
        <w:rPr>
          <w:rFonts w:hAnsi="宋体"/>
        </w:rPr>
        <w:t xml:space="preserve"> </w:t>
      </w:r>
      <w:r>
        <w:rPr>
          <w:rFonts w:hint="eastAsia" w:hAnsi="宋体"/>
        </w:rPr>
        <w:t>期</w:t>
      </w:r>
      <w:r>
        <w:rPr>
          <w:rFonts w:hint="eastAsia" w:ascii="新宋体" w:hAnsi="新宋体" w:eastAsia="新宋体" w:cs="新宋体"/>
          <w:sz w:val="28"/>
          <w:szCs w:val="28"/>
        </w:rPr>
        <w:t>：</w:t>
      </w:r>
      <w:r>
        <w:rPr>
          <w:rFonts w:ascii="新宋体" w:hAnsi="新宋体" w:eastAsia="新宋体" w:cs="新宋体"/>
          <w:sz w:val="28"/>
          <w:szCs w:val="28"/>
          <w:u w:val="single"/>
        </w:rPr>
        <w:t xml:space="preserve">          </w:t>
      </w:r>
    </w:p>
    <w:p>
      <w:pPr>
        <w:spacing w:line="480" w:lineRule="exact"/>
        <w:ind w:firstLine="560"/>
        <w:jc w:val="center"/>
        <w:rPr>
          <w:rFonts w:ascii="新宋体" w:hAnsi="新宋体" w:eastAsia="新宋体" w:cs="新宋体"/>
          <w:sz w:val="28"/>
          <w:szCs w:val="28"/>
          <w:u w:val="single"/>
        </w:rPr>
      </w:pPr>
    </w:p>
    <w:p>
      <w:pPr>
        <w:ind w:firstLine="643"/>
        <w:rPr>
          <w:rFonts w:hAnsi="宋体"/>
          <w:b/>
          <w:sz w:val="32"/>
          <w:szCs w:val="32"/>
        </w:rPr>
      </w:pPr>
    </w:p>
    <w:p>
      <w:pPr>
        <w:ind w:firstLine="643"/>
        <w:rPr>
          <w:rFonts w:hAnsi="宋体"/>
          <w:b/>
          <w:sz w:val="32"/>
          <w:szCs w:val="32"/>
        </w:rPr>
      </w:pPr>
    </w:p>
    <w:p>
      <w:pPr>
        <w:ind w:firstLine="643"/>
        <w:rPr>
          <w:rFonts w:hAnsi="宋体"/>
          <w:b/>
          <w:sz w:val="32"/>
          <w:szCs w:val="32"/>
        </w:rPr>
      </w:pPr>
    </w:p>
    <w:p>
      <w:pPr>
        <w:ind w:firstLine="964" w:firstLineChars="300"/>
        <w:rPr>
          <w:rFonts w:ascii="Helvetica" w:hAnsi="Helvetica" w:eastAsia="Helvetica" w:cs="Helvetica"/>
          <w:sz w:val="21"/>
          <w:szCs w:val="21"/>
        </w:rPr>
      </w:pPr>
      <w:bookmarkStart w:id="64" w:name="OLE_LINK30"/>
      <w:r>
        <w:rPr>
          <w:rFonts w:hint="eastAsia" w:hAnsi="宋体"/>
          <w:b/>
          <w:sz w:val="32"/>
          <w:szCs w:val="32"/>
        </w:rPr>
        <w:t>12、投标人参加本项目投标无串通投标行为的承诺函</w:t>
      </w:r>
      <w:bookmarkEnd w:id="64"/>
      <w:r>
        <w:rPr>
          <w:rFonts w:hint="eastAsia" w:hAnsi="宋体"/>
          <w:b/>
          <w:sz w:val="32"/>
          <w:szCs w:val="32"/>
        </w:rPr>
        <w:t xml:space="preserve">   </w:t>
      </w:r>
    </w:p>
    <w:p>
      <w:pPr>
        <w:ind w:firstLine="482"/>
        <w:rPr>
          <w:rFonts w:hAnsi="宋体"/>
          <w:b/>
          <w:bCs/>
        </w:rPr>
      </w:pPr>
    </w:p>
    <w:p>
      <w:pPr>
        <w:ind w:firstLine="602"/>
        <w:rPr>
          <w:rFonts w:hAnsi="宋体"/>
        </w:rPr>
      </w:pPr>
      <w:r>
        <w:rPr>
          <w:rFonts w:hint="eastAsia" w:hAnsi="宋体"/>
          <w:b/>
          <w:bCs/>
          <w:sz w:val="30"/>
          <w:szCs w:val="30"/>
        </w:rPr>
        <w:t>海南师范大学：</w:t>
      </w:r>
      <w:r>
        <w:rPr>
          <w:rFonts w:hint="eastAsia" w:hAnsi="宋体"/>
        </w:rPr>
        <w:t xml:space="preserve"> </w:t>
      </w:r>
    </w:p>
    <w:p>
      <w:pPr>
        <w:ind w:firstLine="480"/>
        <w:rPr>
          <w:rFonts w:hAnsi="宋体"/>
        </w:rPr>
      </w:pPr>
      <w:r>
        <w:rPr>
          <w:rFonts w:hint="eastAsia" w:hAnsi="宋体"/>
        </w:rPr>
        <w:t xml:space="preserve">我公司承诺在参加本项目投标中，单位负责人为同一人或者存在直接控股、管理关系的不同供应商，不参加同一合同项下的政府采购活动；并承诺不违反以下情形： </w:t>
      </w:r>
    </w:p>
    <w:p>
      <w:pPr>
        <w:ind w:firstLine="480"/>
        <w:rPr>
          <w:rFonts w:hAnsi="宋体"/>
        </w:rPr>
      </w:pPr>
      <w:r>
        <w:rPr>
          <w:rFonts w:hint="eastAsia" w:hAnsi="宋体"/>
        </w:rPr>
        <w:t xml:space="preserve">（一）不同投标人的投标文件由同一单位或者个人编制； </w:t>
      </w:r>
      <w:bookmarkStart w:id="65" w:name="OLE_LINK29"/>
      <w:r>
        <w:rPr>
          <w:rFonts w:hint="eastAsia" w:hAnsi="宋体"/>
        </w:rPr>
        <w:t>（二）</w:t>
      </w:r>
      <w:bookmarkEnd w:id="65"/>
      <w:r>
        <w:rPr>
          <w:rFonts w:hint="eastAsia" w:hAnsi="宋体"/>
        </w:rPr>
        <w:t xml:space="preserve">不同投标人委托同一单位或者个人办理投标事宜； （三）不同投标人的投标文件载明的项目管理成员或者联系人员为同一人； （四）不同投标人的投标文件异常一致或者投标报价呈规律性差异； （五）不同投标人的投标文件相互混装； （六）不同投标人的投标保证金从同一单位或者个人的账户转出。 </w:t>
      </w:r>
    </w:p>
    <w:p>
      <w:pPr>
        <w:ind w:firstLine="480"/>
        <w:rPr>
          <w:rFonts w:hAnsi="宋体"/>
        </w:rPr>
      </w:pPr>
      <w:r>
        <w:rPr>
          <w:rFonts w:hint="eastAsia" w:hAnsi="宋体"/>
        </w:rPr>
        <w:t xml:space="preserve">特此声明。 </w:t>
      </w:r>
    </w:p>
    <w:p>
      <w:pPr>
        <w:ind w:firstLine="480"/>
        <w:rPr>
          <w:rFonts w:hAnsi="宋体"/>
        </w:rPr>
      </w:pPr>
      <w:r>
        <w:rPr>
          <w:rFonts w:hint="eastAsia" w:hAnsi="宋体"/>
        </w:rPr>
        <w:t xml:space="preserve">法定代表人或被授权人签字： </w:t>
      </w:r>
    </w:p>
    <w:p>
      <w:pPr>
        <w:ind w:firstLine="480"/>
        <w:rPr>
          <w:rFonts w:hAnsi="宋体"/>
        </w:rPr>
      </w:pPr>
      <w:r>
        <w:rPr>
          <w:rFonts w:hint="eastAsia" w:hAnsi="宋体"/>
        </w:rPr>
        <w:t xml:space="preserve">投标人公章： </w:t>
      </w:r>
    </w:p>
    <w:p>
      <w:pPr>
        <w:ind w:firstLine="420"/>
        <w:rPr>
          <w:rFonts w:ascii="Helvetica" w:hAnsi="Helvetica" w:eastAsia="Helvetica" w:cs="Helvetica"/>
          <w:sz w:val="21"/>
          <w:szCs w:val="21"/>
        </w:rPr>
      </w:pPr>
      <w:r>
        <w:rPr>
          <w:rFonts w:ascii="Helvetica" w:hAnsi="Helvetica" w:eastAsia="Helvetica" w:cs="Helvetica"/>
          <w:sz w:val="21"/>
          <w:szCs w:val="21"/>
        </w:rPr>
        <w:t>年    月    日 </w:t>
      </w:r>
    </w:p>
    <w:p>
      <w:pPr>
        <w:ind w:firstLine="420"/>
        <w:rPr>
          <w:rFonts w:ascii="Helvetica" w:hAnsi="Helvetica" w:eastAsia="Helvetica" w:cs="Helvetica"/>
          <w:sz w:val="21"/>
          <w:szCs w:val="21"/>
        </w:rPr>
      </w:pPr>
    </w:p>
    <w:p>
      <w:pPr>
        <w:pStyle w:val="3"/>
        <w:ind w:firstLine="0" w:firstLineChars="0"/>
        <w:rPr>
          <w:rFonts w:hAnsi="宋体"/>
          <w:b/>
          <w:sz w:val="32"/>
          <w:szCs w:val="32"/>
        </w:rPr>
      </w:pPr>
    </w:p>
    <w:p>
      <w:pPr>
        <w:spacing w:line="240" w:lineRule="auto"/>
        <w:ind w:firstLine="321" w:firstLineChars="100"/>
        <w:jc w:val="center"/>
        <w:rPr>
          <w:rFonts w:hAnsi="宋体"/>
          <w:b/>
          <w:sz w:val="32"/>
          <w:szCs w:val="32"/>
        </w:rPr>
      </w:pPr>
    </w:p>
    <w:p>
      <w:pPr>
        <w:ind w:firstLine="964" w:firstLineChars="300"/>
        <w:jc w:val="center"/>
        <w:rPr>
          <w:rFonts w:hAnsi="宋体"/>
          <w:b/>
          <w:sz w:val="32"/>
          <w:szCs w:val="32"/>
        </w:rPr>
      </w:pPr>
      <w:r>
        <w:rPr>
          <w:rFonts w:hint="eastAsia" w:hAnsi="宋体"/>
          <w:b/>
          <w:sz w:val="32"/>
          <w:szCs w:val="32"/>
        </w:rPr>
        <w:t>13、根据招标文件要求，提供授权书、技术参数确认及售后服务承诺函</w:t>
      </w:r>
    </w:p>
    <w:p>
      <w:pPr>
        <w:pStyle w:val="2"/>
        <w:spacing w:line="240" w:lineRule="auto"/>
        <w:ind w:left="0" w:leftChars="0" w:right="240"/>
        <w:rPr>
          <w:rFonts w:ascii="宋体" w:hAnsi="宋体"/>
        </w:rPr>
      </w:pPr>
    </w:p>
    <w:p>
      <w:pPr>
        <w:pStyle w:val="2"/>
        <w:spacing w:line="240" w:lineRule="auto"/>
        <w:ind w:left="240" w:right="240" w:firstLine="321" w:firstLineChars="100"/>
        <w:rPr>
          <w:rFonts w:ascii="宋体" w:hAnsi="宋体"/>
        </w:rPr>
      </w:pPr>
    </w:p>
    <w:p>
      <w:pPr>
        <w:spacing w:line="240" w:lineRule="auto"/>
        <w:ind w:firstLine="964" w:firstLineChars="300"/>
        <w:jc w:val="center"/>
        <w:rPr>
          <w:rFonts w:hAnsi="宋体"/>
          <w:b/>
          <w:sz w:val="32"/>
          <w:szCs w:val="32"/>
        </w:rPr>
      </w:pPr>
      <w:r>
        <w:rPr>
          <w:rFonts w:hint="eastAsia" w:hAnsi="宋体"/>
          <w:b/>
          <w:sz w:val="32"/>
          <w:szCs w:val="32"/>
        </w:rPr>
        <w:t>14、供应商须提供在“信用中国”网站（www.creditchina.gov.cn）、中国政府采购网 （www.ccgp.gov.cn）没有列入失信被执行人、重大税收违法案件当事人名单、政府采购严重违法失信行为记录名单，提供网页查询结果合格的截图；</w:t>
      </w:r>
    </w:p>
    <w:p>
      <w:pPr>
        <w:pStyle w:val="2"/>
        <w:spacing w:line="240" w:lineRule="auto"/>
        <w:ind w:left="240" w:right="240" w:firstLine="321" w:firstLineChars="100"/>
        <w:rPr>
          <w:rFonts w:ascii="宋体" w:hAnsi="宋体"/>
        </w:rPr>
      </w:pPr>
    </w:p>
    <w:p>
      <w:pPr>
        <w:spacing w:line="240" w:lineRule="auto"/>
        <w:ind w:firstLine="643"/>
        <w:rPr>
          <w:rFonts w:hAnsi="宋体"/>
          <w:b/>
          <w:sz w:val="32"/>
          <w:szCs w:val="32"/>
        </w:rPr>
      </w:pPr>
    </w:p>
    <w:p>
      <w:pPr>
        <w:spacing w:line="240" w:lineRule="auto"/>
        <w:ind w:firstLine="643"/>
        <w:rPr>
          <w:rFonts w:hAnsi="宋体"/>
          <w:b/>
          <w:sz w:val="32"/>
          <w:szCs w:val="32"/>
        </w:rPr>
      </w:pPr>
    </w:p>
    <w:p>
      <w:pPr>
        <w:spacing w:line="240" w:lineRule="auto"/>
        <w:ind w:firstLine="643"/>
        <w:rPr>
          <w:rFonts w:hAnsi="宋体"/>
          <w:b/>
          <w:sz w:val="32"/>
          <w:szCs w:val="32"/>
        </w:rPr>
      </w:pPr>
      <w:r>
        <w:rPr>
          <w:rFonts w:hint="eastAsia" w:hAnsi="宋体"/>
          <w:b/>
          <w:sz w:val="32"/>
          <w:szCs w:val="32"/>
        </w:rPr>
        <w:t>15、</w:t>
      </w:r>
      <w:bookmarkStart w:id="66" w:name="OLE_LINK31"/>
      <w:r>
        <w:rPr>
          <w:rFonts w:hint="eastAsia" w:hAnsi="宋体"/>
          <w:b/>
          <w:sz w:val="32"/>
          <w:szCs w:val="32"/>
        </w:rPr>
        <w:t>投标人投标时提供“国家企业信用信息公示系统”网站（http://www.gsxt.gov.cn/index.html）基础信息中的“股东及出资信息”和“主要人员信息”（提供信息查询结果界面截图，加盖投标人公章）；</w:t>
      </w:r>
    </w:p>
    <w:bookmarkEnd w:id="66"/>
    <w:p>
      <w:pPr>
        <w:pStyle w:val="2"/>
        <w:spacing w:line="240" w:lineRule="auto"/>
        <w:ind w:left="240" w:right="240" w:firstLine="321" w:firstLineChars="100"/>
        <w:rPr>
          <w:rFonts w:ascii="宋体" w:hAnsi="宋体"/>
        </w:rPr>
      </w:pPr>
    </w:p>
    <w:p>
      <w:pPr>
        <w:ind w:firstLine="2570" w:firstLineChars="800"/>
        <w:rPr>
          <w:rFonts w:hAnsi="宋体"/>
          <w:b/>
          <w:sz w:val="32"/>
          <w:szCs w:val="32"/>
        </w:rPr>
      </w:pPr>
    </w:p>
    <w:p>
      <w:pPr>
        <w:ind w:firstLine="643"/>
        <w:rPr>
          <w:rFonts w:hAnsi="宋体"/>
          <w:b/>
          <w:sz w:val="32"/>
          <w:szCs w:val="32"/>
        </w:rPr>
      </w:pPr>
      <w:r>
        <w:rPr>
          <w:rFonts w:hint="eastAsia" w:hAnsi="宋体"/>
          <w:b/>
          <w:sz w:val="32"/>
          <w:szCs w:val="32"/>
        </w:rPr>
        <w:t>16、投标时提供本项目投标被授权人近期任意一个月在投标人处缴纳的社保证明复印件；</w:t>
      </w:r>
      <w:r>
        <w:rPr>
          <w:rFonts w:hAnsi="宋体"/>
          <w:b/>
          <w:sz w:val="32"/>
          <w:szCs w:val="32"/>
        </w:rPr>
        <w:t> </w:t>
      </w:r>
    </w:p>
    <w:p>
      <w:pPr>
        <w:ind w:firstLine="2570" w:firstLineChars="800"/>
        <w:rPr>
          <w:rFonts w:hAnsi="宋体"/>
          <w:b/>
          <w:sz w:val="32"/>
          <w:szCs w:val="32"/>
        </w:rPr>
      </w:pPr>
    </w:p>
    <w:p>
      <w:pPr>
        <w:ind w:firstLine="2570" w:firstLineChars="800"/>
        <w:rPr>
          <w:rFonts w:hAnsi="宋体"/>
          <w:b/>
          <w:sz w:val="32"/>
          <w:szCs w:val="32"/>
        </w:rPr>
      </w:pPr>
    </w:p>
    <w:p>
      <w:pPr>
        <w:ind w:firstLine="2570" w:firstLineChars="800"/>
        <w:rPr>
          <w:rFonts w:hAnsi="宋体"/>
          <w:b/>
          <w:sz w:val="32"/>
          <w:szCs w:val="32"/>
        </w:rPr>
      </w:pPr>
    </w:p>
    <w:p>
      <w:pPr>
        <w:pStyle w:val="3"/>
        <w:ind w:firstLine="400"/>
        <w:rPr>
          <w:rFonts w:hint="eastAsia"/>
        </w:rPr>
      </w:pPr>
    </w:p>
    <w:p>
      <w:pPr>
        <w:spacing w:beforeLines="150" w:afterLines="150" w:line="440" w:lineRule="exact"/>
        <w:ind w:right="-480" w:rightChars="-200" w:firstLine="1606" w:firstLineChars="500"/>
        <w:rPr>
          <w:rFonts w:hAnsi="宋体"/>
          <w:b/>
          <w:sz w:val="32"/>
          <w:szCs w:val="32"/>
        </w:rPr>
      </w:pPr>
      <w:r>
        <w:rPr>
          <w:rFonts w:hAnsi="宋体"/>
          <w:b/>
          <w:sz w:val="32"/>
          <w:szCs w:val="32"/>
        </w:rPr>
        <w:t>1</w:t>
      </w:r>
      <w:r>
        <w:rPr>
          <w:rFonts w:hint="eastAsia" w:hAnsi="宋体"/>
          <w:b/>
          <w:sz w:val="32"/>
          <w:szCs w:val="32"/>
        </w:rPr>
        <w:t>7、投标人认为需要的其它材料</w:t>
      </w:r>
    </w:p>
    <w:p>
      <w:pPr>
        <w:pStyle w:val="4"/>
        <w:ind w:firstLine="2209" w:firstLineChars="500"/>
        <w:jc w:val="both"/>
        <w:rPr>
          <w:rFonts w:hint="eastAsia"/>
        </w:rPr>
      </w:pPr>
      <w:bookmarkStart w:id="67" w:name="_Toc476664380"/>
      <w:bookmarkStart w:id="68" w:name="_Toc476667951"/>
      <w:r>
        <w:rPr>
          <w:rFonts w:hint="eastAsia"/>
        </w:rPr>
        <w:t>第六章评审办法和程序</w:t>
      </w:r>
      <w:bookmarkEnd w:id="67"/>
      <w:bookmarkEnd w:id="68"/>
    </w:p>
    <w:p>
      <w:pPr>
        <w:pStyle w:val="5"/>
        <w:shd w:val="clear" w:color="auto" w:fill="FFFFFF"/>
        <w:spacing w:before="0" w:after="0" w:line="360" w:lineRule="auto"/>
        <w:ind w:firstLine="643"/>
        <w:rPr>
          <w:rFonts w:hAnsi="宋体"/>
          <w:bCs w:val="0"/>
        </w:rPr>
      </w:pPr>
      <w:bookmarkStart w:id="69" w:name="_Toc476643583"/>
      <w:r>
        <w:rPr>
          <w:rFonts w:hint="eastAsia" w:hAnsi="宋体"/>
          <w:bCs w:val="0"/>
        </w:rPr>
        <w:t xml:space="preserve">一、评审办法和步骤 </w:t>
      </w:r>
    </w:p>
    <w:p>
      <w:pPr>
        <w:pStyle w:val="5"/>
        <w:shd w:val="clear" w:color="auto" w:fill="FFFFFF"/>
        <w:spacing w:before="0" w:after="0" w:line="360" w:lineRule="auto"/>
        <w:ind w:firstLine="480"/>
        <w:rPr>
          <w:rFonts w:hAnsi="宋体"/>
          <w:b w:val="0"/>
          <w:sz w:val="24"/>
        </w:rPr>
      </w:pPr>
      <w:r>
        <w:rPr>
          <w:rFonts w:hint="eastAsia" w:hAnsi="宋体"/>
          <w:b w:val="0"/>
          <w:sz w:val="24"/>
        </w:rPr>
        <w:t>1.评标办法采用综合评分法。</w:t>
      </w:r>
    </w:p>
    <w:p>
      <w:pPr>
        <w:pStyle w:val="5"/>
        <w:shd w:val="clear" w:color="auto" w:fill="FFFFFF"/>
        <w:spacing w:before="0" w:after="0" w:line="360" w:lineRule="auto"/>
        <w:ind w:firstLine="480"/>
        <w:rPr>
          <w:rFonts w:hAnsi="宋体"/>
          <w:b w:val="0"/>
          <w:sz w:val="24"/>
        </w:rPr>
      </w:pPr>
      <w:r>
        <w:rPr>
          <w:rFonts w:hint="eastAsia" w:hAnsi="宋体"/>
          <w:b w:val="0"/>
          <w:sz w:val="24"/>
        </w:rPr>
        <w:t>2.评标步骤：先进行资格审查，然后由评标委员会进行符合性审查以及技术、商务的详细评审。只有通过资格审查、符合性审查的投标人才能进入详细评审。</w:t>
      </w:r>
    </w:p>
    <w:p>
      <w:pPr>
        <w:pStyle w:val="5"/>
        <w:shd w:val="clear" w:color="auto" w:fill="FFFFFF"/>
        <w:spacing w:before="0" w:after="0" w:line="360" w:lineRule="auto"/>
        <w:ind w:firstLine="643"/>
        <w:rPr>
          <w:rFonts w:hAnsi="宋体"/>
          <w:bCs w:val="0"/>
        </w:rPr>
      </w:pPr>
      <w:r>
        <w:rPr>
          <w:rFonts w:hint="eastAsia" w:hAnsi="宋体"/>
          <w:bCs w:val="0"/>
        </w:rPr>
        <w:t xml:space="preserve">二、资格审查 </w:t>
      </w:r>
    </w:p>
    <w:p>
      <w:pPr>
        <w:pStyle w:val="5"/>
        <w:shd w:val="clear" w:color="auto" w:fill="FFFFFF"/>
        <w:spacing w:before="0" w:after="0" w:line="360" w:lineRule="auto"/>
        <w:ind w:firstLine="480"/>
        <w:rPr>
          <w:rFonts w:hAnsi="宋体"/>
          <w:b w:val="0"/>
          <w:sz w:val="24"/>
        </w:rPr>
      </w:pPr>
      <w:r>
        <w:rPr>
          <w:rFonts w:hint="eastAsia" w:hAnsi="宋体"/>
          <w:b w:val="0"/>
          <w:sz w:val="24"/>
        </w:rPr>
        <w:t>1. 根据财政部第 87 号令第四十四条的规定，采购人、招标代理机构对投标人的资格进行审查。</w:t>
      </w:r>
    </w:p>
    <w:p>
      <w:pPr>
        <w:pStyle w:val="5"/>
        <w:shd w:val="clear" w:color="auto" w:fill="FFFFFF"/>
        <w:spacing w:before="0" w:after="0" w:line="360" w:lineRule="auto"/>
        <w:ind w:firstLine="480"/>
        <w:rPr>
          <w:rFonts w:hAnsi="宋体"/>
          <w:b w:val="0"/>
          <w:sz w:val="24"/>
        </w:rPr>
      </w:pPr>
      <w:r>
        <w:rPr>
          <w:rFonts w:hint="eastAsia" w:hAnsi="宋体"/>
          <w:b w:val="0"/>
          <w:sz w:val="24"/>
        </w:rPr>
        <w:t>2.采购人、海南政鼎招标有限公司根据“资格审查表”（附表 1）对投标人的资格性进行评审，只有对“资格评审表”（附表 1）所列各项作出实质性响应的投标文件才能通过资格评审。有以下情况的将不能通过初步评审：</w:t>
      </w:r>
    </w:p>
    <w:p>
      <w:pPr>
        <w:pStyle w:val="5"/>
        <w:shd w:val="clear" w:color="auto" w:fill="FFFFFF"/>
        <w:spacing w:before="0" w:after="0" w:line="360" w:lineRule="auto"/>
        <w:ind w:firstLine="720" w:firstLineChars="300"/>
        <w:jc w:val="left"/>
        <w:rPr>
          <w:rFonts w:hAnsi="宋体"/>
          <w:b w:val="0"/>
          <w:sz w:val="24"/>
        </w:rPr>
      </w:pPr>
      <w:r>
        <w:rPr>
          <w:rFonts w:hint="eastAsia" w:hAnsi="宋体"/>
          <w:b w:val="0"/>
          <w:sz w:val="24"/>
        </w:rPr>
        <w:t>a.投标人未能满足投标人资格要求的；</w:t>
      </w:r>
    </w:p>
    <w:p>
      <w:pPr>
        <w:pStyle w:val="5"/>
        <w:shd w:val="clear" w:color="auto" w:fill="FFFFFF"/>
        <w:spacing w:before="0" w:after="0" w:line="360" w:lineRule="auto"/>
        <w:ind w:firstLine="720" w:firstLineChars="300"/>
        <w:jc w:val="left"/>
        <w:rPr>
          <w:rFonts w:hAnsi="宋体"/>
          <w:b w:val="0"/>
          <w:sz w:val="24"/>
        </w:rPr>
      </w:pPr>
      <w:r>
        <w:rPr>
          <w:rFonts w:hint="eastAsia" w:hAnsi="宋体"/>
          <w:b w:val="0"/>
          <w:sz w:val="24"/>
        </w:rPr>
        <w:t>b.投标人未按招标文件要求的金额提交投标保证金的；</w:t>
      </w:r>
    </w:p>
    <w:p>
      <w:pPr>
        <w:pStyle w:val="5"/>
        <w:shd w:val="clear" w:color="auto" w:fill="FFFFFF"/>
        <w:spacing w:before="0" w:after="0" w:line="360" w:lineRule="auto"/>
        <w:ind w:firstLine="720" w:firstLineChars="300"/>
        <w:jc w:val="left"/>
        <w:rPr>
          <w:rFonts w:hAnsi="宋体"/>
          <w:b w:val="0"/>
          <w:sz w:val="24"/>
        </w:rPr>
      </w:pPr>
      <w:r>
        <w:rPr>
          <w:rFonts w:hint="eastAsia" w:hAnsi="宋体"/>
          <w:b w:val="0"/>
          <w:sz w:val="24"/>
        </w:rPr>
        <w:t>c.投标有效期不足的；</w:t>
      </w:r>
    </w:p>
    <w:p>
      <w:pPr>
        <w:pStyle w:val="5"/>
        <w:shd w:val="clear" w:color="auto" w:fill="FFFFFF"/>
        <w:spacing w:before="0" w:after="0" w:line="360" w:lineRule="auto"/>
        <w:ind w:firstLine="720" w:firstLineChars="300"/>
        <w:jc w:val="left"/>
        <w:rPr>
          <w:rFonts w:hAnsi="宋体"/>
          <w:b w:val="0"/>
          <w:sz w:val="24"/>
        </w:rPr>
      </w:pPr>
      <w:r>
        <w:rPr>
          <w:rFonts w:hint="eastAsia" w:hAnsi="宋体"/>
          <w:b w:val="0"/>
          <w:sz w:val="24"/>
        </w:rPr>
        <w:t>d.不符合招标文件规定的其它条件。</w:t>
      </w:r>
    </w:p>
    <w:p>
      <w:pPr>
        <w:pStyle w:val="5"/>
        <w:shd w:val="clear" w:color="auto" w:fill="FFFFFF"/>
        <w:spacing w:before="0" w:after="0" w:line="360" w:lineRule="auto"/>
        <w:ind w:firstLine="480"/>
        <w:rPr>
          <w:rFonts w:hAnsi="宋体"/>
          <w:b w:val="0"/>
          <w:sz w:val="24"/>
        </w:rPr>
      </w:pPr>
      <w:r>
        <w:rPr>
          <w:rFonts w:hint="eastAsia" w:hAnsi="宋体"/>
          <w:b w:val="0"/>
          <w:sz w:val="24"/>
        </w:rPr>
        <w:t>3．判断投标文件的响应与否只根据投标文件本身，而不寻求外部证据。</w:t>
      </w:r>
    </w:p>
    <w:p>
      <w:pPr>
        <w:pStyle w:val="5"/>
        <w:shd w:val="clear" w:color="auto" w:fill="FFFFFF"/>
        <w:spacing w:before="0" w:after="0" w:line="360" w:lineRule="auto"/>
        <w:ind w:firstLine="482"/>
        <w:rPr>
          <w:rFonts w:hAnsi="宋体"/>
          <w:bCs w:val="0"/>
          <w:sz w:val="24"/>
        </w:rPr>
      </w:pPr>
      <w:r>
        <w:rPr>
          <w:rFonts w:hint="eastAsia" w:hAnsi="宋体"/>
          <w:bCs w:val="0"/>
          <w:sz w:val="24"/>
        </w:rPr>
        <w:t xml:space="preserve">4. 通过资格审查的投标人不足三家，则本次招标失败。 </w:t>
      </w:r>
    </w:p>
    <w:p>
      <w:pPr>
        <w:pStyle w:val="5"/>
        <w:shd w:val="clear" w:color="auto" w:fill="FFFFFF"/>
        <w:spacing w:before="0" w:after="0" w:line="360" w:lineRule="auto"/>
        <w:ind w:firstLine="643"/>
        <w:rPr>
          <w:rFonts w:hAnsi="宋体"/>
          <w:bCs w:val="0"/>
        </w:rPr>
      </w:pPr>
      <w:r>
        <w:rPr>
          <w:rFonts w:hint="eastAsia" w:hAnsi="宋体"/>
          <w:bCs w:val="0"/>
        </w:rPr>
        <w:t xml:space="preserve">三、符合性审查 </w:t>
      </w:r>
    </w:p>
    <w:p>
      <w:pPr>
        <w:ind w:firstLine="480"/>
        <w:rPr>
          <w:rFonts w:hAnsi="宋体"/>
        </w:rPr>
      </w:pPr>
      <w:r>
        <w:rPr>
          <w:rFonts w:hint="eastAsia" w:hAnsi="宋体"/>
        </w:rPr>
        <w:t>1.评标委员会根据“符合性审查表” （附表 2）对通过资格审查的投标文件的符合性进行评审，只有对“符合性审查表”所列各项作出实质性响应的投标文件才能通过符合性审查。对是否实质性响应招标文件的要求有争议的投标内容，评标委员会将以记名方式表决，得票超过半数的投标人有资格进入下一阶段的评审，否则将被淘汰。</w:t>
      </w:r>
    </w:p>
    <w:p>
      <w:pPr>
        <w:ind w:firstLine="480"/>
        <w:rPr>
          <w:rFonts w:hAnsi="宋体"/>
        </w:rPr>
      </w:pPr>
      <w:r>
        <w:rPr>
          <w:rFonts w:hint="eastAsia" w:hAnsi="宋体"/>
        </w:rPr>
        <w:t>2．判断投标文件的响应与否只根据投标文件本身，而不寻求外部证据。</w:t>
      </w:r>
    </w:p>
    <w:p>
      <w:pPr>
        <w:ind w:firstLine="480"/>
        <w:rPr>
          <w:rFonts w:hAnsi="宋体"/>
        </w:rPr>
      </w:pPr>
      <w:r>
        <w:rPr>
          <w:rFonts w:hint="eastAsia" w:hAnsi="宋体"/>
        </w:rPr>
        <w:t>3. 评标委员会在符合性审查中，对算术错误的修正原则如下:</w:t>
      </w:r>
    </w:p>
    <w:p>
      <w:pPr>
        <w:ind w:firstLine="480"/>
        <w:rPr>
          <w:rFonts w:hAnsi="宋体"/>
        </w:rPr>
      </w:pPr>
      <w:r>
        <w:rPr>
          <w:rFonts w:hint="eastAsia" w:hAnsi="宋体"/>
        </w:rPr>
        <w:t>（1）开标一览表内容与投标文件中明细表内容不一致的，以开标一览表为准</w:t>
      </w:r>
    </w:p>
    <w:p>
      <w:pPr>
        <w:ind w:firstLine="480"/>
        <w:rPr>
          <w:rFonts w:hAnsi="宋体"/>
        </w:rPr>
      </w:pPr>
      <w:r>
        <w:rPr>
          <w:rFonts w:hint="eastAsia" w:hAnsi="宋体"/>
        </w:rPr>
        <w:t>（2）投标文件的大写金额和小写金额不一致的，以大写金额为准；</w:t>
      </w:r>
    </w:p>
    <w:p>
      <w:pPr>
        <w:ind w:firstLine="480"/>
        <w:rPr>
          <w:rFonts w:hAnsi="宋体"/>
        </w:rPr>
      </w:pPr>
      <w:r>
        <w:rPr>
          <w:rFonts w:hint="eastAsia" w:hAnsi="宋体"/>
        </w:rPr>
        <w:t>（3）总价金额与按单价汇总金额不一致的，以单价金额计算结果为准；</w:t>
      </w:r>
    </w:p>
    <w:p>
      <w:pPr>
        <w:ind w:firstLine="480"/>
        <w:rPr>
          <w:rFonts w:hAnsi="宋体"/>
        </w:rPr>
      </w:pPr>
      <w:r>
        <w:rPr>
          <w:rFonts w:hint="eastAsia" w:hAnsi="宋体"/>
        </w:rPr>
        <w:t>（4）单价金额小数点有明显错位的，以总价为准并修改单价。</w:t>
      </w:r>
    </w:p>
    <w:p>
      <w:pPr>
        <w:ind w:firstLine="480"/>
        <w:rPr>
          <w:rFonts w:hAnsi="宋体"/>
        </w:rPr>
      </w:pPr>
      <w:r>
        <w:rPr>
          <w:rFonts w:hint="eastAsia" w:hAnsi="宋体"/>
        </w:rPr>
        <w:t>（5）若投标人不同意以上修正，投标文件将视为无效。</w:t>
      </w:r>
    </w:p>
    <w:p>
      <w:pPr>
        <w:ind w:firstLine="480"/>
        <w:rPr>
          <w:rFonts w:hAnsi="宋体"/>
        </w:rPr>
      </w:pPr>
      <w:r>
        <w:rPr>
          <w:rFonts w:hint="eastAsia" w:hAnsi="宋体"/>
        </w:rPr>
        <w:t>4.评标委员会认为投标人的报价明显低于其他通过符合性审查投标人的报价，有可能影响产品质量或者不能诚信履约的，将要求其在评标现场接到通知后 20 分钟内提供书面说明，必要时提交相关证明材料。投标人不能证明其报价合理性的，评标委员会将其作为无效投标处理。</w:t>
      </w:r>
    </w:p>
    <w:p>
      <w:pPr>
        <w:ind w:firstLine="482"/>
        <w:rPr>
          <w:rFonts w:hAnsi="宋体"/>
          <w:b/>
          <w:bCs/>
        </w:rPr>
      </w:pPr>
      <w:r>
        <w:rPr>
          <w:rFonts w:hint="eastAsia" w:hAnsi="宋体"/>
          <w:b/>
          <w:bCs/>
        </w:rPr>
        <w:t>5.通过符合性审查的投标人不足三家，则本次招标失败。</w:t>
      </w:r>
    </w:p>
    <w:p>
      <w:pPr>
        <w:ind w:firstLine="321" w:firstLineChars="100"/>
        <w:rPr>
          <w:rFonts w:hAnsi="宋体"/>
          <w:b/>
          <w:bCs/>
        </w:rPr>
      </w:pPr>
      <w:r>
        <w:rPr>
          <w:rFonts w:hint="eastAsia" w:ascii="Times New Roman" w:hAnsi="宋体"/>
          <w:b/>
          <w:bCs/>
          <w:sz w:val="32"/>
          <w:szCs w:val="32"/>
        </w:rPr>
        <w:t xml:space="preserve">四、详细评审 </w:t>
      </w:r>
    </w:p>
    <w:p>
      <w:pPr>
        <w:ind w:firstLine="480"/>
        <w:rPr>
          <w:rFonts w:hAnsi="宋体"/>
        </w:rPr>
      </w:pPr>
      <w:r>
        <w:rPr>
          <w:rFonts w:hint="eastAsia" w:hAnsi="宋体"/>
        </w:rPr>
        <w:t>1. 评标委员会根据评审办法对通过初步评审的投标文件进行详细评审，并进行技术和商务的评审打分。</w:t>
      </w:r>
    </w:p>
    <w:p>
      <w:pPr>
        <w:ind w:firstLine="480"/>
        <w:rPr>
          <w:rFonts w:hAnsi="宋体"/>
        </w:rPr>
      </w:pPr>
      <w:r>
        <w:rPr>
          <w:rFonts w:hint="eastAsia" w:hAnsi="宋体"/>
        </w:rPr>
        <w:t>2. 技术、商务评分：具体评审的内容详见（附表 3）；</w:t>
      </w:r>
    </w:p>
    <w:p>
      <w:pPr>
        <w:shd w:val="clear" w:color="auto" w:fill="FFFFFF"/>
        <w:tabs>
          <w:tab w:val="left" w:pos="720"/>
        </w:tabs>
        <w:snapToGrid w:val="0"/>
        <w:ind w:firstLine="480"/>
        <w:rPr>
          <w:rFonts w:hint="eastAsia"/>
        </w:rPr>
      </w:pPr>
      <w:r>
        <w:rPr>
          <w:rFonts w:hAnsi="宋体"/>
        </w:rPr>
        <w:t>3.</w:t>
      </w:r>
      <w:r>
        <w:rPr>
          <w:rFonts w:hint="eastAsia" w:hAnsi="宋体"/>
        </w:rPr>
        <w:t>价格</w:t>
      </w:r>
      <w:r>
        <w:rPr>
          <w:rFonts w:hint="eastAsia"/>
        </w:rPr>
        <w:t>分统一采用低价优先法计算，将通过初步评审的所有投标人的投标价格，即满足招标文件要求且价格最低的投标价为基准价，其价格分为满分。其他投标人的价格分统一按照下列公式计算：</w:t>
      </w:r>
    </w:p>
    <w:p>
      <w:pPr>
        <w:shd w:val="clear" w:color="auto" w:fill="FFFFFF"/>
        <w:tabs>
          <w:tab w:val="left" w:pos="720"/>
        </w:tabs>
        <w:snapToGrid w:val="0"/>
        <w:ind w:firstLine="720" w:firstLineChars="300"/>
        <w:rPr>
          <w:rFonts w:hAnsi="宋体"/>
        </w:rPr>
      </w:pPr>
      <w:r>
        <w:rPr>
          <w:rFonts w:hint="eastAsia" w:hAnsi="宋体"/>
        </w:rPr>
        <w:t>价格分=(基准价／投标报价)×价格权值×100</w:t>
      </w:r>
    </w:p>
    <w:p>
      <w:pPr>
        <w:shd w:val="clear" w:color="auto" w:fill="FFFFFF"/>
        <w:tabs>
          <w:tab w:val="left" w:pos="720"/>
        </w:tabs>
        <w:snapToGrid w:val="0"/>
        <w:ind w:firstLine="480"/>
        <w:rPr>
          <w:rFonts w:hAnsi="宋体"/>
        </w:rPr>
      </w:pPr>
      <w:r>
        <w:rPr>
          <w:rFonts w:hAnsi="宋体"/>
        </w:rPr>
        <w:t>4.</w:t>
      </w:r>
      <w:r>
        <w:rPr>
          <w:rFonts w:hint="eastAsia" w:hAnsi="宋体"/>
        </w:rPr>
        <w:t>服务及价格权重分配</w:t>
      </w:r>
    </w:p>
    <w:tbl>
      <w:tblPr>
        <w:tblStyle w:val="15"/>
        <w:tblW w:w="4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646"/>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800" w:type="dxa"/>
            <w:vAlign w:val="center"/>
          </w:tcPr>
          <w:p>
            <w:pPr>
              <w:shd w:val="clear" w:color="auto" w:fill="FFFFFF"/>
              <w:snapToGrid w:val="0"/>
              <w:ind w:firstLine="198" w:firstLineChars="82"/>
              <w:jc w:val="center"/>
              <w:rPr>
                <w:rFonts w:hAnsi="宋体"/>
                <w:b/>
              </w:rPr>
            </w:pPr>
            <w:r>
              <w:rPr>
                <w:rFonts w:hint="eastAsia" w:hAnsi="宋体"/>
                <w:b/>
              </w:rPr>
              <w:t>评估因素</w:t>
            </w:r>
          </w:p>
        </w:tc>
        <w:tc>
          <w:tcPr>
            <w:tcW w:w="1646" w:type="dxa"/>
            <w:vAlign w:val="center"/>
          </w:tcPr>
          <w:p>
            <w:pPr>
              <w:shd w:val="clear" w:color="auto" w:fill="FFFFFF"/>
              <w:snapToGrid w:val="0"/>
              <w:ind w:firstLine="0" w:firstLineChars="0"/>
              <w:jc w:val="center"/>
              <w:rPr>
                <w:rFonts w:hAnsi="宋体"/>
                <w:b/>
              </w:rPr>
            </w:pPr>
            <w:r>
              <w:rPr>
                <w:rFonts w:hint="eastAsia" w:hAnsi="宋体"/>
                <w:b/>
              </w:rPr>
              <w:t>技术商务</w:t>
            </w:r>
          </w:p>
        </w:tc>
        <w:tc>
          <w:tcPr>
            <w:tcW w:w="1260" w:type="dxa"/>
            <w:vAlign w:val="center"/>
          </w:tcPr>
          <w:p>
            <w:pPr>
              <w:shd w:val="clear" w:color="auto" w:fill="FFFFFF"/>
              <w:snapToGrid w:val="0"/>
              <w:ind w:firstLine="0" w:firstLineChars="0"/>
              <w:jc w:val="center"/>
              <w:rPr>
                <w:rFonts w:hAnsi="宋体"/>
                <w:b/>
              </w:rPr>
            </w:pPr>
            <w:r>
              <w:rPr>
                <w:rFonts w:hint="eastAsia" w:hAnsi="宋体"/>
                <w:b/>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800" w:type="dxa"/>
            <w:vAlign w:val="center"/>
          </w:tcPr>
          <w:p>
            <w:pPr>
              <w:shd w:val="clear" w:color="auto" w:fill="FFFFFF"/>
              <w:snapToGrid w:val="0"/>
              <w:ind w:firstLine="0" w:firstLineChars="0"/>
              <w:jc w:val="center"/>
              <w:rPr>
                <w:rFonts w:hAnsi="宋体"/>
              </w:rPr>
            </w:pPr>
            <w:r>
              <w:rPr>
                <w:rFonts w:hint="eastAsia" w:hAnsi="宋体"/>
              </w:rPr>
              <w:t>权重</w:t>
            </w:r>
          </w:p>
        </w:tc>
        <w:tc>
          <w:tcPr>
            <w:tcW w:w="1646" w:type="dxa"/>
            <w:vAlign w:val="center"/>
          </w:tcPr>
          <w:p>
            <w:pPr>
              <w:shd w:val="clear" w:color="auto" w:fill="FFFFFF"/>
              <w:snapToGrid w:val="0"/>
              <w:ind w:firstLine="0" w:firstLineChars="0"/>
              <w:jc w:val="center"/>
              <w:rPr>
                <w:rFonts w:hAnsi="宋体"/>
              </w:rPr>
            </w:pPr>
            <w:r>
              <w:rPr>
                <w:rFonts w:hint="eastAsia" w:hAnsi="宋体"/>
              </w:rPr>
              <w:t>7</w:t>
            </w:r>
            <w:r>
              <w:rPr>
                <w:rFonts w:hAnsi="宋体"/>
              </w:rPr>
              <w:t>0%</w:t>
            </w:r>
          </w:p>
        </w:tc>
        <w:tc>
          <w:tcPr>
            <w:tcW w:w="1260" w:type="dxa"/>
            <w:vAlign w:val="center"/>
          </w:tcPr>
          <w:p>
            <w:pPr>
              <w:shd w:val="clear" w:color="auto" w:fill="FFFFFF"/>
              <w:snapToGrid w:val="0"/>
              <w:ind w:firstLine="0" w:firstLineChars="0"/>
              <w:jc w:val="center"/>
              <w:rPr>
                <w:rFonts w:hAnsi="宋体"/>
              </w:rPr>
            </w:pPr>
            <w:r>
              <w:rPr>
                <w:rFonts w:hint="eastAsia" w:hAnsi="宋体"/>
              </w:rPr>
              <w:t>3</w:t>
            </w:r>
            <w:r>
              <w:rPr>
                <w:rFonts w:hAnsi="宋体"/>
              </w:rPr>
              <w:t>0%</w:t>
            </w:r>
          </w:p>
        </w:tc>
      </w:tr>
    </w:tbl>
    <w:p>
      <w:pPr>
        <w:shd w:val="clear" w:color="auto" w:fill="FFFFFF"/>
        <w:tabs>
          <w:tab w:val="left" w:pos="720"/>
        </w:tabs>
        <w:snapToGrid w:val="0"/>
        <w:ind w:firstLine="480"/>
        <w:rPr>
          <w:rFonts w:hAnsi="宋体"/>
        </w:rPr>
      </w:pPr>
    </w:p>
    <w:p>
      <w:pPr>
        <w:ind w:firstLine="480"/>
        <w:rPr>
          <w:rFonts w:hAnsi="宋体"/>
        </w:rPr>
      </w:pPr>
      <w:r>
        <w:rPr>
          <w:rFonts w:hint="eastAsia" w:hAnsi="宋体"/>
        </w:rPr>
        <w:t>5.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r>
        <w:rPr>
          <w:rFonts w:hAnsi="宋体"/>
          <w:b/>
          <w:sz w:val="36"/>
          <w:szCs w:val="36"/>
        </w:rPr>
        <w:br w:type="page"/>
      </w:r>
    </w:p>
    <w:bookmarkEnd w:id="69"/>
    <w:p>
      <w:pPr>
        <w:shd w:val="clear" w:color="auto" w:fill="FFFFFF"/>
        <w:tabs>
          <w:tab w:val="left" w:pos="720"/>
        </w:tabs>
        <w:snapToGrid w:val="0"/>
        <w:ind w:firstLine="0" w:firstLineChars="0"/>
        <w:rPr>
          <w:rFonts w:hAnsi="宋体"/>
          <w:b/>
          <w:sz w:val="36"/>
          <w:szCs w:val="36"/>
        </w:rPr>
      </w:pPr>
      <w:r>
        <w:rPr>
          <w:rFonts w:hint="eastAsia" w:hAnsi="宋体"/>
          <w:b/>
          <w:sz w:val="36"/>
          <w:szCs w:val="36"/>
        </w:rPr>
        <w:t>附表</w:t>
      </w:r>
      <w:r>
        <w:rPr>
          <w:rFonts w:hAnsi="宋体"/>
          <w:b/>
          <w:sz w:val="36"/>
          <w:szCs w:val="36"/>
        </w:rPr>
        <w:t xml:space="preserve">1             </w:t>
      </w:r>
      <w:r>
        <w:rPr>
          <w:rFonts w:hint="eastAsia" w:hAnsi="宋体"/>
          <w:b/>
          <w:sz w:val="36"/>
          <w:szCs w:val="36"/>
        </w:rPr>
        <w:t>资格审查表</w:t>
      </w:r>
    </w:p>
    <w:p>
      <w:pPr>
        <w:shd w:val="clear" w:color="auto" w:fill="FFFFFF"/>
        <w:tabs>
          <w:tab w:val="left" w:pos="720"/>
        </w:tabs>
        <w:snapToGrid w:val="0"/>
        <w:ind w:firstLine="0" w:firstLineChars="0"/>
        <w:rPr>
          <w:rFonts w:hAnsi="宋体"/>
          <w:b/>
          <w:sz w:val="36"/>
          <w:szCs w:val="36"/>
        </w:rPr>
      </w:pPr>
    </w:p>
    <w:p>
      <w:pPr>
        <w:shd w:val="clear" w:color="auto" w:fill="FFFFFF"/>
        <w:snapToGrid w:val="0"/>
        <w:ind w:left="1200" w:hanging="1200" w:hangingChars="500"/>
        <w:rPr>
          <w:rFonts w:hAnsi="宋体"/>
          <w:u w:val="single"/>
        </w:rPr>
      </w:pPr>
      <w:r>
        <w:rPr>
          <w:rFonts w:hint="eastAsia" w:hAnsi="宋体"/>
        </w:rPr>
        <w:t>项目名称：</w:t>
      </w:r>
      <w:r>
        <w:rPr>
          <w:rFonts w:hint="eastAsia" w:hAnsi="宋体"/>
          <w:u w:val="single"/>
        </w:rPr>
        <w:t>地理信息系统实验室建设项目</w:t>
      </w:r>
    </w:p>
    <w:p>
      <w:pPr>
        <w:shd w:val="clear" w:color="auto" w:fill="FFFFFF"/>
        <w:ind w:firstLine="0" w:firstLineChars="0"/>
        <w:rPr>
          <w:rFonts w:hAnsi="宋体"/>
          <w:u w:val="single"/>
        </w:rPr>
      </w:pPr>
      <w:r>
        <w:rPr>
          <w:rFonts w:hint="eastAsia" w:hAnsi="宋体"/>
        </w:rPr>
        <w:t>项目编号：</w:t>
      </w:r>
      <w:r>
        <w:rPr>
          <w:rFonts w:hAnsi="宋体"/>
          <w:u w:val="single"/>
        </w:rPr>
        <w:t>ZD20</w:t>
      </w:r>
      <w:r>
        <w:rPr>
          <w:rFonts w:hint="eastAsia" w:hAnsi="宋体"/>
          <w:u w:val="single"/>
        </w:rPr>
        <w:t>20</w:t>
      </w:r>
      <w:r>
        <w:rPr>
          <w:rFonts w:hAnsi="宋体"/>
          <w:u w:val="single"/>
        </w:rPr>
        <w:t>-</w:t>
      </w:r>
      <w:r>
        <w:rPr>
          <w:rFonts w:hint="eastAsia" w:hAnsi="宋体"/>
          <w:u w:val="single"/>
        </w:rPr>
        <w:t>640</w:t>
      </w:r>
    </w:p>
    <w:p>
      <w:pPr>
        <w:shd w:val="clear" w:color="auto" w:fill="FFFFFF"/>
        <w:ind w:firstLine="0" w:firstLineChars="0"/>
        <w:rPr>
          <w:rFonts w:hint="eastAsia"/>
        </w:rPr>
      </w:pPr>
      <w:bookmarkStart w:id="70" w:name="OLE_LINK2"/>
      <w:r>
        <w:rPr>
          <w:rFonts w:hint="eastAsia" w:hAnsi="宋体"/>
        </w:rPr>
        <w:t>包号：AB包</w:t>
      </w:r>
      <w:bookmarkEnd w:id="70"/>
    </w:p>
    <w:tbl>
      <w:tblPr>
        <w:tblStyle w:val="15"/>
        <w:tblW w:w="9017"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1"/>
        <w:gridCol w:w="1779"/>
        <w:gridCol w:w="3380"/>
        <w:gridCol w:w="1068"/>
        <w:gridCol w:w="1068"/>
        <w:gridCol w:w="10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641" w:type="dxa"/>
            <w:tcBorders>
              <w:top w:val="single" w:color="auto" w:sz="4" w:space="0"/>
              <w:bottom w:val="single" w:color="auto" w:sz="4" w:space="0"/>
              <w:right w:val="single" w:color="auto" w:sz="4" w:space="0"/>
            </w:tcBorders>
            <w:vAlign w:val="center"/>
          </w:tcPr>
          <w:p>
            <w:pPr>
              <w:shd w:val="clear" w:color="auto" w:fill="FFFFFF"/>
              <w:spacing w:line="480" w:lineRule="exact"/>
              <w:ind w:firstLine="0" w:firstLineChars="0"/>
              <w:jc w:val="center"/>
              <w:rPr>
                <w:rFonts w:hAnsi="宋体"/>
                <w:b/>
                <w:sz w:val="22"/>
              </w:rPr>
            </w:pPr>
            <w:r>
              <w:rPr>
                <w:rFonts w:hint="eastAsia" w:hAnsi="宋体"/>
                <w:b/>
                <w:sz w:val="22"/>
              </w:rPr>
              <w:t>序号</w:t>
            </w:r>
          </w:p>
        </w:tc>
        <w:tc>
          <w:tcPr>
            <w:tcW w:w="177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ind w:firstLine="0" w:firstLineChars="0"/>
              <w:jc w:val="center"/>
              <w:rPr>
                <w:rFonts w:hAnsi="宋体"/>
                <w:b/>
                <w:sz w:val="22"/>
              </w:rPr>
            </w:pPr>
            <w:r>
              <w:rPr>
                <w:rFonts w:hint="eastAsia" w:hAnsi="宋体"/>
                <w:b/>
                <w:sz w:val="22"/>
              </w:rPr>
              <w:t>审查项目</w:t>
            </w:r>
          </w:p>
        </w:tc>
        <w:tc>
          <w:tcPr>
            <w:tcW w:w="33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ind w:firstLine="0" w:firstLineChars="0"/>
              <w:jc w:val="center"/>
              <w:rPr>
                <w:rFonts w:hAnsi="宋体"/>
                <w:b/>
                <w:sz w:val="22"/>
              </w:rPr>
            </w:pPr>
            <w:r>
              <w:rPr>
                <w:rFonts w:hint="eastAsia" w:hAnsi="宋体"/>
                <w:b/>
                <w:sz w:val="22"/>
              </w:rPr>
              <w:t>评议内容</w:t>
            </w:r>
            <w:r>
              <w:rPr>
                <w:rFonts w:hint="eastAsia" w:hAnsi="宋体"/>
                <w:sz w:val="22"/>
              </w:rPr>
              <w:t>（无效投标认定条件）</w:t>
            </w:r>
          </w:p>
        </w:tc>
        <w:tc>
          <w:tcPr>
            <w:tcW w:w="106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ind w:firstLine="0" w:firstLineChars="0"/>
              <w:jc w:val="center"/>
              <w:rPr>
                <w:rFonts w:hAnsi="宋体"/>
                <w:b/>
                <w:sz w:val="22"/>
              </w:rPr>
            </w:pPr>
            <w:r>
              <w:rPr>
                <w:rFonts w:hint="eastAsia" w:hAnsi="宋体"/>
                <w:b/>
                <w:sz w:val="22"/>
              </w:rPr>
              <w:t>投标人</w:t>
            </w:r>
            <w:r>
              <w:rPr>
                <w:rFonts w:hAnsi="宋体"/>
                <w:b/>
                <w:sz w:val="22"/>
              </w:rPr>
              <w:t>1</w:t>
            </w:r>
          </w:p>
        </w:tc>
        <w:tc>
          <w:tcPr>
            <w:tcW w:w="106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ind w:firstLine="0" w:firstLineChars="0"/>
              <w:jc w:val="center"/>
              <w:rPr>
                <w:rFonts w:hint="eastAsia"/>
                <w:sz w:val="22"/>
              </w:rPr>
            </w:pPr>
            <w:r>
              <w:rPr>
                <w:rFonts w:hint="eastAsia" w:hAnsi="宋体"/>
                <w:b/>
                <w:sz w:val="22"/>
              </w:rPr>
              <w:t>投标人</w:t>
            </w:r>
            <w:r>
              <w:rPr>
                <w:rFonts w:hAnsi="宋体"/>
                <w:b/>
                <w:sz w:val="22"/>
              </w:rPr>
              <w:t>2</w:t>
            </w:r>
          </w:p>
        </w:tc>
        <w:tc>
          <w:tcPr>
            <w:tcW w:w="1081" w:type="dxa"/>
            <w:tcBorders>
              <w:top w:val="single" w:color="auto" w:sz="4" w:space="0"/>
              <w:left w:val="single" w:color="auto" w:sz="4" w:space="0"/>
              <w:bottom w:val="single" w:color="auto" w:sz="4" w:space="0"/>
            </w:tcBorders>
            <w:vAlign w:val="center"/>
          </w:tcPr>
          <w:p>
            <w:pPr>
              <w:shd w:val="clear" w:color="auto" w:fill="FFFFFF"/>
              <w:snapToGrid w:val="0"/>
              <w:ind w:firstLine="0" w:firstLineChars="0"/>
              <w:jc w:val="center"/>
              <w:rPr>
                <w:rFonts w:hint="eastAsia"/>
                <w:sz w:val="22"/>
              </w:rPr>
            </w:pPr>
            <w:r>
              <w:rPr>
                <w:rFonts w:hint="eastAsia" w:hAnsi="宋体"/>
                <w:b/>
                <w:sz w:val="22"/>
              </w:rPr>
              <w:t>投标人</w:t>
            </w:r>
            <w:r>
              <w:rPr>
                <w:rFonts w:hAnsi="宋体"/>
                <w:b/>
                <w:sz w:val="22"/>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1" w:type="dxa"/>
            <w:tcBorders>
              <w:top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Ansi="宋体"/>
              </w:rPr>
              <w:t>1</w:t>
            </w:r>
          </w:p>
        </w:tc>
        <w:tc>
          <w:tcPr>
            <w:tcW w:w="1779"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ascii="Tahoma" w:hAnsi="Tahoma"/>
              </w:rPr>
              <w:t>投标人</w:t>
            </w:r>
            <w:r>
              <w:rPr>
                <w:rFonts w:hint="eastAsia" w:hAnsi="宋体"/>
              </w:rPr>
              <w:t>的资格</w:t>
            </w:r>
          </w:p>
        </w:tc>
        <w:tc>
          <w:tcPr>
            <w:tcW w:w="33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是否符合投标</w:t>
            </w:r>
            <w:r>
              <w:rPr>
                <w:rFonts w:hint="eastAsia" w:ascii="Tahoma" w:hAnsi="Tahoma"/>
              </w:rPr>
              <w:t>人基本</w:t>
            </w:r>
            <w:r>
              <w:rPr>
                <w:rFonts w:hint="eastAsia" w:hAnsi="宋体"/>
              </w:rPr>
              <w:t>要求</w:t>
            </w:r>
          </w:p>
        </w:tc>
        <w:tc>
          <w:tcPr>
            <w:tcW w:w="1068"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68"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81" w:type="dxa"/>
            <w:tcBorders>
              <w:top w:val="single" w:color="auto" w:sz="4" w:space="0"/>
              <w:left w:val="single" w:color="auto" w:sz="4" w:space="0"/>
              <w:bottom w:val="single" w:color="auto" w:sz="4" w:space="0"/>
            </w:tcBorders>
          </w:tcPr>
          <w:p>
            <w:pPr>
              <w:shd w:val="clear" w:color="auto" w:fill="FFFFFF"/>
              <w:spacing w:line="480" w:lineRule="exact"/>
              <w:ind w:firstLine="482"/>
              <w:jc w:val="center"/>
              <w:rPr>
                <w:rFonts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1" w:type="dxa"/>
            <w:tcBorders>
              <w:top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2</w:t>
            </w:r>
          </w:p>
        </w:tc>
        <w:tc>
          <w:tcPr>
            <w:tcW w:w="1779"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保证金</w:t>
            </w:r>
          </w:p>
        </w:tc>
        <w:tc>
          <w:tcPr>
            <w:tcW w:w="33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是否提交保证金的</w:t>
            </w:r>
          </w:p>
        </w:tc>
        <w:tc>
          <w:tcPr>
            <w:tcW w:w="1068"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68"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81" w:type="dxa"/>
            <w:tcBorders>
              <w:top w:val="single" w:color="auto" w:sz="4" w:space="0"/>
              <w:left w:val="single" w:color="auto" w:sz="4" w:space="0"/>
              <w:bottom w:val="single" w:color="auto" w:sz="4" w:space="0"/>
            </w:tcBorders>
          </w:tcPr>
          <w:p>
            <w:pPr>
              <w:shd w:val="clear" w:color="auto" w:fill="FFFFFF"/>
              <w:spacing w:line="480" w:lineRule="exact"/>
              <w:ind w:firstLine="482"/>
              <w:jc w:val="center"/>
              <w:rPr>
                <w:rFonts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1" w:type="dxa"/>
            <w:tcBorders>
              <w:top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3</w:t>
            </w:r>
          </w:p>
        </w:tc>
        <w:tc>
          <w:tcPr>
            <w:tcW w:w="1779"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投标有效期</w:t>
            </w:r>
          </w:p>
        </w:tc>
        <w:tc>
          <w:tcPr>
            <w:tcW w:w="33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是否满足招标文件要求</w:t>
            </w:r>
          </w:p>
        </w:tc>
        <w:tc>
          <w:tcPr>
            <w:tcW w:w="1068"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68"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81" w:type="dxa"/>
            <w:tcBorders>
              <w:top w:val="single" w:color="auto" w:sz="4" w:space="0"/>
              <w:left w:val="single" w:color="auto" w:sz="4" w:space="0"/>
              <w:bottom w:val="single" w:color="auto" w:sz="4" w:space="0"/>
            </w:tcBorders>
          </w:tcPr>
          <w:p>
            <w:pPr>
              <w:shd w:val="clear" w:color="auto" w:fill="FFFFFF"/>
              <w:spacing w:line="480" w:lineRule="exact"/>
              <w:ind w:firstLine="482"/>
              <w:jc w:val="center"/>
              <w:rPr>
                <w:rFonts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1" w:type="dxa"/>
            <w:tcBorders>
              <w:top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4</w:t>
            </w:r>
          </w:p>
        </w:tc>
        <w:tc>
          <w:tcPr>
            <w:tcW w:w="1779"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投标报价</w:t>
            </w:r>
          </w:p>
        </w:tc>
        <w:tc>
          <w:tcPr>
            <w:tcW w:w="33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是否超过最高限价或预算金额</w:t>
            </w:r>
          </w:p>
        </w:tc>
        <w:tc>
          <w:tcPr>
            <w:tcW w:w="1068"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68"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81" w:type="dxa"/>
            <w:tcBorders>
              <w:top w:val="single" w:color="auto" w:sz="4" w:space="0"/>
              <w:left w:val="single" w:color="auto" w:sz="4" w:space="0"/>
              <w:bottom w:val="single" w:color="auto" w:sz="4" w:space="0"/>
            </w:tcBorders>
          </w:tcPr>
          <w:p>
            <w:pPr>
              <w:shd w:val="clear" w:color="auto" w:fill="FFFFFF"/>
              <w:spacing w:line="480" w:lineRule="exact"/>
              <w:ind w:firstLine="482"/>
              <w:jc w:val="center"/>
              <w:rPr>
                <w:rFonts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800" w:type="dxa"/>
            <w:gridSpan w:val="3"/>
            <w:tcBorders>
              <w:top w:val="single" w:color="auto" w:sz="4" w:space="0"/>
              <w:bottom w:val="single" w:color="auto" w:sz="4" w:space="0"/>
              <w:right w:val="single" w:color="auto" w:sz="4" w:space="0"/>
            </w:tcBorders>
          </w:tcPr>
          <w:p>
            <w:pPr>
              <w:shd w:val="clear" w:color="auto" w:fill="FFFFFF"/>
              <w:spacing w:line="480" w:lineRule="exact"/>
              <w:ind w:firstLine="482"/>
              <w:jc w:val="center"/>
              <w:rPr>
                <w:rFonts w:hAnsi="宋体"/>
              </w:rPr>
            </w:pPr>
            <w:r>
              <w:rPr>
                <w:rFonts w:hint="eastAsia" w:hAnsi="宋体"/>
                <w:b/>
              </w:rPr>
              <w:t>结论</w:t>
            </w:r>
          </w:p>
        </w:tc>
        <w:tc>
          <w:tcPr>
            <w:tcW w:w="1068"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68"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81" w:type="dxa"/>
            <w:tcBorders>
              <w:top w:val="single" w:color="auto" w:sz="4" w:space="0"/>
              <w:left w:val="single" w:color="auto" w:sz="4" w:space="0"/>
              <w:bottom w:val="single" w:color="auto" w:sz="4" w:space="0"/>
            </w:tcBorders>
          </w:tcPr>
          <w:p>
            <w:pPr>
              <w:shd w:val="clear" w:color="auto" w:fill="FFFFFF"/>
              <w:spacing w:line="480" w:lineRule="exact"/>
              <w:ind w:firstLine="482"/>
              <w:jc w:val="center"/>
              <w:rPr>
                <w:rFonts w:hAnsi="宋体"/>
                <w:b/>
              </w:rPr>
            </w:pPr>
          </w:p>
        </w:tc>
      </w:tr>
    </w:tbl>
    <w:p>
      <w:pPr>
        <w:shd w:val="clear" w:color="auto" w:fill="FFFFFF"/>
        <w:spacing w:line="480" w:lineRule="exact"/>
        <w:ind w:firstLine="0" w:firstLineChars="0"/>
        <w:rPr>
          <w:rFonts w:hAnsi="宋体"/>
          <w:szCs w:val="21"/>
        </w:rPr>
      </w:pPr>
      <w:r>
        <w:rPr>
          <w:rFonts w:hAnsi="宋体"/>
          <w:szCs w:val="21"/>
        </w:rPr>
        <w:t>1</w:t>
      </w:r>
      <w:r>
        <w:rPr>
          <w:rFonts w:hint="eastAsia" w:hAnsi="宋体"/>
          <w:szCs w:val="21"/>
        </w:rPr>
        <w:t>、表中只需填写“√</w:t>
      </w:r>
      <w:r>
        <w:rPr>
          <w:rFonts w:hAnsi="宋体"/>
          <w:szCs w:val="21"/>
        </w:rPr>
        <w:t>/</w:t>
      </w:r>
      <w:r>
        <w:rPr>
          <w:rFonts w:hint="eastAsia" w:hAnsi="宋体"/>
          <w:szCs w:val="21"/>
        </w:rPr>
        <w:t>通过”或“×</w:t>
      </w:r>
      <w:r>
        <w:rPr>
          <w:rFonts w:hAnsi="宋体"/>
          <w:szCs w:val="21"/>
        </w:rPr>
        <w:t>/</w:t>
      </w:r>
      <w:r>
        <w:rPr>
          <w:rFonts w:hint="eastAsia" w:hAnsi="宋体"/>
          <w:szCs w:val="21"/>
        </w:rPr>
        <w:t>不通过”。</w:t>
      </w:r>
    </w:p>
    <w:p>
      <w:pPr>
        <w:shd w:val="clear" w:color="auto" w:fill="FFFFFF"/>
        <w:spacing w:line="480" w:lineRule="exact"/>
        <w:ind w:firstLine="0" w:firstLineChars="0"/>
        <w:rPr>
          <w:rFonts w:hAnsi="宋体"/>
          <w:szCs w:val="21"/>
        </w:rPr>
      </w:pPr>
      <w:r>
        <w:rPr>
          <w:rFonts w:hAnsi="宋体"/>
          <w:szCs w:val="21"/>
        </w:rPr>
        <w:t>2</w:t>
      </w:r>
      <w:r>
        <w:rPr>
          <w:rFonts w:hint="eastAsia" w:hAnsi="宋体"/>
          <w:szCs w:val="21"/>
        </w:rPr>
        <w:t>、在结论中按“一项否决”的原则，只有全部是√</w:t>
      </w:r>
      <w:r>
        <w:rPr>
          <w:rFonts w:hAnsi="宋体"/>
          <w:szCs w:val="21"/>
        </w:rPr>
        <w:t>/</w:t>
      </w:r>
      <w:r>
        <w:rPr>
          <w:rFonts w:hint="eastAsia" w:hAnsi="宋体"/>
          <w:szCs w:val="21"/>
        </w:rPr>
        <w:t>通过的，填写“合格”；只要其中有一项是×</w:t>
      </w:r>
      <w:r>
        <w:rPr>
          <w:rFonts w:hAnsi="宋体"/>
          <w:szCs w:val="21"/>
        </w:rPr>
        <w:t>/</w:t>
      </w:r>
      <w:r>
        <w:rPr>
          <w:rFonts w:hint="eastAsia" w:hAnsi="宋体"/>
          <w:szCs w:val="21"/>
        </w:rPr>
        <w:t>不通过的，填写“不合格”。</w:t>
      </w:r>
    </w:p>
    <w:p>
      <w:pPr>
        <w:shd w:val="clear" w:color="auto" w:fill="FFFFFF"/>
        <w:spacing w:line="480" w:lineRule="exact"/>
        <w:ind w:firstLine="0" w:firstLineChars="0"/>
        <w:rPr>
          <w:rFonts w:hAnsi="宋体"/>
          <w:szCs w:val="21"/>
        </w:rPr>
      </w:pPr>
      <w:r>
        <w:rPr>
          <w:rFonts w:hAnsi="宋体"/>
          <w:szCs w:val="21"/>
        </w:rPr>
        <w:t>3</w:t>
      </w:r>
      <w:r>
        <w:rPr>
          <w:rFonts w:hint="eastAsia" w:hAnsi="宋体"/>
          <w:szCs w:val="21"/>
        </w:rPr>
        <w:t>、结论是合格的，才能进入下一轮；不合格的被淘汰。</w:t>
      </w:r>
    </w:p>
    <w:p>
      <w:pPr>
        <w:shd w:val="clear" w:color="auto" w:fill="FFFFFF"/>
        <w:spacing w:line="480" w:lineRule="exact"/>
        <w:ind w:firstLine="480"/>
        <w:rPr>
          <w:rFonts w:hAnsi="宋体"/>
          <w:szCs w:val="21"/>
        </w:rPr>
      </w:pPr>
    </w:p>
    <w:p>
      <w:pPr>
        <w:shd w:val="clear" w:color="auto" w:fill="FFFFFF"/>
        <w:spacing w:line="480" w:lineRule="exact"/>
        <w:ind w:firstLine="0" w:firstLineChars="0"/>
        <w:rPr>
          <w:rFonts w:hAnsi="宋体"/>
          <w:szCs w:val="21"/>
        </w:rPr>
      </w:pPr>
    </w:p>
    <w:p>
      <w:pPr>
        <w:shd w:val="clear" w:color="auto" w:fill="FFFFFF"/>
        <w:spacing w:line="480" w:lineRule="exact"/>
        <w:ind w:firstLine="0" w:firstLineChars="0"/>
        <w:rPr>
          <w:rFonts w:hAnsi="宋体"/>
          <w:szCs w:val="21"/>
        </w:rPr>
      </w:pPr>
      <w:r>
        <w:rPr>
          <w:rFonts w:hint="eastAsia" w:hAnsi="宋体"/>
          <w:szCs w:val="21"/>
        </w:rPr>
        <w:t>采购人代表：                         招标代理机构代表：</w:t>
      </w:r>
    </w:p>
    <w:p>
      <w:pPr>
        <w:shd w:val="clear" w:color="auto" w:fill="FFFFFF"/>
        <w:spacing w:line="480" w:lineRule="exact"/>
        <w:ind w:firstLine="480"/>
        <w:rPr>
          <w:rFonts w:hAnsi="宋体"/>
          <w:szCs w:val="21"/>
        </w:rPr>
      </w:pPr>
    </w:p>
    <w:p>
      <w:pPr>
        <w:shd w:val="clear" w:color="auto" w:fill="FFFFFF"/>
        <w:ind w:firstLine="720" w:firstLineChars="300"/>
        <w:rPr>
          <w:rFonts w:hint="eastAsia"/>
        </w:rPr>
      </w:pPr>
    </w:p>
    <w:p>
      <w:pPr>
        <w:shd w:val="clear" w:color="auto" w:fill="FFFFFF"/>
        <w:ind w:firstLine="480"/>
        <w:rPr>
          <w:rFonts w:hint="eastAsia"/>
        </w:rPr>
      </w:pPr>
    </w:p>
    <w:p>
      <w:pPr>
        <w:shd w:val="clear" w:color="auto" w:fill="FFFFFF"/>
        <w:ind w:firstLine="480"/>
        <w:rPr>
          <w:rFonts w:hint="eastAsia"/>
        </w:rPr>
      </w:pPr>
    </w:p>
    <w:p>
      <w:pPr>
        <w:shd w:val="clear" w:color="auto" w:fill="FFFFFF"/>
        <w:snapToGrid w:val="0"/>
        <w:spacing w:after="100" w:afterAutospacing="1" w:line="240" w:lineRule="auto"/>
        <w:ind w:firstLine="4080" w:firstLineChars="1700"/>
        <w:jc w:val="both"/>
        <w:rPr>
          <w:rFonts w:hAnsi="宋体"/>
          <w:szCs w:val="21"/>
        </w:rPr>
      </w:pPr>
      <w:r>
        <w:rPr>
          <w:rFonts w:hint="eastAsia" w:hAnsi="宋体"/>
          <w:szCs w:val="21"/>
        </w:rPr>
        <w:t xml:space="preserve"> 海南政鼎招标代理有限公司</w:t>
      </w:r>
    </w:p>
    <w:p>
      <w:pPr>
        <w:shd w:val="clear" w:color="auto" w:fill="FFFFFF"/>
        <w:snapToGrid w:val="0"/>
        <w:spacing w:after="100" w:afterAutospacing="1" w:line="240" w:lineRule="auto"/>
        <w:ind w:firstLine="4800" w:firstLineChars="2000"/>
        <w:jc w:val="both"/>
        <w:rPr>
          <w:rFonts w:hAnsi="宋体"/>
          <w:szCs w:val="21"/>
        </w:rPr>
      </w:pPr>
      <w:r>
        <w:rPr>
          <w:rFonts w:hint="eastAsia" w:hAnsi="宋体"/>
          <w:szCs w:val="21"/>
        </w:rPr>
        <w:t>2020年  月  日</w:t>
      </w:r>
    </w:p>
    <w:p>
      <w:pPr>
        <w:shd w:val="clear" w:color="auto" w:fill="FFFFFF"/>
        <w:snapToGrid w:val="0"/>
        <w:spacing w:after="100" w:afterAutospacing="1"/>
        <w:ind w:firstLine="0" w:firstLineChars="0"/>
        <w:jc w:val="both"/>
        <w:rPr>
          <w:rFonts w:hAnsi="宋体"/>
          <w:b/>
          <w:sz w:val="36"/>
          <w:szCs w:val="36"/>
        </w:rPr>
      </w:pPr>
    </w:p>
    <w:p>
      <w:pPr>
        <w:shd w:val="clear" w:color="auto" w:fill="FFFFFF"/>
        <w:snapToGrid w:val="0"/>
        <w:spacing w:after="100" w:afterAutospacing="1"/>
        <w:ind w:firstLine="0" w:firstLineChars="0"/>
        <w:jc w:val="both"/>
        <w:rPr>
          <w:rFonts w:hAnsi="宋体"/>
          <w:b/>
          <w:sz w:val="36"/>
          <w:szCs w:val="36"/>
        </w:rPr>
      </w:pPr>
      <w:r>
        <w:rPr>
          <w:rFonts w:hint="eastAsia" w:hAnsi="宋体"/>
          <w:b/>
          <w:sz w:val="36"/>
          <w:szCs w:val="36"/>
        </w:rPr>
        <w:t>附表</w:t>
      </w:r>
      <w:r>
        <w:rPr>
          <w:rFonts w:hAnsi="宋体"/>
          <w:b/>
          <w:sz w:val="36"/>
          <w:szCs w:val="36"/>
        </w:rPr>
        <w:t xml:space="preserve">2             </w:t>
      </w:r>
      <w:r>
        <w:rPr>
          <w:rFonts w:hint="eastAsia" w:hAnsi="宋体"/>
          <w:b/>
          <w:sz w:val="36"/>
          <w:szCs w:val="36"/>
        </w:rPr>
        <w:t>符合性审查表</w:t>
      </w:r>
    </w:p>
    <w:p>
      <w:pPr>
        <w:shd w:val="clear" w:color="auto" w:fill="FFFFFF"/>
        <w:snapToGrid w:val="0"/>
        <w:ind w:left="1200" w:hanging="1200" w:hangingChars="500"/>
        <w:rPr>
          <w:rFonts w:hAnsi="宋体"/>
          <w:u w:val="single"/>
        </w:rPr>
      </w:pPr>
      <w:r>
        <w:rPr>
          <w:rFonts w:hint="eastAsia" w:hAnsi="宋体"/>
        </w:rPr>
        <w:t>项目名称：</w:t>
      </w:r>
      <w:r>
        <w:rPr>
          <w:rFonts w:hint="eastAsia" w:hAnsi="宋体"/>
          <w:u w:val="single"/>
        </w:rPr>
        <w:t>地理信息系统实验室建设项目</w:t>
      </w:r>
    </w:p>
    <w:p>
      <w:pPr>
        <w:shd w:val="clear" w:color="auto" w:fill="FFFFFF"/>
        <w:ind w:firstLine="0" w:firstLineChars="0"/>
        <w:rPr>
          <w:rFonts w:hAnsi="宋体"/>
          <w:u w:val="single"/>
        </w:rPr>
      </w:pPr>
      <w:r>
        <w:rPr>
          <w:rFonts w:hint="eastAsia" w:hAnsi="宋体"/>
        </w:rPr>
        <w:t>项目编号：</w:t>
      </w:r>
      <w:r>
        <w:rPr>
          <w:rFonts w:hAnsi="宋体"/>
          <w:u w:val="single"/>
        </w:rPr>
        <w:t>ZD20</w:t>
      </w:r>
      <w:r>
        <w:rPr>
          <w:rFonts w:hint="eastAsia" w:hAnsi="宋体"/>
          <w:u w:val="single"/>
        </w:rPr>
        <w:t>20</w:t>
      </w:r>
      <w:r>
        <w:rPr>
          <w:rFonts w:hAnsi="宋体"/>
          <w:u w:val="single"/>
        </w:rPr>
        <w:t>-</w:t>
      </w:r>
      <w:r>
        <w:rPr>
          <w:rFonts w:hint="eastAsia" w:hAnsi="宋体"/>
          <w:u w:val="single"/>
        </w:rPr>
        <w:t>640</w:t>
      </w:r>
    </w:p>
    <w:p>
      <w:pPr>
        <w:shd w:val="clear" w:color="auto" w:fill="FFFFFF"/>
        <w:ind w:firstLine="0" w:firstLineChars="0"/>
        <w:rPr>
          <w:rFonts w:hAnsi="宋体" w:cs="Tahoma"/>
        </w:rPr>
      </w:pPr>
      <w:r>
        <w:rPr>
          <w:rFonts w:hint="eastAsia" w:hAnsi="宋体"/>
        </w:rPr>
        <w:t>包号：AB包</w:t>
      </w:r>
    </w:p>
    <w:tbl>
      <w:tblPr>
        <w:tblStyle w:val="15"/>
        <w:tblW w:w="943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1"/>
        <w:gridCol w:w="1926"/>
        <w:gridCol w:w="3704"/>
        <w:gridCol w:w="1021"/>
        <w:gridCol w:w="1020"/>
        <w:gridCol w:w="1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641" w:type="dxa"/>
            <w:tcBorders>
              <w:top w:val="single" w:color="auto" w:sz="4" w:space="0"/>
              <w:bottom w:val="single" w:color="auto" w:sz="4" w:space="0"/>
              <w:right w:val="single" w:color="auto" w:sz="4" w:space="0"/>
            </w:tcBorders>
            <w:vAlign w:val="center"/>
          </w:tcPr>
          <w:p>
            <w:pPr>
              <w:shd w:val="clear" w:color="auto" w:fill="FFFFFF"/>
              <w:spacing w:line="480" w:lineRule="exact"/>
              <w:ind w:firstLine="0" w:firstLineChars="0"/>
              <w:jc w:val="center"/>
              <w:rPr>
                <w:rFonts w:hAnsi="宋体"/>
                <w:b/>
                <w:sz w:val="22"/>
              </w:rPr>
            </w:pPr>
            <w:r>
              <w:rPr>
                <w:rFonts w:hint="eastAsia" w:hAnsi="宋体"/>
                <w:b/>
                <w:sz w:val="22"/>
              </w:rPr>
              <w:t>序号</w:t>
            </w:r>
          </w:p>
        </w:tc>
        <w:tc>
          <w:tcPr>
            <w:tcW w:w="192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ind w:firstLine="0" w:firstLineChars="0"/>
              <w:jc w:val="center"/>
              <w:rPr>
                <w:rFonts w:hAnsi="宋体"/>
                <w:b/>
                <w:sz w:val="22"/>
              </w:rPr>
            </w:pPr>
            <w:r>
              <w:rPr>
                <w:rFonts w:hint="eastAsia" w:hAnsi="宋体"/>
                <w:b/>
                <w:sz w:val="22"/>
              </w:rPr>
              <w:t>审查项目</w:t>
            </w:r>
          </w:p>
        </w:tc>
        <w:tc>
          <w:tcPr>
            <w:tcW w:w="370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ind w:firstLine="0" w:firstLineChars="0"/>
              <w:jc w:val="center"/>
              <w:rPr>
                <w:rFonts w:hAnsi="宋体"/>
                <w:b/>
                <w:sz w:val="22"/>
              </w:rPr>
            </w:pPr>
            <w:r>
              <w:rPr>
                <w:rFonts w:hint="eastAsia" w:hAnsi="宋体"/>
                <w:b/>
                <w:sz w:val="22"/>
              </w:rPr>
              <w:t>评议内容</w:t>
            </w:r>
            <w:r>
              <w:rPr>
                <w:rFonts w:hint="eastAsia" w:hAnsi="宋体"/>
                <w:sz w:val="22"/>
              </w:rPr>
              <w:t>（无效投标认定条件）</w:t>
            </w:r>
          </w:p>
        </w:tc>
        <w:tc>
          <w:tcPr>
            <w:tcW w:w="1021"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ind w:firstLine="0" w:firstLineChars="0"/>
              <w:jc w:val="center"/>
              <w:rPr>
                <w:rFonts w:hAnsi="宋体"/>
                <w:b/>
                <w:sz w:val="22"/>
              </w:rPr>
            </w:pPr>
            <w:r>
              <w:rPr>
                <w:rFonts w:hint="eastAsia" w:hAnsi="宋体"/>
                <w:b/>
                <w:sz w:val="22"/>
              </w:rPr>
              <w:t>投标人</w:t>
            </w:r>
            <w:r>
              <w:rPr>
                <w:rFonts w:hAnsi="宋体"/>
                <w:b/>
                <w:sz w:val="22"/>
              </w:rPr>
              <w:t>1</w:t>
            </w:r>
          </w:p>
        </w:tc>
        <w:tc>
          <w:tcPr>
            <w:tcW w:w="102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ind w:firstLine="0" w:firstLineChars="0"/>
              <w:jc w:val="center"/>
              <w:rPr>
                <w:rFonts w:hint="eastAsia"/>
                <w:sz w:val="22"/>
              </w:rPr>
            </w:pPr>
            <w:r>
              <w:rPr>
                <w:rFonts w:hint="eastAsia" w:hAnsi="宋体"/>
                <w:b/>
                <w:sz w:val="22"/>
              </w:rPr>
              <w:t>投标人</w:t>
            </w:r>
            <w:r>
              <w:rPr>
                <w:rFonts w:hAnsi="宋体"/>
                <w:b/>
                <w:sz w:val="22"/>
              </w:rPr>
              <w:t>2</w:t>
            </w:r>
          </w:p>
        </w:tc>
        <w:tc>
          <w:tcPr>
            <w:tcW w:w="1125" w:type="dxa"/>
            <w:tcBorders>
              <w:top w:val="single" w:color="auto" w:sz="4" w:space="0"/>
              <w:left w:val="single" w:color="auto" w:sz="4" w:space="0"/>
              <w:bottom w:val="single" w:color="auto" w:sz="4" w:space="0"/>
            </w:tcBorders>
            <w:vAlign w:val="center"/>
          </w:tcPr>
          <w:p>
            <w:pPr>
              <w:shd w:val="clear" w:color="auto" w:fill="FFFFFF"/>
              <w:snapToGrid w:val="0"/>
              <w:ind w:firstLine="0" w:firstLineChars="0"/>
              <w:jc w:val="center"/>
              <w:rPr>
                <w:rFonts w:hint="eastAsia"/>
                <w:sz w:val="22"/>
              </w:rPr>
            </w:pPr>
            <w:r>
              <w:rPr>
                <w:rFonts w:hint="eastAsia" w:hAnsi="宋体"/>
                <w:b/>
                <w:sz w:val="22"/>
              </w:rPr>
              <w:t>投标人</w:t>
            </w:r>
            <w:r>
              <w:rPr>
                <w:rFonts w:hAnsi="宋体"/>
                <w:b/>
                <w:sz w:val="22"/>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41" w:type="dxa"/>
            <w:tcBorders>
              <w:top w:val="single" w:color="auto" w:sz="4" w:space="0"/>
              <w:bottom w:val="single" w:color="auto" w:sz="4" w:space="0"/>
              <w:right w:val="single" w:color="auto" w:sz="4" w:space="0"/>
            </w:tcBorders>
          </w:tcPr>
          <w:p>
            <w:pPr>
              <w:shd w:val="clear" w:color="auto" w:fill="FFFFFF"/>
              <w:spacing w:line="480" w:lineRule="exact"/>
              <w:ind w:firstLine="240" w:firstLineChars="100"/>
              <w:jc w:val="both"/>
              <w:rPr>
                <w:rFonts w:hAnsi="宋体"/>
              </w:rPr>
            </w:pPr>
            <w:r>
              <w:rPr>
                <w:rFonts w:hint="eastAsia" w:hAnsi="宋体"/>
              </w:rPr>
              <w:t>1</w:t>
            </w:r>
          </w:p>
        </w:tc>
        <w:tc>
          <w:tcPr>
            <w:tcW w:w="192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投标文件的有效性、完整性</w:t>
            </w:r>
          </w:p>
        </w:tc>
        <w:tc>
          <w:tcPr>
            <w:tcW w:w="3704"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rPr>
                <w:rFonts w:hAnsi="宋体"/>
              </w:rPr>
            </w:pPr>
            <w:r>
              <w:rPr>
                <w:rFonts w:hint="eastAsia" w:hAnsi="宋体"/>
              </w:rPr>
              <w:t>是否符合招标文件的式样和签署要求且内容完整无缺漏</w:t>
            </w:r>
          </w:p>
        </w:tc>
        <w:tc>
          <w:tcPr>
            <w:tcW w:w="1021"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2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125" w:type="dxa"/>
            <w:tcBorders>
              <w:top w:val="single" w:color="auto" w:sz="4" w:space="0"/>
              <w:left w:val="single" w:color="auto" w:sz="4" w:space="0"/>
              <w:bottom w:val="single" w:color="auto" w:sz="4" w:space="0"/>
            </w:tcBorders>
          </w:tcPr>
          <w:p>
            <w:pPr>
              <w:shd w:val="clear" w:color="auto" w:fill="FFFFFF"/>
              <w:spacing w:line="480" w:lineRule="exact"/>
              <w:ind w:firstLine="482"/>
              <w:jc w:val="center"/>
              <w:rPr>
                <w:rFonts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41" w:type="dxa"/>
            <w:tcBorders>
              <w:top w:val="single" w:color="auto" w:sz="4" w:space="0"/>
              <w:bottom w:val="single" w:color="auto" w:sz="4" w:space="0"/>
              <w:right w:val="single" w:color="auto" w:sz="4" w:space="0"/>
            </w:tcBorders>
          </w:tcPr>
          <w:p>
            <w:pPr>
              <w:shd w:val="clear" w:color="auto" w:fill="FFFFFF"/>
              <w:spacing w:line="480" w:lineRule="exact"/>
              <w:ind w:firstLine="240" w:firstLineChars="100"/>
              <w:jc w:val="both"/>
              <w:rPr>
                <w:rFonts w:hAnsi="宋体"/>
              </w:rPr>
            </w:pPr>
            <w:r>
              <w:rPr>
                <w:rFonts w:hint="eastAsia" w:hAnsi="宋体"/>
              </w:rPr>
              <w:t>2</w:t>
            </w:r>
          </w:p>
        </w:tc>
        <w:tc>
          <w:tcPr>
            <w:tcW w:w="192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both"/>
              <w:rPr>
                <w:rFonts w:hAnsi="宋体"/>
              </w:rPr>
            </w:pPr>
            <w:r>
              <w:rPr>
                <w:rFonts w:hint="eastAsia" w:hAnsi="宋体"/>
              </w:rPr>
              <w:t>报价项目完整性</w:t>
            </w:r>
          </w:p>
        </w:tc>
        <w:tc>
          <w:tcPr>
            <w:tcW w:w="3704"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rPr>
                <w:rFonts w:hAnsi="宋体"/>
                <w:szCs w:val="21"/>
              </w:rPr>
            </w:pPr>
            <w:r>
              <w:rPr>
                <w:rFonts w:hint="eastAsia" w:hAnsi="宋体"/>
                <w:kern w:val="28"/>
                <w:szCs w:val="21"/>
              </w:rPr>
              <w:t>是否对</w:t>
            </w:r>
            <w:r>
              <w:rPr>
                <w:rFonts w:hint="eastAsia" w:hAnsi="宋体" w:cs="Tahoma"/>
                <w:kern w:val="28"/>
                <w:szCs w:val="21"/>
              </w:rPr>
              <w:t>本项目内所有的内容进行投标</w:t>
            </w:r>
            <w:r>
              <w:rPr>
                <w:rFonts w:hint="eastAsia" w:hAnsi="宋体"/>
                <w:kern w:val="28"/>
                <w:szCs w:val="21"/>
              </w:rPr>
              <w:t>，漏报其投标将被拒绝</w:t>
            </w:r>
          </w:p>
        </w:tc>
        <w:tc>
          <w:tcPr>
            <w:tcW w:w="1021"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2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125" w:type="dxa"/>
            <w:tcBorders>
              <w:top w:val="single" w:color="auto" w:sz="4" w:space="0"/>
              <w:left w:val="single" w:color="auto" w:sz="4" w:space="0"/>
              <w:bottom w:val="single" w:color="auto" w:sz="4" w:space="0"/>
            </w:tcBorders>
          </w:tcPr>
          <w:p>
            <w:pPr>
              <w:shd w:val="clear" w:color="auto" w:fill="FFFFFF"/>
              <w:spacing w:line="480" w:lineRule="exact"/>
              <w:ind w:firstLine="482"/>
              <w:jc w:val="center"/>
              <w:rPr>
                <w:rFonts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41" w:type="dxa"/>
            <w:tcBorders>
              <w:top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3</w:t>
            </w:r>
          </w:p>
        </w:tc>
        <w:tc>
          <w:tcPr>
            <w:tcW w:w="192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 xml:space="preserve">投标报价 </w:t>
            </w:r>
          </w:p>
        </w:tc>
        <w:tc>
          <w:tcPr>
            <w:tcW w:w="3704" w:type="dxa"/>
            <w:tcBorders>
              <w:top w:val="single" w:color="auto" w:sz="4" w:space="0"/>
              <w:left w:val="single" w:color="auto" w:sz="4" w:space="0"/>
              <w:bottom w:val="single" w:color="auto" w:sz="4" w:space="0"/>
              <w:right w:val="single" w:color="auto" w:sz="4" w:space="0"/>
            </w:tcBorders>
          </w:tcPr>
          <w:p>
            <w:pPr>
              <w:shd w:val="clear" w:color="auto" w:fill="FFFFFF"/>
              <w:spacing w:line="240" w:lineRule="auto"/>
              <w:ind w:firstLine="0" w:firstLineChars="0"/>
              <w:rPr>
                <w:rFonts w:hAnsi="宋体"/>
              </w:rPr>
            </w:pPr>
            <w:r>
              <w:rPr>
                <w:rFonts w:hint="eastAsia" w:hAnsi="宋体"/>
              </w:rPr>
              <w:t>投标价是否固定价且投标价是唯一的</w:t>
            </w:r>
          </w:p>
        </w:tc>
        <w:tc>
          <w:tcPr>
            <w:tcW w:w="1021"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2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125" w:type="dxa"/>
            <w:tcBorders>
              <w:top w:val="single" w:color="auto" w:sz="4" w:space="0"/>
              <w:left w:val="single" w:color="auto" w:sz="4" w:space="0"/>
              <w:bottom w:val="single" w:color="auto" w:sz="4" w:space="0"/>
            </w:tcBorders>
          </w:tcPr>
          <w:p>
            <w:pPr>
              <w:shd w:val="clear" w:color="auto" w:fill="FFFFFF"/>
              <w:spacing w:line="480" w:lineRule="exact"/>
              <w:ind w:firstLine="482"/>
              <w:jc w:val="center"/>
              <w:rPr>
                <w:rFonts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41" w:type="dxa"/>
            <w:tcBorders>
              <w:top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4</w:t>
            </w:r>
          </w:p>
        </w:tc>
        <w:tc>
          <w:tcPr>
            <w:tcW w:w="192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交付期</w:t>
            </w:r>
          </w:p>
        </w:tc>
        <w:tc>
          <w:tcPr>
            <w:tcW w:w="3704"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both"/>
              <w:rPr>
                <w:rFonts w:hAnsi="宋体"/>
              </w:rPr>
            </w:pPr>
            <w:r>
              <w:rPr>
                <w:rFonts w:hint="eastAsia" w:hAnsi="宋体"/>
              </w:rPr>
              <w:t>是否满足招标文件要求</w:t>
            </w:r>
          </w:p>
        </w:tc>
        <w:tc>
          <w:tcPr>
            <w:tcW w:w="1021"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2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125" w:type="dxa"/>
            <w:tcBorders>
              <w:top w:val="single" w:color="auto" w:sz="4" w:space="0"/>
              <w:left w:val="single" w:color="auto" w:sz="4" w:space="0"/>
              <w:bottom w:val="single" w:color="auto" w:sz="4" w:space="0"/>
            </w:tcBorders>
          </w:tcPr>
          <w:p>
            <w:pPr>
              <w:shd w:val="clear" w:color="auto" w:fill="FFFFFF"/>
              <w:spacing w:line="480" w:lineRule="exact"/>
              <w:ind w:firstLine="482"/>
              <w:jc w:val="center"/>
              <w:rPr>
                <w:rFonts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41" w:type="dxa"/>
            <w:tcBorders>
              <w:top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5</w:t>
            </w:r>
          </w:p>
        </w:tc>
        <w:tc>
          <w:tcPr>
            <w:tcW w:w="1926"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center"/>
              <w:rPr>
                <w:rFonts w:hAnsi="宋体"/>
              </w:rPr>
            </w:pPr>
            <w:r>
              <w:rPr>
                <w:rFonts w:hint="eastAsia" w:hAnsi="宋体"/>
              </w:rPr>
              <w:t>其它</w:t>
            </w:r>
          </w:p>
        </w:tc>
        <w:tc>
          <w:tcPr>
            <w:tcW w:w="3704"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0" w:firstLineChars="0"/>
              <w:jc w:val="both"/>
              <w:rPr>
                <w:rFonts w:hAnsi="宋体"/>
              </w:rPr>
            </w:pPr>
            <w:r>
              <w:rPr>
                <w:rFonts w:hint="eastAsia" w:hAnsi="宋体"/>
              </w:rPr>
              <w:t>无其它无效投标认定条件</w:t>
            </w:r>
          </w:p>
        </w:tc>
        <w:tc>
          <w:tcPr>
            <w:tcW w:w="1021"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2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125" w:type="dxa"/>
            <w:tcBorders>
              <w:top w:val="single" w:color="auto" w:sz="4" w:space="0"/>
              <w:left w:val="single" w:color="auto" w:sz="4" w:space="0"/>
              <w:bottom w:val="single" w:color="auto" w:sz="4" w:space="0"/>
            </w:tcBorders>
          </w:tcPr>
          <w:p>
            <w:pPr>
              <w:shd w:val="clear" w:color="auto" w:fill="FFFFFF"/>
              <w:spacing w:line="480" w:lineRule="exact"/>
              <w:ind w:firstLine="482"/>
              <w:jc w:val="center"/>
              <w:rPr>
                <w:rFonts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271" w:type="dxa"/>
            <w:gridSpan w:val="3"/>
            <w:tcBorders>
              <w:top w:val="single" w:color="auto" w:sz="4" w:space="0"/>
              <w:bottom w:val="single" w:color="auto" w:sz="4" w:space="0"/>
              <w:right w:val="single" w:color="auto" w:sz="4" w:space="0"/>
            </w:tcBorders>
          </w:tcPr>
          <w:p>
            <w:pPr>
              <w:shd w:val="clear" w:color="auto" w:fill="FFFFFF"/>
              <w:spacing w:line="480" w:lineRule="exact"/>
              <w:ind w:firstLine="482"/>
              <w:jc w:val="center"/>
              <w:rPr>
                <w:rFonts w:hAnsi="宋体"/>
              </w:rPr>
            </w:pPr>
            <w:r>
              <w:rPr>
                <w:rFonts w:hint="eastAsia" w:hAnsi="宋体"/>
                <w:b/>
              </w:rPr>
              <w:t>结   论</w:t>
            </w:r>
          </w:p>
        </w:tc>
        <w:tc>
          <w:tcPr>
            <w:tcW w:w="1021"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02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ind w:firstLine="482"/>
              <w:jc w:val="center"/>
              <w:rPr>
                <w:rFonts w:hAnsi="宋体"/>
                <w:b/>
              </w:rPr>
            </w:pPr>
          </w:p>
        </w:tc>
        <w:tc>
          <w:tcPr>
            <w:tcW w:w="1125" w:type="dxa"/>
            <w:tcBorders>
              <w:top w:val="single" w:color="auto" w:sz="4" w:space="0"/>
              <w:left w:val="single" w:color="auto" w:sz="4" w:space="0"/>
              <w:bottom w:val="single" w:color="auto" w:sz="4" w:space="0"/>
            </w:tcBorders>
          </w:tcPr>
          <w:p>
            <w:pPr>
              <w:shd w:val="clear" w:color="auto" w:fill="FFFFFF"/>
              <w:spacing w:line="480" w:lineRule="exact"/>
              <w:ind w:firstLine="482"/>
              <w:jc w:val="center"/>
              <w:rPr>
                <w:rFonts w:hAnsi="宋体"/>
                <w:b/>
              </w:rPr>
            </w:pPr>
          </w:p>
        </w:tc>
      </w:tr>
    </w:tbl>
    <w:p>
      <w:pPr>
        <w:shd w:val="clear" w:color="auto" w:fill="FFFFFF"/>
        <w:spacing w:line="480" w:lineRule="exact"/>
        <w:ind w:firstLine="0" w:firstLineChars="0"/>
        <w:rPr>
          <w:rFonts w:hAnsi="宋体"/>
          <w:szCs w:val="21"/>
        </w:rPr>
      </w:pPr>
      <w:r>
        <w:rPr>
          <w:rFonts w:hAnsi="宋体"/>
          <w:szCs w:val="21"/>
        </w:rPr>
        <w:t>1</w:t>
      </w:r>
      <w:r>
        <w:rPr>
          <w:rFonts w:hint="eastAsia" w:hAnsi="宋体"/>
          <w:szCs w:val="21"/>
        </w:rPr>
        <w:t>、表中只需填写“√</w:t>
      </w:r>
      <w:r>
        <w:rPr>
          <w:rFonts w:hAnsi="宋体"/>
          <w:szCs w:val="21"/>
        </w:rPr>
        <w:t>/</w:t>
      </w:r>
      <w:r>
        <w:rPr>
          <w:rFonts w:hint="eastAsia" w:hAnsi="宋体"/>
          <w:szCs w:val="21"/>
        </w:rPr>
        <w:t>通过”或“×</w:t>
      </w:r>
      <w:r>
        <w:rPr>
          <w:rFonts w:hAnsi="宋体"/>
          <w:szCs w:val="21"/>
        </w:rPr>
        <w:t>/</w:t>
      </w:r>
      <w:r>
        <w:rPr>
          <w:rFonts w:hint="eastAsia" w:hAnsi="宋体"/>
          <w:szCs w:val="21"/>
        </w:rPr>
        <w:t>不通过”。</w:t>
      </w:r>
    </w:p>
    <w:p>
      <w:pPr>
        <w:shd w:val="clear" w:color="auto" w:fill="FFFFFF"/>
        <w:spacing w:line="480" w:lineRule="exact"/>
        <w:ind w:firstLine="0" w:firstLineChars="0"/>
        <w:rPr>
          <w:rFonts w:hAnsi="宋体"/>
          <w:szCs w:val="21"/>
        </w:rPr>
      </w:pPr>
      <w:r>
        <w:rPr>
          <w:rFonts w:hAnsi="宋体"/>
          <w:szCs w:val="21"/>
        </w:rPr>
        <w:t>2</w:t>
      </w:r>
      <w:r>
        <w:rPr>
          <w:rFonts w:hint="eastAsia" w:hAnsi="宋体"/>
          <w:szCs w:val="21"/>
        </w:rPr>
        <w:t>、在结论中按“一项否决”的原则，只有全部是√</w:t>
      </w:r>
      <w:r>
        <w:rPr>
          <w:rFonts w:hAnsi="宋体"/>
          <w:szCs w:val="21"/>
        </w:rPr>
        <w:t>/</w:t>
      </w:r>
      <w:r>
        <w:rPr>
          <w:rFonts w:hint="eastAsia" w:hAnsi="宋体"/>
          <w:szCs w:val="21"/>
        </w:rPr>
        <w:t>通过的，填写“合格”；只要其中有一项是×</w:t>
      </w:r>
      <w:r>
        <w:rPr>
          <w:rFonts w:hAnsi="宋体"/>
          <w:szCs w:val="21"/>
        </w:rPr>
        <w:t>/</w:t>
      </w:r>
      <w:r>
        <w:rPr>
          <w:rFonts w:hint="eastAsia" w:hAnsi="宋体"/>
          <w:szCs w:val="21"/>
        </w:rPr>
        <w:t>不通过的，填写“不合格”。</w:t>
      </w:r>
    </w:p>
    <w:p>
      <w:pPr>
        <w:shd w:val="clear" w:color="auto" w:fill="FFFFFF"/>
        <w:spacing w:line="480" w:lineRule="exact"/>
        <w:ind w:firstLine="0" w:firstLineChars="0"/>
        <w:rPr>
          <w:rFonts w:hAnsi="宋体"/>
          <w:szCs w:val="21"/>
        </w:rPr>
      </w:pPr>
      <w:r>
        <w:rPr>
          <w:rFonts w:hAnsi="宋体"/>
          <w:szCs w:val="21"/>
        </w:rPr>
        <w:t>3</w:t>
      </w:r>
      <w:r>
        <w:rPr>
          <w:rFonts w:hint="eastAsia" w:hAnsi="宋体"/>
          <w:szCs w:val="21"/>
        </w:rPr>
        <w:t>、结论是合格的，才能进入下一轮；不合格的被淘汰。</w:t>
      </w:r>
    </w:p>
    <w:p>
      <w:pPr>
        <w:shd w:val="clear" w:color="auto" w:fill="FFFFFF"/>
        <w:spacing w:line="480" w:lineRule="exact"/>
        <w:ind w:firstLine="480"/>
        <w:rPr>
          <w:rFonts w:hAnsi="宋体"/>
          <w:szCs w:val="21"/>
        </w:rPr>
      </w:pPr>
    </w:p>
    <w:p>
      <w:pPr>
        <w:shd w:val="clear" w:color="auto" w:fill="FFFFFF"/>
        <w:spacing w:line="480" w:lineRule="exact"/>
        <w:ind w:firstLine="480"/>
        <w:rPr>
          <w:rFonts w:hAnsi="宋体"/>
          <w:szCs w:val="21"/>
        </w:rPr>
      </w:pPr>
      <w:r>
        <w:rPr>
          <w:rFonts w:hint="eastAsia" w:hAnsi="宋体"/>
          <w:szCs w:val="21"/>
        </w:rPr>
        <w:t>评委：</w:t>
      </w:r>
    </w:p>
    <w:p>
      <w:pPr>
        <w:shd w:val="clear" w:color="auto" w:fill="FFFFFF"/>
        <w:spacing w:line="480" w:lineRule="exact"/>
        <w:ind w:firstLine="643"/>
        <w:jc w:val="center"/>
        <w:rPr>
          <w:rFonts w:ascii="黑体" w:hAnsi="华文中宋" w:eastAsia="黑体"/>
          <w:b/>
          <w:sz w:val="32"/>
        </w:rPr>
      </w:pPr>
    </w:p>
    <w:p>
      <w:pPr>
        <w:shd w:val="clear" w:color="auto" w:fill="FFFFFF"/>
        <w:ind w:firstLine="480"/>
        <w:rPr>
          <w:rFonts w:hint="eastAsia"/>
        </w:rPr>
      </w:pPr>
      <w:r>
        <w:rPr>
          <w:rFonts w:hint="eastAsia"/>
        </w:rPr>
        <w:t>日期：</w:t>
      </w:r>
    </w:p>
    <w:p>
      <w:pPr>
        <w:shd w:val="clear" w:color="auto" w:fill="FFFFFF"/>
        <w:ind w:firstLine="480"/>
        <w:rPr>
          <w:rFonts w:hint="eastAsia"/>
        </w:rPr>
      </w:pPr>
    </w:p>
    <w:p>
      <w:pPr>
        <w:shd w:val="clear" w:color="auto" w:fill="FFFFFF"/>
        <w:ind w:firstLine="0" w:firstLineChars="0"/>
        <w:rPr>
          <w:rFonts w:hAnsi="宋体"/>
          <w:b/>
          <w:sz w:val="36"/>
          <w:szCs w:val="36"/>
        </w:rPr>
      </w:pPr>
    </w:p>
    <w:p>
      <w:pPr>
        <w:shd w:val="clear" w:color="auto" w:fill="FFFFFF"/>
        <w:ind w:firstLine="0" w:firstLineChars="0"/>
        <w:rPr>
          <w:rFonts w:hAnsi="宋体"/>
          <w:b/>
          <w:sz w:val="36"/>
          <w:szCs w:val="36"/>
        </w:rPr>
      </w:pPr>
    </w:p>
    <w:p>
      <w:pPr>
        <w:shd w:val="clear" w:color="auto" w:fill="FFFFFF"/>
        <w:ind w:firstLine="0" w:firstLineChars="0"/>
        <w:rPr>
          <w:rFonts w:hAnsi="宋体" w:cs="宋体"/>
          <w:b/>
          <w:bCs/>
          <w:sz w:val="36"/>
          <w:szCs w:val="36"/>
        </w:rPr>
      </w:pPr>
      <w:r>
        <w:rPr>
          <w:rFonts w:hint="eastAsia" w:hAnsi="宋体"/>
          <w:b/>
          <w:sz w:val="36"/>
          <w:szCs w:val="36"/>
        </w:rPr>
        <w:t>附件</w:t>
      </w:r>
      <w:r>
        <w:rPr>
          <w:rFonts w:hAnsi="宋体"/>
          <w:b/>
          <w:sz w:val="36"/>
          <w:szCs w:val="36"/>
        </w:rPr>
        <w:t xml:space="preserve">3            </w:t>
      </w:r>
      <w:r>
        <w:rPr>
          <w:rFonts w:hint="eastAsia" w:hAnsi="宋体" w:cs="宋体"/>
          <w:b/>
          <w:bCs/>
          <w:sz w:val="36"/>
          <w:szCs w:val="36"/>
        </w:rPr>
        <w:t>技术、商务评分表</w:t>
      </w:r>
    </w:p>
    <w:p>
      <w:pPr>
        <w:shd w:val="clear" w:color="auto" w:fill="FFFFFF"/>
        <w:snapToGrid w:val="0"/>
        <w:ind w:left="1200" w:hanging="1200" w:hangingChars="500"/>
        <w:rPr>
          <w:rFonts w:hAnsi="宋体"/>
          <w:u w:val="single"/>
        </w:rPr>
      </w:pPr>
      <w:r>
        <w:rPr>
          <w:rFonts w:hint="eastAsia" w:hAnsi="宋体"/>
        </w:rPr>
        <w:t>项目名称：</w:t>
      </w:r>
      <w:r>
        <w:rPr>
          <w:rFonts w:hint="eastAsia" w:hAnsi="宋体"/>
          <w:u w:val="single"/>
        </w:rPr>
        <w:t>地理信息系统实验室建设项目</w:t>
      </w:r>
    </w:p>
    <w:p>
      <w:pPr>
        <w:shd w:val="clear" w:color="auto" w:fill="FFFFFF"/>
        <w:ind w:firstLine="0" w:firstLineChars="0"/>
        <w:rPr>
          <w:rFonts w:hAnsi="宋体"/>
          <w:u w:val="single"/>
        </w:rPr>
      </w:pPr>
      <w:r>
        <w:rPr>
          <w:rFonts w:hint="eastAsia" w:hAnsi="宋体"/>
        </w:rPr>
        <w:t>项目编号：</w:t>
      </w:r>
      <w:r>
        <w:rPr>
          <w:rFonts w:hAnsi="宋体"/>
          <w:u w:val="single"/>
        </w:rPr>
        <w:t>ZD20</w:t>
      </w:r>
      <w:r>
        <w:rPr>
          <w:rFonts w:hint="eastAsia" w:hAnsi="宋体"/>
          <w:u w:val="single"/>
        </w:rPr>
        <w:t>20</w:t>
      </w:r>
      <w:r>
        <w:rPr>
          <w:rFonts w:hAnsi="宋体"/>
          <w:u w:val="single"/>
        </w:rPr>
        <w:t>-</w:t>
      </w:r>
      <w:r>
        <w:rPr>
          <w:rFonts w:hint="eastAsia" w:hAnsi="宋体"/>
          <w:u w:val="single"/>
        </w:rPr>
        <w:t>640</w:t>
      </w:r>
    </w:p>
    <w:p>
      <w:pPr>
        <w:ind w:firstLine="0" w:firstLineChars="0"/>
        <w:rPr>
          <w:rFonts w:hint="eastAsia"/>
        </w:rPr>
      </w:pPr>
      <w:r>
        <w:rPr>
          <w:rFonts w:hint="eastAsia" w:hAnsi="宋体"/>
        </w:rPr>
        <w:t>包号：AB包</w:t>
      </w:r>
    </w:p>
    <w:tbl>
      <w:tblPr>
        <w:tblStyle w:val="15"/>
        <w:tblpPr w:leftFromText="180" w:rightFromText="180" w:vertAnchor="text" w:horzAnchor="page" w:tblpX="1591" w:tblpY="454"/>
        <w:tblOverlap w:val="never"/>
        <w:tblW w:w="9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649"/>
        <w:gridCol w:w="5252"/>
        <w:gridCol w:w="820"/>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27" w:type="dxa"/>
            <w:vAlign w:val="center"/>
          </w:tcPr>
          <w:p>
            <w:pPr>
              <w:ind w:firstLine="0" w:firstLineChars="0"/>
              <w:rPr>
                <w:rFonts w:hint="eastAsia"/>
                <w:b/>
                <w:bCs/>
                <w:szCs w:val="24"/>
              </w:rPr>
            </w:pPr>
            <w:r>
              <w:rPr>
                <w:rFonts w:hint="eastAsia"/>
                <w:b/>
                <w:bCs/>
                <w:szCs w:val="24"/>
              </w:rPr>
              <w:t>序号</w:t>
            </w:r>
          </w:p>
        </w:tc>
        <w:tc>
          <w:tcPr>
            <w:tcW w:w="1649" w:type="dxa"/>
            <w:vAlign w:val="center"/>
          </w:tcPr>
          <w:p>
            <w:pPr>
              <w:ind w:firstLine="0" w:firstLineChars="0"/>
              <w:rPr>
                <w:rFonts w:hint="eastAsia"/>
                <w:b/>
                <w:bCs/>
                <w:szCs w:val="24"/>
              </w:rPr>
            </w:pPr>
            <w:r>
              <w:rPr>
                <w:rFonts w:hint="eastAsia"/>
                <w:b/>
                <w:bCs/>
                <w:szCs w:val="24"/>
              </w:rPr>
              <w:t>评审内容</w:t>
            </w:r>
          </w:p>
        </w:tc>
        <w:tc>
          <w:tcPr>
            <w:tcW w:w="5252" w:type="dxa"/>
            <w:vAlign w:val="center"/>
          </w:tcPr>
          <w:p>
            <w:pPr>
              <w:ind w:firstLine="482"/>
              <w:jc w:val="center"/>
              <w:rPr>
                <w:rFonts w:hint="eastAsia"/>
                <w:b/>
                <w:bCs/>
                <w:szCs w:val="24"/>
              </w:rPr>
            </w:pPr>
            <w:r>
              <w:rPr>
                <w:rFonts w:hint="eastAsia"/>
                <w:b/>
                <w:bCs/>
                <w:szCs w:val="24"/>
              </w:rPr>
              <w:t>评分标准及分值</w:t>
            </w:r>
          </w:p>
        </w:tc>
        <w:tc>
          <w:tcPr>
            <w:tcW w:w="820" w:type="dxa"/>
            <w:vAlign w:val="center"/>
          </w:tcPr>
          <w:p>
            <w:pPr>
              <w:ind w:firstLine="0" w:firstLineChars="0"/>
              <w:jc w:val="both"/>
              <w:rPr>
                <w:rFonts w:hint="eastAsia"/>
                <w:b/>
                <w:bCs/>
                <w:szCs w:val="24"/>
              </w:rPr>
            </w:pPr>
            <w:r>
              <w:rPr>
                <w:rFonts w:hint="eastAsia"/>
                <w:b/>
                <w:bCs/>
                <w:szCs w:val="24"/>
              </w:rPr>
              <w:t>满分</w:t>
            </w:r>
          </w:p>
        </w:tc>
        <w:tc>
          <w:tcPr>
            <w:tcW w:w="1062" w:type="dxa"/>
            <w:vAlign w:val="center"/>
          </w:tcPr>
          <w:p>
            <w:pPr>
              <w:ind w:firstLine="0" w:firstLineChars="0"/>
              <w:jc w:val="both"/>
              <w:rPr>
                <w:rFonts w:hint="eastAsia"/>
                <w:b/>
                <w:bCs/>
                <w:szCs w:val="24"/>
              </w:rPr>
            </w:pPr>
            <w:r>
              <w:rPr>
                <w:rFonts w:hint="eastAsia"/>
                <w:b/>
                <w:bCs/>
                <w:szCs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727" w:type="dxa"/>
            <w:vAlign w:val="center"/>
          </w:tcPr>
          <w:p>
            <w:pPr>
              <w:snapToGrid w:val="0"/>
              <w:ind w:firstLine="240" w:firstLineChars="100"/>
              <w:rPr>
                <w:rFonts w:hint="eastAsia" w:cs="Arial"/>
                <w:szCs w:val="24"/>
              </w:rPr>
            </w:pPr>
            <w:r>
              <w:rPr>
                <w:rFonts w:hint="eastAsia" w:cs="Arial"/>
                <w:szCs w:val="24"/>
              </w:rPr>
              <w:t>1</w:t>
            </w:r>
          </w:p>
        </w:tc>
        <w:tc>
          <w:tcPr>
            <w:tcW w:w="1649" w:type="dxa"/>
            <w:vAlign w:val="center"/>
          </w:tcPr>
          <w:p>
            <w:pPr>
              <w:snapToGrid w:val="0"/>
              <w:spacing w:line="240" w:lineRule="auto"/>
              <w:ind w:firstLine="0" w:firstLineChars="0"/>
              <w:jc w:val="center"/>
              <w:rPr>
                <w:rFonts w:hint="eastAsia" w:cs="Arial"/>
                <w:szCs w:val="24"/>
              </w:rPr>
            </w:pPr>
            <w:r>
              <w:rPr>
                <w:rFonts w:hint="eastAsia"/>
                <w:szCs w:val="24"/>
              </w:rPr>
              <w:t>主要规格及技术性能</w:t>
            </w:r>
          </w:p>
        </w:tc>
        <w:tc>
          <w:tcPr>
            <w:tcW w:w="5252" w:type="dxa"/>
            <w:vAlign w:val="center"/>
          </w:tcPr>
          <w:p>
            <w:pPr>
              <w:snapToGrid w:val="0"/>
              <w:spacing w:line="240" w:lineRule="auto"/>
              <w:ind w:firstLine="480"/>
              <w:rPr>
                <w:rFonts w:hint="eastAsia"/>
                <w:szCs w:val="24"/>
              </w:rPr>
            </w:pPr>
            <w:r>
              <w:rPr>
                <w:rFonts w:hint="eastAsia"/>
                <w:szCs w:val="24"/>
              </w:rPr>
              <w:t xml:space="preserve">投标人提供的设备技术参数与招标文件中的参照技术参数进行点对点比较，技术参数全部满足用户需求（50分） </w:t>
            </w:r>
          </w:p>
          <w:p>
            <w:pPr>
              <w:snapToGrid w:val="0"/>
              <w:spacing w:line="240" w:lineRule="auto"/>
              <w:ind w:firstLine="480"/>
              <w:rPr>
                <w:rFonts w:hint="eastAsia"/>
                <w:szCs w:val="24"/>
              </w:rPr>
            </w:pPr>
            <w:r>
              <w:rPr>
                <w:rFonts w:hint="eastAsia"/>
                <w:szCs w:val="24"/>
              </w:rPr>
              <w:t>1）每项★号重要指标的技术要求不能满足的扣4分，扣完为止；</w:t>
            </w:r>
          </w:p>
          <w:p>
            <w:pPr>
              <w:snapToGrid w:val="0"/>
              <w:spacing w:line="240" w:lineRule="auto"/>
              <w:ind w:firstLine="480"/>
              <w:rPr>
                <w:rFonts w:hint="eastAsia"/>
                <w:szCs w:val="24"/>
              </w:rPr>
            </w:pPr>
            <w:r>
              <w:rPr>
                <w:rFonts w:hint="eastAsia"/>
                <w:szCs w:val="24"/>
              </w:rPr>
              <w:t>2）其他指标中每一项不满足，扣2分，扣完为止。</w:t>
            </w:r>
          </w:p>
        </w:tc>
        <w:tc>
          <w:tcPr>
            <w:tcW w:w="820" w:type="dxa"/>
            <w:vAlign w:val="center"/>
          </w:tcPr>
          <w:p>
            <w:pPr>
              <w:snapToGrid w:val="0"/>
              <w:ind w:left="-46" w:leftChars="-19" w:firstLine="45" w:firstLineChars="19"/>
              <w:jc w:val="center"/>
              <w:rPr>
                <w:rFonts w:hint="eastAsia" w:cs="Arial"/>
                <w:szCs w:val="24"/>
              </w:rPr>
            </w:pPr>
            <w:r>
              <w:rPr>
                <w:rFonts w:hint="eastAsia" w:cs="Arial"/>
                <w:szCs w:val="24"/>
              </w:rPr>
              <w:t>50</w:t>
            </w:r>
          </w:p>
        </w:tc>
        <w:tc>
          <w:tcPr>
            <w:tcW w:w="1062" w:type="dxa"/>
            <w:vAlign w:val="center"/>
          </w:tcPr>
          <w:p>
            <w:pPr>
              <w:snapToGrid w:val="0"/>
              <w:ind w:left="-46" w:leftChars="-19" w:firstLine="45" w:firstLineChars="19"/>
              <w:rPr>
                <w:rFonts w:hint="eastAsia"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727" w:type="dxa"/>
            <w:vAlign w:val="center"/>
          </w:tcPr>
          <w:p>
            <w:pPr>
              <w:snapToGrid w:val="0"/>
              <w:ind w:firstLine="240" w:firstLineChars="100"/>
              <w:rPr>
                <w:rFonts w:hint="eastAsia" w:cs="Arial"/>
                <w:szCs w:val="24"/>
              </w:rPr>
            </w:pPr>
            <w:r>
              <w:rPr>
                <w:rFonts w:hint="eastAsia" w:cs="Arial"/>
                <w:szCs w:val="24"/>
              </w:rPr>
              <w:t>2</w:t>
            </w:r>
          </w:p>
        </w:tc>
        <w:tc>
          <w:tcPr>
            <w:tcW w:w="1649" w:type="dxa"/>
            <w:vAlign w:val="center"/>
          </w:tcPr>
          <w:p>
            <w:pPr>
              <w:spacing w:line="280" w:lineRule="exact"/>
              <w:ind w:firstLine="0" w:firstLineChars="0"/>
              <w:rPr>
                <w:rFonts w:hAnsi="宋体" w:cs="宋体"/>
                <w:szCs w:val="24"/>
              </w:rPr>
            </w:pPr>
            <w:r>
              <w:rPr>
                <w:rFonts w:hint="eastAsia" w:hAnsi="宋体" w:cs="宋体"/>
                <w:szCs w:val="24"/>
              </w:rPr>
              <w:t>提供所投产品厂家彩页及技术指标佐证材料情况</w:t>
            </w:r>
          </w:p>
        </w:tc>
        <w:tc>
          <w:tcPr>
            <w:tcW w:w="5252" w:type="dxa"/>
            <w:vAlign w:val="center"/>
          </w:tcPr>
          <w:p>
            <w:pPr>
              <w:spacing w:line="240" w:lineRule="exact"/>
              <w:ind w:firstLine="480" w:firstLineChars="0"/>
              <w:jc w:val="both"/>
              <w:rPr>
                <w:rFonts w:hAnsi="宋体" w:cs="宋体"/>
                <w:szCs w:val="24"/>
              </w:rPr>
            </w:pPr>
            <w:r>
              <w:rPr>
                <w:rFonts w:hint="eastAsia" w:hAnsi="宋体" w:cs="宋体"/>
                <w:szCs w:val="24"/>
              </w:rPr>
              <w:t>投标人提供的所投产品的厂家主要产品印刷品彩页及技术指标佐证材料情况，优得</w:t>
            </w:r>
            <w:r>
              <w:rPr>
                <w:rFonts w:hAnsi="宋体" w:cs="宋体"/>
                <w:szCs w:val="24"/>
              </w:rPr>
              <w:t>5</w:t>
            </w:r>
            <w:r>
              <w:rPr>
                <w:rFonts w:hint="eastAsia" w:hAnsi="宋体" w:cs="宋体"/>
                <w:szCs w:val="24"/>
              </w:rPr>
              <w:t>分，良得</w:t>
            </w:r>
            <w:r>
              <w:rPr>
                <w:rFonts w:hAnsi="宋体" w:cs="宋体"/>
                <w:szCs w:val="24"/>
              </w:rPr>
              <w:t>2-4</w:t>
            </w:r>
            <w:r>
              <w:rPr>
                <w:rFonts w:hint="eastAsia" w:hAnsi="宋体" w:cs="宋体"/>
                <w:szCs w:val="24"/>
              </w:rPr>
              <w:t>分，一般得</w:t>
            </w:r>
            <w:r>
              <w:rPr>
                <w:rFonts w:hAnsi="宋体" w:cs="宋体"/>
                <w:szCs w:val="24"/>
              </w:rPr>
              <w:t>1</w:t>
            </w:r>
            <w:r>
              <w:rPr>
                <w:rFonts w:hint="eastAsia" w:hAnsi="宋体" w:cs="宋体"/>
                <w:szCs w:val="24"/>
              </w:rPr>
              <w:t>分，差得</w:t>
            </w:r>
            <w:r>
              <w:rPr>
                <w:rFonts w:hAnsi="宋体" w:cs="宋体"/>
                <w:szCs w:val="24"/>
              </w:rPr>
              <w:t>0</w:t>
            </w:r>
            <w:r>
              <w:rPr>
                <w:rFonts w:hint="eastAsia" w:hAnsi="宋体" w:cs="宋体"/>
                <w:szCs w:val="24"/>
              </w:rPr>
              <w:t>分</w:t>
            </w:r>
          </w:p>
        </w:tc>
        <w:tc>
          <w:tcPr>
            <w:tcW w:w="820" w:type="dxa"/>
            <w:vAlign w:val="center"/>
          </w:tcPr>
          <w:p>
            <w:pPr>
              <w:spacing w:line="280" w:lineRule="exact"/>
              <w:ind w:firstLineChars="0"/>
              <w:rPr>
                <w:rFonts w:hAnsi="宋体" w:cs="宋体"/>
                <w:szCs w:val="24"/>
              </w:rPr>
            </w:pPr>
            <w:r>
              <w:rPr>
                <w:rFonts w:hAnsi="宋体" w:cs="宋体"/>
                <w:szCs w:val="24"/>
              </w:rPr>
              <w:t>5</w:t>
            </w:r>
          </w:p>
        </w:tc>
        <w:tc>
          <w:tcPr>
            <w:tcW w:w="1062" w:type="dxa"/>
            <w:vAlign w:val="center"/>
          </w:tcPr>
          <w:p>
            <w:pPr>
              <w:snapToGrid w:val="0"/>
              <w:ind w:left="-46" w:leftChars="-19" w:firstLine="45" w:firstLineChars="19"/>
              <w:rPr>
                <w:rFonts w:hint="eastAsia"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727" w:type="dxa"/>
            <w:vAlign w:val="center"/>
          </w:tcPr>
          <w:p>
            <w:pPr>
              <w:snapToGrid w:val="0"/>
              <w:ind w:firstLine="240" w:firstLineChars="100"/>
              <w:rPr>
                <w:rFonts w:hint="eastAsia" w:cs="Arial"/>
                <w:szCs w:val="24"/>
              </w:rPr>
            </w:pPr>
            <w:r>
              <w:rPr>
                <w:rFonts w:hint="eastAsia" w:cs="Arial"/>
                <w:szCs w:val="24"/>
              </w:rPr>
              <w:t>3</w:t>
            </w:r>
          </w:p>
        </w:tc>
        <w:tc>
          <w:tcPr>
            <w:tcW w:w="1649" w:type="dxa"/>
            <w:vAlign w:val="center"/>
          </w:tcPr>
          <w:p>
            <w:pPr>
              <w:spacing w:line="380" w:lineRule="exact"/>
              <w:ind w:firstLine="0" w:firstLineChars="0"/>
              <w:rPr>
                <w:rFonts w:hAnsi="Times New Roman" w:cs="宋体"/>
                <w:szCs w:val="24"/>
              </w:rPr>
            </w:pPr>
            <w:r>
              <w:rPr>
                <w:rFonts w:hint="eastAsia" w:hAnsi="宋体" w:cs="宋体"/>
                <w:szCs w:val="24"/>
              </w:rPr>
              <w:t>投标人业绩</w:t>
            </w:r>
          </w:p>
        </w:tc>
        <w:tc>
          <w:tcPr>
            <w:tcW w:w="5252" w:type="dxa"/>
            <w:vAlign w:val="center"/>
          </w:tcPr>
          <w:p>
            <w:pPr>
              <w:spacing w:line="380" w:lineRule="exact"/>
              <w:ind w:firstLine="480" w:firstLineChars="0"/>
              <w:jc w:val="both"/>
              <w:rPr>
                <w:rFonts w:hAnsi="Times New Roman" w:cs="Times New Roman"/>
                <w:szCs w:val="24"/>
              </w:rPr>
            </w:pPr>
            <w:r>
              <w:rPr>
                <w:rFonts w:hint="eastAsia" w:hAnsi="宋体" w:cs="Times New Roman"/>
                <w:szCs w:val="24"/>
              </w:rPr>
              <w:t>投标人具有类似项目成功案例（近三年），提供一宗单笔业绩者得2分，满分6分（以提供盖章的合同复印件为准）。</w:t>
            </w:r>
          </w:p>
        </w:tc>
        <w:tc>
          <w:tcPr>
            <w:tcW w:w="820" w:type="dxa"/>
            <w:vAlign w:val="center"/>
          </w:tcPr>
          <w:p>
            <w:pPr>
              <w:spacing w:line="380" w:lineRule="exact"/>
              <w:ind w:firstLineChars="0"/>
              <w:rPr>
                <w:rFonts w:hAnsi="宋体" w:cs="Times New Roman"/>
                <w:szCs w:val="24"/>
              </w:rPr>
            </w:pPr>
            <w:r>
              <w:rPr>
                <w:rFonts w:hAnsi="宋体" w:cs="Times New Roman"/>
                <w:szCs w:val="24"/>
              </w:rPr>
              <w:t>6</w:t>
            </w:r>
          </w:p>
        </w:tc>
        <w:tc>
          <w:tcPr>
            <w:tcW w:w="1062" w:type="dxa"/>
            <w:vAlign w:val="center"/>
          </w:tcPr>
          <w:p>
            <w:pPr>
              <w:snapToGrid w:val="0"/>
              <w:ind w:left="-46" w:leftChars="-19" w:firstLine="45" w:firstLineChars="19"/>
              <w:rPr>
                <w:rFonts w:hint="eastAsia"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27" w:type="dxa"/>
            <w:vMerge w:val="restart"/>
            <w:vAlign w:val="center"/>
          </w:tcPr>
          <w:p>
            <w:pPr>
              <w:snapToGrid w:val="0"/>
              <w:ind w:firstLine="240" w:firstLineChars="100"/>
              <w:rPr>
                <w:rFonts w:hint="eastAsia" w:cs="Arial"/>
                <w:szCs w:val="24"/>
              </w:rPr>
            </w:pPr>
            <w:r>
              <w:rPr>
                <w:rFonts w:hint="eastAsia" w:cs="Arial"/>
                <w:szCs w:val="24"/>
              </w:rPr>
              <w:t>4</w:t>
            </w:r>
          </w:p>
        </w:tc>
        <w:tc>
          <w:tcPr>
            <w:tcW w:w="1649" w:type="dxa"/>
            <w:vMerge w:val="restart"/>
            <w:vAlign w:val="center"/>
          </w:tcPr>
          <w:p>
            <w:pPr>
              <w:spacing w:line="380" w:lineRule="exact"/>
              <w:ind w:firstLine="240" w:firstLineChars="100"/>
              <w:rPr>
                <w:rFonts w:hAnsi="宋体" w:cs="宋体"/>
                <w:szCs w:val="24"/>
              </w:rPr>
            </w:pPr>
            <w:r>
              <w:rPr>
                <w:rFonts w:hint="eastAsia" w:hAnsi="宋体" w:cs="宋体"/>
                <w:szCs w:val="24"/>
              </w:rPr>
              <w:t>售后服务</w:t>
            </w:r>
          </w:p>
        </w:tc>
        <w:tc>
          <w:tcPr>
            <w:tcW w:w="5252" w:type="dxa"/>
            <w:vAlign w:val="center"/>
          </w:tcPr>
          <w:p>
            <w:pPr>
              <w:widowControl w:val="0"/>
              <w:spacing w:line="380" w:lineRule="exact"/>
              <w:ind w:firstLine="480" w:firstLineChars="0"/>
              <w:jc w:val="both"/>
              <w:rPr>
                <w:rFonts w:hAnsi="Times New Roman" w:cs="宋体"/>
                <w:szCs w:val="24"/>
              </w:rPr>
            </w:pPr>
            <w:r>
              <w:rPr>
                <w:rFonts w:hint="eastAsia" w:hAnsi="宋体" w:cs="Times New Roman"/>
                <w:szCs w:val="24"/>
              </w:rPr>
              <w:t>服务措施具体完整、可行性高、维修响应时间短、保障措施有力、定期巡察等措施，维修能力强，且投标人在本地内常住技术人员。优得7分，良得3-6分，一般得1-2分</w:t>
            </w:r>
          </w:p>
        </w:tc>
        <w:tc>
          <w:tcPr>
            <w:tcW w:w="820" w:type="dxa"/>
            <w:vAlign w:val="center"/>
          </w:tcPr>
          <w:p>
            <w:pPr>
              <w:snapToGrid w:val="0"/>
              <w:ind w:firstLine="240" w:firstLineChars="100"/>
              <w:rPr>
                <w:rFonts w:hint="eastAsia" w:cs="Arial"/>
                <w:szCs w:val="24"/>
              </w:rPr>
            </w:pPr>
            <w:r>
              <w:rPr>
                <w:rFonts w:hint="eastAsia" w:cs="Arial"/>
                <w:szCs w:val="24"/>
              </w:rPr>
              <w:t>7</w:t>
            </w:r>
          </w:p>
        </w:tc>
        <w:tc>
          <w:tcPr>
            <w:tcW w:w="1062" w:type="dxa"/>
            <w:vAlign w:val="center"/>
          </w:tcPr>
          <w:p>
            <w:pPr>
              <w:snapToGrid w:val="0"/>
              <w:ind w:firstLine="480"/>
              <w:rPr>
                <w:rFonts w:hint="eastAsia"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27" w:type="dxa"/>
            <w:vMerge w:val="continue"/>
            <w:vAlign w:val="center"/>
          </w:tcPr>
          <w:p>
            <w:pPr>
              <w:snapToGrid w:val="0"/>
              <w:ind w:firstLine="240" w:firstLineChars="100"/>
              <w:rPr>
                <w:rFonts w:hint="eastAsia" w:cs="Arial"/>
                <w:szCs w:val="24"/>
              </w:rPr>
            </w:pPr>
          </w:p>
        </w:tc>
        <w:tc>
          <w:tcPr>
            <w:tcW w:w="1649" w:type="dxa"/>
            <w:vMerge w:val="continue"/>
            <w:vAlign w:val="center"/>
          </w:tcPr>
          <w:p>
            <w:pPr>
              <w:snapToGrid w:val="0"/>
              <w:ind w:firstLine="480"/>
              <w:jc w:val="center"/>
              <w:rPr>
                <w:rFonts w:hint="eastAsia"/>
                <w:szCs w:val="24"/>
              </w:rPr>
            </w:pPr>
          </w:p>
        </w:tc>
        <w:tc>
          <w:tcPr>
            <w:tcW w:w="5252" w:type="dxa"/>
            <w:vAlign w:val="center"/>
          </w:tcPr>
          <w:p>
            <w:pPr>
              <w:snapToGrid w:val="0"/>
              <w:ind w:firstLine="0" w:firstLineChars="0"/>
              <w:rPr>
                <w:rFonts w:hint="eastAsia"/>
                <w:bCs/>
                <w:szCs w:val="24"/>
              </w:rPr>
            </w:pPr>
            <w:r>
              <w:rPr>
                <w:rFonts w:hint="eastAsia" w:hAnsi="宋体" w:cs="宋体"/>
                <w:szCs w:val="24"/>
              </w:rPr>
              <w:t>投标商设有售后服务机构及机制健全或代理售后服务机构，酌情打分。</w:t>
            </w:r>
          </w:p>
        </w:tc>
        <w:tc>
          <w:tcPr>
            <w:tcW w:w="820" w:type="dxa"/>
            <w:vAlign w:val="center"/>
          </w:tcPr>
          <w:p>
            <w:pPr>
              <w:snapToGrid w:val="0"/>
              <w:ind w:firstLine="240" w:firstLineChars="100"/>
              <w:rPr>
                <w:rFonts w:hint="eastAsia" w:cs="Arial"/>
                <w:szCs w:val="24"/>
              </w:rPr>
            </w:pPr>
            <w:r>
              <w:rPr>
                <w:rFonts w:hint="eastAsia" w:cs="Arial"/>
                <w:szCs w:val="24"/>
              </w:rPr>
              <w:t>2</w:t>
            </w:r>
          </w:p>
        </w:tc>
        <w:tc>
          <w:tcPr>
            <w:tcW w:w="1062" w:type="dxa"/>
            <w:vAlign w:val="center"/>
          </w:tcPr>
          <w:p>
            <w:pPr>
              <w:snapToGrid w:val="0"/>
              <w:ind w:firstLine="480"/>
              <w:rPr>
                <w:rFonts w:hint="eastAsia"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27" w:type="dxa"/>
            <w:vAlign w:val="center"/>
          </w:tcPr>
          <w:p>
            <w:pPr>
              <w:snapToGrid w:val="0"/>
              <w:ind w:firstLine="240" w:firstLineChars="100"/>
              <w:rPr>
                <w:rFonts w:hint="eastAsia" w:cs="Arial"/>
                <w:szCs w:val="24"/>
              </w:rPr>
            </w:pPr>
            <w:r>
              <w:rPr>
                <w:rFonts w:hint="eastAsia" w:cs="Arial"/>
                <w:szCs w:val="24"/>
              </w:rPr>
              <w:t>5</w:t>
            </w:r>
          </w:p>
        </w:tc>
        <w:tc>
          <w:tcPr>
            <w:tcW w:w="1649" w:type="dxa"/>
            <w:vAlign w:val="center"/>
          </w:tcPr>
          <w:p>
            <w:pPr>
              <w:snapToGrid w:val="0"/>
              <w:spacing w:line="240" w:lineRule="auto"/>
              <w:ind w:firstLine="199" w:firstLineChars="83"/>
              <w:jc w:val="both"/>
              <w:rPr>
                <w:rFonts w:hint="eastAsia" w:cs="Arial"/>
                <w:szCs w:val="24"/>
              </w:rPr>
            </w:pPr>
            <w:r>
              <w:rPr>
                <w:rFonts w:hint="eastAsia" w:cs="Arial"/>
                <w:szCs w:val="24"/>
              </w:rPr>
              <w:t>价格分</w:t>
            </w:r>
          </w:p>
        </w:tc>
        <w:tc>
          <w:tcPr>
            <w:tcW w:w="5252" w:type="dxa"/>
            <w:vAlign w:val="center"/>
          </w:tcPr>
          <w:p>
            <w:pPr>
              <w:snapToGrid w:val="0"/>
              <w:spacing w:line="240" w:lineRule="auto"/>
              <w:ind w:firstLine="480"/>
              <w:rPr>
                <w:rFonts w:hint="eastAsia" w:cs="Arial"/>
                <w:szCs w:val="24"/>
              </w:rPr>
            </w:pPr>
            <w:r>
              <w:rPr>
                <w:rFonts w:hint="eastAsia"/>
                <w:bCs/>
                <w:szCs w:val="24"/>
              </w:rPr>
              <w:t>满足招标文件要求且价格最低的投标价为基准价，价格分统一按照下列公式计算：价格分=(基准价／投标报价)×价格权值×100。</w:t>
            </w:r>
          </w:p>
        </w:tc>
        <w:tc>
          <w:tcPr>
            <w:tcW w:w="820" w:type="dxa"/>
            <w:vAlign w:val="center"/>
          </w:tcPr>
          <w:p>
            <w:pPr>
              <w:snapToGrid w:val="0"/>
              <w:spacing w:line="240" w:lineRule="auto"/>
              <w:ind w:firstLine="120" w:firstLineChars="50"/>
              <w:jc w:val="both"/>
              <w:rPr>
                <w:rFonts w:hint="eastAsia" w:cs="Arial"/>
                <w:szCs w:val="24"/>
              </w:rPr>
            </w:pPr>
            <w:r>
              <w:rPr>
                <w:rFonts w:hint="eastAsia" w:cs="Arial"/>
                <w:szCs w:val="24"/>
              </w:rPr>
              <w:t>30</w:t>
            </w:r>
          </w:p>
        </w:tc>
        <w:tc>
          <w:tcPr>
            <w:tcW w:w="1062" w:type="dxa"/>
            <w:vAlign w:val="center"/>
          </w:tcPr>
          <w:p>
            <w:pPr>
              <w:snapToGrid w:val="0"/>
              <w:ind w:firstLine="480"/>
              <w:rPr>
                <w:rFonts w:hint="eastAsia"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727" w:type="dxa"/>
            <w:vAlign w:val="center"/>
          </w:tcPr>
          <w:p>
            <w:pPr>
              <w:snapToGrid w:val="0"/>
              <w:ind w:firstLine="480"/>
              <w:jc w:val="center"/>
              <w:rPr>
                <w:rFonts w:hint="eastAsia" w:cs="Arial"/>
                <w:szCs w:val="24"/>
              </w:rPr>
            </w:pPr>
          </w:p>
        </w:tc>
        <w:tc>
          <w:tcPr>
            <w:tcW w:w="1649" w:type="dxa"/>
            <w:vAlign w:val="center"/>
          </w:tcPr>
          <w:p>
            <w:pPr>
              <w:snapToGrid w:val="0"/>
              <w:ind w:firstLine="240" w:firstLineChars="100"/>
              <w:jc w:val="both"/>
              <w:rPr>
                <w:rFonts w:hint="eastAsia" w:cs="Arial"/>
                <w:szCs w:val="24"/>
              </w:rPr>
            </w:pPr>
            <w:r>
              <w:rPr>
                <w:rFonts w:hint="eastAsia" w:cs="Arial"/>
                <w:szCs w:val="24"/>
              </w:rPr>
              <w:t>合 计</w:t>
            </w:r>
          </w:p>
        </w:tc>
        <w:tc>
          <w:tcPr>
            <w:tcW w:w="5252" w:type="dxa"/>
            <w:vAlign w:val="center"/>
          </w:tcPr>
          <w:p>
            <w:pPr>
              <w:snapToGrid w:val="0"/>
              <w:ind w:firstLine="480"/>
              <w:jc w:val="center"/>
              <w:rPr>
                <w:rFonts w:hint="eastAsia" w:cs="Arial"/>
                <w:szCs w:val="24"/>
              </w:rPr>
            </w:pPr>
          </w:p>
        </w:tc>
        <w:tc>
          <w:tcPr>
            <w:tcW w:w="820" w:type="dxa"/>
            <w:vAlign w:val="center"/>
          </w:tcPr>
          <w:p>
            <w:pPr>
              <w:snapToGrid w:val="0"/>
              <w:ind w:firstLine="0" w:firstLineChars="0"/>
              <w:jc w:val="center"/>
              <w:rPr>
                <w:rFonts w:hint="eastAsia" w:cs="Arial"/>
                <w:szCs w:val="24"/>
              </w:rPr>
            </w:pPr>
            <w:r>
              <w:rPr>
                <w:rFonts w:hint="eastAsia" w:cs="Arial"/>
                <w:szCs w:val="24"/>
              </w:rPr>
              <w:t>100</w:t>
            </w:r>
          </w:p>
        </w:tc>
        <w:tc>
          <w:tcPr>
            <w:tcW w:w="1062" w:type="dxa"/>
            <w:vAlign w:val="center"/>
          </w:tcPr>
          <w:p>
            <w:pPr>
              <w:snapToGrid w:val="0"/>
              <w:ind w:firstLine="480"/>
              <w:jc w:val="center"/>
              <w:rPr>
                <w:rFonts w:hint="eastAsia" w:cs="Arial"/>
                <w:szCs w:val="24"/>
              </w:rPr>
            </w:pPr>
          </w:p>
        </w:tc>
      </w:tr>
    </w:tbl>
    <w:p>
      <w:pPr>
        <w:widowControl w:val="0"/>
        <w:shd w:val="clear" w:color="auto" w:fill="FFFFFF"/>
        <w:tabs>
          <w:tab w:val="left" w:pos="720"/>
        </w:tabs>
        <w:snapToGrid w:val="0"/>
        <w:ind w:right="630" w:firstLine="0" w:firstLineChars="0"/>
        <w:rPr>
          <w:rFonts w:hAnsi="宋体"/>
        </w:rPr>
      </w:pPr>
    </w:p>
    <w:p>
      <w:pPr>
        <w:widowControl w:val="0"/>
        <w:shd w:val="clear" w:color="auto" w:fill="FFFFFF"/>
        <w:tabs>
          <w:tab w:val="left" w:pos="720"/>
        </w:tabs>
        <w:snapToGrid w:val="0"/>
        <w:ind w:right="630" w:firstLine="480"/>
        <w:rPr>
          <w:rFonts w:hint="eastAsia" w:ascii="黑体" w:eastAsia="黑体"/>
        </w:rPr>
      </w:pPr>
      <w:r>
        <w:rPr>
          <w:rFonts w:hint="eastAsia" w:hAnsi="宋体"/>
        </w:rPr>
        <w:t>评委</w:t>
      </w:r>
      <w:r>
        <w:rPr>
          <w:rFonts w:hint="eastAsia" w:ascii="黑体" w:eastAsia="黑体"/>
        </w:rPr>
        <w:t>：</w:t>
      </w:r>
    </w:p>
    <w:p>
      <w:pPr>
        <w:shd w:val="clear" w:color="auto" w:fill="FFFFFF"/>
        <w:ind w:firstLine="480"/>
        <w:rPr>
          <w:rFonts w:hAnsi="宋体"/>
          <w:u w:val="single"/>
        </w:rPr>
      </w:pPr>
      <w:r>
        <w:rPr>
          <w:rFonts w:hint="eastAsia" w:hAnsi="宋体"/>
          <w:szCs w:val="24"/>
        </w:rPr>
        <w:t>日期：</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558" w:bottom="1440" w:left="1560" w:header="851" w:footer="992" w:gutter="0"/>
      <w:cols w:space="720"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Georgia">
    <w:panose1 w:val="02040502050405020303"/>
    <w:charset w:val="00"/>
    <w:family w:val="roman"/>
    <w:pitch w:val="default"/>
    <w:sig w:usb0="00000287" w:usb1="00000000" w:usb2="00000000" w:usb3="00000000" w:csb0="2000009F" w:csb1="00000000"/>
  </w:font>
  <w:font w:name="新宋体">
    <w:panose1 w:val="02010609030101010101"/>
    <w:charset w:val="86"/>
    <w:family w:val="modern"/>
    <w:pitch w:val="default"/>
    <w:sig w:usb0="00000003" w:usb1="288F0000" w:usb2="00000006" w:usb3="00000000" w:csb0="00040001" w:csb1="00000000"/>
  </w:font>
  <w:font w:name="Dotum">
    <w:panose1 w:val="020B0600000101010101"/>
    <w:charset w:val="81"/>
    <w:family w:val="swiss"/>
    <w:pitch w:val="default"/>
    <w:sig w:usb0="B00002AF" w:usb1="69D77CFB" w:usb2="00000030" w:usb3="00000000" w:csb0="4008009F" w:csb1="DFD70000"/>
  </w:font>
  <w:font w:name="仿宋_GB2312">
    <w:altName w:val="仿宋"/>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Helvetica">
    <w:altName w:val="Microsoft Sans Serif"/>
    <w:panose1 w:val="020B0504020202020204"/>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rPr>
        <w:rFonts w:hint="eastAsia"/>
      </w:rPr>
    </w:pPr>
    <w:r>
      <w:rPr>
        <w:rFonts w:hint="eastAsia"/>
      </w:rPr>
      <w:pict>
        <v:rect id="文本框 2" o:spid="_x0000_s3074" o:spt="1"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snapToGrid w:val="0"/>
                  <w:ind w:firstLine="480"/>
                  <w:rPr>
                    <w:rFonts w:hint="eastAsia"/>
                    <w:sz w:val="18"/>
                  </w:rPr>
                </w:pPr>
                <w:r>
                  <w:fldChar w:fldCharType="begin"/>
                </w:r>
                <w:r>
                  <w:instrText xml:space="preserve"> PAGE  \* MERGEFORMAT </w:instrText>
                </w:r>
                <w:r>
                  <w:fldChar w:fldCharType="separate"/>
                </w:r>
                <w:r>
                  <w:rPr>
                    <w:rFonts w:hint="eastAsia"/>
                  </w:rPr>
                  <w:t>11</w:t>
                </w:r>
                <w:r>
                  <w:fldChar w:fldCharType="end"/>
                </w:r>
              </w:p>
            </w:txbxContent>
          </v:textbox>
        </v:rect>
      </w:pic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ind w:firstLine="360"/>
      <w:jc w:val="center"/>
      <w:rPr>
        <w:rFonts w:hint="eastAsia"/>
      </w:rPr>
    </w:pPr>
    <w:r>
      <w:rPr>
        <w:rFonts w:hint="eastAsia"/>
      </w:rPr>
      <w:pict>
        <v:rect id="文本框 1" o:spid="_x0000_s3073" o:spt="1"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snapToGrid w:val="0"/>
                  <w:ind w:firstLine="480"/>
                  <w:rPr>
                    <w:rFonts w:hint="eastAsia"/>
                    <w:sz w:val="18"/>
                  </w:rPr>
                </w:pPr>
                <w:r>
                  <w:fldChar w:fldCharType="begin"/>
                </w:r>
                <w:r>
                  <w:instrText xml:space="preserve"> PAGE  \* MERGEFORMAT </w:instrText>
                </w:r>
                <w:r>
                  <w:fldChar w:fldCharType="separate"/>
                </w:r>
                <w:r>
                  <w:rPr>
                    <w:rFonts w:hint="eastAsia"/>
                  </w:rPr>
                  <w:t>1</w:t>
                </w:r>
                <w: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0" w:firstLineChars="0"/>
      <w:jc w:val="left"/>
      <w:rPr>
        <w:rFonts w:hint="eastAsia"/>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74725E"/>
    <w:multiLevelType w:val="singleLevel"/>
    <w:tmpl w:val="9274725E"/>
    <w:lvl w:ilvl="0" w:tentative="0">
      <w:start w:val="20"/>
      <w:numFmt w:val="decimal"/>
      <w:suff w:val="nothing"/>
      <w:lvlText w:val="%1．"/>
      <w:lvlJc w:val="left"/>
    </w:lvl>
  </w:abstractNum>
  <w:abstractNum w:abstractNumId="1">
    <w:nsid w:val="F596DE36"/>
    <w:multiLevelType w:val="singleLevel"/>
    <w:tmpl w:val="F596DE36"/>
    <w:lvl w:ilvl="0" w:tentative="0">
      <w:start w:val="2"/>
      <w:numFmt w:val="decimal"/>
      <w:suff w:val="nothing"/>
      <w:lvlText w:val="%1、"/>
      <w:lvlJc w:val="left"/>
    </w:lvl>
  </w:abstractNum>
  <w:abstractNum w:abstractNumId="2">
    <w:nsid w:val="0796E0F5"/>
    <w:multiLevelType w:val="singleLevel"/>
    <w:tmpl w:val="0796E0F5"/>
    <w:lvl w:ilvl="0" w:tentative="0">
      <w:start w:val="2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autoHyphenation/>
  <w:drawingGridHorizontalSpacing w:val="0"/>
  <w:drawingGridVerticalSpacing w:val="156"/>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03A"/>
    <w:rsid w:val="00007E03"/>
    <w:rsid w:val="0003014A"/>
    <w:rsid w:val="000359AB"/>
    <w:rsid w:val="0004324D"/>
    <w:rsid w:val="001109FB"/>
    <w:rsid w:val="001D1566"/>
    <w:rsid w:val="001D522C"/>
    <w:rsid w:val="001E417E"/>
    <w:rsid w:val="00205958"/>
    <w:rsid w:val="002145EF"/>
    <w:rsid w:val="00222D55"/>
    <w:rsid w:val="00270005"/>
    <w:rsid w:val="002C0A09"/>
    <w:rsid w:val="003042D3"/>
    <w:rsid w:val="00311A61"/>
    <w:rsid w:val="00323294"/>
    <w:rsid w:val="003564D9"/>
    <w:rsid w:val="00387E07"/>
    <w:rsid w:val="003E0B95"/>
    <w:rsid w:val="003F7F72"/>
    <w:rsid w:val="004064D8"/>
    <w:rsid w:val="0042518F"/>
    <w:rsid w:val="00427737"/>
    <w:rsid w:val="00463397"/>
    <w:rsid w:val="00471F83"/>
    <w:rsid w:val="0047307E"/>
    <w:rsid w:val="00473BE5"/>
    <w:rsid w:val="004A1526"/>
    <w:rsid w:val="004B7E58"/>
    <w:rsid w:val="004C167D"/>
    <w:rsid w:val="004C3A98"/>
    <w:rsid w:val="004C7A6E"/>
    <w:rsid w:val="004D0DF1"/>
    <w:rsid w:val="004D48E9"/>
    <w:rsid w:val="00510348"/>
    <w:rsid w:val="00512D93"/>
    <w:rsid w:val="005406DA"/>
    <w:rsid w:val="005A4FB1"/>
    <w:rsid w:val="005B1385"/>
    <w:rsid w:val="005C30B3"/>
    <w:rsid w:val="005F1893"/>
    <w:rsid w:val="006674B9"/>
    <w:rsid w:val="00732404"/>
    <w:rsid w:val="00736902"/>
    <w:rsid w:val="00744B70"/>
    <w:rsid w:val="00823F19"/>
    <w:rsid w:val="008546D7"/>
    <w:rsid w:val="00865FDB"/>
    <w:rsid w:val="008B7ED4"/>
    <w:rsid w:val="008D0C0E"/>
    <w:rsid w:val="00984B7B"/>
    <w:rsid w:val="009A003A"/>
    <w:rsid w:val="00A07A83"/>
    <w:rsid w:val="00A12A5D"/>
    <w:rsid w:val="00A22803"/>
    <w:rsid w:val="00A7536F"/>
    <w:rsid w:val="00A836B4"/>
    <w:rsid w:val="00B05FF9"/>
    <w:rsid w:val="00B144C8"/>
    <w:rsid w:val="00B26125"/>
    <w:rsid w:val="00B266D8"/>
    <w:rsid w:val="00B37CA7"/>
    <w:rsid w:val="00B76CD1"/>
    <w:rsid w:val="00BB0A54"/>
    <w:rsid w:val="00C43B6D"/>
    <w:rsid w:val="00C465D0"/>
    <w:rsid w:val="00C65E46"/>
    <w:rsid w:val="00C7209D"/>
    <w:rsid w:val="00C95425"/>
    <w:rsid w:val="00CB0A1D"/>
    <w:rsid w:val="00D24089"/>
    <w:rsid w:val="00D40DAB"/>
    <w:rsid w:val="00D74B22"/>
    <w:rsid w:val="00DB12EC"/>
    <w:rsid w:val="00DC5B14"/>
    <w:rsid w:val="00E82B85"/>
    <w:rsid w:val="00EA3339"/>
    <w:rsid w:val="00EC5174"/>
    <w:rsid w:val="00EC7EF6"/>
    <w:rsid w:val="00F3098A"/>
    <w:rsid w:val="00F443F8"/>
    <w:rsid w:val="00F93179"/>
    <w:rsid w:val="00F97278"/>
    <w:rsid w:val="00FB0F05"/>
    <w:rsid w:val="00FC5478"/>
    <w:rsid w:val="011C23E3"/>
    <w:rsid w:val="012240CA"/>
    <w:rsid w:val="012A1D5D"/>
    <w:rsid w:val="0155313C"/>
    <w:rsid w:val="01733A3D"/>
    <w:rsid w:val="018873BF"/>
    <w:rsid w:val="01892B33"/>
    <w:rsid w:val="018D0BAD"/>
    <w:rsid w:val="018F0111"/>
    <w:rsid w:val="018F60D4"/>
    <w:rsid w:val="01D45CD9"/>
    <w:rsid w:val="01E54AFC"/>
    <w:rsid w:val="01EB29C2"/>
    <w:rsid w:val="0292142A"/>
    <w:rsid w:val="02AF042F"/>
    <w:rsid w:val="02C12B82"/>
    <w:rsid w:val="02C22EEB"/>
    <w:rsid w:val="02F64307"/>
    <w:rsid w:val="031502E4"/>
    <w:rsid w:val="031768EE"/>
    <w:rsid w:val="03180533"/>
    <w:rsid w:val="033D6735"/>
    <w:rsid w:val="036C76BB"/>
    <w:rsid w:val="03971C6E"/>
    <w:rsid w:val="03C847CA"/>
    <w:rsid w:val="03D5758C"/>
    <w:rsid w:val="04182B73"/>
    <w:rsid w:val="04296C22"/>
    <w:rsid w:val="0435417C"/>
    <w:rsid w:val="04360598"/>
    <w:rsid w:val="043A2287"/>
    <w:rsid w:val="04C35C30"/>
    <w:rsid w:val="04FA2632"/>
    <w:rsid w:val="058A479B"/>
    <w:rsid w:val="05D51C86"/>
    <w:rsid w:val="05E17CC9"/>
    <w:rsid w:val="05EA27A9"/>
    <w:rsid w:val="0614041D"/>
    <w:rsid w:val="062F4EFC"/>
    <w:rsid w:val="067908A2"/>
    <w:rsid w:val="068A6C83"/>
    <w:rsid w:val="06922D9F"/>
    <w:rsid w:val="069B605B"/>
    <w:rsid w:val="06B021B3"/>
    <w:rsid w:val="06BB5FF6"/>
    <w:rsid w:val="06BF544C"/>
    <w:rsid w:val="06D33D23"/>
    <w:rsid w:val="06FB7156"/>
    <w:rsid w:val="071352D7"/>
    <w:rsid w:val="07456DB7"/>
    <w:rsid w:val="07564113"/>
    <w:rsid w:val="07741603"/>
    <w:rsid w:val="07823C3D"/>
    <w:rsid w:val="078C1E59"/>
    <w:rsid w:val="079C1D11"/>
    <w:rsid w:val="07A2160C"/>
    <w:rsid w:val="07BC51CE"/>
    <w:rsid w:val="07E40696"/>
    <w:rsid w:val="08047CF9"/>
    <w:rsid w:val="08093E19"/>
    <w:rsid w:val="081A3195"/>
    <w:rsid w:val="08323E7A"/>
    <w:rsid w:val="083C6E23"/>
    <w:rsid w:val="08611B25"/>
    <w:rsid w:val="086E20DB"/>
    <w:rsid w:val="0887220B"/>
    <w:rsid w:val="08A2625A"/>
    <w:rsid w:val="08B65A7E"/>
    <w:rsid w:val="08BC2BED"/>
    <w:rsid w:val="08D34C35"/>
    <w:rsid w:val="08E03766"/>
    <w:rsid w:val="08E81F9A"/>
    <w:rsid w:val="08F476A0"/>
    <w:rsid w:val="09057D22"/>
    <w:rsid w:val="09065E8F"/>
    <w:rsid w:val="091C176A"/>
    <w:rsid w:val="09212E23"/>
    <w:rsid w:val="09282CCD"/>
    <w:rsid w:val="093B6854"/>
    <w:rsid w:val="09816611"/>
    <w:rsid w:val="0984057C"/>
    <w:rsid w:val="09892556"/>
    <w:rsid w:val="0989352C"/>
    <w:rsid w:val="09A27DBF"/>
    <w:rsid w:val="09F018F8"/>
    <w:rsid w:val="09F222A0"/>
    <w:rsid w:val="0A0909AD"/>
    <w:rsid w:val="0A1F3283"/>
    <w:rsid w:val="0A2E5707"/>
    <w:rsid w:val="0A371864"/>
    <w:rsid w:val="0A8C04AB"/>
    <w:rsid w:val="0A8C7400"/>
    <w:rsid w:val="0A9F4A59"/>
    <w:rsid w:val="0AA807AB"/>
    <w:rsid w:val="0AAA7BF7"/>
    <w:rsid w:val="0AB52E5C"/>
    <w:rsid w:val="0ACC2C8B"/>
    <w:rsid w:val="0AD0187C"/>
    <w:rsid w:val="0AD37418"/>
    <w:rsid w:val="0AF76999"/>
    <w:rsid w:val="0B017974"/>
    <w:rsid w:val="0B087B20"/>
    <w:rsid w:val="0B167B64"/>
    <w:rsid w:val="0B1C7ECC"/>
    <w:rsid w:val="0B344B53"/>
    <w:rsid w:val="0B726246"/>
    <w:rsid w:val="0B7B5B2C"/>
    <w:rsid w:val="0B9315F6"/>
    <w:rsid w:val="0BA035B1"/>
    <w:rsid w:val="0BA84485"/>
    <w:rsid w:val="0BCE7BB8"/>
    <w:rsid w:val="0BDE63DB"/>
    <w:rsid w:val="0BF145C9"/>
    <w:rsid w:val="0C0C3BD1"/>
    <w:rsid w:val="0C114764"/>
    <w:rsid w:val="0C1D12C4"/>
    <w:rsid w:val="0C5D7E36"/>
    <w:rsid w:val="0C5E3219"/>
    <w:rsid w:val="0C7D092A"/>
    <w:rsid w:val="0C7E43DF"/>
    <w:rsid w:val="0C841570"/>
    <w:rsid w:val="0CCB326C"/>
    <w:rsid w:val="0D17244C"/>
    <w:rsid w:val="0D545958"/>
    <w:rsid w:val="0D8E1E06"/>
    <w:rsid w:val="0D9278C7"/>
    <w:rsid w:val="0DB270A3"/>
    <w:rsid w:val="0DB3708A"/>
    <w:rsid w:val="0DB40589"/>
    <w:rsid w:val="0DBA2885"/>
    <w:rsid w:val="0DBE2FA1"/>
    <w:rsid w:val="0DC23A16"/>
    <w:rsid w:val="0DD33D66"/>
    <w:rsid w:val="0DE02A54"/>
    <w:rsid w:val="0DEA7CF2"/>
    <w:rsid w:val="0DED62A8"/>
    <w:rsid w:val="0DFE0B28"/>
    <w:rsid w:val="0E063402"/>
    <w:rsid w:val="0E0A56D6"/>
    <w:rsid w:val="0E106DBE"/>
    <w:rsid w:val="0E1C658C"/>
    <w:rsid w:val="0E627C1B"/>
    <w:rsid w:val="0E635515"/>
    <w:rsid w:val="0E8D63C7"/>
    <w:rsid w:val="0EC83807"/>
    <w:rsid w:val="0ED764F7"/>
    <w:rsid w:val="0EDD6024"/>
    <w:rsid w:val="0EFA576D"/>
    <w:rsid w:val="0EFF0BF9"/>
    <w:rsid w:val="0F092235"/>
    <w:rsid w:val="0F1618B2"/>
    <w:rsid w:val="0F1A65C1"/>
    <w:rsid w:val="0F2C7432"/>
    <w:rsid w:val="0F4A3382"/>
    <w:rsid w:val="0F547303"/>
    <w:rsid w:val="0F79438F"/>
    <w:rsid w:val="0FD96954"/>
    <w:rsid w:val="10214079"/>
    <w:rsid w:val="10237156"/>
    <w:rsid w:val="108251AD"/>
    <w:rsid w:val="108664F6"/>
    <w:rsid w:val="10AF626B"/>
    <w:rsid w:val="10BF6090"/>
    <w:rsid w:val="10FA7140"/>
    <w:rsid w:val="11061FA2"/>
    <w:rsid w:val="110A2A30"/>
    <w:rsid w:val="111E4FA8"/>
    <w:rsid w:val="11366C68"/>
    <w:rsid w:val="114E0505"/>
    <w:rsid w:val="116F793D"/>
    <w:rsid w:val="11773EA5"/>
    <w:rsid w:val="11782E61"/>
    <w:rsid w:val="11823364"/>
    <w:rsid w:val="11952EE6"/>
    <w:rsid w:val="11A72C1B"/>
    <w:rsid w:val="11E13BDE"/>
    <w:rsid w:val="11FA758B"/>
    <w:rsid w:val="11FC7075"/>
    <w:rsid w:val="1206155D"/>
    <w:rsid w:val="120B7048"/>
    <w:rsid w:val="120D4F04"/>
    <w:rsid w:val="121017D6"/>
    <w:rsid w:val="124B1723"/>
    <w:rsid w:val="12614EFC"/>
    <w:rsid w:val="12914D93"/>
    <w:rsid w:val="12A03435"/>
    <w:rsid w:val="12B23E32"/>
    <w:rsid w:val="12D31CB3"/>
    <w:rsid w:val="12D9269C"/>
    <w:rsid w:val="12EC0E02"/>
    <w:rsid w:val="130F43F3"/>
    <w:rsid w:val="131E1F88"/>
    <w:rsid w:val="132941C2"/>
    <w:rsid w:val="132E2EA2"/>
    <w:rsid w:val="13333478"/>
    <w:rsid w:val="13354471"/>
    <w:rsid w:val="134A5C55"/>
    <w:rsid w:val="1397197F"/>
    <w:rsid w:val="139E1A2F"/>
    <w:rsid w:val="13BA14FD"/>
    <w:rsid w:val="13DD29AC"/>
    <w:rsid w:val="13F34343"/>
    <w:rsid w:val="13FA53C1"/>
    <w:rsid w:val="13FC3C1C"/>
    <w:rsid w:val="14062429"/>
    <w:rsid w:val="14117B3A"/>
    <w:rsid w:val="141D473A"/>
    <w:rsid w:val="141E159F"/>
    <w:rsid w:val="141F4515"/>
    <w:rsid w:val="14591CC0"/>
    <w:rsid w:val="147B0A58"/>
    <w:rsid w:val="147B26F0"/>
    <w:rsid w:val="14CE23F6"/>
    <w:rsid w:val="14D158F9"/>
    <w:rsid w:val="14E0045E"/>
    <w:rsid w:val="14F13300"/>
    <w:rsid w:val="14FD0444"/>
    <w:rsid w:val="14FF530F"/>
    <w:rsid w:val="150B661C"/>
    <w:rsid w:val="152E2E09"/>
    <w:rsid w:val="153870A2"/>
    <w:rsid w:val="154168BE"/>
    <w:rsid w:val="154E56E1"/>
    <w:rsid w:val="15693C3D"/>
    <w:rsid w:val="15917050"/>
    <w:rsid w:val="15CC346B"/>
    <w:rsid w:val="15EE699D"/>
    <w:rsid w:val="1622365A"/>
    <w:rsid w:val="1654277A"/>
    <w:rsid w:val="166C6DAE"/>
    <w:rsid w:val="167701D2"/>
    <w:rsid w:val="16810303"/>
    <w:rsid w:val="16953F44"/>
    <w:rsid w:val="16B155A8"/>
    <w:rsid w:val="16CF768E"/>
    <w:rsid w:val="16EA49AA"/>
    <w:rsid w:val="16ED2F4B"/>
    <w:rsid w:val="171539FC"/>
    <w:rsid w:val="17351C2E"/>
    <w:rsid w:val="174B75AA"/>
    <w:rsid w:val="174E6451"/>
    <w:rsid w:val="175F4435"/>
    <w:rsid w:val="17642CB2"/>
    <w:rsid w:val="17723858"/>
    <w:rsid w:val="17761739"/>
    <w:rsid w:val="17BA011D"/>
    <w:rsid w:val="17DD5B96"/>
    <w:rsid w:val="18002204"/>
    <w:rsid w:val="180734A0"/>
    <w:rsid w:val="18280AAF"/>
    <w:rsid w:val="18320074"/>
    <w:rsid w:val="184239FA"/>
    <w:rsid w:val="18433437"/>
    <w:rsid w:val="18684DB2"/>
    <w:rsid w:val="187E6C7F"/>
    <w:rsid w:val="18821C46"/>
    <w:rsid w:val="18833906"/>
    <w:rsid w:val="189C0914"/>
    <w:rsid w:val="18C444E1"/>
    <w:rsid w:val="18FE3BDE"/>
    <w:rsid w:val="18FF4BD2"/>
    <w:rsid w:val="19140600"/>
    <w:rsid w:val="191C1583"/>
    <w:rsid w:val="192E6A53"/>
    <w:rsid w:val="19650B76"/>
    <w:rsid w:val="196E2895"/>
    <w:rsid w:val="19744E27"/>
    <w:rsid w:val="19D54363"/>
    <w:rsid w:val="19F23515"/>
    <w:rsid w:val="1A117812"/>
    <w:rsid w:val="1A230D58"/>
    <w:rsid w:val="1A3B6CF8"/>
    <w:rsid w:val="1A3C744C"/>
    <w:rsid w:val="1A6B3A57"/>
    <w:rsid w:val="1A945282"/>
    <w:rsid w:val="1AB84924"/>
    <w:rsid w:val="1ABB06E3"/>
    <w:rsid w:val="1ABE2F62"/>
    <w:rsid w:val="1AF00890"/>
    <w:rsid w:val="1AF00B26"/>
    <w:rsid w:val="1AFD2943"/>
    <w:rsid w:val="1B001680"/>
    <w:rsid w:val="1B176823"/>
    <w:rsid w:val="1B1A409A"/>
    <w:rsid w:val="1B334A07"/>
    <w:rsid w:val="1B35170B"/>
    <w:rsid w:val="1B5C422F"/>
    <w:rsid w:val="1B692C1D"/>
    <w:rsid w:val="1B771BEA"/>
    <w:rsid w:val="1B7972EA"/>
    <w:rsid w:val="1B830D46"/>
    <w:rsid w:val="1BA9324E"/>
    <w:rsid w:val="1BDF783B"/>
    <w:rsid w:val="1C027BF6"/>
    <w:rsid w:val="1C315E48"/>
    <w:rsid w:val="1C3311C8"/>
    <w:rsid w:val="1C481817"/>
    <w:rsid w:val="1C6B5511"/>
    <w:rsid w:val="1C700CDB"/>
    <w:rsid w:val="1C754543"/>
    <w:rsid w:val="1C7D6CEE"/>
    <w:rsid w:val="1CA96690"/>
    <w:rsid w:val="1CB25F3B"/>
    <w:rsid w:val="1CC7465F"/>
    <w:rsid w:val="1CDE05C6"/>
    <w:rsid w:val="1CE2689C"/>
    <w:rsid w:val="1CE85753"/>
    <w:rsid w:val="1D095162"/>
    <w:rsid w:val="1D160050"/>
    <w:rsid w:val="1D1B37F9"/>
    <w:rsid w:val="1D477444"/>
    <w:rsid w:val="1D541C5C"/>
    <w:rsid w:val="1D67131C"/>
    <w:rsid w:val="1D920D99"/>
    <w:rsid w:val="1DB13347"/>
    <w:rsid w:val="1DD44DD8"/>
    <w:rsid w:val="1DF44C57"/>
    <w:rsid w:val="1E003EFF"/>
    <w:rsid w:val="1E0D39C5"/>
    <w:rsid w:val="1E412D8D"/>
    <w:rsid w:val="1E4F593A"/>
    <w:rsid w:val="1E893C7F"/>
    <w:rsid w:val="1E935993"/>
    <w:rsid w:val="1EE40691"/>
    <w:rsid w:val="1F1377B1"/>
    <w:rsid w:val="1F1F3E4E"/>
    <w:rsid w:val="1F2C129C"/>
    <w:rsid w:val="1F2D6A52"/>
    <w:rsid w:val="1F383E02"/>
    <w:rsid w:val="1F52306F"/>
    <w:rsid w:val="1F5A6DD4"/>
    <w:rsid w:val="1F7C134B"/>
    <w:rsid w:val="1F987A10"/>
    <w:rsid w:val="1FCD3866"/>
    <w:rsid w:val="1FD173A4"/>
    <w:rsid w:val="1FE40C1F"/>
    <w:rsid w:val="1FE603C3"/>
    <w:rsid w:val="1FEC3546"/>
    <w:rsid w:val="1FF42165"/>
    <w:rsid w:val="20037116"/>
    <w:rsid w:val="201174AF"/>
    <w:rsid w:val="201B25EB"/>
    <w:rsid w:val="201C1893"/>
    <w:rsid w:val="202707DC"/>
    <w:rsid w:val="202D3C9D"/>
    <w:rsid w:val="203D5853"/>
    <w:rsid w:val="20961A6F"/>
    <w:rsid w:val="209B0F60"/>
    <w:rsid w:val="20AB3EC1"/>
    <w:rsid w:val="20B45746"/>
    <w:rsid w:val="20D90831"/>
    <w:rsid w:val="20E56710"/>
    <w:rsid w:val="21011848"/>
    <w:rsid w:val="213A5DEF"/>
    <w:rsid w:val="214C1B3C"/>
    <w:rsid w:val="217546B9"/>
    <w:rsid w:val="21934AAB"/>
    <w:rsid w:val="21A26BD7"/>
    <w:rsid w:val="21B961E0"/>
    <w:rsid w:val="21CE76A7"/>
    <w:rsid w:val="21FC0B19"/>
    <w:rsid w:val="22041C52"/>
    <w:rsid w:val="22103821"/>
    <w:rsid w:val="22162C8C"/>
    <w:rsid w:val="22331A1A"/>
    <w:rsid w:val="224915B7"/>
    <w:rsid w:val="225649E7"/>
    <w:rsid w:val="227E7DA4"/>
    <w:rsid w:val="2288145D"/>
    <w:rsid w:val="22975F0C"/>
    <w:rsid w:val="22B400F2"/>
    <w:rsid w:val="22CE136D"/>
    <w:rsid w:val="22DF3EFF"/>
    <w:rsid w:val="22E8504C"/>
    <w:rsid w:val="23104060"/>
    <w:rsid w:val="231A045B"/>
    <w:rsid w:val="23271C2C"/>
    <w:rsid w:val="23352000"/>
    <w:rsid w:val="233538C6"/>
    <w:rsid w:val="235A2F8A"/>
    <w:rsid w:val="235B0908"/>
    <w:rsid w:val="23974394"/>
    <w:rsid w:val="239C2A3A"/>
    <w:rsid w:val="23A30288"/>
    <w:rsid w:val="23BC3FDE"/>
    <w:rsid w:val="23C05F2D"/>
    <w:rsid w:val="23C4047B"/>
    <w:rsid w:val="23D22345"/>
    <w:rsid w:val="23E03094"/>
    <w:rsid w:val="24030919"/>
    <w:rsid w:val="240868E2"/>
    <w:rsid w:val="243B7B53"/>
    <w:rsid w:val="2444130D"/>
    <w:rsid w:val="244F59F3"/>
    <w:rsid w:val="248B21AE"/>
    <w:rsid w:val="24A411ED"/>
    <w:rsid w:val="24BB211A"/>
    <w:rsid w:val="24C33C2E"/>
    <w:rsid w:val="24EF0EC0"/>
    <w:rsid w:val="25060D75"/>
    <w:rsid w:val="252E3D88"/>
    <w:rsid w:val="25334141"/>
    <w:rsid w:val="25552EA6"/>
    <w:rsid w:val="25625543"/>
    <w:rsid w:val="2579246A"/>
    <w:rsid w:val="25895FD5"/>
    <w:rsid w:val="25943A12"/>
    <w:rsid w:val="25A26B23"/>
    <w:rsid w:val="262A658E"/>
    <w:rsid w:val="2635688E"/>
    <w:rsid w:val="26E502BE"/>
    <w:rsid w:val="271403DA"/>
    <w:rsid w:val="27287FC1"/>
    <w:rsid w:val="273851EF"/>
    <w:rsid w:val="274B3219"/>
    <w:rsid w:val="274E02F5"/>
    <w:rsid w:val="276E10D0"/>
    <w:rsid w:val="27737587"/>
    <w:rsid w:val="277D729B"/>
    <w:rsid w:val="27A53F7E"/>
    <w:rsid w:val="27A806A3"/>
    <w:rsid w:val="27A858F9"/>
    <w:rsid w:val="27AB7EAF"/>
    <w:rsid w:val="27D455CC"/>
    <w:rsid w:val="28067A5F"/>
    <w:rsid w:val="28184608"/>
    <w:rsid w:val="281C5B74"/>
    <w:rsid w:val="284D0A79"/>
    <w:rsid w:val="285540BC"/>
    <w:rsid w:val="286B70F2"/>
    <w:rsid w:val="28803650"/>
    <w:rsid w:val="289D6254"/>
    <w:rsid w:val="28EA48C9"/>
    <w:rsid w:val="28F80B68"/>
    <w:rsid w:val="29186957"/>
    <w:rsid w:val="293E1895"/>
    <w:rsid w:val="295729CB"/>
    <w:rsid w:val="29736B4E"/>
    <w:rsid w:val="298F611D"/>
    <w:rsid w:val="29A5129D"/>
    <w:rsid w:val="29A80DED"/>
    <w:rsid w:val="29D3407E"/>
    <w:rsid w:val="29F6391D"/>
    <w:rsid w:val="2A3F253F"/>
    <w:rsid w:val="2A5017DD"/>
    <w:rsid w:val="2A5E4ADB"/>
    <w:rsid w:val="2A914023"/>
    <w:rsid w:val="2A965B86"/>
    <w:rsid w:val="2ADA0AE5"/>
    <w:rsid w:val="2AE5085E"/>
    <w:rsid w:val="2AED357B"/>
    <w:rsid w:val="2B105CB3"/>
    <w:rsid w:val="2B1B2192"/>
    <w:rsid w:val="2B2351D3"/>
    <w:rsid w:val="2B2D0392"/>
    <w:rsid w:val="2B6D78E3"/>
    <w:rsid w:val="2B6E7185"/>
    <w:rsid w:val="2B704F2D"/>
    <w:rsid w:val="2B7407C0"/>
    <w:rsid w:val="2B8557A7"/>
    <w:rsid w:val="2B940272"/>
    <w:rsid w:val="2BA9245C"/>
    <w:rsid w:val="2BD840C2"/>
    <w:rsid w:val="2C116F8C"/>
    <w:rsid w:val="2C123849"/>
    <w:rsid w:val="2C20737F"/>
    <w:rsid w:val="2C751586"/>
    <w:rsid w:val="2C755DDA"/>
    <w:rsid w:val="2C927837"/>
    <w:rsid w:val="2CE2362C"/>
    <w:rsid w:val="2D166D52"/>
    <w:rsid w:val="2D3521F4"/>
    <w:rsid w:val="2D595FEA"/>
    <w:rsid w:val="2D5D559A"/>
    <w:rsid w:val="2D711B50"/>
    <w:rsid w:val="2D996A0F"/>
    <w:rsid w:val="2DA9433F"/>
    <w:rsid w:val="2DAE6B4F"/>
    <w:rsid w:val="2DB82EAD"/>
    <w:rsid w:val="2DBD26B1"/>
    <w:rsid w:val="2DC0242B"/>
    <w:rsid w:val="2DD806CD"/>
    <w:rsid w:val="2DE26A84"/>
    <w:rsid w:val="2DEC484A"/>
    <w:rsid w:val="2E170CBF"/>
    <w:rsid w:val="2E1D309C"/>
    <w:rsid w:val="2E5E74BF"/>
    <w:rsid w:val="2E85488A"/>
    <w:rsid w:val="2EA848D7"/>
    <w:rsid w:val="2EBB43E2"/>
    <w:rsid w:val="2EBE213E"/>
    <w:rsid w:val="2F2C1F6B"/>
    <w:rsid w:val="2F49348A"/>
    <w:rsid w:val="2F512F33"/>
    <w:rsid w:val="2F706B73"/>
    <w:rsid w:val="2F944ADE"/>
    <w:rsid w:val="2FA90771"/>
    <w:rsid w:val="2FE23106"/>
    <w:rsid w:val="2FE73147"/>
    <w:rsid w:val="3009342C"/>
    <w:rsid w:val="30120F96"/>
    <w:rsid w:val="304B033C"/>
    <w:rsid w:val="3062360B"/>
    <w:rsid w:val="30650130"/>
    <w:rsid w:val="306C4ED1"/>
    <w:rsid w:val="30B249EB"/>
    <w:rsid w:val="30D75062"/>
    <w:rsid w:val="31030122"/>
    <w:rsid w:val="310C1CD5"/>
    <w:rsid w:val="31110114"/>
    <w:rsid w:val="312B146C"/>
    <w:rsid w:val="31335DB3"/>
    <w:rsid w:val="3141661F"/>
    <w:rsid w:val="3147396A"/>
    <w:rsid w:val="31680452"/>
    <w:rsid w:val="319852A5"/>
    <w:rsid w:val="31AF1141"/>
    <w:rsid w:val="31BB3615"/>
    <w:rsid w:val="31DA2E10"/>
    <w:rsid w:val="31EA150E"/>
    <w:rsid w:val="31EA3A48"/>
    <w:rsid w:val="31EF0C56"/>
    <w:rsid w:val="32203AE2"/>
    <w:rsid w:val="322760BB"/>
    <w:rsid w:val="322A3422"/>
    <w:rsid w:val="323459B4"/>
    <w:rsid w:val="32511672"/>
    <w:rsid w:val="3253238F"/>
    <w:rsid w:val="32746A81"/>
    <w:rsid w:val="327C4DE9"/>
    <w:rsid w:val="327E372F"/>
    <w:rsid w:val="328C2AAE"/>
    <w:rsid w:val="32B262CC"/>
    <w:rsid w:val="32C9158F"/>
    <w:rsid w:val="32F74022"/>
    <w:rsid w:val="330C7215"/>
    <w:rsid w:val="33191572"/>
    <w:rsid w:val="33236BC1"/>
    <w:rsid w:val="332C4CBE"/>
    <w:rsid w:val="33337D0D"/>
    <w:rsid w:val="334F2147"/>
    <w:rsid w:val="336F4A49"/>
    <w:rsid w:val="33884EAE"/>
    <w:rsid w:val="33A429D2"/>
    <w:rsid w:val="33B96A05"/>
    <w:rsid w:val="33BE6C91"/>
    <w:rsid w:val="33F17561"/>
    <w:rsid w:val="33F96F0C"/>
    <w:rsid w:val="33FD71B0"/>
    <w:rsid w:val="340A4E8D"/>
    <w:rsid w:val="341C5F25"/>
    <w:rsid w:val="34203791"/>
    <w:rsid w:val="342E6368"/>
    <w:rsid w:val="346D0278"/>
    <w:rsid w:val="347E441C"/>
    <w:rsid w:val="349647D2"/>
    <w:rsid w:val="349A4220"/>
    <w:rsid w:val="34A450B4"/>
    <w:rsid w:val="34C66302"/>
    <w:rsid w:val="34D0782C"/>
    <w:rsid w:val="34F33753"/>
    <w:rsid w:val="35146C43"/>
    <w:rsid w:val="351F5D0C"/>
    <w:rsid w:val="35362AE6"/>
    <w:rsid w:val="353722F7"/>
    <w:rsid w:val="35605EB0"/>
    <w:rsid w:val="35776243"/>
    <w:rsid w:val="3589154D"/>
    <w:rsid w:val="359724D4"/>
    <w:rsid w:val="359D2C68"/>
    <w:rsid w:val="35B63FB7"/>
    <w:rsid w:val="35B82CE7"/>
    <w:rsid w:val="35D531E8"/>
    <w:rsid w:val="35DF015B"/>
    <w:rsid w:val="36003D0D"/>
    <w:rsid w:val="36644E34"/>
    <w:rsid w:val="3685617A"/>
    <w:rsid w:val="3689301A"/>
    <w:rsid w:val="368E450A"/>
    <w:rsid w:val="36AA6C9F"/>
    <w:rsid w:val="36B102A7"/>
    <w:rsid w:val="36B5448E"/>
    <w:rsid w:val="36DE6D70"/>
    <w:rsid w:val="36ED4C8B"/>
    <w:rsid w:val="370F65AB"/>
    <w:rsid w:val="373C7A5D"/>
    <w:rsid w:val="37452899"/>
    <w:rsid w:val="37481668"/>
    <w:rsid w:val="375E0EA0"/>
    <w:rsid w:val="377D1A37"/>
    <w:rsid w:val="37872B08"/>
    <w:rsid w:val="37960ABC"/>
    <w:rsid w:val="37A721EE"/>
    <w:rsid w:val="37B0782E"/>
    <w:rsid w:val="37B65FC1"/>
    <w:rsid w:val="37CE2B54"/>
    <w:rsid w:val="37E9185B"/>
    <w:rsid w:val="380E1E85"/>
    <w:rsid w:val="38260E68"/>
    <w:rsid w:val="38293CB0"/>
    <w:rsid w:val="38314EA4"/>
    <w:rsid w:val="38A36457"/>
    <w:rsid w:val="38AC1FB4"/>
    <w:rsid w:val="38B33020"/>
    <w:rsid w:val="38CD4BC7"/>
    <w:rsid w:val="38DB676B"/>
    <w:rsid w:val="38EE5E29"/>
    <w:rsid w:val="39026375"/>
    <w:rsid w:val="39273B06"/>
    <w:rsid w:val="39362E77"/>
    <w:rsid w:val="394B6922"/>
    <w:rsid w:val="394E2C2D"/>
    <w:rsid w:val="396F4106"/>
    <w:rsid w:val="39781EF6"/>
    <w:rsid w:val="398C1F5C"/>
    <w:rsid w:val="39A26AB7"/>
    <w:rsid w:val="39AD5153"/>
    <w:rsid w:val="39DF580C"/>
    <w:rsid w:val="39E31379"/>
    <w:rsid w:val="39EE0038"/>
    <w:rsid w:val="3A356C85"/>
    <w:rsid w:val="3A40347A"/>
    <w:rsid w:val="3A5C0B43"/>
    <w:rsid w:val="3A6F1EB9"/>
    <w:rsid w:val="3A8239FF"/>
    <w:rsid w:val="3AA411C3"/>
    <w:rsid w:val="3AA93039"/>
    <w:rsid w:val="3AD20B74"/>
    <w:rsid w:val="3AE0079D"/>
    <w:rsid w:val="3AF15349"/>
    <w:rsid w:val="3B176EB6"/>
    <w:rsid w:val="3B2B2161"/>
    <w:rsid w:val="3B305E38"/>
    <w:rsid w:val="3B3201DE"/>
    <w:rsid w:val="3B32640A"/>
    <w:rsid w:val="3B4A52EE"/>
    <w:rsid w:val="3B6D6F1F"/>
    <w:rsid w:val="3B751854"/>
    <w:rsid w:val="3B794AF3"/>
    <w:rsid w:val="3B8264AC"/>
    <w:rsid w:val="3BA1260A"/>
    <w:rsid w:val="3BB40027"/>
    <w:rsid w:val="3BE663A6"/>
    <w:rsid w:val="3BF03BEC"/>
    <w:rsid w:val="3C1A58A2"/>
    <w:rsid w:val="3C246B25"/>
    <w:rsid w:val="3C2D7D8C"/>
    <w:rsid w:val="3C3314CB"/>
    <w:rsid w:val="3C483632"/>
    <w:rsid w:val="3CE972F4"/>
    <w:rsid w:val="3CEC4D5D"/>
    <w:rsid w:val="3D01183E"/>
    <w:rsid w:val="3D415F52"/>
    <w:rsid w:val="3D487954"/>
    <w:rsid w:val="3D4C155B"/>
    <w:rsid w:val="3D5C56BD"/>
    <w:rsid w:val="3D684EE5"/>
    <w:rsid w:val="3D84509C"/>
    <w:rsid w:val="3D9A32E8"/>
    <w:rsid w:val="3DE02BF3"/>
    <w:rsid w:val="3E404332"/>
    <w:rsid w:val="3E4E36A8"/>
    <w:rsid w:val="3E5C1C25"/>
    <w:rsid w:val="3E791A3C"/>
    <w:rsid w:val="3EC1562F"/>
    <w:rsid w:val="3EC85CAC"/>
    <w:rsid w:val="3ED23E88"/>
    <w:rsid w:val="3ED45241"/>
    <w:rsid w:val="3ED84F2F"/>
    <w:rsid w:val="3EE42F91"/>
    <w:rsid w:val="3EF34E10"/>
    <w:rsid w:val="3EF46DF7"/>
    <w:rsid w:val="3F35291A"/>
    <w:rsid w:val="3F5F0130"/>
    <w:rsid w:val="3F607EF4"/>
    <w:rsid w:val="3F9D53AD"/>
    <w:rsid w:val="3FC12306"/>
    <w:rsid w:val="3FCB7D02"/>
    <w:rsid w:val="3FD11E86"/>
    <w:rsid w:val="3FD41892"/>
    <w:rsid w:val="3FE0007D"/>
    <w:rsid w:val="3FEF5DDA"/>
    <w:rsid w:val="400401BC"/>
    <w:rsid w:val="401D0328"/>
    <w:rsid w:val="4025363A"/>
    <w:rsid w:val="404B3F88"/>
    <w:rsid w:val="40503E7C"/>
    <w:rsid w:val="4057051B"/>
    <w:rsid w:val="406473D2"/>
    <w:rsid w:val="407744B5"/>
    <w:rsid w:val="40924B08"/>
    <w:rsid w:val="40D22859"/>
    <w:rsid w:val="40F41C08"/>
    <w:rsid w:val="40FA3FE5"/>
    <w:rsid w:val="41191D7F"/>
    <w:rsid w:val="41354704"/>
    <w:rsid w:val="4166687C"/>
    <w:rsid w:val="41967F3D"/>
    <w:rsid w:val="41C40B47"/>
    <w:rsid w:val="41FA499B"/>
    <w:rsid w:val="420B7419"/>
    <w:rsid w:val="42242BE7"/>
    <w:rsid w:val="42340A2E"/>
    <w:rsid w:val="424F4A62"/>
    <w:rsid w:val="425B4E83"/>
    <w:rsid w:val="425B5332"/>
    <w:rsid w:val="42652626"/>
    <w:rsid w:val="42752307"/>
    <w:rsid w:val="42924742"/>
    <w:rsid w:val="42CA0819"/>
    <w:rsid w:val="42CF2E1F"/>
    <w:rsid w:val="42E61618"/>
    <w:rsid w:val="42E965F6"/>
    <w:rsid w:val="42EE7A4A"/>
    <w:rsid w:val="43093452"/>
    <w:rsid w:val="43146C80"/>
    <w:rsid w:val="434E4968"/>
    <w:rsid w:val="4359321E"/>
    <w:rsid w:val="43610CF4"/>
    <w:rsid w:val="437465C2"/>
    <w:rsid w:val="43A44629"/>
    <w:rsid w:val="43A56485"/>
    <w:rsid w:val="43C6667E"/>
    <w:rsid w:val="43C74217"/>
    <w:rsid w:val="43FE60A7"/>
    <w:rsid w:val="443514C0"/>
    <w:rsid w:val="443976E7"/>
    <w:rsid w:val="443B7275"/>
    <w:rsid w:val="44467B00"/>
    <w:rsid w:val="446528C3"/>
    <w:rsid w:val="44CF0A80"/>
    <w:rsid w:val="44D20727"/>
    <w:rsid w:val="44D80A8A"/>
    <w:rsid w:val="44FF45C0"/>
    <w:rsid w:val="45040AF8"/>
    <w:rsid w:val="451378D7"/>
    <w:rsid w:val="45150F31"/>
    <w:rsid w:val="451D73A5"/>
    <w:rsid w:val="45390ED8"/>
    <w:rsid w:val="454012AB"/>
    <w:rsid w:val="45490C6D"/>
    <w:rsid w:val="454E2B62"/>
    <w:rsid w:val="45501585"/>
    <w:rsid w:val="457E6E24"/>
    <w:rsid w:val="45B91D8F"/>
    <w:rsid w:val="45BA006E"/>
    <w:rsid w:val="45E56920"/>
    <w:rsid w:val="464C1D51"/>
    <w:rsid w:val="465C7622"/>
    <w:rsid w:val="46A01F18"/>
    <w:rsid w:val="46B91D6A"/>
    <w:rsid w:val="46D87186"/>
    <w:rsid w:val="46DA29BB"/>
    <w:rsid w:val="46DE231F"/>
    <w:rsid w:val="46F62062"/>
    <w:rsid w:val="46FC34D9"/>
    <w:rsid w:val="473C1F4B"/>
    <w:rsid w:val="473E5AC9"/>
    <w:rsid w:val="47924B12"/>
    <w:rsid w:val="479C1C70"/>
    <w:rsid w:val="47A80336"/>
    <w:rsid w:val="47DD289B"/>
    <w:rsid w:val="48064142"/>
    <w:rsid w:val="484457E5"/>
    <w:rsid w:val="488E3A12"/>
    <w:rsid w:val="48973DD9"/>
    <w:rsid w:val="489A7F90"/>
    <w:rsid w:val="48C42F7E"/>
    <w:rsid w:val="48D300B4"/>
    <w:rsid w:val="48ED567B"/>
    <w:rsid w:val="48F005FF"/>
    <w:rsid w:val="49021C78"/>
    <w:rsid w:val="4905037E"/>
    <w:rsid w:val="49102B6C"/>
    <w:rsid w:val="49122868"/>
    <w:rsid w:val="491C2F42"/>
    <w:rsid w:val="49234E1B"/>
    <w:rsid w:val="493D6513"/>
    <w:rsid w:val="495E5C3C"/>
    <w:rsid w:val="49667B37"/>
    <w:rsid w:val="49785ADD"/>
    <w:rsid w:val="49991F1C"/>
    <w:rsid w:val="49D145AE"/>
    <w:rsid w:val="49D428AC"/>
    <w:rsid w:val="49E51175"/>
    <w:rsid w:val="4A572F29"/>
    <w:rsid w:val="4A837243"/>
    <w:rsid w:val="4A8D1C93"/>
    <w:rsid w:val="4A911DF5"/>
    <w:rsid w:val="4AA04350"/>
    <w:rsid w:val="4AB40191"/>
    <w:rsid w:val="4AE55983"/>
    <w:rsid w:val="4AE641C7"/>
    <w:rsid w:val="4AF12311"/>
    <w:rsid w:val="4B03080B"/>
    <w:rsid w:val="4B132754"/>
    <w:rsid w:val="4B1A581E"/>
    <w:rsid w:val="4B68574A"/>
    <w:rsid w:val="4B69673E"/>
    <w:rsid w:val="4B6B3B8C"/>
    <w:rsid w:val="4B783D3D"/>
    <w:rsid w:val="4B793A15"/>
    <w:rsid w:val="4BB72D24"/>
    <w:rsid w:val="4BC44719"/>
    <w:rsid w:val="4BD12283"/>
    <w:rsid w:val="4BD53D66"/>
    <w:rsid w:val="4BD66F6C"/>
    <w:rsid w:val="4BF04848"/>
    <w:rsid w:val="4C080775"/>
    <w:rsid w:val="4C442809"/>
    <w:rsid w:val="4C63595D"/>
    <w:rsid w:val="4C712D2F"/>
    <w:rsid w:val="4C853819"/>
    <w:rsid w:val="4C8A608B"/>
    <w:rsid w:val="4C9C4FC3"/>
    <w:rsid w:val="4CA670DB"/>
    <w:rsid w:val="4CB067E9"/>
    <w:rsid w:val="4CBF046D"/>
    <w:rsid w:val="4CC3448C"/>
    <w:rsid w:val="4CD55B14"/>
    <w:rsid w:val="4CE252B2"/>
    <w:rsid w:val="4D03026C"/>
    <w:rsid w:val="4D2226A4"/>
    <w:rsid w:val="4D59728C"/>
    <w:rsid w:val="4D64168B"/>
    <w:rsid w:val="4D711404"/>
    <w:rsid w:val="4D82633F"/>
    <w:rsid w:val="4D9213E1"/>
    <w:rsid w:val="4DAF20AF"/>
    <w:rsid w:val="4DCD5857"/>
    <w:rsid w:val="4DD94FDC"/>
    <w:rsid w:val="4E015B43"/>
    <w:rsid w:val="4E0C4422"/>
    <w:rsid w:val="4E1209E3"/>
    <w:rsid w:val="4E22569D"/>
    <w:rsid w:val="4E347C3D"/>
    <w:rsid w:val="4E370988"/>
    <w:rsid w:val="4E397B82"/>
    <w:rsid w:val="4E543B96"/>
    <w:rsid w:val="4E583BBC"/>
    <w:rsid w:val="4E660908"/>
    <w:rsid w:val="4E742721"/>
    <w:rsid w:val="4E940E39"/>
    <w:rsid w:val="4EB0384B"/>
    <w:rsid w:val="4EB77AD9"/>
    <w:rsid w:val="4EC319F7"/>
    <w:rsid w:val="4F144811"/>
    <w:rsid w:val="4F181367"/>
    <w:rsid w:val="4F22619F"/>
    <w:rsid w:val="4F4F5C6A"/>
    <w:rsid w:val="4F5442D3"/>
    <w:rsid w:val="4F697EFF"/>
    <w:rsid w:val="4FA60DE1"/>
    <w:rsid w:val="4FC97685"/>
    <w:rsid w:val="4FD521CF"/>
    <w:rsid w:val="501D494B"/>
    <w:rsid w:val="503B7A2C"/>
    <w:rsid w:val="50455839"/>
    <w:rsid w:val="504C540D"/>
    <w:rsid w:val="5068551B"/>
    <w:rsid w:val="50845AF5"/>
    <w:rsid w:val="50C54F29"/>
    <w:rsid w:val="50CE07C9"/>
    <w:rsid w:val="51391BA4"/>
    <w:rsid w:val="513D0F79"/>
    <w:rsid w:val="514F7395"/>
    <w:rsid w:val="515018FE"/>
    <w:rsid w:val="516F3447"/>
    <w:rsid w:val="517522C4"/>
    <w:rsid w:val="51A75033"/>
    <w:rsid w:val="51F36D4F"/>
    <w:rsid w:val="51F503B5"/>
    <w:rsid w:val="520F55C3"/>
    <w:rsid w:val="52416FB0"/>
    <w:rsid w:val="52634380"/>
    <w:rsid w:val="527C6880"/>
    <w:rsid w:val="528D4A6F"/>
    <w:rsid w:val="52BE1663"/>
    <w:rsid w:val="52EA086C"/>
    <w:rsid w:val="52F55805"/>
    <w:rsid w:val="53016AFA"/>
    <w:rsid w:val="531B13E0"/>
    <w:rsid w:val="53304F10"/>
    <w:rsid w:val="53352D88"/>
    <w:rsid w:val="536877F0"/>
    <w:rsid w:val="53713208"/>
    <w:rsid w:val="53826F49"/>
    <w:rsid w:val="53B70B99"/>
    <w:rsid w:val="53D80399"/>
    <w:rsid w:val="540C0926"/>
    <w:rsid w:val="54141C7E"/>
    <w:rsid w:val="541449F4"/>
    <w:rsid w:val="54146FB7"/>
    <w:rsid w:val="541630CE"/>
    <w:rsid w:val="541A6300"/>
    <w:rsid w:val="545C10C1"/>
    <w:rsid w:val="54601061"/>
    <w:rsid w:val="54B27C63"/>
    <w:rsid w:val="54B4244F"/>
    <w:rsid w:val="54B76F87"/>
    <w:rsid w:val="54CC02BF"/>
    <w:rsid w:val="54DC5CBA"/>
    <w:rsid w:val="54FD7EC4"/>
    <w:rsid w:val="55263427"/>
    <w:rsid w:val="554800D8"/>
    <w:rsid w:val="559A6325"/>
    <w:rsid w:val="56035BA1"/>
    <w:rsid w:val="560F0523"/>
    <w:rsid w:val="5668425E"/>
    <w:rsid w:val="56913249"/>
    <w:rsid w:val="56CD0CE5"/>
    <w:rsid w:val="56E73350"/>
    <w:rsid w:val="56EE4500"/>
    <w:rsid w:val="57014AEE"/>
    <w:rsid w:val="57087BAE"/>
    <w:rsid w:val="570E6C1E"/>
    <w:rsid w:val="57125DA6"/>
    <w:rsid w:val="57483B6E"/>
    <w:rsid w:val="57524911"/>
    <w:rsid w:val="578832CB"/>
    <w:rsid w:val="57887C47"/>
    <w:rsid w:val="57C726B2"/>
    <w:rsid w:val="586E4A1E"/>
    <w:rsid w:val="588A704D"/>
    <w:rsid w:val="58A202CB"/>
    <w:rsid w:val="58A36C97"/>
    <w:rsid w:val="58AF6E00"/>
    <w:rsid w:val="58C95CC3"/>
    <w:rsid w:val="58D01275"/>
    <w:rsid w:val="58F175A3"/>
    <w:rsid w:val="591D69DF"/>
    <w:rsid w:val="594A4E8E"/>
    <w:rsid w:val="594E1B72"/>
    <w:rsid w:val="595C5D7E"/>
    <w:rsid w:val="595F0F58"/>
    <w:rsid w:val="597E1612"/>
    <w:rsid w:val="59AC68B1"/>
    <w:rsid w:val="59BE3A2D"/>
    <w:rsid w:val="59D2134A"/>
    <w:rsid w:val="59E04BF3"/>
    <w:rsid w:val="59E26A3C"/>
    <w:rsid w:val="59E50ED8"/>
    <w:rsid w:val="59F91440"/>
    <w:rsid w:val="5A155F79"/>
    <w:rsid w:val="5A186827"/>
    <w:rsid w:val="5A282B7B"/>
    <w:rsid w:val="5A4C731D"/>
    <w:rsid w:val="5A7E3DF0"/>
    <w:rsid w:val="5A817D6A"/>
    <w:rsid w:val="5B0B4A95"/>
    <w:rsid w:val="5B0F7B8D"/>
    <w:rsid w:val="5B184331"/>
    <w:rsid w:val="5B377DE0"/>
    <w:rsid w:val="5B6931ED"/>
    <w:rsid w:val="5B994858"/>
    <w:rsid w:val="5BA65BE2"/>
    <w:rsid w:val="5BD70EBB"/>
    <w:rsid w:val="5C1A2B36"/>
    <w:rsid w:val="5C3874F9"/>
    <w:rsid w:val="5C451B0F"/>
    <w:rsid w:val="5C725DD3"/>
    <w:rsid w:val="5CA26A1C"/>
    <w:rsid w:val="5CA4681A"/>
    <w:rsid w:val="5CA93C1F"/>
    <w:rsid w:val="5CCF593C"/>
    <w:rsid w:val="5CD14F13"/>
    <w:rsid w:val="5D0D757F"/>
    <w:rsid w:val="5D1631A5"/>
    <w:rsid w:val="5D443182"/>
    <w:rsid w:val="5D494297"/>
    <w:rsid w:val="5D5F2AEE"/>
    <w:rsid w:val="5D6274C1"/>
    <w:rsid w:val="5D667E25"/>
    <w:rsid w:val="5D792185"/>
    <w:rsid w:val="5D7F6562"/>
    <w:rsid w:val="5D8D09C2"/>
    <w:rsid w:val="5D8F2CEE"/>
    <w:rsid w:val="5D986F11"/>
    <w:rsid w:val="5D9D32E5"/>
    <w:rsid w:val="5DA67113"/>
    <w:rsid w:val="5DBE3698"/>
    <w:rsid w:val="5DC50B7E"/>
    <w:rsid w:val="5DC527DC"/>
    <w:rsid w:val="5DCE5F62"/>
    <w:rsid w:val="5DCF2B01"/>
    <w:rsid w:val="5E0A76EE"/>
    <w:rsid w:val="5E197686"/>
    <w:rsid w:val="5E315D9E"/>
    <w:rsid w:val="5E341D5A"/>
    <w:rsid w:val="5EAA5D3A"/>
    <w:rsid w:val="5F0303A8"/>
    <w:rsid w:val="5F143092"/>
    <w:rsid w:val="5F1A5E36"/>
    <w:rsid w:val="5F240B80"/>
    <w:rsid w:val="5F266768"/>
    <w:rsid w:val="5F366A59"/>
    <w:rsid w:val="5F4B30B3"/>
    <w:rsid w:val="5F5F28E3"/>
    <w:rsid w:val="5F84044A"/>
    <w:rsid w:val="5FEC396E"/>
    <w:rsid w:val="5FF33CA7"/>
    <w:rsid w:val="60212228"/>
    <w:rsid w:val="60505C7C"/>
    <w:rsid w:val="605E0799"/>
    <w:rsid w:val="606F0F82"/>
    <w:rsid w:val="60700445"/>
    <w:rsid w:val="607B53D6"/>
    <w:rsid w:val="6085083C"/>
    <w:rsid w:val="608C3184"/>
    <w:rsid w:val="60DF6F0C"/>
    <w:rsid w:val="611F6A9E"/>
    <w:rsid w:val="61406AA9"/>
    <w:rsid w:val="61436A0C"/>
    <w:rsid w:val="61613CA8"/>
    <w:rsid w:val="616A64A3"/>
    <w:rsid w:val="61723A58"/>
    <w:rsid w:val="61965052"/>
    <w:rsid w:val="61A00825"/>
    <w:rsid w:val="61C13E62"/>
    <w:rsid w:val="61D35B42"/>
    <w:rsid w:val="620C6529"/>
    <w:rsid w:val="621447CD"/>
    <w:rsid w:val="623050E0"/>
    <w:rsid w:val="626B4594"/>
    <w:rsid w:val="626F1C8C"/>
    <w:rsid w:val="626F780E"/>
    <w:rsid w:val="627763B5"/>
    <w:rsid w:val="629F03EA"/>
    <w:rsid w:val="62ED16E9"/>
    <w:rsid w:val="6309301C"/>
    <w:rsid w:val="6316035E"/>
    <w:rsid w:val="63276E0E"/>
    <w:rsid w:val="63744CEC"/>
    <w:rsid w:val="63844DCD"/>
    <w:rsid w:val="63AA6AF9"/>
    <w:rsid w:val="63AD4B96"/>
    <w:rsid w:val="63AF2217"/>
    <w:rsid w:val="63C903E0"/>
    <w:rsid w:val="63CB43C7"/>
    <w:rsid w:val="63DD208D"/>
    <w:rsid w:val="63E62175"/>
    <w:rsid w:val="63E630FE"/>
    <w:rsid w:val="63F4080C"/>
    <w:rsid w:val="641B4D1F"/>
    <w:rsid w:val="646849BA"/>
    <w:rsid w:val="647D14F6"/>
    <w:rsid w:val="648C1D91"/>
    <w:rsid w:val="64A657F4"/>
    <w:rsid w:val="64AE6BA9"/>
    <w:rsid w:val="64B4306A"/>
    <w:rsid w:val="64DE3DD3"/>
    <w:rsid w:val="64EA6DB1"/>
    <w:rsid w:val="64FD706D"/>
    <w:rsid w:val="650523DD"/>
    <w:rsid w:val="65232A15"/>
    <w:rsid w:val="655D295B"/>
    <w:rsid w:val="65855A4A"/>
    <w:rsid w:val="65C67918"/>
    <w:rsid w:val="65CC6C33"/>
    <w:rsid w:val="65D51249"/>
    <w:rsid w:val="65ED04A4"/>
    <w:rsid w:val="66042201"/>
    <w:rsid w:val="66060625"/>
    <w:rsid w:val="66090290"/>
    <w:rsid w:val="66313DBC"/>
    <w:rsid w:val="663152AA"/>
    <w:rsid w:val="66396950"/>
    <w:rsid w:val="66487E9A"/>
    <w:rsid w:val="666C6CE4"/>
    <w:rsid w:val="66733F6F"/>
    <w:rsid w:val="66850513"/>
    <w:rsid w:val="6695637E"/>
    <w:rsid w:val="66D26484"/>
    <w:rsid w:val="66F030C3"/>
    <w:rsid w:val="67120635"/>
    <w:rsid w:val="673149D3"/>
    <w:rsid w:val="673B24FE"/>
    <w:rsid w:val="674375C6"/>
    <w:rsid w:val="675B0FF5"/>
    <w:rsid w:val="677701BB"/>
    <w:rsid w:val="678B7F34"/>
    <w:rsid w:val="67D415C0"/>
    <w:rsid w:val="67D870C7"/>
    <w:rsid w:val="67EE53AA"/>
    <w:rsid w:val="67F24090"/>
    <w:rsid w:val="67FF020D"/>
    <w:rsid w:val="680254CE"/>
    <w:rsid w:val="68273CB3"/>
    <w:rsid w:val="68493FDE"/>
    <w:rsid w:val="686260AA"/>
    <w:rsid w:val="686959FA"/>
    <w:rsid w:val="686E00E4"/>
    <w:rsid w:val="68720535"/>
    <w:rsid w:val="68810158"/>
    <w:rsid w:val="689C5886"/>
    <w:rsid w:val="68B04479"/>
    <w:rsid w:val="68B47597"/>
    <w:rsid w:val="68B8197B"/>
    <w:rsid w:val="68C85200"/>
    <w:rsid w:val="68C921C3"/>
    <w:rsid w:val="69060E0F"/>
    <w:rsid w:val="69062F70"/>
    <w:rsid w:val="690C1C9C"/>
    <w:rsid w:val="69471F31"/>
    <w:rsid w:val="695C4201"/>
    <w:rsid w:val="69605868"/>
    <w:rsid w:val="6962628C"/>
    <w:rsid w:val="697A16CF"/>
    <w:rsid w:val="69B54CE3"/>
    <w:rsid w:val="69D210D7"/>
    <w:rsid w:val="69F20074"/>
    <w:rsid w:val="6A012096"/>
    <w:rsid w:val="6A0376B6"/>
    <w:rsid w:val="6A117D55"/>
    <w:rsid w:val="6A507CF8"/>
    <w:rsid w:val="6A577161"/>
    <w:rsid w:val="6A8E0035"/>
    <w:rsid w:val="6A930501"/>
    <w:rsid w:val="6AAD3284"/>
    <w:rsid w:val="6AE62B45"/>
    <w:rsid w:val="6AE93506"/>
    <w:rsid w:val="6B16324A"/>
    <w:rsid w:val="6B3628DF"/>
    <w:rsid w:val="6B3A1C4C"/>
    <w:rsid w:val="6B476F1B"/>
    <w:rsid w:val="6B640041"/>
    <w:rsid w:val="6B893284"/>
    <w:rsid w:val="6B931EA2"/>
    <w:rsid w:val="6B9C3830"/>
    <w:rsid w:val="6BA0754F"/>
    <w:rsid w:val="6BCD46C3"/>
    <w:rsid w:val="6BD16B05"/>
    <w:rsid w:val="6BF86B85"/>
    <w:rsid w:val="6C042180"/>
    <w:rsid w:val="6C110283"/>
    <w:rsid w:val="6C143879"/>
    <w:rsid w:val="6C2E3C4C"/>
    <w:rsid w:val="6C3210E5"/>
    <w:rsid w:val="6C407130"/>
    <w:rsid w:val="6C4523E1"/>
    <w:rsid w:val="6C53453C"/>
    <w:rsid w:val="6C546B0E"/>
    <w:rsid w:val="6C716096"/>
    <w:rsid w:val="6C7349FF"/>
    <w:rsid w:val="6CC0561D"/>
    <w:rsid w:val="6CE36912"/>
    <w:rsid w:val="6CEC60FD"/>
    <w:rsid w:val="6CF56559"/>
    <w:rsid w:val="6D083746"/>
    <w:rsid w:val="6D2A5433"/>
    <w:rsid w:val="6D2B3D6B"/>
    <w:rsid w:val="6D2D4536"/>
    <w:rsid w:val="6D3344C8"/>
    <w:rsid w:val="6D35653C"/>
    <w:rsid w:val="6D4D5A5F"/>
    <w:rsid w:val="6D5863D5"/>
    <w:rsid w:val="6D5B1BD2"/>
    <w:rsid w:val="6DB1230D"/>
    <w:rsid w:val="6DD241EB"/>
    <w:rsid w:val="6DE532FA"/>
    <w:rsid w:val="6E0C4A96"/>
    <w:rsid w:val="6E1801E5"/>
    <w:rsid w:val="6E3F5679"/>
    <w:rsid w:val="6E460F38"/>
    <w:rsid w:val="6E5F6D97"/>
    <w:rsid w:val="6E7C1C1A"/>
    <w:rsid w:val="6E9D262C"/>
    <w:rsid w:val="6EA608C3"/>
    <w:rsid w:val="6EB47277"/>
    <w:rsid w:val="6EB744BF"/>
    <w:rsid w:val="6EC600A4"/>
    <w:rsid w:val="6EFE0703"/>
    <w:rsid w:val="6F463E9A"/>
    <w:rsid w:val="6F67476F"/>
    <w:rsid w:val="6F713B1D"/>
    <w:rsid w:val="6F765382"/>
    <w:rsid w:val="6F8732FE"/>
    <w:rsid w:val="6F8E3955"/>
    <w:rsid w:val="6F913FD9"/>
    <w:rsid w:val="6F9549FF"/>
    <w:rsid w:val="6F9E20CC"/>
    <w:rsid w:val="6FAB3BB8"/>
    <w:rsid w:val="6FB47CFD"/>
    <w:rsid w:val="6FB66BC2"/>
    <w:rsid w:val="6FD806A2"/>
    <w:rsid w:val="6FD95DB0"/>
    <w:rsid w:val="6FDA05AA"/>
    <w:rsid w:val="6FEF3AAD"/>
    <w:rsid w:val="6FF71894"/>
    <w:rsid w:val="6FF75E2A"/>
    <w:rsid w:val="70106A1D"/>
    <w:rsid w:val="702164E6"/>
    <w:rsid w:val="702D21A4"/>
    <w:rsid w:val="70361F08"/>
    <w:rsid w:val="70415F60"/>
    <w:rsid w:val="708E682F"/>
    <w:rsid w:val="7097344C"/>
    <w:rsid w:val="70977E6D"/>
    <w:rsid w:val="70A11233"/>
    <w:rsid w:val="70A55528"/>
    <w:rsid w:val="70AA7038"/>
    <w:rsid w:val="70BC496E"/>
    <w:rsid w:val="70C428C5"/>
    <w:rsid w:val="70F625E3"/>
    <w:rsid w:val="71077AB7"/>
    <w:rsid w:val="712C5C99"/>
    <w:rsid w:val="713B7740"/>
    <w:rsid w:val="71483881"/>
    <w:rsid w:val="714A2AAB"/>
    <w:rsid w:val="714C61FB"/>
    <w:rsid w:val="715D001E"/>
    <w:rsid w:val="719471F0"/>
    <w:rsid w:val="71A513E4"/>
    <w:rsid w:val="71AA13E1"/>
    <w:rsid w:val="71BA18C0"/>
    <w:rsid w:val="71BA1FD2"/>
    <w:rsid w:val="71CD2BC0"/>
    <w:rsid w:val="71CD3F17"/>
    <w:rsid w:val="71E649FE"/>
    <w:rsid w:val="71F8023E"/>
    <w:rsid w:val="72077A53"/>
    <w:rsid w:val="722454C5"/>
    <w:rsid w:val="72315510"/>
    <w:rsid w:val="72520245"/>
    <w:rsid w:val="726962C4"/>
    <w:rsid w:val="72900E69"/>
    <w:rsid w:val="72944333"/>
    <w:rsid w:val="729E6240"/>
    <w:rsid w:val="72B62D7C"/>
    <w:rsid w:val="72C3675C"/>
    <w:rsid w:val="72DF2B76"/>
    <w:rsid w:val="72EE4459"/>
    <w:rsid w:val="73270463"/>
    <w:rsid w:val="732F01E4"/>
    <w:rsid w:val="732F02D6"/>
    <w:rsid w:val="733F48F4"/>
    <w:rsid w:val="736E16EB"/>
    <w:rsid w:val="739D7151"/>
    <w:rsid w:val="73B721C0"/>
    <w:rsid w:val="73BE5ACA"/>
    <w:rsid w:val="73C06C47"/>
    <w:rsid w:val="73DF64EB"/>
    <w:rsid w:val="73E263F1"/>
    <w:rsid w:val="742A085D"/>
    <w:rsid w:val="742A3F6A"/>
    <w:rsid w:val="744B702E"/>
    <w:rsid w:val="745913DF"/>
    <w:rsid w:val="74607E4E"/>
    <w:rsid w:val="746F348F"/>
    <w:rsid w:val="749F619F"/>
    <w:rsid w:val="74C435E2"/>
    <w:rsid w:val="74D235A9"/>
    <w:rsid w:val="74D44D4C"/>
    <w:rsid w:val="74D56E00"/>
    <w:rsid w:val="74E329CC"/>
    <w:rsid w:val="74F53E31"/>
    <w:rsid w:val="75011F53"/>
    <w:rsid w:val="75110663"/>
    <w:rsid w:val="752E613A"/>
    <w:rsid w:val="754606FB"/>
    <w:rsid w:val="756A1F09"/>
    <w:rsid w:val="75AC7313"/>
    <w:rsid w:val="75B12C6E"/>
    <w:rsid w:val="75B67D2B"/>
    <w:rsid w:val="75B956C6"/>
    <w:rsid w:val="75BD0061"/>
    <w:rsid w:val="75CF1358"/>
    <w:rsid w:val="75DD7136"/>
    <w:rsid w:val="760B6429"/>
    <w:rsid w:val="76156891"/>
    <w:rsid w:val="7676001C"/>
    <w:rsid w:val="767D6D9B"/>
    <w:rsid w:val="768A0491"/>
    <w:rsid w:val="768C11D7"/>
    <w:rsid w:val="769D5419"/>
    <w:rsid w:val="76D600C8"/>
    <w:rsid w:val="76D9794F"/>
    <w:rsid w:val="770B7D63"/>
    <w:rsid w:val="770D2B5C"/>
    <w:rsid w:val="771A68C2"/>
    <w:rsid w:val="772C0864"/>
    <w:rsid w:val="77497540"/>
    <w:rsid w:val="77942677"/>
    <w:rsid w:val="77D97E4D"/>
    <w:rsid w:val="77E1651F"/>
    <w:rsid w:val="780B204F"/>
    <w:rsid w:val="781B1814"/>
    <w:rsid w:val="783C0799"/>
    <w:rsid w:val="78547581"/>
    <w:rsid w:val="7863505F"/>
    <w:rsid w:val="78A94D35"/>
    <w:rsid w:val="78BC28F0"/>
    <w:rsid w:val="78BC57D2"/>
    <w:rsid w:val="78BC62EB"/>
    <w:rsid w:val="78BD3476"/>
    <w:rsid w:val="78C9295A"/>
    <w:rsid w:val="78D97318"/>
    <w:rsid w:val="78EB1420"/>
    <w:rsid w:val="79035DF3"/>
    <w:rsid w:val="790A4DF2"/>
    <w:rsid w:val="79110E41"/>
    <w:rsid w:val="791C18A6"/>
    <w:rsid w:val="79692566"/>
    <w:rsid w:val="797F3A9D"/>
    <w:rsid w:val="798D0381"/>
    <w:rsid w:val="799611DD"/>
    <w:rsid w:val="79A40962"/>
    <w:rsid w:val="79A4237E"/>
    <w:rsid w:val="79AF4348"/>
    <w:rsid w:val="79C92D1A"/>
    <w:rsid w:val="79D32F3C"/>
    <w:rsid w:val="79E66A4C"/>
    <w:rsid w:val="79EB638D"/>
    <w:rsid w:val="79EC02A6"/>
    <w:rsid w:val="7A135EAF"/>
    <w:rsid w:val="7A1910C0"/>
    <w:rsid w:val="7A244B42"/>
    <w:rsid w:val="7A3870C2"/>
    <w:rsid w:val="7A5E10D0"/>
    <w:rsid w:val="7A79088D"/>
    <w:rsid w:val="7A80555B"/>
    <w:rsid w:val="7AB83DD2"/>
    <w:rsid w:val="7ABF619B"/>
    <w:rsid w:val="7AE07359"/>
    <w:rsid w:val="7B0E5B4A"/>
    <w:rsid w:val="7B2242B1"/>
    <w:rsid w:val="7B743178"/>
    <w:rsid w:val="7B8640B1"/>
    <w:rsid w:val="7B867629"/>
    <w:rsid w:val="7BC03FDA"/>
    <w:rsid w:val="7BEA052A"/>
    <w:rsid w:val="7BF611C4"/>
    <w:rsid w:val="7BF62B7B"/>
    <w:rsid w:val="7BFA5E78"/>
    <w:rsid w:val="7C065160"/>
    <w:rsid w:val="7C115017"/>
    <w:rsid w:val="7C2C219A"/>
    <w:rsid w:val="7C373561"/>
    <w:rsid w:val="7C7C45B7"/>
    <w:rsid w:val="7CC07D8F"/>
    <w:rsid w:val="7D3B6D0E"/>
    <w:rsid w:val="7DC27CEC"/>
    <w:rsid w:val="7DCB5842"/>
    <w:rsid w:val="7DDC35BC"/>
    <w:rsid w:val="7DDF5977"/>
    <w:rsid w:val="7E6F3A21"/>
    <w:rsid w:val="7E724C63"/>
    <w:rsid w:val="7E835136"/>
    <w:rsid w:val="7E9C1E04"/>
    <w:rsid w:val="7EA33BC0"/>
    <w:rsid w:val="7EB30C71"/>
    <w:rsid w:val="7EC75FAF"/>
    <w:rsid w:val="7EDC6FF7"/>
    <w:rsid w:val="7EE739CD"/>
    <w:rsid w:val="7EFA0704"/>
    <w:rsid w:val="7F1A23AD"/>
    <w:rsid w:val="7F8138AB"/>
    <w:rsid w:val="7FBD76BB"/>
    <w:rsid w:val="7FE00151"/>
    <w:rsid w:val="7FEF503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99" w:semiHidden="0" w:name="Balloon Text"/>
    <w:lsdException w:qFormat="1"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200" w:firstLineChars="200"/>
    </w:pPr>
    <w:rPr>
      <w:rFonts w:ascii="宋体" w:hAnsi="Calibri" w:eastAsia="宋体" w:cs="黑体"/>
      <w:sz w:val="24"/>
      <w:szCs w:val="22"/>
      <w:lang w:val="en-US" w:eastAsia="zh-CN" w:bidi="ar-SA"/>
    </w:rPr>
  </w:style>
  <w:style w:type="paragraph" w:styleId="4">
    <w:name w:val="heading 1"/>
    <w:basedOn w:val="1"/>
    <w:next w:val="1"/>
    <w:link w:val="20"/>
    <w:qFormat/>
    <w:uiPriority w:val="9"/>
    <w:pPr>
      <w:keepNext/>
      <w:keepLines/>
      <w:widowControl w:val="0"/>
      <w:spacing w:before="120" w:after="240" w:line="576" w:lineRule="auto"/>
      <w:ind w:firstLine="0" w:firstLineChars="0"/>
      <w:jc w:val="center"/>
      <w:outlineLvl w:val="0"/>
    </w:pPr>
    <w:rPr>
      <w:rFonts w:cs="Times New Roman"/>
      <w:b/>
      <w:bCs/>
      <w:kern w:val="44"/>
      <w:sz w:val="44"/>
      <w:szCs w:val="44"/>
    </w:rPr>
  </w:style>
  <w:style w:type="paragraph" w:styleId="2">
    <w:name w:val="heading 2"/>
    <w:basedOn w:val="1"/>
    <w:next w:val="3"/>
    <w:link w:val="21"/>
    <w:qFormat/>
    <w:uiPriority w:val="9"/>
    <w:pPr>
      <w:keepNext/>
      <w:keepLines/>
      <w:widowControl w:val="0"/>
      <w:spacing w:before="600" w:after="240"/>
      <w:ind w:left="100" w:leftChars="100" w:right="100" w:rightChars="100" w:firstLine="0" w:firstLineChars="0"/>
      <w:outlineLvl w:val="1"/>
    </w:pPr>
    <w:rPr>
      <w:rFonts w:ascii="Cambria" w:hAnsi="Cambria" w:cs="Times New Roman"/>
      <w:b/>
      <w:bCs/>
      <w:sz w:val="32"/>
      <w:szCs w:val="32"/>
    </w:rPr>
  </w:style>
  <w:style w:type="paragraph" w:styleId="5">
    <w:name w:val="heading 3"/>
    <w:basedOn w:val="1"/>
    <w:next w:val="1"/>
    <w:link w:val="22"/>
    <w:qFormat/>
    <w:uiPriority w:val="9"/>
    <w:pPr>
      <w:keepNext/>
      <w:keepLines/>
      <w:widowControl w:val="0"/>
      <w:spacing w:before="260" w:after="260" w:line="413" w:lineRule="auto"/>
      <w:jc w:val="both"/>
      <w:outlineLvl w:val="2"/>
    </w:pPr>
    <w:rPr>
      <w:rFonts w:cs="Times New Roman"/>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ind w:firstLine="420"/>
    </w:pPr>
    <w:rPr>
      <w:sz w:val="20"/>
    </w:rPr>
  </w:style>
  <w:style w:type="paragraph" w:styleId="6">
    <w:name w:val="annotation text"/>
    <w:basedOn w:val="1"/>
    <w:link w:val="23"/>
    <w:qFormat/>
    <w:uiPriority w:val="99"/>
    <w:rPr>
      <w:rFonts w:hAnsi="Times New Roman" w:cs="Times New Roman"/>
      <w:sz w:val="22"/>
    </w:rPr>
  </w:style>
  <w:style w:type="paragraph" w:styleId="7">
    <w:name w:val="Body Text"/>
    <w:basedOn w:val="1"/>
    <w:link w:val="25"/>
    <w:qFormat/>
    <w:uiPriority w:val="99"/>
    <w:pPr>
      <w:spacing w:after="120"/>
    </w:pPr>
    <w:rPr>
      <w:rFonts w:cs="Times New Roman"/>
      <w:szCs w:val="20"/>
    </w:rPr>
  </w:style>
  <w:style w:type="paragraph" w:styleId="8">
    <w:name w:val="Body Text Indent"/>
    <w:basedOn w:val="1"/>
    <w:link w:val="26"/>
    <w:qFormat/>
    <w:uiPriority w:val="99"/>
    <w:pPr>
      <w:spacing w:after="120"/>
      <w:ind w:left="420" w:leftChars="200"/>
    </w:pPr>
    <w:rPr>
      <w:rFonts w:cs="Times New Roman"/>
      <w:szCs w:val="20"/>
    </w:rPr>
  </w:style>
  <w:style w:type="paragraph" w:styleId="9">
    <w:name w:val="Balloon Text"/>
    <w:basedOn w:val="1"/>
    <w:link w:val="27"/>
    <w:qFormat/>
    <w:uiPriority w:val="99"/>
    <w:pPr>
      <w:spacing w:line="240" w:lineRule="auto"/>
    </w:pPr>
    <w:rPr>
      <w:rFonts w:hAnsi="Times New Roman" w:cs="Times New Roman"/>
      <w:sz w:val="18"/>
      <w:szCs w:val="18"/>
    </w:rPr>
  </w:style>
  <w:style w:type="paragraph" w:styleId="10">
    <w:name w:val="footer"/>
    <w:basedOn w:val="1"/>
    <w:link w:val="28"/>
    <w:qFormat/>
    <w:uiPriority w:val="99"/>
    <w:pPr>
      <w:widowControl w:val="0"/>
      <w:tabs>
        <w:tab w:val="center" w:pos="4153"/>
        <w:tab w:val="right" w:pos="8306"/>
      </w:tabs>
      <w:autoSpaceDE w:val="0"/>
      <w:autoSpaceDN w:val="0"/>
      <w:adjustRightInd w:val="0"/>
      <w:snapToGrid w:val="0"/>
    </w:pPr>
    <w:rPr>
      <w:rFonts w:cs="Times New Roman"/>
      <w:sz w:val="18"/>
      <w:szCs w:val="18"/>
    </w:rPr>
  </w:style>
  <w:style w:type="paragraph" w:styleId="11">
    <w:name w:val="header"/>
    <w:basedOn w:val="1"/>
    <w:link w:val="29"/>
    <w:qFormat/>
    <w:uiPriority w:val="99"/>
    <w:pPr>
      <w:widowControl w:val="0"/>
      <w:pBdr>
        <w:bottom w:val="single" w:color="auto" w:sz="6" w:space="1"/>
      </w:pBdr>
      <w:tabs>
        <w:tab w:val="center" w:pos="4153"/>
        <w:tab w:val="right" w:pos="8306"/>
      </w:tabs>
      <w:autoSpaceDE w:val="0"/>
      <w:autoSpaceDN w:val="0"/>
      <w:adjustRightInd w:val="0"/>
      <w:snapToGrid w:val="0"/>
      <w:jc w:val="center"/>
    </w:pPr>
    <w:rPr>
      <w:rFonts w:cs="Times New Roman"/>
      <w:sz w:val="18"/>
      <w:szCs w:val="18"/>
    </w:rPr>
  </w:style>
  <w:style w:type="paragraph" w:styleId="12">
    <w:name w:val="Body Text Indent 3"/>
    <w:basedOn w:val="1"/>
    <w:qFormat/>
    <w:uiPriority w:val="0"/>
    <w:pPr>
      <w:widowControl w:val="0"/>
      <w:spacing w:line="300" w:lineRule="auto"/>
      <w:ind w:firstLine="480"/>
    </w:pPr>
    <w:rPr>
      <w:rFonts w:ascii="Calibri" w:cs="Times New Roman"/>
      <w:kern w:val="2"/>
    </w:rPr>
  </w:style>
  <w:style w:type="paragraph" w:styleId="13">
    <w:name w:val="Normal (Web)"/>
    <w:basedOn w:val="1"/>
    <w:qFormat/>
    <w:uiPriority w:val="0"/>
    <w:pPr>
      <w:spacing w:beforeAutospacing="1" w:afterAutospacing="1"/>
    </w:pPr>
    <w:rPr>
      <w:rFonts w:cs="Times New Roman"/>
    </w:rPr>
  </w:style>
  <w:style w:type="paragraph" w:styleId="14">
    <w:name w:val="annotation subject"/>
    <w:basedOn w:val="6"/>
    <w:next w:val="6"/>
    <w:link w:val="24"/>
    <w:qFormat/>
    <w:uiPriority w:val="99"/>
    <w:rPr>
      <w:b/>
      <w:bCs/>
    </w:rPr>
  </w:style>
  <w:style w:type="table" w:styleId="16">
    <w:name w:val="Table Grid"/>
    <w:basedOn w:val="15"/>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qFormat/>
    <w:uiPriority w:val="99"/>
    <w:rPr>
      <w:rFonts w:cs="Times New Roman"/>
      <w:color w:val="0000FF"/>
      <w:u w:val="single"/>
    </w:rPr>
  </w:style>
  <w:style w:type="character" w:styleId="19">
    <w:name w:val="annotation reference"/>
    <w:qFormat/>
    <w:uiPriority w:val="99"/>
    <w:rPr>
      <w:rFonts w:cs="Times New Roman"/>
      <w:sz w:val="21"/>
      <w:szCs w:val="21"/>
    </w:rPr>
  </w:style>
  <w:style w:type="character" w:customStyle="1" w:styleId="20">
    <w:name w:val="标题 1 Char"/>
    <w:link w:val="4"/>
    <w:qFormat/>
    <w:uiPriority w:val="9"/>
    <w:rPr>
      <w:rFonts w:ascii="宋体" w:hAnsi="Calibri" w:cs="黑体"/>
      <w:b/>
      <w:bCs/>
      <w:kern w:val="44"/>
      <w:sz w:val="44"/>
      <w:szCs w:val="44"/>
    </w:rPr>
  </w:style>
  <w:style w:type="character" w:customStyle="1" w:styleId="21">
    <w:name w:val="标题 2 Char"/>
    <w:link w:val="2"/>
    <w:semiHidden/>
    <w:qFormat/>
    <w:uiPriority w:val="9"/>
    <w:rPr>
      <w:rFonts w:ascii="Cambria" w:hAnsi="Cambria" w:eastAsia="宋体" w:cs="Times New Roman"/>
      <w:b/>
      <w:bCs/>
      <w:kern w:val="0"/>
      <w:sz w:val="32"/>
      <w:szCs w:val="32"/>
    </w:rPr>
  </w:style>
  <w:style w:type="character" w:customStyle="1" w:styleId="22">
    <w:name w:val="标题 3 Char"/>
    <w:link w:val="5"/>
    <w:semiHidden/>
    <w:qFormat/>
    <w:uiPriority w:val="9"/>
    <w:rPr>
      <w:rFonts w:ascii="宋体" w:hAnsi="Calibri" w:cs="黑体"/>
      <w:b/>
      <w:bCs/>
      <w:kern w:val="0"/>
      <w:sz w:val="32"/>
      <w:szCs w:val="32"/>
    </w:rPr>
  </w:style>
  <w:style w:type="character" w:customStyle="1" w:styleId="23">
    <w:name w:val="批注文字 Char"/>
    <w:link w:val="6"/>
    <w:qFormat/>
    <w:locked/>
    <w:uiPriority w:val="99"/>
    <w:rPr>
      <w:rFonts w:ascii="宋体" w:cs="Times New Roman"/>
      <w:sz w:val="22"/>
      <w:szCs w:val="22"/>
    </w:rPr>
  </w:style>
  <w:style w:type="character" w:customStyle="1" w:styleId="24">
    <w:name w:val="批注主题 Char"/>
    <w:link w:val="14"/>
    <w:qFormat/>
    <w:locked/>
    <w:uiPriority w:val="99"/>
    <w:rPr>
      <w:rFonts w:ascii="宋体" w:cs="Times New Roman"/>
      <w:b/>
      <w:bCs/>
      <w:sz w:val="22"/>
      <w:szCs w:val="22"/>
    </w:rPr>
  </w:style>
  <w:style w:type="character" w:customStyle="1" w:styleId="25">
    <w:name w:val="正文文本 Char"/>
    <w:link w:val="7"/>
    <w:semiHidden/>
    <w:qFormat/>
    <w:uiPriority w:val="99"/>
    <w:rPr>
      <w:rFonts w:ascii="宋体" w:hAnsi="Calibri" w:cs="黑体"/>
      <w:kern w:val="0"/>
      <w:sz w:val="24"/>
    </w:rPr>
  </w:style>
  <w:style w:type="character" w:customStyle="1" w:styleId="26">
    <w:name w:val="正文文本缩进 Char"/>
    <w:link w:val="8"/>
    <w:semiHidden/>
    <w:qFormat/>
    <w:uiPriority w:val="99"/>
    <w:rPr>
      <w:rFonts w:ascii="宋体" w:hAnsi="Calibri" w:cs="黑体"/>
      <w:kern w:val="0"/>
      <w:sz w:val="24"/>
    </w:rPr>
  </w:style>
  <w:style w:type="character" w:customStyle="1" w:styleId="27">
    <w:name w:val="批注框文本 Char"/>
    <w:link w:val="9"/>
    <w:qFormat/>
    <w:locked/>
    <w:uiPriority w:val="99"/>
    <w:rPr>
      <w:rFonts w:ascii="宋体" w:cs="Times New Roman"/>
      <w:sz w:val="18"/>
      <w:szCs w:val="18"/>
    </w:rPr>
  </w:style>
  <w:style w:type="character" w:customStyle="1" w:styleId="28">
    <w:name w:val="页脚 Char"/>
    <w:link w:val="10"/>
    <w:semiHidden/>
    <w:qFormat/>
    <w:uiPriority w:val="99"/>
    <w:rPr>
      <w:rFonts w:ascii="宋体" w:hAnsi="Calibri" w:cs="黑体"/>
      <w:kern w:val="0"/>
      <w:sz w:val="18"/>
      <w:szCs w:val="18"/>
    </w:rPr>
  </w:style>
  <w:style w:type="character" w:customStyle="1" w:styleId="29">
    <w:name w:val="页眉 Char"/>
    <w:link w:val="11"/>
    <w:semiHidden/>
    <w:qFormat/>
    <w:uiPriority w:val="99"/>
    <w:rPr>
      <w:rFonts w:ascii="宋体" w:hAnsi="Calibri" w:cs="黑体"/>
      <w:kern w:val="0"/>
      <w:sz w:val="18"/>
      <w:szCs w:val="18"/>
    </w:rPr>
  </w:style>
  <w:style w:type="paragraph" w:customStyle="1" w:styleId="30">
    <w:name w:val="普通正文"/>
    <w:basedOn w:val="1"/>
    <w:qFormat/>
    <w:uiPriority w:val="99"/>
    <w:pPr>
      <w:widowControl w:val="0"/>
      <w:snapToGrid w:val="0"/>
      <w:spacing w:before="120" w:after="120" w:line="360" w:lineRule="atLeast"/>
      <w:ind w:firstLine="425"/>
      <w:jc w:val="both"/>
    </w:pPr>
    <w:rPr>
      <w:kern w:val="21"/>
    </w:rPr>
  </w:style>
  <w:style w:type="paragraph" w:customStyle="1" w:styleId="31">
    <w:name w:val="p0"/>
    <w:basedOn w:val="1"/>
    <w:qFormat/>
    <w:uiPriority w:val="99"/>
    <w:pPr>
      <w:jc w:val="both"/>
    </w:pPr>
    <w:rPr>
      <w:szCs w:val="21"/>
    </w:rPr>
  </w:style>
  <w:style w:type="paragraph" w:customStyle="1" w:styleId="32">
    <w:name w:val="正文首行缩进两字符"/>
    <w:basedOn w:val="1"/>
    <w:qFormat/>
    <w:uiPriority w:val="99"/>
    <w:pPr>
      <w:widowControl w:val="0"/>
      <w:jc w:val="both"/>
    </w:pPr>
    <w:rPr>
      <w:rFonts w:ascii="Times New Roman"/>
    </w:rPr>
  </w:style>
  <w:style w:type="paragraph" w:customStyle="1" w:styleId="33">
    <w:name w:val="Default"/>
    <w:qFormat/>
    <w:uiPriority w:val="99"/>
    <w:pPr>
      <w:widowControl w:val="0"/>
      <w:autoSpaceDE w:val="0"/>
      <w:autoSpaceDN w:val="0"/>
      <w:adjustRightInd w:val="0"/>
    </w:pPr>
    <w:rPr>
      <w:rFonts w:ascii="宋体" w:hAnsi="Times New Roman" w:eastAsia="宋体" w:cs="Times New Roman"/>
      <w:sz w:val="21"/>
      <w:szCs w:val="22"/>
      <w:lang w:val="en-US" w:eastAsia="zh-CN" w:bidi="ar-SA"/>
    </w:rPr>
  </w:style>
  <w:style w:type="paragraph" w:customStyle="1" w:styleId="34">
    <w:name w:val="条款正文"/>
    <w:basedOn w:val="1"/>
    <w:qFormat/>
    <w:uiPriority w:val="99"/>
    <w:pPr>
      <w:adjustRightInd w:val="0"/>
      <w:snapToGrid w:val="0"/>
      <w:ind w:left="840" w:leftChars="400" w:firstLine="420"/>
    </w:pPr>
    <w:rPr>
      <w:rFonts w:ascii="Times New Roman" w:hAnsi="Times New Roman"/>
      <w:szCs w:val="20"/>
    </w:rPr>
  </w:style>
  <w:style w:type="paragraph" w:customStyle="1" w:styleId="35">
    <w:name w:val="列出段落1"/>
    <w:basedOn w:val="1"/>
    <w:qFormat/>
    <w:uiPriority w:val="99"/>
    <w:pPr>
      <w:ind w:firstLine="420"/>
    </w:pPr>
  </w:style>
  <w:style w:type="character" w:customStyle="1" w:styleId="36">
    <w:name w:val="bord3"/>
    <w:basedOn w:val="17"/>
    <w:qFormat/>
    <w:uiPriority w:val="99"/>
  </w:style>
  <w:style w:type="paragraph" w:customStyle="1" w:styleId="37">
    <w:name w:val="列出段落3"/>
    <w:basedOn w:val="1"/>
    <w:qFormat/>
    <w:uiPriority w:val="34"/>
    <w:pPr>
      <w:widowControl w:val="0"/>
      <w:ind w:firstLine="420"/>
      <w:jc w:val="both"/>
    </w:pPr>
    <w:rPr>
      <w:rFonts w:ascii="Tahoma" w:hAnsi="Tahoma"/>
      <w:kern w:val="2"/>
    </w:rPr>
  </w:style>
  <w:style w:type="paragraph" w:customStyle="1" w:styleId="38">
    <w:name w:val="纯文本1"/>
    <w:basedOn w:val="1"/>
    <w:qFormat/>
    <w:uiPriority w:val="0"/>
    <w:pPr>
      <w:widowControl w:val="0"/>
      <w:adjustRightInd w:val="0"/>
      <w:jc w:val="both"/>
      <w:textAlignment w:val="baseline"/>
    </w:pPr>
    <w:rPr>
      <w:rFonts w:hAnsi="Courier New" w:eastAsia="楷体_GB2312" w:cs="Times New Roman"/>
      <w:kern w:val="2"/>
      <w:sz w:val="26"/>
    </w:rPr>
  </w:style>
  <w:style w:type="character" w:customStyle="1" w:styleId="39">
    <w:name w:val="font01"/>
    <w:qFormat/>
    <w:uiPriority w:val="0"/>
    <w:rPr>
      <w:rFonts w:hint="eastAsia" w:ascii="宋体" w:hAnsi="宋体" w:eastAsia="宋体" w:cs="宋体"/>
      <w:color w:val="000000"/>
      <w:sz w:val="21"/>
      <w:szCs w:val="21"/>
      <w:u w:val="none"/>
    </w:rPr>
  </w:style>
  <w:style w:type="paragraph" w:customStyle="1" w:styleId="40">
    <w:name w:val="表格"/>
    <w:basedOn w:val="1"/>
    <w:qFormat/>
    <w:uiPriority w:val="0"/>
    <w:pPr>
      <w:spacing w:line="400" w:lineRule="exact"/>
    </w:pPr>
  </w:style>
  <w:style w:type="character" w:customStyle="1" w:styleId="41">
    <w:name w:val="font1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6916D5-93EF-4244-B8E5-603EA999467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49</Pages>
  <Words>5803</Words>
  <Characters>33079</Characters>
  <Lines>275</Lines>
  <Paragraphs>77</Paragraphs>
  <TotalTime>87</TotalTime>
  <ScaleCrop>false</ScaleCrop>
  <LinksUpToDate>false</LinksUpToDate>
  <CharactersWithSpaces>38805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cp:lastModifiedBy>
  <cp:lastPrinted>2018-05-14T02:40:00Z</cp:lastPrinted>
  <dcterms:modified xsi:type="dcterms:W3CDTF">2020-07-28T03:05:11Z</dcterms:modified>
  <dc:title> </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