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/>
        <w:spacing w:before="120" w:after="120" w:line="720" w:lineRule="auto"/>
        <w:rPr>
          <w:sz w:val="40"/>
          <w:szCs w:val="32"/>
        </w:rPr>
      </w:pPr>
      <w:bookmarkStart w:id="0" w:name="_Toc7103104"/>
      <w:r>
        <w:rPr>
          <w:rFonts w:hint="eastAsia"/>
          <w:sz w:val="40"/>
          <w:szCs w:val="32"/>
        </w:rPr>
        <w:t>采购需求</w:t>
      </w:r>
      <w:bookmarkEnd w:id="0"/>
    </w:p>
    <w:p>
      <w:pPr>
        <w:spacing w:line="360" w:lineRule="auto"/>
        <w:ind w:left="482" w:hanging="482" w:hanging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</w:rPr>
        <w:t>一、</w:t>
      </w:r>
      <w:r>
        <w:rPr>
          <w:rFonts w:hint="eastAsia" w:ascii="宋体" w:hAnsi="宋体"/>
          <w:b/>
          <w:sz w:val="28"/>
          <w:szCs w:val="28"/>
        </w:rPr>
        <w:t>项目名称和项目编号</w:t>
      </w:r>
    </w:p>
    <w:p>
      <w:pPr>
        <w:pStyle w:val="15"/>
        <w:numPr>
          <w:ilvl w:val="1"/>
          <w:numId w:val="1"/>
        </w:numPr>
        <w:spacing w:line="360" w:lineRule="auto"/>
        <w:ind w:left="504" w:firstLineChars="0"/>
        <w:rPr>
          <w:rFonts w:ascii="宋体" w:hAnsi="宋体"/>
          <w:szCs w:val="24"/>
        </w:rPr>
      </w:pPr>
      <w:r>
        <w:rPr>
          <w:rFonts w:hint="eastAsia" w:ascii="宋体" w:hAnsi="宋体"/>
        </w:rPr>
        <w:t>项目单位:</w:t>
      </w:r>
      <w:r>
        <w:rPr>
          <w:rFonts w:hint="eastAsia" w:ascii="宋体" w:hAnsi="宋体"/>
          <w:szCs w:val="24"/>
        </w:rPr>
        <w:t xml:space="preserve"> 澄迈县农业技术推广中心</w:t>
      </w:r>
    </w:p>
    <w:p>
      <w:pPr>
        <w:pStyle w:val="15"/>
        <w:numPr>
          <w:ilvl w:val="1"/>
          <w:numId w:val="1"/>
        </w:numPr>
        <w:spacing w:line="360" w:lineRule="auto"/>
        <w:ind w:left="504" w:firstLineChars="0"/>
        <w:rPr>
          <w:rFonts w:ascii="宋体" w:hAnsi="宋体"/>
          <w:color w:val="FF0000"/>
        </w:rPr>
      </w:pPr>
      <w:r>
        <w:rPr>
          <w:rFonts w:hint="eastAsia" w:ascii="宋体" w:hAnsi="宋体"/>
        </w:rPr>
        <w:t>项目名称：2020年农业生产和水利救灾项目（水稻统防统治）</w:t>
      </w:r>
    </w:p>
    <w:p>
      <w:pPr>
        <w:pStyle w:val="15"/>
        <w:numPr>
          <w:ilvl w:val="1"/>
          <w:numId w:val="1"/>
        </w:numPr>
        <w:spacing w:line="360" w:lineRule="auto"/>
        <w:ind w:left="504" w:firstLineChars="0"/>
        <w:rPr>
          <w:rFonts w:ascii="宋体" w:hAnsi="宋体"/>
          <w:color w:val="FF0000"/>
        </w:rPr>
      </w:pPr>
      <w:r>
        <w:rPr>
          <w:rFonts w:hint="eastAsia" w:ascii="宋体" w:hAnsi="宋体"/>
        </w:rPr>
        <w:t>项目编号：HNZD-2020-064</w:t>
      </w:r>
    </w:p>
    <w:p>
      <w:pPr>
        <w:spacing w:beforeLines="100" w:line="360" w:lineRule="auto"/>
        <w:ind w:left="562" w:hanging="562" w:hanging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二、项目概况</w:t>
      </w:r>
    </w:p>
    <w:p>
      <w:pPr>
        <w:spacing w:line="440" w:lineRule="exact"/>
        <w:ind w:firstLine="55" w:firstLineChars="23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1、项目实施地点：海南省澄迈县</w:t>
      </w:r>
      <w:r>
        <w:rPr>
          <w:rFonts w:hint="eastAsia" w:ascii="宋体" w:hAnsi="宋体"/>
          <w:szCs w:val="24"/>
        </w:rPr>
        <w:t>辖区</w:t>
      </w:r>
      <w:r>
        <w:rPr>
          <w:rFonts w:hint="eastAsia" w:ascii="宋体" w:hAnsi="宋体"/>
          <w:szCs w:val="21"/>
        </w:rPr>
        <w:t>。</w:t>
      </w:r>
    </w:p>
    <w:p>
      <w:pPr>
        <w:spacing w:line="520" w:lineRule="exact"/>
        <w:ind w:firstLine="55" w:firstLineChars="23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2、采购用途和内容</w:t>
      </w:r>
    </w:p>
    <w:p>
      <w:pPr>
        <w:spacing w:line="520" w:lineRule="exact"/>
        <w:ind w:firstLine="55" w:firstLineChars="23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2.1采购用途：澄迈县</w:t>
      </w:r>
      <w:r>
        <w:rPr>
          <w:rFonts w:hint="eastAsia" w:ascii="宋体" w:hAnsi="宋体"/>
          <w:szCs w:val="24"/>
        </w:rPr>
        <w:t>农业技术推广中心</w:t>
      </w:r>
      <w:r>
        <w:rPr>
          <w:rFonts w:hint="eastAsia" w:ascii="宋体" w:hAnsi="宋体"/>
        </w:rPr>
        <w:t>工作需要</w:t>
      </w:r>
      <w:r>
        <w:rPr>
          <w:rFonts w:hint="eastAsia" w:ascii="宋体" w:hAnsi="宋体"/>
          <w:szCs w:val="21"/>
        </w:rPr>
        <w:t>；</w:t>
      </w:r>
    </w:p>
    <w:p>
      <w:pPr>
        <w:spacing w:line="520" w:lineRule="exact"/>
        <w:ind w:firstLine="55" w:firstLineChars="23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2.2采购内容：2020年澄迈县农业生产及水利救灾（水稻统防统治）服务。</w:t>
      </w:r>
    </w:p>
    <w:p>
      <w:pPr>
        <w:spacing w:line="520" w:lineRule="exact"/>
        <w:ind w:firstLine="240" w:firstLine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3、项目完成时间：从签订合同之日起至2020年12月31日。</w:t>
      </w:r>
    </w:p>
    <w:p>
      <w:pPr>
        <w:spacing w:line="520" w:lineRule="exact"/>
        <w:ind w:firstLine="240" w:firstLine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4、预算金额：人民币</w:t>
      </w:r>
      <w:r>
        <w:rPr>
          <w:rFonts w:hint="eastAsia" w:ascii="宋体" w:hAnsi="宋体"/>
          <w:color w:val="000000" w:themeColor="text1"/>
          <w:szCs w:val="21"/>
        </w:rPr>
        <w:t>500000.00元</w:t>
      </w:r>
      <w:r>
        <w:rPr>
          <w:rFonts w:hint="eastAsia" w:ascii="宋体" w:hAnsi="宋体"/>
          <w:szCs w:val="21"/>
        </w:rPr>
        <w:t>。</w:t>
      </w:r>
    </w:p>
    <w:p>
      <w:pPr>
        <w:spacing w:line="520" w:lineRule="exact"/>
        <w:ind w:firstLine="240" w:firstLine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5、资金来源：政府投资。</w:t>
      </w:r>
    </w:p>
    <w:p>
      <w:pPr>
        <w:spacing w:line="520" w:lineRule="exact"/>
        <w:ind w:firstLine="240" w:firstLine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6、付款方式：</w:t>
      </w:r>
    </w:p>
    <w:p>
      <w:pPr>
        <w:spacing w:line="520" w:lineRule="exact"/>
        <w:ind w:firstLine="600" w:firstLineChars="250"/>
        <w:rPr>
          <w:rFonts w:ascii="宋体" w:hAnsi="宋体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项目完成后，经采购人验收合格后一次性拨付款</w:t>
      </w:r>
      <w:r>
        <w:rPr>
          <w:rFonts w:hint="eastAsia" w:ascii="宋体" w:hAnsi="宋体"/>
          <w:szCs w:val="21"/>
        </w:rPr>
        <w:t>。</w:t>
      </w:r>
    </w:p>
    <w:p>
      <w:pPr>
        <w:spacing w:line="52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7、质量要求：符合国家现行有关规范标准合格。</w:t>
      </w:r>
    </w:p>
    <w:p>
      <w:pPr>
        <w:spacing w:line="520" w:lineRule="exact"/>
        <w:ind w:firstLine="240" w:firstLineChars="100"/>
        <w:rPr>
          <w:rFonts w:ascii="宋体" w:hAnsi="宋体"/>
        </w:rPr>
      </w:pPr>
      <w:r>
        <w:rPr>
          <w:rFonts w:hint="eastAsia" w:ascii="宋体" w:hAnsi="宋体"/>
          <w:szCs w:val="21"/>
        </w:rPr>
        <w:t>8、服务质量：优。</w:t>
      </w:r>
    </w:p>
    <w:p>
      <w:pPr>
        <w:spacing w:line="360" w:lineRule="auto"/>
        <w:ind w:firstLine="240" w:firstLineChars="100"/>
        <w:rPr>
          <w:rFonts w:hint="eastAsia" w:ascii="宋体" w:hAnsi="宋体"/>
          <w:szCs w:val="24"/>
        </w:rPr>
      </w:pPr>
      <w:r>
        <w:rPr>
          <w:rFonts w:hint="eastAsia" w:ascii="宋体" w:hAnsi="宋体"/>
          <w:szCs w:val="24"/>
        </w:rPr>
        <w:t>9、验收要求：按招标文件要求和国家行业标准进行验收。</w:t>
      </w:r>
    </w:p>
    <w:p>
      <w:pPr>
        <w:spacing w:line="360" w:lineRule="auto"/>
        <w:ind w:firstLine="240" w:firstLineChars="100"/>
        <w:rPr>
          <w:rFonts w:ascii="宋体" w:hAnsi="宋体"/>
          <w:szCs w:val="24"/>
        </w:rPr>
      </w:pPr>
    </w:p>
    <w:p>
      <w:pPr>
        <w:numPr>
          <w:ilvl w:val="0"/>
          <w:numId w:val="2"/>
        </w:numPr>
        <w:spacing w:beforeLines="50"/>
        <w:rPr>
          <w:rFonts w:hint="eastAsia" w:ascii="宋体" w:hAnsi="宋体"/>
          <w:b/>
          <w:bCs/>
          <w:sz w:val="28"/>
          <w:szCs w:val="28"/>
        </w:rPr>
      </w:pPr>
      <w:bookmarkStart w:id="1" w:name="_Toc16670"/>
      <w:bookmarkStart w:id="2" w:name="_Toc32317"/>
      <w:bookmarkStart w:id="3" w:name="_Toc365559596"/>
      <w:bookmarkStart w:id="4" w:name="_Toc28827"/>
      <w:bookmarkStart w:id="5" w:name="_Toc25660"/>
      <w:bookmarkStart w:id="6" w:name="_Toc390176023"/>
      <w:bookmarkStart w:id="7" w:name="_Toc2831"/>
      <w:bookmarkStart w:id="8" w:name="_Toc9199"/>
      <w:bookmarkStart w:id="9" w:name="_Toc371949173"/>
      <w:bookmarkStart w:id="10" w:name="_Toc16168"/>
      <w:r>
        <w:rPr>
          <w:rFonts w:hint="eastAsia" w:ascii="宋体" w:hAnsi="宋体"/>
          <w:b/>
          <w:bCs/>
          <w:sz w:val="28"/>
          <w:szCs w:val="28"/>
        </w:rPr>
        <w:t>采购需求：</w:t>
      </w:r>
    </w:p>
    <w:p>
      <w:pPr>
        <w:widowControl w:val="0"/>
        <w:numPr>
          <w:numId w:val="0"/>
        </w:numPr>
        <w:spacing w:beforeLines="50" w:line="500" w:lineRule="exact"/>
        <w:rPr>
          <w:rFonts w:hint="eastAsia" w:ascii="宋体" w:hAnsi="宋体"/>
          <w:b/>
          <w:bCs/>
          <w:sz w:val="28"/>
          <w:szCs w:val="28"/>
        </w:rPr>
      </w:pPr>
    </w:p>
    <w:p>
      <w:pPr>
        <w:widowControl w:val="0"/>
        <w:numPr>
          <w:numId w:val="0"/>
        </w:numPr>
        <w:spacing w:beforeLines="50" w:line="500" w:lineRule="exact"/>
        <w:rPr>
          <w:rFonts w:hint="eastAsia" w:ascii="宋体" w:hAnsi="宋体"/>
          <w:b/>
          <w:bCs/>
          <w:sz w:val="28"/>
          <w:szCs w:val="28"/>
        </w:rPr>
      </w:pPr>
      <w:bookmarkStart w:id="11" w:name="_GoBack"/>
      <w:bookmarkEnd w:id="11"/>
    </w:p>
    <w:p>
      <w:pPr>
        <w:tabs>
          <w:tab w:val="left" w:pos="1980"/>
        </w:tabs>
        <w:snapToGrid w:val="0"/>
        <w:spacing w:line="480" w:lineRule="exac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（一）采购服务清单</w:t>
      </w:r>
    </w:p>
    <w:tbl>
      <w:tblPr>
        <w:tblStyle w:val="7"/>
        <w:tblW w:w="9807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2002"/>
        <w:gridCol w:w="1418"/>
        <w:gridCol w:w="1173"/>
        <w:gridCol w:w="819"/>
        <w:gridCol w:w="1507"/>
        <w:gridCol w:w="1335"/>
        <w:gridCol w:w="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6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"/>
                <w:b/>
                <w:kern w:val="0"/>
                <w:sz w:val="21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 w:val="21"/>
                <w:szCs w:val="21"/>
              </w:rPr>
              <w:t>序号</w:t>
            </w:r>
          </w:p>
        </w:tc>
        <w:tc>
          <w:tcPr>
            <w:tcW w:w="200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 w:val="21"/>
                <w:szCs w:val="21"/>
              </w:rPr>
              <w:t>采购品目名称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 w:val="21"/>
                <w:szCs w:val="21"/>
              </w:rPr>
              <w:t>指标规格</w:t>
            </w:r>
          </w:p>
        </w:tc>
        <w:tc>
          <w:tcPr>
            <w:tcW w:w="117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 w:val="21"/>
                <w:szCs w:val="21"/>
              </w:rPr>
              <w:t>数量</w:t>
            </w:r>
          </w:p>
        </w:tc>
        <w:tc>
          <w:tcPr>
            <w:tcW w:w="81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 w:val="21"/>
                <w:szCs w:val="21"/>
              </w:rPr>
              <w:t>单位</w:t>
            </w:r>
          </w:p>
        </w:tc>
        <w:tc>
          <w:tcPr>
            <w:tcW w:w="150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 w:val="21"/>
                <w:szCs w:val="21"/>
              </w:rPr>
              <w:t>单包采购预算金额</w:t>
            </w:r>
          </w:p>
          <w:p>
            <w:pPr>
              <w:spacing w:line="360" w:lineRule="exact"/>
              <w:jc w:val="left"/>
              <w:rPr>
                <w:rFonts w:ascii="宋体" w:hAnsi="宋体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 w:val="21"/>
                <w:szCs w:val="21"/>
              </w:rPr>
              <w:t>（人民币元）</w:t>
            </w:r>
          </w:p>
        </w:tc>
        <w:tc>
          <w:tcPr>
            <w:tcW w:w="133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 w:val="21"/>
                <w:szCs w:val="21"/>
              </w:rPr>
              <w:t>本项目采购</w:t>
            </w:r>
          </w:p>
          <w:p>
            <w:pPr>
              <w:spacing w:line="360" w:lineRule="exact"/>
              <w:jc w:val="center"/>
              <w:rPr>
                <w:rFonts w:ascii="宋体" w:hAnsi="宋体" w:cs="仿宋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 w:val="21"/>
                <w:szCs w:val="21"/>
              </w:rPr>
              <w:t>预算金额</w:t>
            </w:r>
          </w:p>
          <w:p>
            <w:pPr>
              <w:spacing w:line="360" w:lineRule="exact"/>
              <w:jc w:val="center"/>
              <w:rPr>
                <w:rFonts w:ascii="宋体" w:hAnsi="宋体" w:cs="仿宋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 w:val="21"/>
                <w:szCs w:val="21"/>
              </w:rPr>
              <w:t>（人民币元）</w:t>
            </w:r>
          </w:p>
        </w:tc>
        <w:tc>
          <w:tcPr>
            <w:tcW w:w="86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2" w:hRule="atLeast"/>
        </w:trPr>
        <w:tc>
          <w:tcPr>
            <w:tcW w:w="692" w:type="dxa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01</w:t>
            </w:r>
          </w:p>
        </w:tc>
        <w:tc>
          <w:tcPr>
            <w:tcW w:w="2002" w:type="dxa"/>
            <w:vAlign w:val="center"/>
          </w:tcPr>
          <w:p>
            <w:pPr>
              <w:pStyle w:val="3"/>
              <w:spacing w:line="240" w:lineRule="auto"/>
              <w:jc w:val="center"/>
              <w:outlineLvl w:val="1"/>
              <w:rPr>
                <w:rFonts w:hint="eastAsia" w:ascii="宋体" w:hAnsi="宋体" w:eastAsia="宋体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b w:val="0"/>
                <w:bCs w:val="0"/>
                <w:kern w:val="0"/>
                <w:sz w:val="21"/>
                <w:szCs w:val="21"/>
              </w:rPr>
              <w:t>植保无人机</w:t>
            </w:r>
          </w:p>
          <w:p>
            <w:pPr>
              <w:pStyle w:val="3"/>
              <w:spacing w:line="240" w:lineRule="auto"/>
              <w:jc w:val="center"/>
              <w:outlineLvl w:val="1"/>
              <w:rPr>
                <w:rFonts w:ascii="宋体" w:hAnsi="宋体" w:eastAsia="宋体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b w:val="0"/>
                <w:bCs w:val="0"/>
                <w:kern w:val="0"/>
                <w:sz w:val="21"/>
                <w:szCs w:val="21"/>
              </w:rPr>
              <w:t>水稻统防统治</w:t>
            </w:r>
          </w:p>
        </w:tc>
        <w:tc>
          <w:tcPr>
            <w:tcW w:w="1418" w:type="dxa"/>
            <w:vAlign w:val="center"/>
          </w:tcPr>
          <w:p>
            <w:pPr>
              <w:pStyle w:val="3"/>
              <w:spacing w:line="240" w:lineRule="auto"/>
              <w:jc w:val="center"/>
              <w:outlineLvl w:val="1"/>
              <w:rPr>
                <w:rFonts w:ascii="宋体" w:hAnsi="宋体" w:eastAsia="宋体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sz w:val="21"/>
                <w:szCs w:val="21"/>
              </w:rPr>
              <w:t>飞防服务</w:t>
            </w:r>
          </w:p>
        </w:tc>
        <w:tc>
          <w:tcPr>
            <w:tcW w:w="1173" w:type="dxa"/>
            <w:vAlign w:val="center"/>
          </w:tcPr>
          <w:p>
            <w:pPr>
              <w:pStyle w:val="3"/>
              <w:spacing w:line="240" w:lineRule="auto"/>
              <w:jc w:val="center"/>
              <w:outlineLvl w:val="1"/>
              <w:rPr>
                <w:rFonts w:ascii="宋体" w:hAnsi="宋体" w:eastAsia="宋体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b w:val="0"/>
                <w:bCs w:val="0"/>
                <w:kern w:val="0"/>
                <w:sz w:val="21"/>
                <w:szCs w:val="21"/>
              </w:rPr>
              <w:t>≥25000</w:t>
            </w:r>
          </w:p>
        </w:tc>
        <w:tc>
          <w:tcPr>
            <w:tcW w:w="819" w:type="dxa"/>
            <w:vAlign w:val="center"/>
          </w:tcPr>
          <w:p>
            <w:pPr>
              <w:pStyle w:val="3"/>
              <w:spacing w:line="240" w:lineRule="auto"/>
              <w:jc w:val="center"/>
              <w:outlineLvl w:val="1"/>
              <w:rPr>
                <w:rFonts w:ascii="宋体" w:hAnsi="宋体" w:eastAsia="宋体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b w:val="0"/>
                <w:bCs w:val="0"/>
                <w:kern w:val="0"/>
                <w:sz w:val="21"/>
                <w:szCs w:val="21"/>
              </w:rPr>
              <w:t>亩次</w:t>
            </w:r>
          </w:p>
        </w:tc>
        <w:tc>
          <w:tcPr>
            <w:tcW w:w="1507" w:type="dxa"/>
            <w:vAlign w:val="center"/>
          </w:tcPr>
          <w:p>
            <w:pPr>
              <w:pStyle w:val="3"/>
              <w:spacing w:line="240" w:lineRule="auto"/>
              <w:jc w:val="center"/>
              <w:outlineLvl w:val="1"/>
              <w:rPr>
                <w:rFonts w:ascii="宋体" w:hAnsi="宋体" w:eastAsia="宋体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b w:val="0"/>
                <w:bCs w:val="0"/>
                <w:kern w:val="0"/>
                <w:sz w:val="21"/>
                <w:szCs w:val="21"/>
              </w:rPr>
              <w:t>500000.00</w:t>
            </w:r>
          </w:p>
        </w:tc>
        <w:tc>
          <w:tcPr>
            <w:tcW w:w="1335" w:type="dxa"/>
            <w:vAlign w:val="center"/>
          </w:tcPr>
          <w:p>
            <w:pPr>
              <w:pStyle w:val="3"/>
              <w:spacing w:line="240" w:lineRule="auto"/>
              <w:jc w:val="center"/>
              <w:outlineLvl w:val="1"/>
              <w:rPr>
                <w:rFonts w:ascii="宋体" w:hAnsi="宋体" w:eastAsia="宋体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b w:val="0"/>
                <w:bCs w:val="0"/>
                <w:kern w:val="0"/>
                <w:sz w:val="21"/>
                <w:szCs w:val="21"/>
              </w:rPr>
              <w:t>500000.00</w:t>
            </w:r>
          </w:p>
        </w:tc>
        <w:tc>
          <w:tcPr>
            <w:tcW w:w="861" w:type="dxa"/>
            <w:vAlign w:val="center"/>
          </w:tcPr>
          <w:p>
            <w:pPr>
              <w:pStyle w:val="3"/>
              <w:spacing w:line="240" w:lineRule="auto"/>
              <w:outlineLvl w:val="1"/>
              <w:rPr>
                <w:rFonts w:ascii="宋体" w:hAnsi="宋体" w:eastAsia="宋体" w:cs="仿宋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tbl>
    <w:p>
      <w:pPr>
        <w:pStyle w:val="12"/>
        <w:spacing w:beforeLines="50" w:line="360" w:lineRule="auto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/>
          <w:b/>
          <w:sz w:val="24"/>
          <w:szCs w:val="24"/>
        </w:rPr>
        <w:t>（二）</w:t>
      </w:r>
      <w:r>
        <w:rPr>
          <w:rFonts w:hint="eastAsia" w:ascii="宋体" w:hAnsi="宋体" w:cs="宋体"/>
          <w:b/>
          <w:sz w:val="28"/>
          <w:szCs w:val="28"/>
        </w:rPr>
        <w:t>项目背景</w:t>
      </w:r>
    </w:p>
    <w:p>
      <w:pPr>
        <w:pStyle w:val="12"/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根据《海南省农业厅、海南省财政厅关于印发2020年海南省农业生产及水利救灾（农作物病虫害防控）资金（第一批）项目实施方案的通知》（琼农字[2020]133号）要求，为了有效预防控制水稻重大病虫害，保障粮食安全、促进农民增收。</w:t>
      </w:r>
    </w:p>
    <w:p>
      <w:pPr>
        <w:pStyle w:val="12"/>
        <w:spacing w:line="360" w:lineRule="auto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/>
          <w:b/>
          <w:sz w:val="24"/>
          <w:szCs w:val="24"/>
        </w:rPr>
        <w:t>（三）</w:t>
      </w:r>
      <w:r>
        <w:rPr>
          <w:rFonts w:hint="eastAsia" w:ascii="宋体" w:hAnsi="宋体" w:cs="宋体"/>
          <w:b/>
          <w:sz w:val="28"/>
          <w:szCs w:val="28"/>
        </w:rPr>
        <w:t>项目指导思想和目标</w:t>
      </w:r>
    </w:p>
    <w:p>
      <w:pPr>
        <w:pStyle w:val="12"/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贯彻落实“预防为主，综合防治”的植保方针和“科学植保、公共植保、绿色植保”的理念，通过创新机制、规范管理和提高组织化程度，重点开展水稻重大病虫害防控，大力推进专业化统防统治，实行连片、整村推进，带动区域性联防联控和群防群控，有效预防控制病虫危害蔓延，保障农业生产安全。</w:t>
      </w:r>
    </w:p>
    <w:p>
      <w:pPr>
        <w:pStyle w:val="12"/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大力推进大面积专业化统防统治，通过购买服务，组织专业化防治服务队伍统一实施水稻病虫害防控。有效控制水稻主要病虫害发生蔓延，减轻危害损失。实现项目实施区域绿色防控和减少农药使用量，确保生态环境安全，促进农业增效、农民增收。</w:t>
      </w:r>
    </w:p>
    <w:p>
      <w:pPr>
        <w:pStyle w:val="12"/>
        <w:spacing w:line="360" w:lineRule="auto"/>
        <w:rPr>
          <w:rFonts w:ascii="宋体" w:hAnsi="宋体"/>
          <w:b/>
          <w:sz w:val="28"/>
          <w:szCs w:val="24"/>
        </w:rPr>
      </w:pPr>
      <w:r>
        <w:rPr>
          <w:rFonts w:hint="eastAsia" w:ascii="宋体" w:hAnsi="宋体"/>
          <w:b/>
          <w:sz w:val="28"/>
          <w:szCs w:val="24"/>
        </w:rPr>
        <w:t>（四）项目要求</w:t>
      </w:r>
    </w:p>
    <w:p>
      <w:pPr>
        <w:pStyle w:val="12"/>
        <w:spacing w:line="360" w:lineRule="auto"/>
        <w:ind w:firstLine="352" w:firstLineChars="147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1、实施地点:根据我县水稻病虫害实际发生严重程度而定，病虫害发生严重程度以农技中心植保技术人员调查为准，确定防治地点。</w:t>
      </w:r>
    </w:p>
    <w:p>
      <w:pPr>
        <w:pStyle w:val="12"/>
        <w:spacing w:line="360" w:lineRule="auto"/>
        <w:ind w:firstLine="352" w:firstLineChars="147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2、规模：按照省农业厅下达防控任务，水稻病虫害累计防治面积不少于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</w:rPr>
        <w:t>.5万亩次。</w:t>
      </w:r>
    </w:p>
    <w:p>
      <w:pPr>
        <w:pStyle w:val="12"/>
        <w:spacing w:line="360" w:lineRule="auto"/>
        <w:ind w:firstLine="352" w:firstLineChars="147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3、防控效果：</w:t>
      </w:r>
      <w:r>
        <w:rPr>
          <w:rFonts w:hint="eastAsia" w:ascii="宋体" w:hAnsi="宋体" w:eastAsia="宋体" w:cs="仿宋"/>
          <w:b w:val="0"/>
          <w:bCs w:val="0"/>
          <w:kern w:val="0"/>
          <w:sz w:val="21"/>
          <w:szCs w:val="21"/>
        </w:rPr>
        <w:t>≥</w:t>
      </w:r>
      <w:r>
        <w:rPr>
          <w:rFonts w:hint="eastAsia" w:ascii="宋体" w:hAnsi="宋体"/>
          <w:sz w:val="24"/>
          <w:szCs w:val="24"/>
          <w:lang w:val="en-US" w:eastAsia="zh-CN"/>
        </w:rPr>
        <w:t>80%。</w:t>
      </w:r>
    </w:p>
    <w:p>
      <w:pPr>
        <w:pStyle w:val="12"/>
        <w:spacing w:line="360" w:lineRule="auto"/>
        <w:rPr>
          <w:rFonts w:ascii="宋体" w:hAnsi="宋体"/>
          <w:b/>
          <w:sz w:val="28"/>
          <w:szCs w:val="24"/>
        </w:rPr>
      </w:pPr>
      <w:r>
        <w:rPr>
          <w:rFonts w:hint="eastAsia" w:ascii="宋体" w:hAnsi="宋体"/>
          <w:b/>
          <w:sz w:val="28"/>
          <w:szCs w:val="24"/>
        </w:rPr>
        <w:t>（五）资金补助对象、补助标准和补助方式</w:t>
      </w:r>
    </w:p>
    <w:p>
      <w:pPr>
        <w:pStyle w:val="12"/>
        <w:spacing w:line="360" w:lineRule="auto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1、统</w:t>
      </w:r>
      <w:r>
        <w:rPr>
          <w:rFonts w:hint="eastAsia" w:ascii="宋体" w:hAnsi="宋体"/>
          <w:bCs/>
          <w:sz w:val="24"/>
          <w:szCs w:val="24"/>
          <w:lang w:eastAsia="zh-CN"/>
        </w:rPr>
        <w:t>防</w:t>
      </w:r>
      <w:r>
        <w:rPr>
          <w:rFonts w:hint="eastAsia" w:ascii="宋体" w:hAnsi="宋体"/>
          <w:bCs/>
          <w:sz w:val="24"/>
          <w:szCs w:val="24"/>
        </w:rPr>
        <w:t>统治（飞防服务）</w:t>
      </w:r>
    </w:p>
    <w:p>
      <w:pPr>
        <w:pStyle w:val="12"/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1.1补助对象：补助对象为实施水稻重大病虫害应急防治、统防统治、绿色防控的社会化服务组织。</w:t>
      </w:r>
    </w:p>
    <w:p>
      <w:pPr>
        <w:pStyle w:val="12"/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1.2补助标准：按琼农字[2020]133号文《2020年海南省农业生产和水利救灾（农作物病虫害防控）资金（第一批）项目实施方案》规定，水稻重大病虫害统防统治补助标准：补助费用原则上不超过20元/亩次。依据《植物保护统计技术与方法》第六章第五节防治面积统计：一次用药兼防多种有害生物时，凡针对不同对象自行加入相应防治农药混配防治的，要分别统计防治面积，如采用甲维盐、春雷霉素混配农药防治稻纵卷叶螟和细菌性条斑病，要分别统计防治面积，同时防治一亩的实际统计面积为2亩次。</w:t>
      </w:r>
    </w:p>
    <w:p>
      <w:pPr>
        <w:pStyle w:val="12"/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1.3补助方式：采取购买服务的方式，通过招标，遴选在农作物病虫害防治效果较好，技术设备先进且具有资质的统防统治组织，在水稻病虫害防治的关键时期开展统防统治，并实施相应补助。具体工作程序为：</w:t>
      </w:r>
    </w:p>
    <w:p>
      <w:pPr>
        <w:pStyle w:val="12"/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（1）由县农业技术</w:t>
      </w:r>
      <w:r>
        <w:rPr>
          <w:rFonts w:hint="eastAsia" w:ascii="宋体" w:hAnsi="宋体"/>
          <w:sz w:val="24"/>
          <w:szCs w:val="24"/>
          <w:lang w:eastAsia="zh-CN"/>
        </w:rPr>
        <w:t>推广中心</w:t>
      </w:r>
      <w:r>
        <w:rPr>
          <w:rFonts w:hint="eastAsia" w:ascii="宋体" w:hAnsi="宋体"/>
          <w:sz w:val="24"/>
          <w:szCs w:val="24"/>
        </w:rPr>
        <w:t>与中标的统防统治服务组织签订包括病虫害种类、总体面积、防治收费标准和支付方式等相关内容的水稻病虫害防治工作协议。</w:t>
      </w:r>
    </w:p>
    <w:p>
      <w:pPr>
        <w:pStyle w:val="12"/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（2）统防统治组织与村委会签订工作协议，内容包括防治地点、防治面积、防治目标和防治时间等。</w:t>
      </w:r>
    </w:p>
    <w:p>
      <w:pPr>
        <w:pStyle w:val="12"/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（3）协议签订后，统防统治组织进行统一防治。统防统治前、后进行公示，县农技中心委托第三方进行田间防控效果验收，同时收集有关防治确认材料，根据防治面积补助统防统治费用。</w:t>
      </w:r>
    </w:p>
    <w:p>
      <w:pPr>
        <w:pStyle w:val="12"/>
        <w:spacing w:line="360" w:lineRule="auto"/>
        <w:jc w:val="right"/>
        <w:rPr>
          <w:rFonts w:hint="eastAsia" w:ascii="宋体" w:hAnsi="宋体"/>
          <w:b/>
          <w:sz w:val="24"/>
          <w:szCs w:val="24"/>
        </w:rPr>
      </w:pPr>
    </w:p>
    <w:p>
      <w:pPr>
        <w:pStyle w:val="12"/>
        <w:spacing w:line="360" w:lineRule="auto"/>
        <w:jc w:val="right"/>
        <w:rPr>
          <w:rFonts w:hint="eastAsia" w:ascii="宋体" w:hAnsi="宋体"/>
          <w:b/>
          <w:sz w:val="24"/>
          <w:szCs w:val="24"/>
        </w:rPr>
      </w:pPr>
    </w:p>
    <w:p>
      <w:pPr>
        <w:pStyle w:val="12"/>
        <w:spacing w:line="360" w:lineRule="auto"/>
        <w:jc w:val="righ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澄迈县农业技术推广中心</w:t>
      </w:r>
    </w:p>
    <w:p>
      <w:pPr>
        <w:pStyle w:val="12"/>
        <w:spacing w:line="360" w:lineRule="auto"/>
        <w:jc w:val="both"/>
        <w:rPr>
          <w:rFonts w:ascii="宋体" w:hAnsi="宋体"/>
          <w:b/>
          <w:sz w:val="24"/>
          <w:szCs w:val="24"/>
        </w:rPr>
      </w:pPr>
    </w:p>
    <w:sectPr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F1347"/>
    <w:multiLevelType w:val="singleLevel"/>
    <w:tmpl w:val="42CF134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F082D1C"/>
    <w:multiLevelType w:val="multilevel"/>
    <w:tmpl w:val="7F082D1C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decimal"/>
      <w:lvlText w:val="%2、"/>
      <w:lvlJc w:val="left"/>
      <w:pPr>
        <w:ind w:left="840" w:hanging="420"/>
      </w:pPr>
      <w:rPr>
        <w:rFonts w:hint="default"/>
        <w:color w:val="000000" w:themeColor="text1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56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D734A"/>
    <w:rsid w:val="00002F4F"/>
    <w:rsid w:val="00031523"/>
    <w:rsid w:val="0006570A"/>
    <w:rsid w:val="000720C6"/>
    <w:rsid w:val="000C16B2"/>
    <w:rsid w:val="000D2F59"/>
    <w:rsid w:val="000F05AC"/>
    <w:rsid w:val="000F43CE"/>
    <w:rsid w:val="00136D8D"/>
    <w:rsid w:val="00157955"/>
    <w:rsid w:val="001C1676"/>
    <w:rsid w:val="001F3B36"/>
    <w:rsid w:val="0027289B"/>
    <w:rsid w:val="00307404"/>
    <w:rsid w:val="003571D6"/>
    <w:rsid w:val="00461213"/>
    <w:rsid w:val="00552522"/>
    <w:rsid w:val="00574E9D"/>
    <w:rsid w:val="00605464"/>
    <w:rsid w:val="006127A3"/>
    <w:rsid w:val="00663FA6"/>
    <w:rsid w:val="00682226"/>
    <w:rsid w:val="006B398F"/>
    <w:rsid w:val="00723ED9"/>
    <w:rsid w:val="007732BB"/>
    <w:rsid w:val="007D4C3A"/>
    <w:rsid w:val="007D65AD"/>
    <w:rsid w:val="008040E6"/>
    <w:rsid w:val="00867DBB"/>
    <w:rsid w:val="00876661"/>
    <w:rsid w:val="00890231"/>
    <w:rsid w:val="008D11CA"/>
    <w:rsid w:val="008D2E9D"/>
    <w:rsid w:val="009121B1"/>
    <w:rsid w:val="0092014E"/>
    <w:rsid w:val="00954DB9"/>
    <w:rsid w:val="00955D1C"/>
    <w:rsid w:val="00A43AA7"/>
    <w:rsid w:val="00A81F18"/>
    <w:rsid w:val="00B33C89"/>
    <w:rsid w:val="00B7319B"/>
    <w:rsid w:val="00BD7B36"/>
    <w:rsid w:val="00C16F90"/>
    <w:rsid w:val="00C2432C"/>
    <w:rsid w:val="00C277D5"/>
    <w:rsid w:val="00C83796"/>
    <w:rsid w:val="00CF302F"/>
    <w:rsid w:val="00CF51E2"/>
    <w:rsid w:val="00D44604"/>
    <w:rsid w:val="00D47B11"/>
    <w:rsid w:val="00D57B8D"/>
    <w:rsid w:val="00DB7319"/>
    <w:rsid w:val="00DD5627"/>
    <w:rsid w:val="00E10108"/>
    <w:rsid w:val="00E73EDA"/>
    <w:rsid w:val="00F25683"/>
    <w:rsid w:val="00F27D9F"/>
    <w:rsid w:val="00F33D5F"/>
    <w:rsid w:val="00F63780"/>
    <w:rsid w:val="00F96DAB"/>
    <w:rsid w:val="00FC2A9C"/>
    <w:rsid w:val="00FD734A"/>
    <w:rsid w:val="00FE5CCA"/>
    <w:rsid w:val="067679BB"/>
    <w:rsid w:val="0B4C4293"/>
    <w:rsid w:val="19737814"/>
    <w:rsid w:val="26ED67AB"/>
    <w:rsid w:val="347032EF"/>
    <w:rsid w:val="426323FE"/>
    <w:rsid w:val="51594A87"/>
    <w:rsid w:val="58C63EF5"/>
    <w:rsid w:val="660562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styleId="2">
    <w:name w:val="heading 1"/>
    <w:next w:val="1"/>
    <w:link w:val="11"/>
    <w:qFormat/>
    <w:uiPriority w:val="0"/>
    <w:pPr>
      <w:keepNext/>
      <w:spacing w:beforeLines="50" w:afterLines="50" w:line="440" w:lineRule="exact"/>
      <w:jc w:val="center"/>
      <w:outlineLvl w:val="0"/>
    </w:pPr>
    <w:rPr>
      <w:rFonts w:ascii="宋体" w:hAnsi="宋体" w:eastAsia="宋体" w:cs="Times New Roman"/>
      <w:b/>
      <w:bCs/>
      <w:sz w:val="32"/>
      <w:lang w:val="en-US" w:eastAsia="zh-CN" w:bidi="ar-SA"/>
    </w:rPr>
  </w:style>
  <w:style w:type="paragraph" w:styleId="3">
    <w:name w:val="heading 2"/>
    <w:basedOn w:val="1"/>
    <w:next w:val="1"/>
    <w:link w:val="14"/>
    <w:qFormat/>
    <w:uiPriority w:val="0"/>
    <w:pPr>
      <w:keepNext/>
      <w:keepLines/>
      <w:spacing w:before="260" w:after="260" w:line="416" w:lineRule="auto"/>
      <w:jc w:val="both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8"/>
    <w:link w:val="2"/>
    <w:qFormat/>
    <w:uiPriority w:val="0"/>
    <w:rPr>
      <w:rFonts w:ascii="宋体" w:hAnsi="宋体" w:eastAsia="宋体" w:cs="Times New Roman"/>
      <w:b/>
      <w:bCs/>
      <w:kern w:val="0"/>
      <w:sz w:val="32"/>
      <w:szCs w:val="20"/>
    </w:rPr>
  </w:style>
  <w:style w:type="paragraph" w:styleId="12">
    <w:name w:val="No Spacing"/>
    <w:qFormat/>
    <w:uiPriority w:val="1"/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3">
    <w:name w:val="正文首行缩进两字符"/>
    <w:basedOn w:val="1"/>
    <w:qFormat/>
    <w:uiPriority w:val="0"/>
    <w:pPr>
      <w:spacing w:line="360" w:lineRule="auto"/>
      <w:ind w:firstLine="200" w:firstLineChars="200"/>
      <w:jc w:val="both"/>
    </w:pPr>
    <w:rPr>
      <w:rFonts w:ascii="Calibri" w:hAnsi="Calibri" w:eastAsia="微软雅黑"/>
      <w:sz w:val="21"/>
      <w:szCs w:val="24"/>
    </w:rPr>
  </w:style>
  <w:style w:type="character" w:customStyle="1" w:styleId="14">
    <w:name w:val="标题 2 Char"/>
    <w:basedOn w:val="8"/>
    <w:link w:val="3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237</Words>
  <Characters>1351</Characters>
  <Lines>11</Lines>
  <Paragraphs>3</Paragraphs>
  <TotalTime>0</TotalTime>
  <ScaleCrop>false</ScaleCrop>
  <LinksUpToDate>false</LinksUpToDate>
  <CharactersWithSpaces>1585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2019-05-15T09:12:00Z</dcterms:created>
  <dc:creator>Microsoft</dc:creator>
  <cp:lastModifiedBy>啊基米德金</cp:lastModifiedBy>
  <cp:lastPrinted>2020-08-06T08:30:00Z</cp:lastPrinted>
  <dcterms:modified xsi:type="dcterms:W3CDTF">2020-09-01T02:01:37Z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