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420" w:leftChars="200"/>
        <w:rPr>
          <w:rFonts w:ascii="仿宋" w:hAnsi="仿宋" w:eastAsia="仿宋" w:cs="仿宋"/>
          <w:b/>
          <w:color w:val="auto"/>
          <w:sz w:val="52"/>
          <w:szCs w:val="52"/>
          <w:highlight w:val="none"/>
        </w:rPr>
      </w:pPr>
      <w:r>
        <w:rPr>
          <w:rFonts w:ascii="仿宋" w:hAnsi="仿宋" w:eastAsia="仿宋" w:cs="仿宋"/>
          <w:b/>
          <w:color w:val="auto"/>
          <w:sz w:val="52"/>
          <w:szCs w:val="52"/>
          <w:highlight w:val="none"/>
        </w:rPr>
        <w:drawing>
          <wp:anchor distT="0" distB="0" distL="114300" distR="114300" simplePos="0" relativeHeight="251658240" behindDoc="1" locked="0" layoutInCell="1" allowOverlap="1">
            <wp:simplePos x="0" y="0"/>
            <wp:positionH relativeFrom="page">
              <wp:posOffset>1080135</wp:posOffset>
            </wp:positionH>
            <wp:positionV relativeFrom="page">
              <wp:posOffset>914400</wp:posOffset>
            </wp:positionV>
            <wp:extent cx="5659755" cy="1152525"/>
            <wp:effectExtent l="0" t="0" r="0" b="9525"/>
            <wp:wrapTight wrapText="bothSides">
              <wp:wrapPolygon>
                <wp:start x="0" y="0"/>
                <wp:lineTo x="0" y="21421"/>
                <wp:lineTo x="21520" y="21421"/>
                <wp:lineTo x="21520" y="0"/>
                <wp:lineTo x="0" y="0"/>
              </wp:wrapPolygon>
            </wp:wrapTight>
            <wp:docPr id="3" name="图片 3" descr="公司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公司标志"/>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659755" cy="1152525"/>
                    </a:xfrm>
                    <a:prstGeom prst="rect">
                      <a:avLst/>
                    </a:prstGeom>
                    <a:noFill/>
                  </pic:spPr>
                </pic:pic>
              </a:graphicData>
            </a:graphic>
          </wp:anchor>
        </w:drawing>
      </w:r>
    </w:p>
    <w:p>
      <w:pPr>
        <w:jc w:val="center"/>
        <w:rPr>
          <w:rFonts w:ascii="仿宋" w:hAnsi="仿宋" w:eastAsia="仿宋" w:cs="仿宋"/>
          <w:b/>
          <w:bCs/>
          <w:color w:val="auto"/>
          <w:sz w:val="84"/>
          <w:szCs w:val="84"/>
          <w:highlight w:val="none"/>
          <w14:shadow w14:blurRad="50800" w14:dist="38100" w14:dir="2700000" w14:sx="100000" w14:sy="100000" w14:kx="0" w14:ky="0" w14:algn="tl">
            <w14:srgbClr w14:val="000000">
              <w14:alpha w14:val="60000"/>
            </w14:srgbClr>
          </w14:shadow>
        </w:rPr>
      </w:pPr>
      <w:r>
        <w:rPr>
          <w:rFonts w:hint="eastAsia" w:ascii="仿宋" w:hAnsi="仿宋" w:eastAsia="仿宋" w:cs="仿宋"/>
          <w:b/>
          <w:bCs/>
          <w:color w:val="auto"/>
          <w:sz w:val="84"/>
          <w:szCs w:val="84"/>
          <w:highlight w:val="none"/>
          <w14:shadow w14:blurRad="50800" w14:dist="38100" w14:dir="2700000" w14:sx="100000" w14:sy="100000" w14:kx="0" w14:ky="0" w14:algn="tl">
            <w14:srgbClr w14:val="000000">
              <w14:alpha w14:val="60000"/>
            </w14:srgbClr>
          </w14:shadow>
        </w:rPr>
        <w:t>招标文件</w:t>
      </w:r>
    </w:p>
    <w:p>
      <w:pPr>
        <w:rPr>
          <w:rFonts w:ascii="仿宋" w:hAnsi="仿宋" w:eastAsia="仿宋" w:cs="仿宋"/>
          <w:b/>
          <w:color w:val="auto"/>
          <w:sz w:val="36"/>
          <w:szCs w:val="36"/>
          <w:highlight w:val="none"/>
          <w:u w:val="single"/>
        </w:rPr>
      </w:pPr>
    </w:p>
    <w:p>
      <w:pPr>
        <w:rPr>
          <w:rFonts w:ascii="仿宋" w:hAnsi="仿宋" w:eastAsia="仿宋" w:cs="仿宋"/>
          <w:b/>
          <w:color w:val="auto"/>
          <w:sz w:val="36"/>
          <w:szCs w:val="36"/>
          <w:highlight w:val="none"/>
          <w:u w:val="single"/>
        </w:rPr>
      </w:pPr>
    </w:p>
    <w:p>
      <w:pPr>
        <w:rPr>
          <w:rFonts w:ascii="仿宋" w:hAnsi="仿宋" w:eastAsia="仿宋" w:cs="仿宋"/>
          <w:b/>
          <w:color w:val="auto"/>
          <w:sz w:val="36"/>
          <w:szCs w:val="36"/>
          <w:highlight w:val="none"/>
          <w:u w:val="single"/>
        </w:rPr>
      </w:pPr>
    </w:p>
    <w:p>
      <w:pPr>
        <w:rPr>
          <w:rFonts w:ascii="仿宋" w:hAnsi="仿宋" w:eastAsia="仿宋" w:cs="仿宋"/>
          <w:b/>
          <w:color w:val="auto"/>
          <w:sz w:val="36"/>
          <w:szCs w:val="36"/>
          <w:highlight w:val="none"/>
          <w:u w:val="single"/>
        </w:rPr>
      </w:pPr>
    </w:p>
    <w:p>
      <w:pPr>
        <w:spacing w:line="360" w:lineRule="auto"/>
        <w:ind w:left="420" w:leftChars="200" w:firstLine="722"/>
        <w:rPr>
          <w:rFonts w:ascii="仿宋" w:hAnsi="仿宋" w:eastAsia="仿宋" w:cs="仿宋"/>
          <w:b/>
          <w:color w:val="auto"/>
          <w:sz w:val="36"/>
          <w:szCs w:val="36"/>
          <w:highlight w:val="none"/>
        </w:rPr>
      </w:pPr>
      <w:r>
        <w:rPr>
          <w:rFonts w:hint="eastAsia" w:ascii="仿宋" w:hAnsi="仿宋" w:eastAsia="仿宋" w:cs="仿宋"/>
          <w:b/>
          <w:color w:val="auto"/>
          <w:sz w:val="36"/>
          <w:szCs w:val="36"/>
          <w:highlight w:val="none"/>
        </w:rPr>
        <w:t>采 购 人：海南省公安厅</w:t>
      </w:r>
    </w:p>
    <w:p>
      <w:pPr>
        <w:spacing w:line="360" w:lineRule="auto"/>
        <w:ind w:left="2884" w:leftChars="513" w:hanging="1807" w:hangingChars="500"/>
        <w:rPr>
          <w:rFonts w:ascii="仿宋" w:hAnsi="仿宋" w:eastAsia="仿宋" w:cs="仿宋"/>
          <w:b/>
          <w:color w:val="auto"/>
          <w:sz w:val="36"/>
          <w:szCs w:val="36"/>
          <w:highlight w:val="none"/>
        </w:rPr>
      </w:pPr>
      <w:r>
        <w:rPr>
          <w:rFonts w:hint="eastAsia" w:ascii="仿宋" w:hAnsi="仿宋" w:eastAsia="仿宋" w:cs="仿宋"/>
          <w:b/>
          <w:color w:val="auto"/>
          <w:sz w:val="36"/>
          <w:szCs w:val="36"/>
          <w:highlight w:val="none"/>
        </w:rPr>
        <w:t>项目名称：厅海岸警察总队（筹备组）4G执法记录仪项目</w:t>
      </w:r>
    </w:p>
    <w:p>
      <w:pPr>
        <w:spacing w:line="360" w:lineRule="auto"/>
        <w:ind w:left="420" w:leftChars="200" w:firstLine="722"/>
        <w:rPr>
          <w:rFonts w:ascii="仿宋" w:hAnsi="仿宋" w:eastAsia="仿宋" w:cs="仿宋"/>
          <w:b/>
          <w:color w:val="auto"/>
          <w:sz w:val="36"/>
          <w:szCs w:val="36"/>
          <w:highlight w:val="none"/>
        </w:rPr>
      </w:pPr>
      <w:r>
        <w:rPr>
          <w:rFonts w:hint="eastAsia" w:ascii="仿宋" w:hAnsi="仿宋" w:eastAsia="仿宋" w:cs="仿宋"/>
          <w:b/>
          <w:color w:val="auto"/>
          <w:sz w:val="36"/>
          <w:szCs w:val="36"/>
          <w:highlight w:val="none"/>
        </w:rPr>
        <w:t>招标编号：HNZH-2020-301</w:t>
      </w:r>
    </w:p>
    <w:p>
      <w:pPr>
        <w:spacing w:line="360" w:lineRule="auto"/>
        <w:ind w:left="420" w:leftChars="200"/>
        <w:rPr>
          <w:rFonts w:ascii="仿宋" w:hAnsi="仿宋" w:eastAsia="仿宋" w:cs="仿宋"/>
          <w:b/>
          <w:color w:val="auto"/>
          <w:sz w:val="36"/>
          <w:szCs w:val="36"/>
          <w:highlight w:val="none"/>
        </w:rPr>
      </w:pPr>
      <w:r>
        <w:rPr>
          <w:rFonts w:hint="eastAsia" w:ascii="仿宋" w:hAnsi="仿宋" w:eastAsia="仿宋" w:cs="仿宋"/>
          <w:b/>
          <w:color w:val="auto"/>
          <w:sz w:val="36"/>
          <w:szCs w:val="36"/>
          <w:highlight w:val="none"/>
        </w:rPr>
        <w:t xml:space="preserve">    代理机构：海南政辉招投标代理有限公司</w:t>
      </w:r>
    </w:p>
    <w:p>
      <w:pPr>
        <w:spacing w:before="120" w:beforeLines="50" w:line="480" w:lineRule="auto"/>
        <w:jc w:val="center"/>
        <w:rPr>
          <w:rFonts w:ascii="仿宋" w:hAnsi="仿宋" w:eastAsia="仿宋" w:cs="仿宋"/>
          <w:b/>
          <w:color w:val="auto"/>
          <w:sz w:val="32"/>
          <w:szCs w:val="32"/>
          <w:highlight w:val="none"/>
        </w:rPr>
      </w:pPr>
    </w:p>
    <w:p>
      <w:pPr>
        <w:spacing w:before="120" w:beforeLines="50" w:line="480" w:lineRule="auto"/>
        <w:jc w:val="center"/>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2020年12月</w:t>
      </w:r>
    </w:p>
    <w:p>
      <w:pPr>
        <w:spacing w:before="120" w:beforeLines="50" w:line="480" w:lineRule="auto"/>
        <w:jc w:val="center"/>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海南政辉招投标代理有限公司编制</w:t>
      </w:r>
    </w:p>
    <w:p>
      <w:pPr>
        <w:spacing w:after="240" w:afterLines="100" w:line="480" w:lineRule="exact"/>
        <w:jc w:val="center"/>
        <w:rPr>
          <w:rFonts w:ascii="仿宋" w:hAnsi="仿宋" w:eastAsia="仿宋" w:cs="仿宋"/>
          <w:b/>
          <w:color w:val="auto"/>
          <w:sz w:val="44"/>
          <w:szCs w:val="44"/>
          <w:highlight w:val="none"/>
        </w:rPr>
      </w:pPr>
      <w:bookmarkStart w:id="0" w:name="_Toc264213352"/>
      <w:bookmarkStart w:id="1" w:name="_Toc264213459"/>
    </w:p>
    <w:p>
      <w:pPr>
        <w:spacing w:after="240" w:afterLines="100" w:line="480" w:lineRule="exact"/>
        <w:jc w:val="center"/>
        <w:rPr>
          <w:rFonts w:ascii="仿宋" w:hAnsi="仿宋" w:eastAsia="仿宋" w:cs="仿宋"/>
          <w:b/>
          <w:color w:val="auto"/>
          <w:sz w:val="44"/>
          <w:szCs w:val="44"/>
          <w:highlight w:val="none"/>
        </w:rPr>
      </w:pPr>
    </w:p>
    <w:p>
      <w:pPr>
        <w:spacing w:after="240" w:afterLines="100" w:line="480" w:lineRule="exact"/>
        <w:jc w:val="center"/>
        <w:rPr>
          <w:rFonts w:ascii="仿宋" w:hAnsi="仿宋" w:eastAsia="仿宋" w:cs="仿宋"/>
          <w:b/>
          <w:color w:val="auto"/>
          <w:sz w:val="44"/>
          <w:szCs w:val="44"/>
          <w:highlight w:val="none"/>
        </w:rPr>
      </w:pPr>
    </w:p>
    <w:p>
      <w:pPr>
        <w:spacing w:after="240" w:afterLines="100" w:line="480" w:lineRule="exact"/>
        <w:jc w:val="center"/>
        <w:rPr>
          <w:rFonts w:ascii="仿宋" w:hAnsi="仿宋" w:eastAsia="仿宋" w:cs="仿宋"/>
          <w:b/>
          <w:color w:val="auto"/>
          <w:sz w:val="44"/>
          <w:szCs w:val="44"/>
          <w:highlight w:val="none"/>
        </w:rPr>
      </w:pPr>
      <w:r>
        <w:rPr>
          <w:rFonts w:hint="eastAsia" w:ascii="仿宋" w:hAnsi="仿宋" w:eastAsia="仿宋" w:cs="仿宋"/>
          <w:b/>
          <w:color w:val="auto"/>
          <w:sz w:val="44"/>
          <w:szCs w:val="44"/>
          <w:highlight w:val="none"/>
        </w:rPr>
        <w:t>目    录</w:t>
      </w:r>
      <w:bookmarkEnd w:id="0"/>
      <w:bookmarkEnd w:id="1"/>
    </w:p>
    <w:p>
      <w:pPr>
        <w:pStyle w:val="28"/>
        <w:tabs>
          <w:tab w:val="right" w:leader="dot" w:pos="9040"/>
        </w:tabs>
        <w:rPr>
          <w:color w:val="auto"/>
          <w:highlight w:val="none"/>
        </w:rPr>
      </w:pPr>
      <w:r>
        <w:rPr>
          <w:rFonts w:hint="eastAsia" w:ascii="仿宋" w:hAnsi="仿宋" w:eastAsia="仿宋" w:cs="仿宋"/>
          <w:b w:val="0"/>
          <w:bCs w:val="0"/>
          <w:caps w:val="0"/>
          <w:color w:val="auto"/>
          <w:sz w:val="24"/>
          <w:szCs w:val="24"/>
          <w:highlight w:val="none"/>
        </w:rPr>
        <w:fldChar w:fldCharType="begin"/>
      </w:r>
      <w:r>
        <w:rPr>
          <w:rFonts w:hint="eastAsia" w:ascii="仿宋" w:hAnsi="仿宋" w:eastAsia="仿宋" w:cs="仿宋"/>
          <w:b w:val="0"/>
          <w:bCs w:val="0"/>
          <w:caps w:val="0"/>
          <w:color w:val="auto"/>
          <w:sz w:val="24"/>
          <w:szCs w:val="24"/>
          <w:highlight w:val="none"/>
        </w:rPr>
        <w:instrText xml:space="preserve"> TOC \o "1-4" \h \z \u </w:instrText>
      </w:r>
      <w:r>
        <w:rPr>
          <w:rFonts w:hint="eastAsia" w:ascii="仿宋" w:hAnsi="仿宋" w:eastAsia="仿宋" w:cs="仿宋"/>
          <w:b w:val="0"/>
          <w:bCs w:val="0"/>
          <w:caps w:val="0"/>
          <w:color w:val="auto"/>
          <w:sz w:val="24"/>
          <w:szCs w:val="24"/>
          <w:highlight w:val="none"/>
        </w:rPr>
        <w:fldChar w:fldCharType="separate"/>
      </w:r>
      <w:r>
        <w:rPr>
          <w:color w:val="auto"/>
          <w:highlight w:val="none"/>
        </w:rPr>
        <w:fldChar w:fldCharType="begin"/>
      </w:r>
      <w:r>
        <w:rPr>
          <w:color w:val="auto"/>
          <w:highlight w:val="none"/>
        </w:rPr>
        <w:instrText xml:space="preserve"> HYPERLINK \l "_Toc26739" </w:instrText>
      </w:r>
      <w:r>
        <w:rPr>
          <w:color w:val="auto"/>
          <w:highlight w:val="none"/>
        </w:rPr>
        <w:fldChar w:fldCharType="separate"/>
      </w:r>
      <w:r>
        <w:rPr>
          <w:rFonts w:hint="eastAsia" w:ascii="仿宋" w:hAnsi="仿宋" w:eastAsia="仿宋" w:cs="仿宋"/>
          <w:color w:val="auto"/>
          <w:highlight w:val="none"/>
        </w:rPr>
        <w:t>第一章  投 标 邀 请 函</w:t>
      </w:r>
      <w:r>
        <w:rPr>
          <w:color w:val="auto"/>
          <w:highlight w:val="none"/>
        </w:rPr>
        <w:tab/>
      </w:r>
      <w:r>
        <w:rPr>
          <w:color w:val="auto"/>
          <w:highlight w:val="none"/>
        </w:rPr>
        <w:fldChar w:fldCharType="begin"/>
      </w:r>
      <w:r>
        <w:rPr>
          <w:color w:val="auto"/>
          <w:highlight w:val="none"/>
        </w:rPr>
        <w:instrText xml:space="preserve"> PAGEREF _Toc26739 </w:instrText>
      </w:r>
      <w:r>
        <w:rPr>
          <w:color w:val="auto"/>
          <w:highlight w:val="none"/>
        </w:rPr>
        <w:fldChar w:fldCharType="separate"/>
      </w:r>
      <w:r>
        <w:rPr>
          <w:color w:val="auto"/>
          <w:highlight w:val="none"/>
        </w:rPr>
        <w:t>1</w:t>
      </w:r>
      <w:r>
        <w:rPr>
          <w:color w:val="auto"/>
          <w:highlight w:val="none"/>
        </w:rPr>
        <w:fldChar w:fldCharType="end"/>
      </w:r>
      <w:r>
        <w:rPr>
          <w:color w:val="auto"/>
          <w:highlight w:val="none"/>
        </w:rPr>
        <w:fldChar w:fldCharType="end"/>
      </w:r>
    </w:p>
    <w:p>
      <w:pPr>
        <w:pStyle w:val="28"/>
        <w:tabs>
          <w:tab w:val="right" w:leader="dot" w:pos="9040"/>
        </w:tabs>
        <w:rPr>
          <w:color w:val="auto"/>
          <w:highlight w:val="none"/>
        </w:rPr>
      </w:pPr>
      <w:r>
        <w:rPr>
          <w:color w:val="auto"/>
          <w:highlight w:val="none"/>
        </w:rPr>
        <w:fldChar w:fldCharType="begin"/>
      </w:r>
      <w:r>
        <w:rPr>
          <w:color w:val="auto"/>
          <w:highlight w:val="none"/>
        </w:rPr>
        <w:instrText xml:space="preserve"> HYPERLINK \l "_Toc12660" </w:instrText>
      </w:r>
      <w:r>
        <w:rPr>
          <w:color w:val="auto"/>
          <w:highlight w:val="none"/>
        </w:rPr>
        <w:fldChar w:fldCharType="separate"/>
      </w:r>
      <w:r>
        <w:rPr>
          <w:rFonts w:hint="eastAsia" w:ascii="仿宋" w:hAnsi="仿宋" w:eastAsia="仿宋" w:cs="仿宋"/>
          <w:color w:val="auto"/>
          <w:szCs w:val="44"/>
          <w:highlight w:val="none"/>
        </w:rPr>
        <w:t>第二章  投标人须知</w:t>
      </w:r>
      <w:r>
        <w:rPr>
          <w:color w:val="auto"/>
          <w:highlight w:val="none"/>
        </w:rPr>
        <w:tab/>
      </w:r>
      <w:r>
        <w:rPr>
          <w:color w:val="auto"/>
          <w:highlight w:val="none"/>
        </w:rPr>
        <w:fldChar w:fldCharType="begin"/>
      </w:r>
      <w:r>
        <w:rPr>
          <w:color w:val="auto"/>
          <w:highlight w:val="none"/>
        </w:rPr>
        <w:instrText xml:space="preserve"> PAGEREF _Toc12660 </w:instrText>
      </w:r>
      <w:r>
        <w:rPr>
          <w:color w:val="auto"/>
          <w:highlight w:val="none"/>
        </w:rPr>
        <w:fldChar w:fldCharType="separate"/>
      </w:r>
      <w:r>
        <w:rPr>
          <w:color w:val="auto"/>
          <w:highlight w:val="none"/>
        </w:rPr>
        <w:t>4</w:t>
      </w:r>
      <w:r>
        <w:rPr>
          <w:color w:val="auto"/>
          <w:highlight w:val="none"/>
        </w:rPr>
        <w:fldChar w:fldCharType="end"/>
      </w:r>
      <w:r>
        <w:rPr>
          <w:color w:val="auto"/>
          <w:highlight w:val="none"/>
        </w:rPr>
        <w:fldChar w:fldCharType="end"/>
      </w:r>
    </w:p>
    <w:p>
      <w:pPr>
        <w:pStyle w:val="28"/>
        <w:tabs>
          <w:tab w:val="right" w:leader="dot" w:pos="9040"/>
        </w:tabs>
        <w:rPr>
          <w:color w:val="auto"/>
          <w:highlight w:val="none"/>
        </w:rPr>
      </w:pPr>
      <w:r>
        <w:rPr>
          <w:color w:val="auto"/>
          <w:highlight w:val="none"/>
        </w:rPr>
        <w:fldChar w:fldCharType="begin"/>
      </w:r>
      <w:r>
        <w:rPr>
          <w:color w:val="auto"/>
          <w:highlight w:val="none"/>
        </w:rPr>
        <w:instrText xml:space="preserve"> HYPERLINK \l "_Toc21088" </w:instrText>
      </w:r>
      <w:r>
        <w:rPr>
          <w:color w:val="auto"/>
          <w:highlight w:val="none"/>
        </w:rPr>
        <w:fldChar w:fldCharType="separate"/>
      </w:r>
      <w:r>
        <w:rPr>
          <w:rFonts w:hint="eastAsia" w:ascii="仿宋" w:hAnsi="仿宋" w:eastAsia="仿宋" w:cs="仿宋"/>
          <w:color w:val="auto"/>
          <w:szCs w:val="44"/>
          <w:highlight w:val="none"/>
        </w:rPr>
        <w:t>第三章  用户需求书</w:t>
      </w:r>
      <w:r>
        <w:rPr>
          <w:color w:val="auto"/>
          <w:highlight w:val="none"/>
        </w:rPr>
        <w:tab/>
      </w:r>
      <w:r>
        <w:rPr>
          <w:color w:val="auto"/>
          <w:highlight w:val="none"/>
        </w:rPr>
        <w:fldChar w:fldCharType="begin"/>
      </w:r>
      <w:r>
        <w:rPr>
          <w:color w:val="auto"/>
          <w:highlight w:val="none"/>
        </w:rPr>
        <w:instrText xml:space="preserve"> PAGEREF _Toc21088 </w:instrText>
      </w:r>
      <w:r>
        <w:rPr>
          <w:color w:val="auto"/>
          <w:highlight w:val="none"/>
        </w:rPr>
        <w:fldChar w:fldCharType="separate"/>
      </w:r>
      <w:r>
        <w:rPr>
          <w:color w:val="auto"/>
          <w:highlight w:val="none"/>
        </w:rPr>
        <w:t>12</w:t>
      </w:r>
      <w:r>
        <w:rPr>
          <w:color w:val="auto"/>
          <w:highlight w:val="none"/>
        </w:rPr>
        <w:fldChar w:fldCharType="end"/>
      </w:r>
      <w:r>
        <w:rPr>
          <w:color w:val="auto"/>
          <w:highlight w:val="none"/>
        </w:rPr>
        <w:fldChar w:fldCharType="end"/>
      </w:r>
    </w:p>
    <w:p>
      <w:pPr>
        <w:pStyle w:val="28"/>
        <w:tabs>
          <w:tab w:val="right" w:leader="dot" w:pos="9040"/>
        </w:tabs>
        <w:rPr>
          <w:color w:val="auto"/>
          <w:highlight w:val="none"/>
        </w:rPr>
      </w:pPr>
      <w:r>
        <w:rPr>
          <w:color w:val="auto"/>
          <w:highlight w:val="none"/>
        </w:rPr>
        <w:fldChar w:fldCharType="begin"/>
      </w:r>
      <w:r>
        <w:rPr>
          <w:color w:val="auto"/>
          <w:highlight w:val="none"/>
        </w:rPr>
        <w:instrText xml:space="preserve"> HYPERLINK \l "_Toc2053" </w:instrText>
      </w:r>
      <w:r>
        <w:rPr>
          <w:color w:val="auto"/>
          <w:highlight w:val="none"/>
        </w:rPr>
        <w:fldChar w:fldCharType="separate"/>
      </w:r>
      <w:r>
        <w:rPr>
          <w:rFonts w:hint="eastAsia" w:ascii="仿宋" w:hAnsi="仿宋" w:eastAsia="仿宋" w:cs="仿宋"/>
          <w:color w:val="auto"/>
          <w:szCs w:val="48"/>
          <w:highlight w:val="none"/>
        </w:rPr>
        <w:t>第四章 合同主要条款（参考）</w:t>
      </w:r>
      <w:r>
        <w:rPr>
          <w:color w:val="auto"/>
          <w:highlight w:val="none"/>
        </w:rPr>
        <w:tab/>
      </w:r>
      <w:r>
        <w:rPr>
          <w:color w:val="auto"/>
          <w:highlight w:val="none"/>
        </w:rPr>
        <w:fldChar w:fldCharType="begin"/>
      </w:r>
      <w:r>
        <w:rPr>
          <w:color w:val="auto"/>
          <w:highlight w:val="none"/>
        </w:rPr>
        <w:instrText xml:space="preserve"> PAGEREF _Toc2053 </w:instrText>
      </w:r>
      <w:r>
        <w:rPr>
          <w:color w:val="auto"/>
          <w:highlight w:val="none"/>
        </w:rPr>
        <w:fldChar w:fldCharType="separate"/>
      </w:r>
      <w:r>
        <w:rPr>
          <w:color w:val="auto"/>
          <w:highlight w:val="none"/>
        </w:rPr>
        <w:t>15</w:t>
      </w:r>
      <w:r>
        <w:rPr>
          <w:color w:val="auto"/>
          <w:highlight w:val="none"/>
        </w:rPr>
        <w:fldChar w:fldCharType="end"/>
      </w:r>
      <w:r>
        <w:rPr>
          <w:color w:val="auto"/>
          <w:highlight w:val="none"/>
        </w:rPr>
        <w:fldChar w:fldCharType="end"/>
      </w:r>
    </w:p>
    <w:p>
      <w:pPr>
        <w:pStyle w:val="28"/>
        <w:tabs>
          <w:tab w:val="right" w:leader="dot" w:pos="9040"/>
        </w:tabs>
        <w:rPr>
          <w:color w:val="auto"/>
          <w:highlight w:val="none"/>
        </w:rPr>
      </w:pPr>
      <w:r>
        <w:rPr>
          <w:color w:val="auto"/>
          <w:highlight w:val="none"/>
        </w:rPr>
        <w:fldChar w:fldCharType="begin"/>
      </w:r>
      <w:r>
        <w:rPr>
          <w:color w:val="auto"/>
          <w:highlight w:val="none"/>
        </w:rPr>
        <w:instrText xml:space="preserve"> HYPERLINK \l "_Toc17892" </w:instrText>
      </w:r>
      <w:r>
        <w:rPr>
          <w:color w:val="auto"/>
          <w:highlight w:val="none"/>
        </w:rPr>
        <w:fldChar w:fldCharType="separate"/>
      </w:r>
      <w:r>
        <w:rPr>
          <w:rFonts w:hint="eastAsia" w:ascii="仿宋" w:hAnsi="仿宋" w:eastAsia="仿宋" w:cs="仿宋"/>
          <w:color w:val="auto"/>
          <w:szCs w:val="44"/>
          <w:highlight w:val="none"/>
        </w:rPr>
        <w:t>第五章 投标文件和格式（参考）</w:t>
      </w:r>
      <w:r>
        <w:rPr>
          <w:color w:val="auto"/>
          <w:highlight w:val="none"/>
        </w:rPr>
        <w:tab/>
      </w:r>
      <w:r>
        <w:rPr>
          <w:color w:val="auto"/>
          <w:highlight w:val="none"/>
        </w:rPr>
        <w:fldChar w:fldCharType="begin"/>
      </w:r>
      <w:r>
        <w:rPr>
          <w:color w:val="auto"/>
          <w:highlight w:val="none"/>
        </w:rPr>
        <w:instrText xml:space="preserve"> PAGEREF _Toc17892 </w:instrText>
      </w:r>
      <w:r>
        <w:rPr>
          <w:color w:val="auto"/>
          <w:highlight w:val="none"/>
        </w:rPr>
        <w:fldChar w:fldCharType="separate"/>
      </w:r>
      <w:r>
        <w:rPr>
          <w:color w:val="auto"/>
          <w:highlight w:val="none"/>
        </w:rPr>
        <w:t>18</w:t>
      </w:r>
      <w:r>
        <w:rPr>
          <w:color w:val="auto"/>
          <w:highlight w:val="none"/>
        </w:rPr>
        <w:fldChar w:fldCharType="end"/>
      </w:r>
      <w:r>
        <w:rPr>
          <w:color w:val="auto"/>
          <w:highlight w:val="none"/>
        </w:rPr>
        <w:fldChar w:fldCharType="end"/>
      </w:r>
    </w:p>
    <w:p>
      <w:pPr>
        <w:pStyle w:val="28"/>
        <w:tabs>
          <w:tab w:val="right" w:leader="dot" w:pos="9040"/>
        </w:tabs>
        <w:rPr>
          <w:color w:val="auto"/>
          <w:highlight w:val="none"/>
        </w:rPr>
      </w:pPr>
      <w:r>
        <w:rPr>
          <w:color w:val="auto"/>
          <w:highlight w:val="none"/>
        </w:rPr>
        <w:fldChar w:fldCharType="begin"/>
      </w:r>
      <w:r>
        <w:rPr>
          <w:color w:val="auto"/>
          <w:highlight w:val="none"/>
        </w:rPr>
        <w:instrText xml:space="preserve"> HYPERLINK \l "_Toc31553" </w:instrText>
      </w:r>
      <w:r>
        <w:rPr>
          <w:color w:val="auto"/>
          <w:highlight w:val="none"/>
        </w:rPr>
        <w:fldChar w:fldCharType="separate"/>
      </w:r>
      <w:r>
        <w:rPr>
          <w:rFonts w:hint="eastAsia" w:ascii="仿宋" w:hAnsi="仿宋" w:eastAsia="仿宋" w:cs="仿宋"/>
          <w:color w:val="auto"/>
          <w:spacing w:val="10"/>
          <w:szCs w:val="36"/>
          <w:highlight w:val="none"/>
        </w:rPr>
        <w:t>第六章  评审办法和程序</w:t>
      </w:r>
      <w:r>
        <w:rPr>
          <w:color w:val="auto"/>
          <w:highlight w:val="none"/>
        </w:rPr>
        <w:tab/>
      </w:r>
      <w:r>
        <w:rPr>
          <w:color w:val="auto"/>
          <w:highlight w:val="none"/>
        </w:rPr>
        <w:fldChar w:fldCharType="begin"/>
      </w:r>
      <w:r>
        <w:rPr>
          <w:color w:val="auto"/>
          <w:highlight w:val="none"/>
        </w:rPr>
        <w:instrText xml:space="preserve"> PAGEREF _Toc31553 </w:instrText>
      </w:r>
      <w:r>
        <w:rPr>
          <w:color w:val="auto"/>
          <w:highlight w:val="none"/>
        </w:rPr>
        <w:fldChar w:fldCharType="separate"/>
      </w:r>
      <w:r>
        <w:rPr>
          <w:color w:val="auto"/>
          <w:highlight w:val="none"/>
        </w:rPr>
        <w:t>28</w:t>
      </w:r>
      <w:r>
        <w:rPr>
          <w:color w:val="auto"/>
          <w:highlight w:val="none"/>
        </w:rPr>
        <w:fldChar w:fldCharType="end"/>
      </w:r>
      <w:r>
        <w:rPr>
          <w:color w:val="auto"/>
          <w:highlight w:val="none"/>
        </w:rPr>
        <w:fldChar w:fldCharType="end"/>
      </w:r>
    </w:p>
    <w:p>
      <w:pPr>
        <w:spacing w:line="480" w:lineRule="auto"/>
        <w:outlineLvl w:val="0"/>
        <w:rPr>
          <w:rFonts w:ascii="仿宋" w:hAnsi="仿宋" w:eastAsia="仿宋" w:cs="仿宋"/>
          <w:b/>
          <w:color w:val="auto"/>
          <w:sz w:val="24"/>
          <w:szCs w:val="24"/>
          <w:highlight w:val="none"/>
        </w:rPr>
      </w:pPr>
      <w:r>
        <w:rPr>
          <w:rFonts w:hint="eastAsia" w:ascii="仿宋" w:hAnsi="仿宋" w:eastAsia="仿宋" w:cs="仿宋"/>
          <w:bCs/>
          <w:caps/>
          <w:color w:val="auto"/>
          <w:szCs w:val="24"/>
          <w:highlight w:val="none"/>
        </w:rPr>
        <w:fldChar w:fldCharType="end"/>
      </w:r>
    </w:p>
    <w:p>
      <w:pPr>
        <w:spacing w:line="480" w:lineRule="auto"/>
        <w:rPr>
          <w:rFonts w:ascii="仿宋" w:hAnsi="仿宋" w:eastAsia="仿宋" w:cs="仿宋"/>
          <w:color w:val="auto"/>
          <w:sz w:val="36"/>
          <w:szCs w:val="36"/>
          <w:highlight w:val="none"/>
        </w:rPr>
      </w:pPr>
    </w:p>
    <w:p>
      <w:pPr>
        <w:rPr>
          <w:rFonts w:ascii="仿宋" w:hAnsi="仿宋" w:eastAsia="仿宋" w:cs="仿宋"/>
          <w:color w:val="auto"/>
          <w:sz w:val="36"/>
          <w:szCs w:val="36"/>
          <w:highlight w:val="none"/>
        </w:rPr>
      </w:pPr>
    </w:p>
    <w:p>
      <w:pPr>
        <w:rPr>
          <w:rFonts w:ascii="仿宋" w:hAnsi="仿宋" w:eastAsia="仿宋" w:cs="仿宋"/>
          <w:color w:val="auto"/>
          <w:sz w:val="36"/>
          <w:szCs w:val="36"/>
          <w:highlight w:val="none"/>
        </w:rPr>
      </w:pPr>
    </w:p>
    <w:p>
      <w:pPr>
        <w:rPr>
          <w:rFonts w:ascii="仿宋" w:hAnsi="仿宋" w:eastAsia="仿宋" w:cs="仿宋"/>
          <w:color w:val="auto"/>
          <w:sz w:val="36"/>
          <w:szCs w:val="36"/>
          <w:highlight w:val="none"/>
        </w:rPr>
      </w:pPr>
    </w:p>
    <w:p>
      <w:pPr>
        <w:rPr>
          <w:rFonts w:ascii="仿宋" w:hAnsi="仿宋" w:eastAsia="仿宋" w:cs="仿宋"/>
          <w:color w:val="auto"/>
          <w:sz w:val="36"/>
          <w:szCs w:val="36"/>
          <w:highlight w:val="none"/>
        </w:rPr>
      </w:pPr>
    </w:p>
    <w:p>
      <w:pPr>
        <w:rPr>
          <w:rFonts w:ascii="仿宋" w:hAnsi="仿宋" w:eastAsia="仿宋" w:cs="仿宋"/>
          <w:color w:val="auto"/>
          <w:sz w:val="36"/>
          <w:szCs w:val="36"/>
          <w:highlight w:val="none"/>
        </w:rPr>
      </w:pPr>
    </w:p>
    <w:p>
      <w:pPr>
        <w:rPr>
          <w:rFonts w:ascii="仿宋" w:hAnsi="仿宋" w:eastAsia="仿宋" w:cs="仿宋"/>
          <w:color w:val="auto"/>
          <w:sz w:val="36"/>
          <w:szCs w:val="36"/>
          <w:highlight w:val="none"/>
        </w:rPr>
      </w:pPr>
    </w:p>
    <w:p>
      <w:pPr>
        <w:rPr>
          <w:rFonts w:ascii="仿宋" w:hAnsi="仿宋" w:eastAsia="仿宋" w:cs="仿宋"/>
          <w:color w:val="auto"/>
          <w:sz w:val="36"/>
          <w:szCs w:val="36"/>
          <w:highlight w:val="none"/>
        </w:rPr>
      </w:pPr>
    </w:p>
    <w:p>
      <w:pPr>
        <w:rPr>
          <w:rFonts w:ascii="仿宋" w:hAnsi="仿宋" w:eastAsia="仿宋" w:cs="仿宋"/>
          <w:color w:val="auto"/>
          <w:sz w:val="36"/>
          <w:szCs w:val="36"/>
          <w:highlight w:val="none"/>
        </w:rPr>
      </w:pPr>
    </w:p>
    <w:p>
      <w:pPr>
        <w:rPr>
          <w:rFonts w:ascii="仿宋" w:hAnsi="仿宋" w:eastAsia="仿宋" w:cs="仿宋"/>
          <w:color w:val="auto"/>
          <w:sz w:val="36"/>
          <w:szCs w:val="36"/>
          <w:highlight w:val="none"/>
        </w:rPr>
      </w:pPr>
    </w:p>
    <w:p>
      <w:pPr>
        <w:rPr>
          <w:rFonts w:ascii="仿宋" w:hAnsi="仿宋" w:eastAsia="仿宋" w:cs="仿宋"/>
          <w:color w:val="auto"/>
          <w:sz w:val="36"/>
          <w:szCs w:val="36"/>
          <w:highlight w:val="none"/>
        </w:rPr>
      </w:pPr>
    </w:p>
    <w:p>
      <w:pPr>
        <w:jc w:val="both"/>
        <w:outlineLvl w:val="0"/>
        <w:rPr>
          <w:rFonts w:ascii="仿宋" w:hAnsi="仿宋" w:eastAsia="仿宋" w:cs="仿宋"/>
          <w:b/>
          <w:color w:val="auto"/>
          <w:sz w:val="44"/>
          <w:highlight w:val="none"/>
        </w:rPr>
      </w:pPr>
      <w:bookmarkStart w:id="2" w:name="_Toc264213353"/>
      <w:bookmarkStart w:id="3" w:name="_Toc248048373"/>
      <w:bookmarkStart w:id="4" w:name="_Toc264182533"/>
    </w:p>
    <w:p>
      <w:pPr>
        <w:rPr>
          <w:rFonts w:ascii="仿宋" w:hAnsi="仿宋" w:eastAsia="仿宋" w:cs="仿宋"/>
          <w:b/>
          <w:color w:val="auto"/>
          <w:sz w:val="44"/>
          <w:highlight w:val="none"/>
        </w:rPr>
      </w:pPr>
    </w:p>
    <w:p>
      <w:pPr>
        <w:pStyle w:val="2"/>
        <w:rPr>
          <w:color w:val="auto"/>
          <w:highlight w:val="none"/>
        </w:rPr>
      </w:pPr>
    </w:p>
    <w:p>
      <w:pPr>
        <w:jc w:val="both"/>
        <w:outlineLvl w:val="0"/>
        <w:rPr>
          <w:rFonts w:ascii="仿宋" w:hAnsi="仿宋" w:eastAsia="仿宋" w:cs="仿宋"/>
          <w:b/>
          <w:color w:val="auto"/>
          <w:sz w:val="44"/>
          <w:highlight w:val="none"/>
        </w:rPr>
      </w:pPr>
    </w:p>
    <w:p>
      <w:pPr>
        <w:jc w:val="center"/>
        <w:outlineLvl w:val="0"/>
        <w:rPr>
          <w:rFonts w:ascii="仿宋" w:hAnsi="仿宋" w:eastAsia="仿宋" w:cs="仿宋"/>
          <w:b/>
          <w:color w:val="auto"/>
          <w:sz w:val="44"/>
          <w:highlight w:val="none"/>
        </w:rPr>
        <w:sectPr>
          <w:footerReference r:id="rId4" w:type="first"/>
          <w:headerReference r:id="rId3" w:type="default"/>
          <w:pgSz w:w="11906" w:h="16838"/>
          <w:pgMar w:top="1440" w:right="1365" w:bottom="1440" w:left="1501" w:header="851" w:footer="992" w:gutter="0"/>
          <w:pgBorders w:offsetFrom="page">
            <w:top w:val="single" w:color="auto" w:sz="4" w:space="24"/>
            <w:left w:val="single" w:color="auto" w:sz="4" w:space="24"/>
            <w:bottom w:val="single" w:color="auto" w:sz="4" w:space="24"/>
            <w:right w:val="single" w:color="auto" w:sz="4" w:space="24"/>
          </w:pgBorders>
          <w:pgNumType w:start="0"/>
          <w:cols w:space="720" w:num="1"/>
          <w:titlePg/>
          <w:docGrid w:linePitch="312" w:charSpace="0"/>
        </w:sectPr>
      </w:pPr>
      <w:bookmarkStart w:id="5" w:name="_Toc26739"/>
    </w:p>
    <w:p>
      <w:pPr>
        <w:jc w:val="center"/>
        <w:outlineLvl w:val="0"/>
        <w:rPr>
          <w:rFonts w:ascii="仿宋" w:hAnsi="仿宋" w:eastAsia="仿宋" w:cs="仿宋"/>
          <w:b/>
          <w:color w:val="auto"/>
          <w:sz w:val="24"/>
          <w:highlight w:val="none"/>
        </w:rPr>
      </w:pPr>
      <w:r>
        <w:rPr>
          <w:rFonts w:hint="eastAsia" w:ascii="仿宋" w:hAnsi="仿宋" w:eastAsia="仿宋" w:cs="仿宋"/>
          <w:b/>
          <w:color w:val="auto"/>
          <w:sz w:val="44"/>
          <w:highlight w:val="none"/>
        </w:rPr>
        <w:t>第一章  投 标 邀 请 函</w:t>
      </w:r>
      <w:bookmarkEnd w:id="2"/>
      <w:bookmarkEnd w:id="3"/>
      <w:bookmarkEnd w:id="4"/>
      <w:bookmarkEnd w:id="5"/>
    </w:p>
    <w:p>
      <w:pPr>
        <w:spacing w:line="500" w:lineRule="exact"/>
        <w:ind w:firstLine="482" w:firstLineChars="200"/>
        <w:jc w:val="both"/>
        <w:rPr>
          <w:rFonts w:ascii="仿宋" w:hAnsi="仿宋" w:eastAsia="仿宋" w:cs="仿宋"/>
          <w:color w:val="auto"/>
          <w:sz w:val="24"/>
          <w:szCs w:val="24"/>
          <w:highlight w:val="none"/>
        </w:rPr>
      </w:pPr>
      <w:r>
        <w:rPr>
          <w:rFonts w:hint="eastAsia" w:ascii="仿宋" w:hAnsi="仿宋" w:eastAsia="仿宋" w:cs="仿宋"/>
          <w:b/>
          <w:color w:val="auto"/>
          <w:sz w:val="24"/>
          <w:szCs w:val="24"/>
          <w:highlight w:val="none"/>
          <w:u w:val="single"/>
        </w:rPr>
        <w:t>海南政辉招投标代理有限公司</w:t>
      </w:r>
      <w:r>
        <w:rPr>
          <w:rFonts w:hint="eastAsia" w:ascii="仿宋" w:hAnsi="仿宋" w:eastAsia="仿宋" w:cs="仿宋"/>
          <w:color w:val="auto"/>
          <w:sz w:val="24"/>
          <w:szCs w:val="24"/>
          <w:highlight w:val="none"/>
        </w:rPr>
        <w:t>（简称“招标代理机构”）受</w:t>
      </w:r>
      <w:r>
        <w:rPr>
          <w:rFonts w:hint="eastAsia" w:ascii="仿宋" w:hAnsi="仿宋" w:eastAsia="仿宋" w:cs="仿宋"/>
          <w:b/>
          <w:color w:val="auto"/>
          <w:sz w:val="24"/>
          <w:szCs w:val="24"/>
          <w:highlight w:val="none"/>
          <w:u w:val="single"/>
        </w:rPr>
        <w:t>海南省公安厅</w:t>
      </w:r>
      <w:r>
        <w:rPr>
          <w:rFonts w:hint="eastAsia" w:ascii="仿宋" w:hAnsi="仿宋" w:eastAsia="仿宋" w:cs="仿宋"/>
          <w:color w:val="auto"/>
          <w:sz w:val="24"/>
          <w:szCs w:val="24"/>
          <w:highlight w:val="none"/>
        </w:rPr>
        <w:t>（简称“采购人”下同）的委托，就</w:t>
      </w:r>
      <w:r>
        <w:rPr>
          <w:rFonts w:hint="eastAsia" w:ascii="仿宋" w:hAnsi="仿宋" w:eastAsia="仿宋" w:cs="仿宋"/>
          <w:b/>
          <w:color w:val="auto"/>
          <w:sz w:val="24"/>
          <w:szCs w:val="24"/>
          <w:highlight w:val="none"/>
          <w:u w:val="single"/>
        </w:rPr>
        <w:t>厅海岸警察总队（筹备组）4G执法记录仪项目（招标编号HNZH-2020-301）</w:t>
      </w:r>
      <w:r>
        <w:rPr>
          <w:rFonts w:hint="eastAsia" w:ascii="仿宋" w:hAnsi="仿宋" w:eastAsia="仿宋" w:cs="仿宋"/>
          <w:color w:val="auto"/>
          <w:sz w:val="24"/>
          <w:szCs w:val="24"/>
          <w:highlight w:val="none"/>
        </w:rPr>
        <w:t>所需的货物及相关服务组织</w:t>
      </w:r>
      <w:r>
        <w:rPr>
          <w:rFonts w:hint="eastAsia" w:ascii="仿宋" w:hAnsi="仿宋" w:eastAsia="仿宋" w:cs="仿宋"/>
          <w:b/>
          <w:color w:val="auto"/>
          <w:sz w:val="24"/>
          <w:szCs w:val="24"/>
          <w:highlight w:val="none"/>
          <w:u w:val="single"/>
        </w:rPr>
        <w:t>公开招标</w:t>
      </w:r>
      <w:r>
        <w:rPr>
          <w:rFonts w:hint="eastAsia" w:ascii="仿宋" w:hAnsi="仿宋" w:eastAsia="仿宋" w:cs="仿宋"/>
          <w:color w:val="auto"/>
          <w:sz w:val="24"/>
          <w:szCs w:val="24"/>
          <w:highlight w:val="none"/>
        </w:rPr>
        <w:t>，欢迎合格的国内投标人提交密封投标。有关事项如下：</w:t>
      </w:r>
    </w:p>
    <w:p>
      <w:pPr>
        <w:pStyle w:val="38"/>
        <w:shd w:val="clear" w:color="auto" w:fill="FFFFFF"/>
        <w:spacing w:before="0" w:beforeAutospacing="0" w:after="0" w:afterAutospacing="0" w:line="500" w:lineRule="exact"/>
        <w:rPr>
          <w:rFonts w:hint="default" w:ascii="仿宋" w:hAnsi="仿宋" w:eastAsia="仿宋" w:cs="仿宋"/>
          <w:color w:val="auto"/>
          <w:highlight w:val="none"/>
        </w:rPr>
      </w:pPr>
      <w:r>
        <w:rPr>
          <w:rStyle w:val="46"/>
          <w:rFonts w:ascii="仿宋" w:hAnsi="仿宋" w:eastAsia="仿宋" w:cs="仿宋"/>
          <w:color w:val="auto"/>
          <w:highlight w:val="none"/>
          <w:shd w:val="clear" w:color="auto" w:fill="FFFFFF"/>
        </w:rPr>
        <w:t>一、招标项目</w:t>
      </w:r>
    </w:p>
    <w:p>
      <w:pPr>
        <w:pStyle w:val="38"/>
        <w:shd w:val="clear" w:color="auto" w:fill="FFFFFF"/>
        <w:spacing w:before="0" w:beforeAutospacing="0" w:after="0" w:afterAutospacing="0" w:line="500" w:lineRule="exact"/>
        <w:rPr>
          <w:rFonts w:hint="default" w:ascii="仿宋" w:hAnsi="仿宋" w:eastAsia="仿宋" w:cs="仿宋"/>
          <w:color w:val="auto"/>
          <w:highlight w:val="none"/>
          <w:shd w:val="clear" w:color="auto" w:fill="FFFFFF"/>
        </w:rPr>
      </w:pPr>
      <w:r>
        <w:rPr>
          <w:rFonts w:ascii="仿宋" w:hAnsi="仿宋" w:eastAsia="仿宋" w:cs="仿宋"/>
          <w:color w:val="auto"/>
          <w:highlight w:val="none"/>
          <w:shd w:val="clear" w:color="auto" w:fill="FFFFFF"/>
        </w:rPr>
        <w:t xml:space="preserve">1、名称：厅海岸警察总队（筹备组）4G执法记录仪项目 </w:t>
      </w:r>
    </w:p>
    <w:p>
      <w:pPr>
        <w:pStyle w:val="38"/>
        <w:shd w:val="clear" w:color="auto" w:fill="FFFFFF"/>
        <w:spacing w:before="0" w:beforeAutospacing="0" w:after="0" w:afterAutospacing="0" w:line="500" w:lineRule="exact"/>
        <w:rPr>
          <w:rFonts w:hint="default" w:ascii="仿宋" w:hAnsi="仿宋" w:eastAsia="仿宋" w:cs="仿宋"/>
          <w:color w:val="auto"/>
          <w:highlight w:val="none"/>
          <w:shd w:val="clear" w:color="auto" w:fill="FFFFFF"/>
        </w:rPr>
      </w:pPr>
      <w:r>
        <w:rPr>
          <w:rFonts w:ascii="仿宋" w:hAnsi="仿宋" w:eastAsia="仿宋" w:cs="仿宋"/>
          <w:color w:val="auto"/>
          <w:highlight w:val="none"/>
          <w:shd w:val="clear" w:color="auto" w:fill="FFFFFF"/>
        </w:rPr>
        <w:t xml:space="preserve">2、项目编号：HNZH-2020-301 </w:t>
      </w:r>
    </w:p>
    <w:p>
      <w:pPr>
        <w:pStyle w:val="38"/>
        <w:shd w:val="clear" w:color="auto" w:fill="FFFFFF"/>
        <w:spacing w:before="0" w:beforeAutospacing="0" w:after="0" w:afterAutospacing="0" w:line="500" w:lineRule="exact"/>
        <w:rPr>
          <w:rFonts w:hint="default" w:ascii="仿宋" w:hAnsi="仿宋" w:eastAsia="仿宋" w:cs="仿宋"/>
          <w:color w:val="auto"/>
          <w:highlight w:val="none"/>
        </w:rPr>
      </w:pPr>
      <w:r>
        <w:rPr>
          <w:rFonts w:ascii="仿宋" w:hAnsi="仿宋" w:eastAsia="仿宋" w:cs="仿宋"/>
          <w:color w:val="auto"/>
          <w:highlight w:val="none"/>
          <w:shd w:val="clear" w:color="auto" w:fill="FFFFFF"/>
        </w:rPr>
        <w:t>3、用途：海南省公安厅工作需要</w:t>
      </w:r>
    </w:p>
    <w:p>
      <w:pPr>
        <w:pStyle w:val="38"/>
        <w:shd w:val="clear" w:color="auto" w:fill="FFFFFF"/>
        <w:spacing w:before="0" w:beforeAutospacing="0" w:after="0" w:afterAutospacing="0" w:line="500" w:lineRule="exact"/>
        <w:rPr>
          <w:rFonts w:hint="default" w:ascii="仿宋" w:hAnsi="仿宋" w:eastAsia="仿宋" w:cs="仿宋"/>
          <w:color w:val="auto"/>
          <w:highlight w:val="none"/>
        </w:rPr>
      </w:pPr>
      <w:r>
        <w:rPr>
          <w:rFonts w:ascii="仿宋" w:hAnsi="仿宋" w:eastAsia="仿宋" w:cs="仿宋"/>
          <w:color w:val="auto"/>
          <w:highlight w:val="none"/>
          <w:shd w:val="clear" w:color="auto" w:fill="FFFFFF"/>
        </w:rPr>
        <w:t xml:space="preserve">4、技术要求：详见“用户需求书” </w:t>
      </w:r>
    </w:p>
    <w:p>
      <w:pPr>
        <w:adjustRightInd w:val="0"/>
        <w:snapToGrid w:val="0"/>
        <w:spacing w:line="500" w:lineRule="atLeast"/>
        <w:rPr>
          <w:rFonts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rPr>
        <w:t xml:space="preserve">5、本项目预算：2200000.00元,最高限价：2107894.75元（超过最高限价的投标文件按无效投标处理） </w:t>
      </w:r>
    </w:p>
    <w:p>
      <w:pPr>
        <w:adjustRightInd w:val="0"/>
        <w:snapToGrid w:val="0"/>
        <w:spacing w:line="500" w:lineRule="atLeast"/>
        <w:rPr>
          <w:rFonts w:ascii="仿宋" w:hAnsi="仿宋" w:eastAsia="仿宋" w:cs="仿宋"/>
          <w:color w:val="auto"/>
          <w:sz w:val="24"/>
          <w:szCs w:val="24"/>
          <w:highlight w:val="none"/>
          <w:shd w:val="clear" w:color="auto" w:fill="FFFFFF"/>
        </w:rPr>
      </w:pPr>
      <w:r>
        <w:rPr>
          <w:rFonts w:hint="eastAsia" w:ascii="仿宋" w:hAnsi="仿宋" w:eastAsia="仿宋" w:cs="仿宋"/>
          <w:b/>
          <w:bCs/>
          <w:color w:val="auto"/>
          <w:sz w:val="24"/>
          <w:szCs w:val="24"/>
          <w:highlight w:val="none"/>
        </w:rPr>
        <w:t>二、投标人资格要求 ：</w:t>
      </w:r>
    </w:p>
    <w:p>
      <w:pPr>
        <w:snapToGrid w:val="0"/>
        <w:spacing w:line="360" w:lineRule="auto"/>
        <w:ind w:firstLine="480" w:firstLineChars="200"/>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1、</w:t>
      </w:r>
      <w:r>
        <w:rPr>
          <w:rFonts w:hint="eastAsia" w:ascii="仿宋" w:hAnsi="仿宋" w:eastAsia="仿宋"/>
          <w:color w:val="auto"/>
          <w:kern w:val="28"/>
          <w:sz w:val="24"/>
          <w:highlight w:val="none"/>
        </w:rPr>
        <w:t>在中华人民共和国注册，能够承担民事责任能力（需提供营业执照副本、税务登记证副本、组织机构代码证副本，三证合一的只须提供营业执照副本）；</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2、具有良好的商业信誉（提供2020年任意一个季度财务报表）；</w:t>
      </w:r>
    </w:p>
    <w:p>
      <w:pPr>
        <w:snapToGrid w:val="0"/>
        <w:spacing w:line="360" w:lineRule="auto"/>
        <w:ind w:firstLine="480" w:firstLineChars="200"/>
        <w:rPr>
          <w:rFonts w:ascii="仿宋" w:hAnsi="仿宋" w:eastAsia="仿宋" w:cs="仿宋"/>
          <w:color w:val="auto"/>
          <w:sz w:val="24"/>
          <w:highlight w:val="none"/>
          <w:lang w:val="zh-CN"/>
        </w:rPr>
      </w:pPr>
      <w:r>
        <w:rPr>
          <w:rFonts w:hint="eastAsia" w:ascii="仿宋" w:hAnsi="仿宋" w:eastAsia="仿宋" w:cs="仿宋"/>
          <w:color w:val="auto"/>
          <w:sz w:val="24"/>
          <w:highlight w:val="none"/>
        </w:rPr>
        <w:t>3、</w:t>
      </w:r>
      <w:r>
        <w:rPr>
          <w:rFonts w:hint="eastAsia" w:ascii="仿宋" w:hAnsi="仿宋" w:eastAsia="仿宋" w:cs="仿宋"/>
          <w:bCs/>
          <w:color w:val="auto"/>
          <w:sz w:val="24"/>
          <w:highlight w:val="none"/>
        </w:rPr>
        <w:t>有依法缴纳税收和社会保障资金的良好记录（提供2020年连续3个月份的纳税缴纳证明材料和社保缴纳证明材料）；</w:t>
      </w:r>
    </w:p>
    <w:p>
      <w:pPr>
        <w:snapToGrid w:val="0"/>
        <w:spacing w:line="360" w:lineRule="auto"/>
        <w:ind w:firstLine="480" w:firstLineChars="200"/>
        <w:rPr>
          <w:rFonts w:ascii="仿宋" w:hAnsi="仿宋" w:eastAsia="仿宋" w:cs="仿宋"/>
          <w:color w:val="auto"/>
          <w:sz w:val="24"/>
          <w:highlight w:val="none"/>
          <w:lang w:val="zh-CN"/>
        </w:rPr>
      </w:pPr>
      <w:r>
        <w:rPr>
          <w:rFonts w:hint="eastAsia" w:ascii="仿宋" w:hAnsi="仿宋" w:eastAsia="仿宋" w:cs="仿宋"/>
          <w:color w:val="auto"/>
          <w:sz w:val="24"/>
          <w:highlight w:val="none"/>
        </w:rPr>
        <w:t>4</w:t>
      </w:r>
      <w:r>
        <w:rPr>
          <w:rFonts w:hint="eastAsia" w:ascii="仿宋" w:hAnsi="仿宋" w:eastAsia="仿宋" w:cs="仿宋"/>
          <w:color w:val="auto"/>
          <w:sz w:val="24"/>
          <w:highlight w:val="none"/>
          <w:lang w:val="zh-CN"/>
        </w:rPr>
        <w:t>、</w:t>
      </w:r>
      <w:r>
        <w:rPr>
          <w:rFonts w:hint="eastAsia" w:ascii="仿宋" w:hAnsi="仿宋" w:eastAsia="仿宋" w:cs="仿宋"/>
          <w:bCs/>
          <w:color w:val="auto"/>
          <w:sz w:val="24"/>
          <w:highlight w:val="none"/>
        </w:rPr>
        <w:t>参加政府采购活动前三年内，在经营活动中没有重大违法记录（提供声明函）</w:t>
      </w:r>
      <w:r>
        <w:rPr>
          <w:rFonts w:hint="eastAsia" w:ascii="仿宋" w:hAnsi="仿宋" w:eastAsia="仿宋" w:cs="仿宋"/>
          <w:color w:val="auto"/>
          <w:sz w:val="24"/>
          <w:highlight w:val="none"/>
          <w:lang w:val="zh-CN"/>
        </w:rPr>
        <w:t>；</w:t>
      </w:r>
    </w:p>
    <w:p>
      <w:pPr>
        <w:spacing w:line="360" w:lineRule="auto"/>
        <w:ind w:firstLine="480" w:firstLineChars="200"/>
        <w:rPr>
          <w:rFonts w:ascii="仿宋" w:hAnsi="仿宋" w:eastAsia="仿宋" w:cs="仿宋"/>
          <w:color w:val="auto"/>
          <w:sz w:val="24"/>
          <w:szCs w:val="22"/>
          <w:highlight w:val="none"/>
        </w:rPr>
      </w:pPr>
      <w:r>
        <w:rPr>
          <w:rFonts w:ascii="仿宋" w:hAnsi="仿宋" w:eastAsia="仿宋" w:cs="仿宋"/>
          <w:color w:val="auto"/>
          <w:sz w:val="24"/>
          <w:highlight w:val="none"/>
        </w:rPr>
        <w:t>5</w:t>
      </w:r>
      <w:r>
        <w:rPr>
          <w:rFonts w:hint="eastAsia" w:ascii="仿宋" w:hAnsi="仿宋" w:eastAsia="仿宋" w:cs="仿宋"/>
          <w:color w:val="auto"/>
          <w:sz w:val="24"/>
          <w:highlight w:val="none"/>
        </w:rPr>
        <w:t>、</w:t>
      </w:r>
      <w:r>
        <w:rPr>
          <w:rFonts w:hint="eastAsia" w:ascii="仿宋" w:hAnsi="仿宋" w:eastAsia="仿宋" w:cs="仿宋"/>
          <w:color w:val="auto"/>
          <w:sz w:val="24"/>
          <w:szCs w:val="22"/>
          <w:highlight w:val="none"/>
        </w:rPr>
        <w:t>“信用中国”网站(www.creditchina.gov.cn)、中国政府采购网(www.ccgp.gov.cn)渠道查询供应商信用记录，经查询列入失信被执行人、重大税收违法案件当事人名单、政府采购严重违法失信行为记录名单</w:t>
      </w:r>
    </w:p>
    <w:p>
      <w:pPr>
        <w:spacing w:line="360" w:lineRule="auto"/>
        <w:ind w:firstLine="480" w:firstLineChars="200"/>
        <w:rPr>
          <w:rFonts w:ascii="仿宋" w:hAnsi="仿宋" w:eastAsia="仿宋" w:cs="仿宋"/>
          <w:bCs/>
          <w:color w:val="auto"/>
          <w:sz w:val="24"/>
          <w:highlight w:val="none"/>
        </w:rPr>
      </w:pPr>
      <w:r>
        <w:rPr>
          <w:rFonts w:ascii="仿宋" w:hAnsi="仿宋" w:eastAsia="仿宋" w:cs="仿宋"/>
          <w:bCs/>
          <w:color w:val="auto"/>
          <w:sz w:val="24"/>
          <w:highlight w:val="none"/>
        </w:rPr>
        <w:t>6</w:t>
      </w:r>
      <w:r>
        <w:rPr>
          <w:rFonts w:hint="eastAsia" w:ascii="仿宋" w:hAnsi="仿宋" w:eastAsia="仿宋" w:cs="仿宋"/>
          <w:bCs/>
          <w:color w:val="auto"/>
          <w:sz w:val="24"/>
          <w:highlight w:val="none"/>
        </w:rPr>
        <w:t>、本项目不接受联合体投标。</w:t>
      </w:r>
    </w:p>
    <w:p>
      <w:pPr>
        <w:pStyle w:val="38"/>
        <w:shd w:val="clear" w:color="auto" w:fill="FFFFFF"/>
        <w:spacing w:before="0" w:beforeAutospacing="0" w:after="0" w:afterAutospacing="0" w:line="500" w:lineRule="exact"/>
        <w:rPr>
          <w:rFonts w:hint="default" w:ascii="仿宋" w:hAnsi="仿宋" w:eastAsia="仿宋" w:cs="仿宋"/>
          <w:color w:val="auto"/>
          <w:highlight w:val="none"/>
        </w:rPr>
      </w:pPr>
      <w:r>
        <w:rPr>
          <w:rStyle w:val="46"/>
          <w:rFonts w:ascii="仿宋" w:hAnsi="仿宋" w:eastAsia="仿宋" w:cs="仿宋"/>
          <w:color w:val="auto"/>
          <w:highlight w:val="none"/>
          <w:shd w:val="clear" w:color="auto" w:fill="FFFFFF"/>
        </w:rPr>
        <w:t>三、招标文件的获取</w:t>
      </w:r>
    </w:p>
    <w:p>
      <w:pPr>
        <w:pStyle w:val="38"/>
        <w:shd w:val="clear" w:color="auto" w:fill="FFFFFF"/>
        <w:spacing w:before="0" w:beforeAutospacing="0" w:after="0" w:afterAutospacing="0" w:line="500" w:lineRule="exact"/>
        <w:rPr>
          <w:rFonts w:hint="default" w:ascii="仿宋" w:hAnsi="仿宋" w:eastAsia="仿宋" w:cs="仿宋"/>
          <w:color w:val="auto"/>
          <w:highlight w:val="none"/>
        </w:rPr>
      </w:pPr>
      <w:r>
        <w:rPr>
          <w:rFonts w:ascii="仿宋" w:hAnsi="仿宋" w:eastAsia="仿宋" w:cs="仿宋"/>
          <w:color w:val="auto"/>
          <w:highlight w:val="none"/>
          <w:shd w:val="clear" w:color="auto" w:fill="FFFFFF"/>
        </w:rPr>
        <w:t>1、</w:t>
      </w:r>
      <w:r>
        <w:rPr>
          <w:rFonts w:ascii="仿宋" w:hAnsi="仿宋" w:eastAsia="仿宋" w:cs="仿宋"/>
          <w:color w:val="auto"/>
          <w:highlight w:val="none"/>
        </w:rPr>
        <w:t>发售标书时间：2020年</w:t>
      </w:r>
      <w:r>
        <w:rPr>
          <w:rFonts w:hint="eastAsia" w:ascii="仿宋" w:hAnsi="仿宋" w:eastAsia="仿宋" w:cs="仿宋"/>
          <w:color w:val="auto"/>
          <w:highlight w:val="none"/>
          <w:lang w:val="en-US" w:eastAsia="zh-CN"/>
        </w:rPr>
        <w:t>12</w:t>
      </w:r>
      <w:r>
        <w:rPr>
          <w:rFonts w:ascii="仿宋" w:hAnsi="仿宋" w:eastAsia="仿宋" w:cs="仿宋"/>
          <w:color w:val="auto"/>
          <w:highlight w:val="none"/>
        </w:rPr>
        <w:t>月</w:t>
      </w:r>
      <w:r>
        <w:rPr>
          <w:rFonts w:hint="eastAsia" w:ascii="仿宋" w:hAnsi="仿宋" w:eastAsia="仿宋" w:cs="仿宋"/>
          <w:color w:val="auto"/>
          <w:highlight w:val="none"/>
          <w:lang w:val="en-US" w:eastAsia="zh-CN"/>
        </w:rPr>
        <w:t>18</w:t>
      </w:r>
      <w:r>
        <w:rPr>
          <w:rFonts w:ascii="仿宋" w:hAnsi="仿宋" w:eastAsia="仿宋" w:cs="仿宋"/>
          <w:color w:val="auto"/>
          <w:highlight w:val="none"/>
        </w:rPr>
        <w:t>日</w:t>
      </w:r>
      <w:r>
        <w:rPr>
          <w:rFonts w:hint="eastAsia" w:ascii="仿宋" w:hAnsi="仿宋" w:eastAsia="仿宋" w:cs="仿宋"/>
          <w:color w:val="auto"/>
          <w:highlight w:val="none"/>
          <w:lang w:val="en-US" w:eastAsia="zh-CN"/>
        </w:rPr>
        <w:t>08:30</w:t>
      </w:r>
      <w:r>
        <w:rPr>
          <w:rFonts w:ascii="仿宋" w:hAnsi="仿宋" w:eastAsia="仿宋" w:cs="仿宋"/>
          <w:color w:val="auto"/>
          <w:highlight w:val="none"/>
        </w:rPr>
        <w:t xml:space="preserve"> — 2020年</w:t>
      </w:r>
      <w:r>
        <w:rPr>
          <w:rFonts w:hint="eastAsia" w:ascii="仿宋" w:hAnsi="仿宋" w:eastAsia="仿宋" w:cs="仿宋"/>
          <w:color w:val="auto"/>
          <w:highlight w:val="none"/>
          <w:lang w:val="en-US" w:eastAsia="zh-CN"/>
        </w:rPr>
        <w:t>12</w:t>
      </w:r>
      <w:r>
        <w:rPr>
          <w:rFonts w:ascii="仿宋" w:hAnsi="仿宋" w:eastAsia="仿宋" w:cs="仿宋"/>
          <w:color w:val="auto"/>
          <w:highlight w:val="none"/>
        </w:rPr>
        <w:t>月</w:t>
      </w:r>
      <w:r>
        <w:rPr>
          <w:rFonts w:hint="eastAsia" w:ascii="仿宋" w:hAnsi="仿宋" w:eastAsia="仿宋" w:cs="仿宋"/>
          <w:color w:val="auto"/>
          <w:highlight w:val="none"/>
          <w:lang w:val="en-US" w:eastAsia="zh-CN"/>
        </w:rPr>
        <w:t>24</w:t>
      </w:r>
      <w:r>
        <w:rPr>
          <w:rFonts w:ascii="仿宋" w:hAnsi="仿宋" w:eastAsia="仿宋" w:cs="仿宋"/>
          <w:color w:val="auto"/>
          <w:highlight w:val="none"/>
        </w:rPr>
        <w:t>日</w:t>
      </w:r>
      <w:r>
        <w:rPr>
          <w:rFonts w:hint="eastAsia" w:ascii="仿宋" w:hAnsi="仿宋" w:eastAsia="仿宋" w:cs="仿宋"/>
          <w:color w:val="auto"/>
          <w:highlight w:val="none"/>
          <w:lang w:val="en-US" w:eastAsia="zh-CN"/>
        </w:rPr>
        <w:t>17:30</w:t>
      </w:r>
      <w:r>
        <w:rPr>
          <w:rFonts w:ascii="仿宋" w:hAnsi="仿宋" w:eastAsia="仿宋" w:cs="仿宋"/>
          <w:color w:val="auto"/>
          <w:highlight w:val="none"/>
        </w:rPr>
        <w:t>（节假日除外）；</w:t>
      </w:r>
    </w:p>
    <w:p>
      <w:pPr>
        <w:pStyle w:val="38"/>
        <w:shd w:val="clear" w:color="auto" w:fill="FFFFFF"/>
        <w:spacing w:before="0" w:beforeAutospacing="0" w:after="0" w:afterAutospacing="0" w:line="500" w:lineRule="exact"/>
        <w:rPr>
          <w:rFonts w:hint="default" w:ascii="仿宋" w:hAnsi="仿宋" w:eastAsia="仿宋" w:cs="仿宋"/>
          <w:color w:val="auto"/>
          <w:highlight w:val="none"/>
        </w:rPr>
      </w:pPr>
      <w:r>
        <w:rPr>
          <w:rFonts w:ascii="仿宋" w:hAnsi="仿宋" w:eastAsia="仿宋" w:cs="仿宋"/>
          <w:color w:val="auto"/>
          <w:highlight w:val="none"/>
          <w:shd w:val="clear" w:color="auto" w:fill="FFFFFF"/>
        </w:rPr>
        <w:t>2、标书发售地点：海口市美兰区五指山路16-3号康业花园西湖苑G栋2A。</w:t>
      </w:r>
    </w:p>
    <w:p>
      <w:pPr>
        <w:pStyle w:val="38"/>
        <w:shd w:val="clear" w:color="auto" w:fill="FFFFFF"/>
        <w:spacing w:before="0" w:beforeAutospacing="0" w:after="0" w:afterAutospacing="0" w:line="500" w:lineRule="exact"/>
        <w:rPr>
          <w:rFonts w:hint="default" w:ascii="仿宋" w:hAnsi="仿宋" w:eastAsia="仿宋" w:cs="仿宋"/>
          <w:color w:val="auto"/>
          <w:highlight w:val="none"/>
          <w:shd w:val="clear" w:color="auto" w:fill="FFFFFF"/>
        </w:rPr>
      </w:pPr>
      <w:r>
        <w:rPr>
          <w:rFonts w:ascii="仿宋" w:hAnsi="仿宋" w:eastAsia="仿宋" w:cs="仿宋"/>
          <w:color w:val="auto"/>
          <w:highlight w:val="none"/>
        </w:rPr>
        <w:t>方式：现场报名。报名时需提交的材料：营业执照副本、税务登记证、组织机构代码、或三证合一（一证一照）的新证、</w:t>
      </w:r>
      <w:r>
        <w:rPr>
          <w:rFonts w:ascii="仿宋" w:hAnsi="仿宋" w:eastAsia="仿宋" w:cs="仿宋"/>
          <w:bCs/>
          <w:color w:val="auto"/>
          <w:highlight w:val="none"/>
        </w:rPr>
        <w:t>无违法记录声明函、</w:t>
      </w:r>
      <w:r>
        <w:rPr>
          <w:rFonts w:ascii="仿宋" w:hAnsi="仿宋" w:eastAsia="仿宋" w:cs="仿宋"/>
          <w:color w:val="auto"/>
          <w:highlight w:val="none"/>
        </w:rPr>
        <w:t>法定代表人授权委托书（原件）、经办人需提供现公司社保证明。</w:t>
      </w:r>
    </w:p>
    <w:p>
      <w:pPr>
        <w:pStyle w:val="38"/>
        <w:shd w:val="clear" w:color="auto" w:fill="FFFFFF"/>
        <w:spacing w:before="0" w:beforeAutospacing="0" w:after="0" w:afterAutospacing="0" w:line="500" w:lineRule="exact"/>
        <w:rPr>
          <w:rFonts w:hint="default" w:ascii="仿宋" w:hAnsi="仿宋" w:eastAsia="仿宋" w:cs="仿宋"/>
          <w:color w:val="auto"/>
          <w:highlight w:val="none"/>
        </w:rPr>
      </w:pPr>
      <w:r>
        <w:rPr>
          <w:rFonts w:ascii="仿宋" w:hAnsi="仿宋" w:eastAsia="仿宋" w:cs="仿宋"/>
          <w:color w:val="auto"/>
          <w:highlight w:val="none"/>
          <w:shd w:val="clear" w:color="auto" w:fill="FFFFFF"/>
        </w:rPr>
        <w:t>3、标书售价：300元/套（售后不退）。</w:t>
      </w:r>
    </w:p>
    <w:p>
      <w:pPr>
        <w:snapToGrid w:val="0"/>
        <w:spacing w:line="500" w:lineRule="exact"/>
        <w:rPr>
          <w:rStyle w:val="46"/>
          <w:rFonts w:ascii="仿宋" w:hAnsi="仿宋" w:eastAsia="仿宋" w:cs="仿宋"/>
          <w:color w:val="auto"/>
          <w:highlight w:val="none"/>
          <w:shd w:val="clear" w:color="auto" w:fill="FFFFFF"/>
        </w:rPr>
      </w:pPr>
      <w:r>
        <w:rPr>
          <w:rFonts w:hint="eastAsia" w:ascii="仿宋" w:hAnsi="仿宋" w:eastAsia="仿宋" w:cs="仿宋"/>
          <w:color w:val="auto"/>
          <w:sz w:val="24"/>
          <w:szCs w:val="22"/>
          <w:highlight w:val="none"/>
        </w:rPr>
        <w:t>5、本项目采购公告不少于5个工作日，自 2020年</w:t>
      </w:r>
      <w:r>
        <w:rPr>
          <w:rFonts w:hint="eastAsia" w:ascii="仿宋" w:hAnsi="仿宋" w:eastAsia="仿宋" w:cs="仿宋"/>
          <w:color w:val="auto"/>
          <w:sz w:val="24"/>
          <w:szCs w:val="22"/>
          <w:highlight w:val="none"/>
          <w:lang w:val="en-US" w:eastAsia="zh-CN"/>
        </w:rPr>
        <w:t>12</w:t>
      </w:r>
      <w:r>
        <w:rPr>
          <w:rFonts w:hint="eastAsia" w:ascii="仿宋" w:hAnsi="仿宋" w:eastAsia="仿宋" w:cs="仿宋"/>
          <w:color w:val="auto"/>
          <w:sz w:val="24"/>
          <w:szCs w:val="22"/>
          <w:highlight w:val="none"/>
        </w:rPr>
        <w:t>月</w:t>
      </w:r>
      <w:r>
        <w:rPr>
          <w:rFonts w:hint="eastAsia" w:ascii="仿宋" w:hAnsi="仿宋" w:eastAsia="仿宋" w:cs="仿宋"/>
          <w:color w:val="auto"/>
          <w:sz w:val="24"/>
          <w:szCs w:val="22"/>
          <w:highlight w:val="none"/>
          <w:lang w:val="en-US" w:eastAsia="zh-CN"/>
        </w:rPr>
        <w:t>18</w:t>
      </w:r>
      <w:r>
        <w:rPr>
          <w:rFonts w:hint="eastAsia" w:ascii="仿宋" w:hAnsi="仿宋" w:eastAsia="仿宋" w:cs="仿宋"/>
          <w:color w:val="auto"/>
          <w:sz w:val="24"/>
          <w:szCs w:val="22"/>
          <w:highlight w:val="none"/>
        </w:rPr>
        <w:t>日</w:t>
      </w:r>
      <w:r>
        <w:rPr>
          <w:rFonts w:hint="eastAsia" w:ascii="仿宋" w:hAnsi="仿宋" w:eastAsia="仿宋" w:cs="仿宋"/>
          <w:color w:val="auto"/>
          <w:sz w:val="24"/>
          <w:szCs w:val="22"/>
          <w:highlight w:val="none"/>
          <w:lang w:val="en-US" w:eastAsia="zh-CN"/>
        </w:rPr>
        <w:t>08</w:t>
      </w:r>
      <w:r>
        <w:rPr>
          <w:rFonts w:hint="eastAsia" w:ascii="仿宋" w:hAnsi="仿宋" w:eastAsia="仿宋" w:cs="仿宋"/>
          <w:color w:val="auto"/>
          <w:sz w:val="24"/>
          <w:szCs w:val="22"/>
          <w:highlight w:val="none"/>
        </w:rPr>
        <w:t>时</w:t>
      </w:r>
      <w:r>
        <w:rPr>
          <w:rFonts w:hint="eastAsia" w:ascii="仿宋" w:hAnsi="仿宋" w:eastAsia="仿宋" w:cs="仿宋"/>
          <w:color w:val="auto"/>
          <w:sz w:val="24"/>
          <w:szCs w:val="22"/>
          <w:highlight w:val="none"/>
          <w:lang w:val="en-US" w:eastAsia="zh-CN"/>
        </w:rPr>
        <w:t>30</w:t>
      </w:r>
      <w:r>
        <w:rPr>
          <w:rFonts w:hint="eastAsia" w:ascii="仿宋" w:hAnsi="仿宋" w:eastAsia="仿宋" w:cs="仿宋"/>
          <w:color w:val="auto"/>
          <w:sz w:val="24"/>
          <w:szCs w:val="22"/>
          <w:highlight w:val="none"/>
        </w:rPr>
        <w:t>分至</w:t>
      </w:r>
      <w:r>
        <w:rPr>
          <w:rFonts w:hint="eastAsia" w:ascii="仿宋" w:hAnsi="仿宋" w:eastAsia="仿宋" w:cs="仿宋"/>
          <w:color w:val="auto"/>
          <w:sz w:val="24"/>
          <w:szCs w:val="22"/>
          <w:highlight w:val="none"/>
          <w:lang w:val="en-US" w:eastAsia="zh-CN"/>
        </w:rPr>
        <w:t>2020</w:t>
      </w:r>
      <w:r>
        <w:rPr>
          <w:rFonts w:hint="eastAsia" w:ascii="仿宋" w:hAnsi="仿宋" w:eastAsia="仿宋" w:cs="仿宋"/>
          <w:color w:val="auto"/>
          <w:sz w:val="24"/>
          <w:szCs w:val="22"/>
          <w:highlight w:val="none"/>
        </w:rPr>
        <w:t>年</w:t>
      </w:r>
      <w:r>
        <w:rPr>
          <w:rFonts w:hint="eastAsia" w:ascii="仿宋" w:hAnsi="仿宋" w:eastAsia="仿宋" w:cs="仿宋"/>
          <w:color w:val="auto"/>
          <w:sz w:val="24"/>
          <w:szCs w:val="22"/>
          <w:highlight w:val="none"/>
          <w:lang w:val="en-US" w:eastAsia="zh-CN"/>
        </w:rPr>
        <w:t>12</w:t>
      </w:r>
      <w:r>
        <w:rPr>
          <w:rFonts w:hint="eastAsia" w:ascii="仿宋" w:hAnsi="仿宋" w:eastAsia="仿宋" w:cs="仿宋"/>
          <w:color w:val="auto"/>
          <w:sz w:val="24"/>
          <w:szCs w:val="22"/>
          <w:highlight w:val="none"/>
        </w:rPr>
        <w:t>月</w:t>
      </w:r>
      <w:r>
        <w:rPr>
          <w:rFonts w:hint="eastAsia" w:ascii="仿宋" w:hAnsi="仿宋" w:eastAsia="仿宋" w:cs="仿宋"/>
          <w:color w:val="auto"/>
          <w:sz w:val="24"/>
          <w:szCs w:val="22"/>
          <w:highlight w:val="none"/>
          <w:lang w:val="en-US" w:eastAsia="zh-CN"/>
        </w:rPr>
        <w:t>24</w:t>
      </w:r>
      <w:r>
        <w:rPr>
          <w:rFonts w:hint="eastAsia" w:ascii="仿宋" w:hAnsi="仿宋" w:eastAsia="仿宋" w:cs="仿宋"/>
          <w:color w:val="auto"/>
          <w:sz w:val="24"/>
          <w:szCs w:val="22"/>
          <w:highlight w:val="none"/>
        </w:rPr>
        <w:t>日</w:t>
      </w:r>
      <w:r>
        <w:rPr>
          <w:rFonts w:hint="eastAsia" w:ascii="仿宋" w:hAnsi="仿宋" w:eastAsia="仿宋" w:cs="仿宋"/>
          <w:color w:val="auto"/>
          <w:sz w:val="24"/>
          <w:szCs w:val="22"/>
          <w:highlight w:val="none"/>
          <w:lang w:val="en-US" w:eastAsia="zh-CN"/>
        </w:rPr>
        <w:t>17</w:t>
      </w:r>
      <w:r>
        <w:rPr>
          <w:rFonts w:hint="eastAsia" w:ascii="仿宋" w:hAnsi="仿宋" w:eastAsia="仿宋" w:cs="仿宋"/>
          <w:color w:val="auto"/>
          <w:sz w:val="24"/>
          <w:szCs w:val="22"/>
          <w:highlight w:val="none"/>
        </w:rPr>
        <w:t>时</w:t>
      </w:r>
      <w:r>
        <w:rPr>
          <w:rFonts w:hint="eastAsia" w:ascii="仿宋" w:hAnsi="仿宋" w:eastAsia="仿宋" w:cs="仿宋"/>
          <w:color w:val="auto"/>
          <w:sz w:val="24"/>
          <w:szCs w:val="22"/>
          <w:highlight w:val="none"/>
          <w:lang w:val="en-US" w:eastAsia="zh-CN"/>
        </w:rPr>
        <w:t>30</w:t>
      </w:r>
      <w:r>
        <w:rPr>
          <w:rFonts w:hint="eastAsia" w:ascii="仿宋" w:hAnsi="仿宋" w:eastAsia="仿宋" w:cs="仿宋"/>
          <w:color w:val="auto"/>
          <w:sz w:val="24"/>
          <w:szCs w:val="22"/>
          <w:highlight w:val="none"/>
        </w:rPr>
        <w:t>分止</w:t>
      </w:r>
    </w:p>
    <w:p>
      <w:pPr>
        <w:pStyle w:val="38"/>
        <w:shd w:val="clear" w:color="auto" w:fill="FFFFFF"/>
        <w:spacing w:before="0" w:beforeAutospacing="0" w:after="0" w:afterAutospacing="0" w:line="500" w:lineRule="exact"/>
        <w:rPr>
          <w:rFonts w:hint="default" w:ascii="仿宋" w:hAnsi="仿宋" w:eastAsia="仿宋" w:cs="仿宋"/>
          <w:color w:val="auto"/>
          <w:highlight w:val="none"/>
          <w:shd w:val="clear" w:color="auto" w:fill="FFFFFF"/>
        </w:rPr>
      </w:pPr>
      <w:r>
        <w:rPr>
          <w:rFonts w:ascii="仿宋" w:hAnsi="仿宋" w:eastAsia="仿宋" w:cs="仿宋"/>
          <w:color w:val="auto"/>
          <w:highlight w:val="none"/>
          <w:shd w:val="clear" w:color="auto" w:fill="FFFFFF"/>
        </w:rPr>
        <w:t>6、保证金到账截止日期：202</w:t>
      </w:r>
      <w:r>
        <w:rPr>
          <w:rFonts w:hint="eastAsia" w:ascii="仿宋" w:hAnsi="仿宋" w:eastAsia="仿宋" w:cs="仿宋"/>
          <w:color w:val="auto"/>
          <w:highlight w:val="none"/>
          <w:shd w:val="clear" w:color="auto" w:fill="FFFFFF"/>
          <w:lang w:val="en-US" w:eastAsia="zh-CN"/>
        </w:rPr>
        <w:t>1</w:t>
      </w:r>
      <w:r>
        <w:rPr>
          <w:rFonts w:ascii="仿宋" w:hAnsi="仿宋" w:eastAsia="仿宋" w:cs="仿宋"/>
          <w:color w:val="auto"/>
          <w:highlight w:val="none"/>
          <w:shd w:val="clear" w:color="auto" w:fill="FFFFFF"/>
        </w:rPr>
        <w:t>年</w:t>
      </w:r>
      <w:r>
        <w:rPr>
          <w:rFonts w:hint="eastAsia" w:ascii="仿宋" w:hAnsi="仿宋" w:eastAsia="仿宋" w:cs="仿宋"/>
          <w:color w:val="auto"/>
          <w:highlight w:val="none"/>
          <w:shd w:val="clear" w:color="auto" w:fill="FFFFFF"/>
          <w:lang w:val="en-US" w:eastAsia="zh-CN"/>
        </w:rPr>
        <w:t>01</w:t>
      </w:r>
      <w:r>
        <w:rPr>
          <w:rFonts w:ascii="仿宋" w:hAnsi="仿宋" w:eastAsia="仿宋" w:cs="仿宋"/>
          <w:color w:val="auto"/>
          <w:highlight w:val="none"/>
          <w:shd w:val="clear" w:color="auto" w:fill="FFFFFF"/>
        </w:rPr>
        <w:t>月</w:t>
      </w:r>
      <w:r>
        <w:rPr>
          <w:rFonts w:hint="eastAsia" w:ascii="仿宋" w:hAnsi="仿宋" w:eastAsia="仿宋" w:cs="仿宋"/>
          <w:color w:val="auto"/>
          <w:highlight w:val="none"/>
          <w:shd w:val="clear" w:color="auto" w:fill="FFFFFF"/>
          <w:lang w:val="en-US" w:eastAsia="zh-CN"/>
        </w:rPr>
        <w:t>07</w:t>
      </w:r>
      <w:r>
        <w:rPr>
          <w:rFonts w:ascii="仿宋" w:hAnsi="仿宋" w:eastAsia="仿宋" w:cs="仿宋"/>
          <w:color w:val="auto"/>
          <w:highlight w:val="none"/>
          <w:shd w:val="clear" w:color="auto" w:fill="FFFFFF"/>
        </w:rPr>
        <w:t>日</w:t>
      </w:r>
      <w:r>
        <w:rPr>
          <w:rFonts w:hint="eastAsia" w:ascii="仿宋" w:hAnsi="仿宋" w:eastAsia="仿宋" w:cs="仿宋"/>
          <w:color w:val="auto"/>
          <w:highlight w:val="none"/>
          <w:shd w:val="clear" w:color="auto" w:fill="FFFFFF"/>
          <w:lang w:val="en-US" w:eastAsia="zh-CN"/>
        </w:rPr>
        <w:t>08:30</w:t>
      </w:r>
      <w:r>
        <w:rPr>
          <w:rFonts w:ascii="仿宋" w:hAnsi="仿宋" w:eastAsia="仿宋" w:cs="仿宋"/>
          <w:color w:val="auto"/>
          <w:highlight w:val="none"/>
          <w:shd w:val="clear" w:color="auto" w:fill="FFFFFF"/>
        </w:rPr>
        <w:t xml:space="preserve">（北京时间）前，投标保证金支付形式：网上支付，支付地址为： </w:t>
      </w:r>
    </w:p>
    <w:p>
      <w:pPr>
        <w:pStyle w:val="38"/>
        <w:shd w:val="clear" w:color="auto" w:fill="FFFFFF"/>
        <w:spacing w:before="0" w:beforeAutospacing="0" w:after="0" w:afterAutospacing="0" w:line="500" w:lineRule="exact"/>
        <w:rPr>
          <w:rFonts w:hint="default" w:ascii="仿宋" w:hAnsi="仿宋" w:eastAsia="仿宋" w:cs="仿宋"/>
          <w:color w:val="auto"/>
          <w:highlight w:val="none"/>
          <w:shd w:val="clear" w:color="auto" w:fill="FFFFFF"/>
        </w:rPr>
      </w:pPr>
      <w:r>
        <w:rPr>
          <w:rFonts w:ascii="仿宋" w:hAnsi="仿宋" w:eastAsia="仿宋" w:cs="仿宋"/>
          <w:color w:val="auto"/>
          <w:highlight w:val="none"/>
          <w:shd w:val="clear" w:color="auto" w:fill="FFFFFF"/>
        </w:rPr>
        <w:t>户  名：海南政辉招投标代理有限公司</w:t>
      </w:r>
    </w:p>
    <w:p>
      <w:pPr>
        <w:pStyle w:val="38"/>
        <w:shd w:val="clear" w:color="auto" w:fill="FFFFFF"/>
        <w:spacing w:before="0" w:beforeAutospacing="0" w:after="0" w:afterAutospacing="0" w:line="500" w:lineRule="exact"/>
        <w:rPr>
          <w:rFonts w:hint="default" w:ascii="仿宋" w:hAnsi="仿宋" w:eastAsia="仿宋" w:cs="仿宋"/>
          <w:color w:val="auto"/>
          <w:highlight w:val="none"/>
          <w:shd w:val="clear" w:color="auto" w:fill="FFFFFF"/>
        </w:rPr>
      </w:pPr>
      <w:r>
        <w:rPr>
          <w:rFonts w:ascii="仿宋" w:hAnsi="仿宋" w:eastAsia="仿宋" w:cs="仿宋"/>
          <w:color w:val="auto"/>
          <w:highlight w:val="none"/>
          <w:shd w:val="clear" w:color="auto" w:fill="FFFFFF"/>
        </w:rPr>
        <w:t>开户行：中国工商银行股份有限公司海口新华支行</w:t>
      </w:r>
    </w:p>
    <w:p>
      <w:pPr>
        <w:pStyle w:val="38"/>
        <w:shd w:val="clear" w:color="auto" w:fill="FFFFFF"/>
        <w:spacing w:before="0" w:beforeAutospacing="0" w:after="0" w:afterAutospacing="0" w:line="500" w:lineRule="exact"/>
        <w:rPr>
          <w:rFonts w:hint="default" w:ascii="仿宋" w:hAnsi="仿宋" w:eastAsia="仿宋" w:cs="仿宋"/>
          <w:color w:val="auto"/>
          <w:highlight w:val="none"/>
          <w:shd w:val="clear" w:color="auto" w:fill="FFFFFF"/>
        </w:rPr>
      </w:pPr>
      <w:r>
        <w:rPr>
          <w:rFonts w:ascii="仿宋" w:hAnsi="仿宋" w:eastAsia="仿宋" w:cs="仿宋"/>
          <w:color w:val="auto"/>
          <w:highlight w:val="none"/>
          <w:shd w:val="clear" w:color="auto" w:fill="FFFFFF"/>
        </w:rPr>
        <w:t>账  户：2201023809200980178</w:t>
      </w:r>
    </w:p>
    <w:p>
      <w:pPr>
        <w:pStyle w:val="38"/>
        <w:shd w:val="clear" w:color="auto" w:fill="FFFFFF"/>
        <w:spacing w:before="0" w:beforeAutospacing="0" w:after="0" w:afterAutospacing="0" w:line="500" w:lineRule="exact"/>
        <w:rPr>
          <w:rFonts w:hint="default" w:ascii="仿宋" w:hAnsi="仿宋" w:eastAsia="仿宋" w:cs="仿宋"/>
          <w:color w:val="auto"/>
          <w:highlight w:val="none"/>
        </w:rPr>
      </w:pPr>
      <w:r>
        <w:rPr>
          <w:rFonts w:ascii="仿宋" w:hAnsi="仿宋" w:eastAsia="仿宋" w:cs="仿宋"/>
          <w:color w:val="auto"/>
          <w:highlight w:val="none"/>
          <w:shd w:val="clear" w:color="auto" w:fill="FFFFFF"/>
        </w:rPr>
        <w:t>保证金金额</w:t>
      </w:r>
      <w:r>
        <w:rPr>
          <w:rFonts w:ascii="仿宋" w:hAnsi="仿宋" w:eastAsia="仿宋" w:cs="仿宋"/>
          <w:color w:val="auto"/>
          <w:highlight w:val="none"/>
        </w:rPr>
        <w:t>：21078.00元（大写：贰万壹仟零柒拾捌元整）</w:t>
      </w:r>
    </w:p>
    <w:p>
      <w:pPr>
        <w:pStyle w:val="38"/>
        <w:shd w:val="clear" w:color="auto" w:fill="FFFFFF"/>
        <w:spacing w:before="0" w:beforeAutospacing="0" w:after="0" w:afterAutospacing="0" w:line="500" w:lineRule="exact"/>
        <w:rPr>
          <w:rFonts w:hint="default" w:ascii="仿宋" w:hAnsi="仿宋" w:eastAsia="仿宋" w:cs="仿宋"/>
          <w:color w:val="auto"/>
          <w:highlight w:val="none"/>
        </w:rPr>
      </w:pPr>
      <w:r>
        <w:rPr>
          <w:rStyle w:val="46"/>
          <w:rFonts w:ascii="仿宋" w:hAnsi="仿宋" w:eastAsia="仿宋" w:cs="仿宋"/>
          <w:color w:val="auto"/>
          <w:highlight w:val="none"/>
          <w:shd w:val="clear" w:color="auto" w:fill="FFFFFF"/>
        </w:rPr>
        <w:t>四、投标截止时间、开标时间及地点</w:t>
      </w:r>
    </w:p>
    <w:p>
      <w:pPr>
        <w:pStyle w:val="38"/>
        <w:shd w:val="clear" w:color="auto" w:fill="FFFFFF"/>
        <w:spacing w:before="0" w:beforeAutospacing="0" w:after="0" w:afterAutospacing="0" w:line="500" w:lineRule="exact"/>
        <w:rPr>
          <w:rFonts w:hint="default" w:ascii="仿宋" w:hAnsi="仿宋" w:eastAsia="仿宋" w:cs="仿宋"/>
          <w:color w:val="auto"/>
          <w:highlight w:val="none"/>
        </w:rPr>
      </w:pPr>
      <w:r>
        <w:rPr>
          <w:rFonts w:ascii="仿宋" w:hAnsi="仿宋" w:eastAsia="仿宋" w:cs="仿宋"/>
          <w:color w:val="auto"/>
          <w:highlight w:val="none"/>
          <w:shd w:val="clear" w:color="auto" w:fill="FFFFFF"/>
        </w:rPr>
        <w:t>1、递交投标文件时间</w:t>
      </w:r>
      <w:r>
        <w:rPr>
          <w:rFonts w:ascii="仿宋" w:hAnsi="仿宋" w:eastAsia="仿宋" w:cs="仿宋"/>
          <w:color w:val="auto"/>
          <w:highlight w:val="none"/>
        </w:rPr>
        <w:t>：</w:t>
      </w:r>
      <w:r>
        <w:rPr>
          <w:rFonts w:ascii="仿宋" w:hAnsi="仿宋" w:eastAsia="仿宋" w:cs="仿宋"/>
          <w:color w:val="auto"/>
          <w:highlight w:val="none"/>
          <w:shd w:val="clear" w:color="auto" w:fill="FFFFFF"/>
        </w:rPr>
        <w:t>202</w:t>
      </w:r>
      <w:r>
        <w:rPr>
          <w:rFonts w:hint="eastAsia" w:ascii="仿宋" w:hAnsi="仿宋" w:eastAsia="仿宋" w:cs="仿宋"/>
          <w:color w:val="auto"/>
          <w:highlight w:val="none"/>
          <w:shd w:val="clear" w:color="auto" w:fill="FFFFFF"/>
          <w:lang w:val="en-US" w:eastAsia="zh-CN"/>
        </w:rPr>
        <w:t>1</w:t>
      </w:r>
      <w:r>
        <w:rPr>
          <w:rFonts w:ascii="仿宋" w:hAnsi="仿宋" w:eastAsia="仿宋" w:cs="仿宋"/>
          <w:color w:val="auto"/>
          <w:highlight w:val="none"/>
          <w:shd w:val="clear" w:color="auto" w:fill="FFFFFF"/>
        </w:rPr>
        <w:t>年</w:t>
      </w:r>
      <w:r>
        <w:rPr>
          <w:rFonts w:hint="eastAsia" w:ascii="仿宋" w:hAnsi="仿宋" w:eastAsia="仿宋" w:cs="仿宋"/>
          <w:color w:val="auto"/>
          <w:highlight w:val="none"/>
          <w:shd w:val="clear" w:color="auto" w:fill="FFFFFF"/>
          <w:lang w:val="en-US" w:eastAsia="zh-CN"/>
        </w:rPr>
        <w:t>01</w:t>
      </w:r>
      <w:r>
        <w:rPr>
          <w:rFonts w:ascii="仿宋" w:hAnsi="仿宋" w:eastAsia="仿宋" w:cs="仿宋"/>
          <w:color w:val="auto"/>
          <w:highlight w:val="none"/>
          <w:shd w:val="clear" w:color="auto" w:fill="FFFFFF"/>
        </w:rPr>
        <w:t>月</w:t>
      </w:r>
      <w:r>
        <w:rPr>
          <w:rFonts w:hint="eastAsia" w:ascii="仿宋" w:hAnsi="仿宋" w:eastAsia="仿宋" w:cs="仿宋"/>
          <w:color w:val="auto"/>
          <w:highlight w:val="none"/>
          <w:shd w:val="clear" w:color="auto" w:fill="FFFFFF"/>
          <w:lang w:val="en-US" w:eastAsia="zh-CN"/>
        </w:rPr>
        <w:t>07</w:t>
      </w:r>
      <w:r>
        <w:rPr>
          <w:rFonts w:ascii="仿宋" w:hAnsi="仿宋" w:eastAsia="仿宋" w:cs="仿宋"/>
          <w:color w:val="auto"/>
          <w:highlight w:val="none"/>
          <w:shd w:val="clear" w:color="auto" w:fill="FFFFFF"/>
        </w:rPr>
        <w:t>日</w:t>
      </w:r>
      <w:r>
        <w:rPr>
          <w:rFonts w:hint="eastAsia" w:ascii="仿宋" w:hAnsi="仿宋" w:eastAsia="仿宋" w:cs="仿宋"/>
          <w:color w:val="auto"/>
          <w:highlight w:val="none"/>
          <w:shd w:val="clear" w:color="auto" w:fill="FFFFFF"/>
          <w:lang w:val="en-US" w:eastAsia="zh-CN"/>
        </w:rPr>
        <w:t>08:30</w:t>
      </w:r>
      <w:r>
        <w:rPr>
          <w:rFonts w:ascii="仿宋" w:hAnsi="仿宋" w:eastAsia="仿宋" w:cs="仿宋"/>
          <w:color w:val="auto"/>
          <w:highlight w:val="none"/>
          <w:shd w:val="clear" w:color="auto" w:fill="FFFFFF"/>
        </w:rPr>
        <w:t>分前</w:t>
      </w:r>
      <w:r>
        <w:rPr>
          <w:rFonts w:ascii="仿宋" w:hAnsi="仿宋" w:eastAsia="仿宋" w:cs="仿宋"/>
          <w:color w:val="auto"/>
          <w:highlight w:val="none"/>
        </w:rPr>
        <w:t>；</w:t>
      </w:r>
    </w:p>
    <w:p>
      <w:pPr>
        <w:pStyle w:val="38"/>
        <w:shd w:val="clear" w:color="auto" w:fill="FFFFFF"/>
        <w:spacing w:before="0" w:beforeAutospacing="0" w:after="0" w:afterAutospacing="0" w:line="500" w:lineRule="exact"/>
        <w:rPr>
          <w:rFonts w:hint="default" w:ascii="仿宋" w:hAnsi="仿宋" w:eastAsia="仿宋" w:cs="仿宋"/>
          <w:color w:val="auto"/>
          <w:highlight w:val="none"/>
        </w:rPr>
      </w:pPr>
      <w:r>
        <w:rPr>
          <w:rFonts w:ascii="仿宋" w:hAnsi="仿宋" w:eastAsia="仿宋" w:cs="仿宋"/>
          <w:color w:val="auto"/>
          <w:highlight w:val="none"/>
        </w:rPr>
        <w:t>2、开标时间</w:t>
      </w:r>
      <w:r>
        <w:rPr>
          <w:rFonts w:hint="eastAsia" w:ascii="仿宋" w:hAnsi="仿宋" w:eastAsia="仿宋" w:cs="仿宋"/>
          <w:color w:val="auto"/>
          <w:highlight w:val="none"/>
          <w:lang w:val="en-US" w:eastAsia="zh-CN"/>
        </w:rPr>
        <w:t>:</w:t>
      </w:r>
      <w:r>
        <w:rPr>
          <w:rFonts w:ascii="仿宋" w:hAnsi="仿宋" w:eastAsia="仿宋" w:cs="仿宋"/>
          <w:color w:val="auto"/>
          <w:highlight w:val="none"/>
          <w:shd w:val="clear" w:color="auto" w:fill="FFFFFF"/>
        </w:rPr>
        <w:t>202</w:t>
      </w:r>
      <w:r>
        <w:rPr>
          <w:rFonts w:hint="eastAsia" w:ascii="仿宋" w:hAnsi="仿宋" w:eastAsia="仿宋" w:cs="仿宋"/>
          <w:color w:val="auto"/>
          <w:highlight w:val="none"/>
          <w:shd w:val="clear" w:color="auto" w:fill="FFFFFF"/>
          <w:lang w:val="en-US" w:eastAsia="zh-CN"/>
        </w:rPr>
        <w:t>1</w:t>
      </w:r>
      <w:r>
        <w:rPr>
          <w:rFonts w:ascii="仿宋" w:hAnsi="仿宋" w:eastAsia="仿宋" w:cs="仿宋"/>
          <w:color w:val="auto"/>
          <w:highlight w:val="none"/>
          <w:shd w:val="clear" w:color="auto" w:fill="FFFFFF"/>
        </w:rPr>
        <w:t>年</w:t>
      </w:r>
      <w:r>
        <w:rPr>
          <w:rFonts w:hint="eastAsia" w:ascii="仿宋" w:hAnsi="仿宋" w:eastAsia="仿宋" w:cs="仿宋"/>
          <w:color w:val="auto"/>
          <w:highlight w:val="none"/>
          <w:shd w:val="clear" w:color="auto" w:fill="FFFFFF"/>
          <w:lang w:val="en-US" w:eastAsia="zh-CN"/>
        </w:rPr>
        <w:t>01</w:t>
      </w:r>
      <w:r>
        <w:rPr>
          <w:rFonts w:ascii="仿宋" w:hAnsi="仿宋" w:eastAsia="仿宋" w:cs="仿宋"/>
          <w:color w:val="auto"/>
          <w:highlight w:val="none"/>
          <w:shd w:val="clear" w:color="auto" w:fill="FFFFFF"/>
        </w:rPr>
        <w:t>月</w:t>
      </w:r>
      <w:r>
        <w:rPr>
          <w:rFonts w:hint="eastAsia" w:ascii="仿宋" w:hAnsi="仿宋" w:eastAsia="仿宋" w:cs="仿宋"/>
          <w:color w:val="auto"/>
          <w:highlight w:val="none"/>
          <w:shd w:val="clear" w:color="auto" w:fill="FFFFFF"/>
          <w:lang w:val="en-US" w:eastAsia="zh-CN"/>
        </w:rPr>
        <w:t>07</w:t>
      </w:r>
      <w:r>
        <w:rPr>
          <w:rFonts w:ascii="仿宋" w:hAnsi="仿宋" w:eastAsia="仿宋" w:cs="仿宋"/>
          <w:color w:val="auto"/>
          <w:highlight w:val="none"/>
          <w:shd w:val="clear" w:color="auto" w:fill="FFFFFF"/>
        </w:rPr>
        <w:t>日</w:t>
      </w:r>
      <w:r>
        <w:rPr>
          <w:rFonts w:hint="eastAsia" w:ascii="仿宋" w:hAnsi="仿宋" w:eastAsia="仿宋" w:cs="仿宋"/>
          <w:color w:val="auto"/>
          <w:highlight w:val="none"/>
          <w:shd w:val="clear" w:color="auto" w:fill="FFFFFF"/>
          <w:lang w:val="en-US" w:eastAsia="zh-CN"/>
        </w:rPr>
        <w:t>08:30</w:t>
      </w:r>
      <w:r>
        <w:rPr>
          <w:rFonts w:ascii="仿宋" w:hAnsi="仿宋" w:eastAsia="仿宋" w:cs="仿宋"/>
          <w:color w:val="auto"/>
          <w:highlight w:val="none"/>
          <w:shd w:val="clear" w:color="auto" w:fill="FFFFFF"/>
        </w:rPr>
        <w:t>分</w:t>
      </w:r>
      <w:r>
        <w:rPr>
          <w:rFonts w:ascii="仿宋" w:hAnsi="仿宋" w:eastAsia="仿宋" w:cs="仿宋"/>
          <w:color w:val="auto"/>
          <w:highlight w:val="none"/>
        </w:rPr>
        <w:t xml:space="preserve">（北京时间）；  </w:t>
      </w:r>
    </w:p>
    <w:p>
      <w:pPr>
        <w:pStyle w:val="38"/>
        <w:shd w:val="clear" w:color="auto" w:fill="FFFFFF"/>
        <w:spacing w:before="0" w:beforeAutospacing="0" w:after="0" w:afterAutospacing="0" w:line="500" w:lineRule="exact"/>
        <w:rPr>
          <w:rFonts w:hint="default" w:ascii="仿宋" w:hAnsi="仿宋" w:eastAsia="仿宋" w:cs="仿宋"/>
          <w:color w:val="auto"/>
          <w:highlight w:val="none"/>
        </w:rPr>
      </w:pPr>
      <w:r>
        <w:rPr>
          <w:rFonts w:ascii="仿宋" w:hAnsi="仿宋" w:eastAsia="仿宋" w:cs="仿宋"/>
          <w:color w:val="auto"/>
          <w:highlight w:val="none"/>
        </w:rPr>
        <w:t>3、开标地点：</w:t>
      </w:r>
      <w:r>
        <w:rPr>
          <w:rFonts w:ascii="仿宋" w:hAnsi="仿宋" w:eastAsia="仿宋" w:cs="仿宋"/>
          <w:color w:val="auto"/>
          <w:highlight w:val="none"/>
          <w:shd w:val="clear" w:color="auto" w:fill="FFFFFF"/>
        </w:rPr>
        <w:t>海口市美兰区五指山路16-3号康业花园西湖苑G栋2A；</w:t>
      </w:r>
    </w:p>
    <w:p>
      <w:pPr>
        <w:pStyle w:val="38"/>
        <w:shd w:val="clear" w:color="auto" w:fill="FFFFFF"/>
        <w:spacing w:before="0" w:beforeAutospacing="0" w:after="0" w:afterAutospacing="0" w:line="500" w:lineRule="exact"/>
        <w:rPr>
          <w:rFonts w:hint="default" w:ascii="仿宋" w:hAnsi="仿宋" w:eastAsia="仿宋" w:cs="仿宋"/>
          <w:color w:val="auto"/>
          <w:highlight w:val="none"/>
        </w:rPr>
      </w:pPr>
      <w:r>
        <w:rPr>
          <w:rFonts w:ascii="仿宋" w:hAnsi="仿宋" w:eastAsia="仿宋" w:cs="仿宋"/>
          <w:color w:val="auto"/>
          <w:highlight w:val="none"/>
          <w:shd w:val="clear" w:color="auto" w:fill="FFFFFF"/>
        </w:rPr>
        <w:t>4、公告媒体：海南省公共资源交易服务中心网、</w:t>
      </w:r>
      <w:r>
        <w:rPr>
          <w:rFonts w:ascii="仿宋" w:hAnsi="仿宋" w:eastAsia="仿宋" w:cs="仿宋"/>
          <w:color w:val="auto"/>
          <w:highlight w:val="none"/>
        </w:rPr>
        <w:t>中国海南政府采购网</w:t>
      </w:r>
      <w:r>
        <w:rPr>
          <w:rFonts w:ascii="仿宋" w:hAnsi="仿宋" w:eastAsia="仿宋" w:cs="仿宋"/>
          <w:color w:val="auto"/>
          <w:highlight w:val="none"/>
          <w:shd w:val="clear" w:color="auto" w:fill="FFFFFF"/>
        </w:rPr>
        <w:t>。</w:t>
      </w:r>
    </w:p>
    <w:p>
      <w:pPr>
        <w:pStyle w:val="38"/>
        <w:shd w:val="clear" w:color="auto" w:fill="FFFFFF"/>
        <w:spacing w:before="0" w:beforeAutospacing="0" w:after="0" w:afterAutospacing="0" w:line="500" w:lineRule="exact"/>
        <w:rPr>
          <w:rFonts w:hint="default" w:ascii="仿宋" w:hAnsi="仿宋" w:eastAsia="仿宋" w:cs="仿宋"/>
          <w:color w:val="auto"/>
          <w:highlight w:val="none"/>
        </w:rPr>
      </w:pPr>
      <w:r>
        <w:rPr>
          <w:rStyle w:val="46"/>
          <w:rFonts w:ascii="仿宋" w:hAnsi="仿宋" w:eastAsia="仿宋" w:cs="仿宋"/>
          <w:color w:val="auto"/>
          <w:highlight w:val="none"/>
          <w:shd w:val="clear" w:color="auto" w:fill="FFFFFF"/>
        </w:rPr>
        <w:t>五、招标代理机构联系方式</w:t>
      </w:r>
    </w:p>
    <w:p>
      <w:pPr>
        <w:pStyle w:val="38"/>
        <w:shd w:val="clear" w:color="auto" w:fill="FFFFFF"/>
        <w:spacing w:before="0" w:beforeAutospacing="0" w:after="0" w:afterAutospacing="0" w:line="500" w:lineRule="exact"/>
        <w:rPr>
          <w:rFonts w:hint="default" w:ascii="仿宋" w:hAnsi="仿宋" w:eastAsia="仿宋" w:cs="仿宋"/>
          <w:color w:val="auto"/>
          <w:highlight w:val="none"/>
          <w:shd w:val="clear" w:color="auto" w:fill="FFFFFF"/>
        </w:rPr>
      </w:pPr>
      <w:r>
        <w:rPr>
          <w:rFonts w:ascii="仿宋" w:hAnsi="仿宋" w:eastAsia="仿宋" w:cs="仿宋"/>
          <w:color w:val="auto"/>
          <w:highlight w:val="none"/>
          <w:shd w:val="clear" w:color="auto" w:fill="FFFFFF"/>
        </w:rPr>
        <w:t>地址：海口市美兰区五指山路16-3号康业花园西湖苑G栋2A</w:t>
      </w:r>
    </w:p>
    <w:p>
      <w:pPr>
        <w:pStyle w:val="38"/>
        <w:shd w:val="clear" w:color="auto" w:fill="FFFFFF"/>
        <w:spacing w:before="0" w:beforeAutospacing="0" w:after="0" w:afterAutospacing="0" w:line="500" w:lineRule="exact"/>
        <w:rPr>
          <w:rFonts w:hint="default" w:ascii="仿宋" w:hAnsi="仿宋" w:eastAsia="仿宋" w:cs="仿宋"/>
          <w:color w:val="auto"/>
          <w:highlight w:val="none"/>
          <w:shd w:val="clear" w:color="auto" w:fill="FFFFFF"/>
        </w:rPr>
      </w:pPr>
      <w:r>
        <w:rPr>
          <w:rFonts w:ascii="仿宋" w:hAnsi="仿宋" w:eastAsia="仿宋" w:cs="仿宋"/>
          <w:color w:val="auto"/>
          <w:highlight w:val="none"/>
          <w:shd w:val="clear" w:color="auto" w:fill="FFFFFF"/>
        </w:rPr>
        <w:t xml:space="preserve">电  话：0898-66557609              传真：0898-66557605  </w:t>
      </w:r>
    </w:p>
    <w:p>
      <w:pPr>
        <w:pStyle w:val="38"/>
        <w:shd w:val="clear" w:color="auto" w:fill="FFFFFF"/>
        <w:spacing w:before="0" w:beforeAutospacing="0" w:after="0" w:afterAutospacing="0" w:line="500" w:lineRule="exact"/>
        <w:rPr>
          <w:rFonts w:hint="default" w:ascii="仿宋" w:hAnsi="仿宋" w:eastAsia="仿宋" w:cs="仿宋"/>
          <w:color w:val="auto"/>
          <w:highlight w:val="none"/>
        </w:rPr>
      </w:pPr>
      <w:r>
        <w:rPr>
          <w:rFonts w:ascii="仿宋" w:hAnsi="仿宋" w:eastAsia="仿宋" w:cs="仿宋"/>
          <w:color w:val="auto"/>
          <w:highlight w:val="none"/>
          <w:shd w:val="clear" w:color="auto" w:fill="FFFFFF"/>
        </w:rPr>
        <w:t>联系人：陈工   电子邮箱：</w:t>
      </w:r>
      <w:r>
        <w:rPr>
          <w:color w:val="auto"/>
          <w:highlight w:val="none"/>
        </w:rPr>
        <w:fldChar w:fldCharType="begin"/>
      </w:r>
      <w:r>
        <w:rPr>
          <w:color w:val="auto"/>
          <w:highlight w:val="none"/>
        </w:rPr>
        <w:instrText xml:space="preserve"> HYPERLINK "mailto:hnzhztb@163.com" </w:instrText>
      </w:r>
      <w:r>
        <w:rPr>
          <w:color w:val="auto"/>
          <w:highlight w:val="none"/>
        </w:rPr>
        <w:fldChar w:fldCharType="separate"/>
      </w:r>
      <w:r>
        <w:rPr>
          <w:rFonts w:ascii="仿宋" w:hAnsi="仿宋" w:eastAsia="仿宋" w:cs="仿宋"/>
          <w:color w:val="auto"/>
          <w:highlight w:val="none"/>
          <w:shd w:val="clear" w:color="auto" w:fill="FFFFFF"/>
        </w:rPr>
        <w:t>hnzhztb@163.com</w:t>
      </w:r>
      <w:r>
        <w:rPr>
          <w:rFonts w:ascii="仿宋" w:hAnsi="仿宋" w:eastAsia="仿宋" w:cs="仿宋"/>
          <w:color w:val="auto"/>
          <w:highlight w:val="none"/>
          <w:shd w:val="clear" w:color="auto" w:fill="FFFFFF"/>
        </w:rPr>
        <w:fldChar w:fldCharType="end"/>
      </w:r>
    </w:p>
    <w:p>
      <w:pPr>
        <w:pStyle w:val="38"/>
        <w:shd w:val="clear" w:color="auto" w:fill="FFFFFF"/>
        <w:spacing w:before="0" w:beforeAutospacing="0" w:after="0" w:afterAutospacing="0" w:line="500" w:lineRule="exact"/>
        <w:rPr>
          <w:rFonts w:hint="default" w:ascii="仿宋" w:hAnsi="仿宋" w:eastAsia="仿宋" w:cs="仿宋"/>
          <w:color w:val="auto"/>
          <w:highlight w:val="none"/>
        </w:rPr>
      </w:pPr>
      <w:r>
        <w:rPr>
          <w:rStyle w:val="46"/>
          <w:rFonts w:ascii="仿宋" w:hAnsi="仿宋" w:eastAsia="仿宋" w:cs="仿宋"/>
          <w:color w:val="auto"/>
          <w:highlight w:val="none"/>
          <w:shd w:val="clear" w:color="auto" w:fill="FFFFFF"/>
        </w:rPr>
        <w:t>六、采购人联系方式</w:t>
      </w:r>
    </w:p>
    <w:p>
      <w:pPr>
        <w:pStyle w:val="38"/>
        <w:shd w:val="clear" w:color="auto" w:fill="FFFFFF"/>
        <w:spacing w:before="0" w:beforeAutospacing="0" w:after="0" w:afterAutospacing="0" w:line="500" w:lineRule="exact"/>
        <w:rPr>
          <w:rFonts w:hint="default" w:ascii="仿宋" w:hAnsi="仿宋" w:eastAsia="仿宋" w:cs="仿宋"/>
          <w:color w:val="auto"/>
          <w:highlight w:val="none"/>
          <w:shd w:val="clear" w:color="auto" w:fill="FFFFFF"/>
        </w:rPr>
      </w:pPr>
      <w:r>
        <w:rPr>
          <w:rFonts w:ascii="仿宋" w:hAnsi="仿宋" w:eastAsia="仿宋" w:cs="仿宋"/>
          <w:color w:val="auto"/>
          <w:highlight w:val="none"/>
          <w:shd w:val="clear" w:color="auto" w:fill="FFFFFF"/>
        </w:rPr>
        <w:t>单位名称：海南省公安厅</w:t>
      </w:r>
    </w:p>
    <w:p>
      <w:pPr>
        <w:pStyle w:val="38"/>
        <w:shd w:val="clear" w:color="auto" w:fill="FFFFFF"/>
        <w:spacing w:before="0" w:beforeAutospacing="0" w:after="0" w:afterAutospacing="0" w:line="500" w:lineRule="exact"/>
        <w:rPr>
          <w:rFonts w:hint="default" w:ascii="仿宋" w:hAnsi="仿宋" w:eastAsia="仿宋" w:cs="仿宋"/>
          <w:color w:val="auto"/>
          <w:highlight w:val="none"/>
          <w:shd w:val="clear" w:color="auto" w:fill="FFFFFF"/>
        </w:rPr>
      </w:pPr>
      <w:r>
        <w:rPr>
          <w:rFonts w:ascii="仿宋" w:hAnsi="仿宋" w:eastAsia="仿宋" w:cs="仿宋"/>
          <w:color w:val="auto"/>
          <w:highlight w:val="none"/>
          <w:shd w:val="clear" w:color="auto" w:fill="FFFFFF"/>
        </w:rPr>
        <w:t xml:space="preserve">地址：海南省海口市龙华区滨涯路9号 </w:t>
      </w:r>
    </w:p>
    <w:p>
      <w:pPr>
        <w:pStyle w:val="38"/>
        <w:shd w:val="clear" w:color="auto" w:fill="FFFFFF"/>
        <w:spacing w:before="0" w:beforeAutospacing="0" w:after="0" w:afterAutospacing="0" w:line="500" w:lineRule="exact"/>
        <w:rPr>
          <w:rFonts w:hint="default" w:ascii="仿宋" w:hAnsi="仿宋" w:eastAsia="仿宋" w:cs="仿宋"/>
          <w:color w:val="auto"/>
          <w:highlight w:val="none"/>
          <w:shd w:val="clear" w:color="auto" w:fill="FFFFFF"/>
          <w:lang w:val="en-US" w:eastAsia="zh-CN"/>
        </w:rPr>
      </w:pPr>
      <w:r>
        <w:rPr>
          <w:rFonts w:ascii="仿宋" w:hAnsi="仿宋" w:eastAsia="仿宋" w:cs="仿宋"/>
          <w:color w:val="auto"/>
          <w:highlight w:val="none"/>
          <w:shd w:val="clear" w:color="auto" w:fill="FFFFFF"/>
        </w:rPr>
        <w:t>联系方式：</w:t>
      </w:r>
      <w:r>
        <w:rPr>
          <w:rFonts w:hint="eastAsia" w:ascii="仿宋" w:hAnsi="仿宋" w:eastAsia="仿宋" w:cs="仿宋"/>
          <w:color w:val="auto"/>
          <w:highlight w:val="none"/>
          <w:shd w:val="clear" w:color="auto" w:fill="FFFFFF"/>
          <w:lang w:val="en-US" w:eastAsia="zh-CN"/>
        </w:rPr>
        <w:t>15091954555</w:t>
      </w:r>
    </w:p>
    <w:p>
      <w:pPr>
        <w:spacing w:line="500" w:lineRule="exact"/>
        <w:ind w:right="240"/>
        <w:jc w:val="right"/>
        <w:rPr>
          <w:rFonts w:ascii="仿宋" w:hAnsi="仿宋" w:eastAsia="仿宋" w:cs="仿宋"/>
          <w:bCs/>
          <w:color w:val="auto"/>
          <w:sz w:val="24"/>
          <w:highlight w:val="none"/>
        </w:rPr>
      </w:pPr>
      <w:r>
        <w:rPr>
          <w:rFonts w:hint="eastAsia" w:ascii="仿宋" w:hAnsi="仿宋" w:eastAsia="仿宋" w:cs="仿宋"/>
          <w:bCs/>
          <w:color w:val="auto"/>
          <w:sz w:val="24"/>
          <w:highlight w:val="none"/>
        </w:rPr>
        <w:t>海南政辉招投标代理有限公司</w:t>
      </w:r>
    </w:p>
    <w:p>
      <w:pPr>
        <w:wordWrap w:val="0"/>
        <w:spacing w:line="500" w:lineRule="exact"/>
        <w:ind w:right="480"/>
        <w:jc w:val="right"/>
        <w:rPr>
          <w:rFonts w:ascii="仿宋" w:hAnsi="仿宋" w:eastAsia="仿宋" w:cs="仿宋"/>
          <w:bCs/>
          <w:color w:val="auto"/>
          <w:sz w:val="24"/>
          <w:highlight w:val="none"/>
        </w:rPr>
      </w:pPr>
      <w:r>
        <w:rPr>
          <w:rFonts w:hint="eastAsia" w:ascii="仿宋" w:hAnsi="仿宋" w:eastAsia="仿宋" w:cs="仿宋"/>
          <w:bCs/>
          <w:color w:val="auto"/>
          <w:sz w:val="24"/>
          <w:highlight w:val="none"/>
        </w:rPr>
        <w:t>2020年</w:t>
      </w:r>
      <w:r>
        <w:rPr>
          <w:rFonts w:hint="eastAsia" w:ascii="仿宋" w:hAnsi="仿宋" w:eastAsia="仿宋" w:cs="仿宋"/>
          <w:bCs/>
          <w:color w:val="auto"/>
          <w:sz w:val="24"/>
          <w:highlight w:val="none"/>
          <w:lang w:val="en-US" w:eastAsia="zh-CN"/>
        </w:rPr>
        <w:t>12</w:t>
      </w:r>
      <w:r>
        <w:rPr>
          <w:rFonts w:hint="eastAsia" w:ascii="仿宋" w:hAnsi="仿宋" w:eastAsia="仿宋" w:cs="仿宋"/>
          <w:bCs/>
          <w:color w:val="auto"/>
          <w:sz w:val="24"/>
          <w:highlight w:val="none"/>
        </w:rPr>
        <w:t>月</w:t>
      </w:r>
      <w:r>
        <w:rPr>
          <w:rFonts w:hint="eastAsia" w:ascii="仿宋" w:hAnsi="仿宋" w:eastAsia="仿宋" w:cs="仿宋"/>
          <w:bCs/>
          <w:color w:val="auto"/>
          <w:sz w:val="24"/>
          <w:highlight w:val="none"/>
          <w:lang w:val="en-US" w:eastAsia="zh-CN"/>
        </w:rPr>
        <w:t>17</w:t>
      </w:r>
      <w:r>
        <w:rPr>
          <w:rFonts w:hint="eastAsia" w:ascii="仿宋" w:hAnsi="仿宋" w:eastAsia="仿宋" w:cs="仿宋"/>
          <w:bCs/>
          <w:color w:val="auto"/>
          <w:sz w:val="24"/>
          <w:highlight w:val="none"/>
        </w:rPr>
        <w:t>日</w:t>
      </w:r>
    </w:p>
    <w:p>
      <w:pPr>
        <w:autoSpaceDE w:val="0"/>
        <w:autoSpaceDN w:val="0"/>
        <w:spacing w:line="500" w:lineRule="exact"/>
        <w:jc w:val="center"/>
        <w:textAlignment w:val="bottom"/>
        <w:outlineLvl w:val="1"/>
        <w:rPr>
          <w:rFonts w:ascii="仿宋" w:hAnsi="仿宋" w:eastAsia="仿宋" w:cs="仿宋"/>
          <w:b/>
          <w:color w:val="auto"/>
          <w:sz w:val="44"/>
          <w:szCs w:val="44"/>
          <w:highlight w:val="none"/>
        </w:rPr>
      </w:pPr>
      <w:r>
        <w:rPr>
          <w:rFonts w:hint="eastAsia" w:ascii="仿宋" w:hAnsi="仿宋" w:eastAsia="仿宋" w:cs="仿宋"/>
          <w:bCs/>
          <w:color w:val="auto"/>
          <w:sz w:val="24"/>
          <w:highlight w:val="none"/>
        </w:rPr>
        <w:br w:type="page"/>
      </w:r>
      <w:bookmarkStart w:id="6" w:name="_Toc5183"/>
      <w:bookmarkStart w:id="7" w:name="_Toc222711785"/>
      <w:bookmarkStart w:id="8" w:name="_Toc27484"/>
      <w:r>
        <w:rPr>
          <w:rFonts w:hint="eastAsia" w:ascii="仿宋" w:hAnsi="仿宋" w:eastAsia="仿宋" w:cs="仿宋"/>
          <w:b/>
          <w:color w:val="auto"/>
          <w:sz w:val="44"/>
          <w:szCs w:val="44"/>
          <w:highlight w:val="none"/>
        </w:rPr>
        <w:t>前 附 表</w:t>
      </w:r>
      <w:bookmarkEnd w:id="6"/>
      <w:bookmarkEnd w:id="7"/>
      <w:bookmarkEnd w:id="8"/>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2180"/>
        <w:gridCol w:w="6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58" w:type="dxa"/>
            <w:vAlign w:val="center"/>
          </w:tcPr>
          <w:p>
            <w:pPr>
              <w:spacing w:line="360" w:lineRule="exact"/>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序号</w:t>
            </w:r>
          </w:p>
        </w:tc>
        <w:tc>
          <w:tcPr>
            <w:tcW w:w="2180" w:type="dxa"/>
            <w:vAlign w:val="center"/>
          </w:tcPr>
          <w:p>
            <w:pPr>
              <w:spacing w:line="360" w:lineRule="exact"/>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项目</w:t>
            </w:r>
          </w:p>
        </w:tc>
        <w:tc>
          <w:tcPr>
            <w:tcW w:w="6197" w:type="dxa"/>
            <w:vAlign w:val="center"/>
          </w:tcPr>
          <w:p>
            <w:pPr>
              <w:spacing w:line="360" w:lineRule="exact"/>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758" w:type="dxa"/>
            <w:vAlign w:val="center"/>
          </w:tcPr>
          <w:p>
            <w:pPr>
              <w:spacing w:line="360" w:lineRule="exact"/>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w:t>
            </w:r>
          </w:p>
        </w:tc>
        <w:tc>
          <w:tcPr>
            <w:tcW w:w="2180" w:type="dxa"/>
            <w:vAlign w:val="center"/>
          </w:tcPr>
          <w:p>
            <w:pPr>
              <w:spacing w:line="360" w:lineRule="exact"/>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项目名称及招标</w:t>
            </w:r>
          </w:p>
          <w:p>
            <w:pPr>
              <w:spacing w:line="360" w:lineRule="exact"/>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编号</w:t>
            </w:r>
          </w:p>
        </w:tc>
        <w:tc>
          <w:tcPr>
            <w:tcW w:w="6197" w:type="dxa"/>
            <w:vAlign w:val="center"/>
          </w:tcPr>
          <w:p>
            <w:pPr>
              <w:rPr>
                <w:rFonts w:ascii="仿宋" w:hAnsi="仿宋" w:eastAsia="仿宋" w:cs="仿宋"/>
                <w:bCs/>
                <w:color w:val="auto"/>
                <w:sz w:val="24"/>
                <w:szCs w:val="24"/>
                <w:highlight w:val="none"/>
              </w:rPr>
            </w:pPr>
            <w:r>
              <w:rPr>
                <w:rFonts w:hint="eastAsia" w:ascii="仿宋" w:hAnsi="仿宋" w:eastAsia="仿宋" w:cs="仿宋"/>
                <w:color w:val="auto"/>
                <w:sz w:val="24"/>
                <w:szCs w:val="24"/>
                <w:highlight w:val="none"/>
                <w:shd w:val="clear" w:color="auto" w:fill="FFFFFF"/>
              </w:rPr>
              <w:t>厅海岸警察总队（筹备组）4G执法记录仪项目</w:t>
            </w:r>
            <w:r>
              <w:rPr>
                <w:rFonts w:hint="eastAsia" w:ascii="仿宋" w:hAnsi="仿宋" w:eastAsia="仿宋" w:cs="仿宋"/>
                <w:bCs/>
                <w:color w:val="auto"/>
                <w:sz w:val="24"/>
                <w:szCs w:val="24"/>
                <w:highlight w:val="none"/>
              </w:rPr>
              <w:t>HNZH-2020-301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758" w:type="dxa"/>
            <w:vAlign w:val="center"/>
          </w:tcPr>
          <w:p>
            <w:pPr>
              <w:spacing w:line="360" w:lineRule="exact"/>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w:t>
            </w:r>
          </w:p>
        </w:tc>
        <w:tc>
          <w:tcPr>
            <w:tcW w:w="2180" w:type="dxa"/>
            <w:vAlign w:val="center"/>
          </w:tcPr>
          <w:p>
            <w:pPr>
              <w:spacing w:line="360" w:lineRule="exact"/>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采购人</w:t>
            </w:r>
          </w:p>
        </w:tc>
        <w:tc>
          <w:tcPr>
            <w:tcW w:w="6197" w:type="dxa"/>
            <w:vAlign w:val="center"/>
          </w:tcPr>
          <w:p>
            <w:p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海南省公安厅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758" w:type="dxa"/>
            <w:vAlign w:val="center"/>
          </w:tcPr>
          <w:p>
            <w:pPr>
              <w:spacing w:line="360" w:lineRule="exact"/>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3</w:t>
            </w:r>
          </w:p>
        </w:tc>
        <w:tc>
          <w:tcPr>
            <w:tcW w:w="2180" w:type="dxa"/>
            <w:vAlign w:val="center"/>
          </w:tcPr>
          <w:p>
            <w:pPr>
              <w:spacing w:line="360" w:lineRule="exact"/>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招标方式</w:t>
            </w:r>
          </w:p>
        </w:tc>
        <w:tc>
          <w:tcPr>
            <w:tcW w:w="6197" w:type="dxa"/>
            <w:vAlign w:val="center"/>
          </w:tcPr>
          <w:p>
            <w:pPr>
              <w:spacing w:line="36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758" w:type="dxa"/>
            <w:vAlign w:val="center"/>
          </w:tcPr>
          <w:p>
            <w:pPr>
              <w:spacing w:line="360" w:lineRule="exact"/>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4</w:t>
            </w:r>
          </w:p>
        </w:tc>
        <w:tc>
          <w:tcPr>
            <w:tcW w:w="2180" w:type="dxa"/>
            <w:vAlign w:val="center"/>
          </w:tcPr>
          <w:p>
            <w:pPr>
              <w:spacing w:line="360" w:lineRule="exact"/>
              <w:jc w:val="center"/>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采购预算</w:t>
            </w:r>
          </w:p>
        </w:tc>
        <w:tc>
          <w:tcPr>
            <w:tcW w:w="6197" w:type="dxa"/>
            <w:vAlign w:val="center"/>
          </w:tcPr>
          <w:p>
            <w:pPr>
              <w:spacing w:line="36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shd w:val="clear" w:color="auto" w:fill="FFFFFF"/>
              </w:rPr>
              <w:t xml:space="preserve">2200000.00元,最高限价：2107894.75元（超过最高限价的投标文件按无效投标处理）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758" w:type="dxa"/>
            <w:vAlign w:val="center"/>
          </w:tcPr>
          <w:p>
            <w:pPr>
              <w:spacing w:line="360" w:lineRule="exact"/>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5</w:t>
            </w:r>
          </w:p>
        </w:tc>
        <w:tc>
          <w:tcPr>
            <w:tcW w:w="2180" w:type="dxa"/>
            <w:vAlign w:val="center"/>
          </w:tcPr>
          <w:p>
            <w:pPr>
              <w:spacing w:line="360" w:lineRule="exact"/>
              <w:jc w:val="center"/>
              <w:rPr>
                <w:rFonts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rPr>
              <w:t>交货期</w:t>
            </w:r>
          </w:p>
        </w:tc>
        <w:tc>
          <w:tcPr>
            <w:tcW w:w="6197" w:type="dxa"/>
            <w:vAlign w:val="center"/>
          </w:tcPr>
          <w:p>
            <w:pPr>
              <w:spacing w:line="360" w:lineRule="auto"/>
              <w:rPr>
                <w:rFonts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rPr>
              <w:t>签订合同之日起30天内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758" w:type="dxa"/>
            <w:vAlign w:val="center"/>
          </w:tcPr>
          <w:p>
            <w:pPr>
              <w:spacing w:line="360" w:lineRule="exact"/>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6</w:t>
            </w:r>
          </w:p>
        </w:tc>
        <w:tc>
          <w:tcPr>
            <w:tcW w:w="2180" w:type="dxa"/>
            <w:vAlign w:val="center"/>
          </w:tcPr>
          <w:p>
            <w:pPr>
              <w:spacing w:line="360" w:lineRule="exact"/>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评标办法</w:t>
            </w:r>
          </w:p>
        </w:tc>
        <w:tc>
          <w:tcPr>
            <w:tcW w:w="6197" w:type="dxa"/>
            <w:vAlign w:val="center"/>
          </w:tcPr>
          <w:p>
            <w:pPr>
              <w:spacing w:line="360" w:lineRule="exact"/>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758" w:type="dxa"/>
            <w:vAlign w:val="center"/>
          </w:tcPr>
          <w:p>
            <w:pPr>
              <w:spacing w:line="360" w:lineRule="exact"/>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7</w:t>
            </w:r>
          </w:p>
        </w:tc>
        <w:tc>
          <w:tcPr>
            <w:tcW w:w="2180" w:type="dxa"/>
            <w:vAlign w:val="center"/>
          </w:tcPr>
          <w:p>
            <w:pPr>
              <w:spacing w:line="360" w:lineRule="exact"/>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投标文件有效期</w:t>
            </w:r>
          </w:p>
        </w:tc>
        <w:tc>
          <w:tcPr>
            <w:tcW w:w="6197" w:type="dxa"/>
            <w:vAlign w:val="center"/>
          </w:tcPr>
          <w:p>
            <w:pPr>
              <w:pStyle w:val="38"/>
              <w:snapToGrid w:val="0"/>
              <w:spacing w:line="360" w:lineRule="exact"/>
              <w:rPr>
                <w:rFonts w:hint="default" w:ascii="仿宋" w:hAnsi="仿宋" w:eastAsia="仿宋" w:cs="仿宋"/>
                <w:bCs/>
                <w:color w:val="auto"/>
                <w:highlight w:val="none"/>
              </w:rPr>
            </w:pPr>
            <w:r>
              <w:rPr>
                <w:rFonts w:ascii="仿宋" w:hAnsi="仿宋" w:eastAsia="仿宋" w:cs="仿宋"/>
                <w:bCs/>
                <w:color w:val="auto"/>
                <w:highlight w:val="none"/>
              </w:rPr>
              <w:t>自投标文件递交截止之日起 60 天内有效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758" w:type="dxa"/>
            <w:vAlign w:val="center"/>
          </w:tcPr>
          <w:p>
            <w:pPr>
              <w:spacing w:line="360" w:lineRule="exact"/>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8</w:t>
            </w:r>
          </w:p>
        </w:tc>
        <w:tc>
          <w:tcPr>
            <w:tcW w:w="2180" w:type="dxa"/>
            <w:vAlign w:val="center"/>
          </w:tcPr>
          <w:p>
            <w:pPr>
              <w:spacing w:line="360" w:lineRule="exact"/>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投标保证金</w:t>
            </w:r>
          </w:p>
        </w:tc>
        <w:tc>
          <w:tcPr>
            <w:tcW w:w="6197" w:type="dxa"/>
            <w:vAlign w:val="center"/>
          </w:tcPr>
          <w:p>
            <w:pPr>
              <w:pStyle w:val="38"/>
              <w:snapToGrid w:val="0"/>
              <w:spacing w:line="360" w:lineRule="exact"/>
              <w:rPr>
                <w:rFonts w:hint="default" w:ascii="仿宋" w:hAnsi="仿宋" w:eastAsia="仿宋" w:cs="仿宋"/>
                <w:bCs/>
                <w:color w:val="auto"/>
                <w:highlight w:val="none"/>
              </w:rPr>
            </w:pPr>
            <w:r>
              <w:rPr>
                <w:rFonts w:ascii="仿宋" w:hAnsi="仿宋" w:eastAsia="仿宋" w:cs="仿宋"/>
                <w:bCs/>
                <w:color w:val="auto"/>
                <w:highlight w:val="none"/>
              </w:rPr>
              <w:t>保证金到账截止日期：</w:t>
            </w:r>
            <w:r>
              <w:rPr>
                <w:rFonts w:ascii="仿宋" w:hAnsi="仿宋" w:eastAsia="仿宋" w:cs="仿宋"/>
                <w:color w:val="auto"/>
                <w:highlight w:val="none"/>
                <w:shd w:val="clear" w:color="auto" w:fill="FFFFFF"/>
              </w:rPr>
              <w:t>202</w:t>
            </w:r>
            <w:r>
              <w:rPr>
                <w:rFonts w:hint="eastAsia" w:ascii="仿宋" w:hAnsi="仿宋" w:eastAsia="仿宋" w:cs="仿宋"/>
                <w:color w:val="auto"/>
                <w:highlight w:val="none"/>
                <w:shd w:val="clear" w:color="auto" w:fill="FFFFFF"/>
                <w:lang w:val="en-US" w:eastAsia="zh-CN"/>
              </w:rPr>
              <w:t>1</w:t>
            </w:r>
            <w:r>
              <w:rPr>
                <w:rFonts w:ascii="仿宋" w:hAnsi="仿宋" w:eastAsia="仿宋" w:cs="仿宋"/>
                <w:color w:val="auto"/>
                <w:highlight w:val="none"/>
                <w:shd w:val="clear" w:color="auto" w:fill="FFFFFF"/>
              </w:rPr>
              <w:t>年</w:t>
            </w:r>
            <w:r>
              <w:rPr>
                <w:rFonts w:hint="eastAsia" w:ascii="仿宋" w:hAnsi="仿宋" w:eastAsia="仿宋" w:cs="仿宋"/>
                <w:color w:val="auto"/>
                <w:highlight w:val="none"/>
                <w:shd w:val="clear" w:color="auto" w:fill="FFFFFF"/>
                <w:lang w:val="en-US" w:eastAsia="zh-CN"/>
              </w:rPr>
              <w:t>01</w:t>
            </w:r>
            <w:r>
              <w:rPr>
                <w:rFonts w:ascii="仿宋" w:hAnsi="仿宋" w:eastAsia="仿宋" w:cs="仿宋"/>
                <w:color w:val="auto"/>
                <w:highlight w:val="none"/>
                <w:shd w:val="clear" w:color="auto" w:fill="FFFFFF"/>
              </w:rPr>
              <w:t>月</w:t>
            </w:r>
            <w:r>
              <w:rPr>
                <w:rFonts w:hint="eastAsia" w:ascii="仿宋" w:hAnsi="仿宋" w:eastAsia="仿宋" w:cs="仿宋"/>
                <w:color w:val="auto"/>
                <w:highlight w:val="none"/>
                <w:shd w:val="clear" w:color="auto" w:fill="FFFFFF"/>
                <w:lang w:val="en-US" w:eastAsia="zh-CN"/>
              </w:rPr>
              <w:t>07</w:t>
            </w:r>
            <w:r>
              <w:rPr>
                <w:rFonts w:ascii="仿宋" w:hAnsi="仿宋" w:eastAsia="仿宋" w:cs="仿宋"/>
                <w:color w:val="auto"/>
                <w:highlight w:val="none"/>
                <w:shd w:val="clear" w:color="auto" w:fill="FFFFFF"/>
              </w:rPr>
              <w:t>日</w:t>
            </w:r>
            <w:r>
              <w:rPr>
                <w:rFonts w:hint="eastAsia" w:ascii="仿宋" w:hAnsi="仿宋" w:eastAsia="仿宋" w:cs="仿宋"/>
                <w:color w:val="auto"/>
                <w:highlight w:val="none"/>
                <w:shd w:val="clear" w:color="auto" w:fill="FFFFFF"/>
                <w:lang w:val="en-US" w:eastAsia="zh-CN"/>
              </w:rPr>
              <w:t>08:30</w:t>
            </w:r>
            <w:r>
              <w:rPr>
                <w:rFonts w:ascii="仿宋" w:hAnsi="仿宋" w:eastAsia="仿宋" w:cs="仿宋"/>
                <w:color w:val="auto"/>
                <w:highlight w:val="none"/>
                <w:shd w:val="clear" w:color="auto" w:fill="FFFFFF"/>
              </w:rPr>
              <w:t>分</w:t>
            </w:r>
            <w:r>
              <w:rPr>
                <w:rFonts w:ascii="仿宋" w:hAnsi="仿宋" w:eastAsia="仿宋" w:cs="仿宋"/>
                <w:bCs/>
                <w:color w:val="auto"/>
                <w:highlight w:val="none"/>
              </w:rPr>
              <w:t>（北京时间）前， 投标</w:t>
            </w:r>
            <w:bookmarkStart w:id="77" w:name="_GoBack"/>
            <w:bookmarkEnd w:id="77"/>
            <w:r>
              <w:rPr>
                <w:rFonts w:ascii="仿宋" w:hAnsi="仿宋" w:eastAsia="仿宋" w:cs="仿宋"/>
                <w:bCs/>
                <w:color w:val="auto"/>
                <w:highlight w:val="none"/>
              </w:rPr>
              <w:t xml:space="preserve">保证金的形式：网上支付， </w:t>
            </w:r>
          </w:p>
          <w:p>
            <w:pPr>
              <w:spacing w:line="360" w:lineRule="auto"/>
              <w:rPr>
                <w:rFonts w:ascii="仿宋" w:hAnsi="仿宋" w:eastAsia="仿宋" w:cs="仿宋"/>
                <w:color w:val="auto"/>
                <w:sz w:val="24"/>
                <w:highlight w:val="none"/>
              </w:rPr>
            </w:pPr>
            <w:r>
              <w:rPr>
                <w:rFonts w:hint="eastAsia" w:ascii="仿宋" w:hAnsi="仿宋" w:eastAsia="仿宋" w:cs="仿宋"/>
                <w:b/>
                <w:color w:val="auto"/>
                <w:sz w:val="24"/>
                <w:highlight w:val="none"/>
              </w:rPr>
              <w:t>缴纳投标保证金银行账户：</w:t>
            </w:r>
          </w:p>
          <w:p>
            <w:pPr>
              <w:spacing w:line="360" w:lineRule="auto"/>
              <w:rPr>
                <w:rFonts w:ascii="仿宋" w:hAnsi="仿宋" w:eastAsia="仿宋" w:cs="仿宋"/>
                <w:b/>
                <w:bCs/>
                <w:color w:val="auto"/>
                <w:sz w:val="24"/>
                <w:highlight w:val="none"/>
              </w:rPr>
            </w:pPr>
            <w:r>
              <w:rPr>
                <w:rFonts w:hint="eastAsia" w:ascii="仿宋" w:hAnsi="仿宋" w:eastAsia="仿宋" w:cs="仿宋"/>
                <w:b/>
                <w:bCs/>
                <w:color w:val="auto"/>
                <w:sz w:val="24"/>
                <w:highlight w:val="none"/>
              </w:rPr>
              <w:t>户  名：海南政辉招投标代理有限公司</w:t>
            </w:r>
          </w:p>
          <w:p>
            <w:pPr>
              <w:spacing w:line="360" w:lineRule="auto"/>
              <w:rPr>
                <w:rFonts w:ascii="仿宋" w:hAnsi="仿宋" w:eastAsia="仿宋" w:cs="仿宋"/>
                <w:b/>
                <w:bCs/>
                <w:color w:val="auto"/>
                <w:sz w:val="24"/>
                <w:highlight w:val="none"/>
              </w:rPr>
            </w:pPr>
            <w:r>
              <w:rPr>
                <w:rFonts w:hint="eastAsia" w:ascii="仿宋" w:hAnsi="仿宋" w:eastAsia="仿宋" w:cs="仿宋"/>
                <w:b/>
                <w:bCs/>
                <w:color w:val="auto"/>
                <w:sz w:val="24"/>
                <w:highlight w:val="none"/>
              </w:rPr>
              <w:t>开户行：中国工商银行股份有限公司海口新华支行</w:t>
            </w:r>
          </w:p>
          <w:p>
            <w:pPr>
              <w:spacing w:line="360" w:lineRule="auto"/>
              <w:rPr>
                <w:rFonts w:ascii="仿宋" w:hAnsi="仿宋" w:eastAsia="仿宋" w:cs="仿宋"/>
                <w:color w:val="auto"/>
                <w:sz w:val="24"/>
                <w:szCs w:val="24"/>
                <w:highlight w:val="none"/>
              </w:rPr>
            </w:pPr>
            <w:r>
              <w:rPr>
                <w:rFonts w:hint="eastAsia" w:ascii="仿宋" w:hAnsi="仿宋" w:eastAsia="仿宋" w:cs="仿宋"/>
                <w:b/>
                <w:bCs/>
                <w:color w:val="auto"/>
                <w:sz w:val="24"/>
                <w:highlight w:val="none"/>
              </w:rPr>
              <w:t>账  户：2201023809200980178</w:t>
            </w:r>
          </w:p>
          <w:p>
            <w:pPr>
              <w:pStyle w:val="38"/>
              <w:shd w:val="clear" w:color="auto" w:fill="FFFFFF"/>
              <w:spacing w:before="0" w:beforeAutospacing="0" w:after="0" w:afterAutospacing="0" w:line="500" w:lineRule="exact"/>
              <w:rPr>
                <w:rFonts w:hint="default" w:ascii="仿宋" w:hAnsi="仿宋" w:eastAsia="仿宋" w:cs="仿宋"/>
                <w:color w:val="auto"/>
                <w:highlight w:val="none"/>
              </w:rPr>
            </w:pPr>
            <w:r>
              <w:rPr>
                <w:rFonts w:ascii="仿宋" w:hAnsi="仿宋" w:eastAsia="仿宋" w:cs="仿宋"/>
                <w:color w:val="auto"/>
                <w:highlight w:val="none"/>
                <w:shd w:val="clear" w:color="auto" w:fill="FFFFFF"/>
              </w:rPr>
              <w:t>保证金金额</w:t>
            </w:r>
            <w:r>
              <w:rPr>
                <w:rFonts w:ascii="仿宋" w:hAnsi="仿宋" w:eastAsia="仿宋" w:cs="仿宋"/>
                <w:color w:val="auto"/>
                <w:highlight w:val="none"/>
              </w:rPr>
              <w:t>：21078.00元（大写：贰万壹仟零柒拾捌元整）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jc w:val="center"/>
        </w:trPr>
        <w:tc>
          <w:tcPr>
            <w:tcW w:w="758" w:type="dxa"/>
            <w:vAlign w:val="center"/>
          </w:tcPr>
          <w:p>
            <w:pPr>
              <w:spacing w:line="360" w:lineRule="exact"/>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9</w:t>
            </w:r>
          </w:p>
        </w:tc>
        <w:tc>
          <w:tcPr>
            <w:tcW w:w="2180" w:type="dxa"/>
            <w:vAlign w:val="center"/>
          </w:tcPr>
          <w:p>
            <w:pPr>
              <w:snapToGrid w:val="0"/>
              <w:spacing w:line="360" w:lineRule="exact"/>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投标文件的递交</w:t>
            </w:r>
          </w:p>
        </w:tc>
        <w:tc>
          <w:tcPr>
            <w:tcW w:w="6197" w:type="dxa"/>
            <w:vAlign w:val="center"/>
          </w:tcPr>
          <w:p>
            <w:pPr>
              <w:pStyle w:val="38"/>
              <w:snapToGrid w:val="0"/>
              <w:spacing w:before="0" w:beforeAutospacing="0" w:after="0" w:afterAutospacing="0" w:line="360" w:lineRule="exact"/>
              <w:rPr>
                <w:rFonts w:hint="default" w:ascii="仿宋" w:hAnsi="仿宋" w:eastAsia="仿宋" w:cs="仿宋"/>
                <w:bCs/>
                <w:color w:val="auto"/>
                <w:highlight w:val="none"/>
              </w:rPr>
            </w:pPr>
            <w:r>
              <w:rPr>
                <w:rStyle w:val="74"/>
                <w:rFonts w:ascii="仿宋" w:hAnsi="仿宋" w:eastAsia="仿宋" w:cs="仿宋"/>
                <w:color w:val="auto"/>
                <w:highlight w:val="none"/>
              </w:rPr>
              <w:t>投标人务必在投标截止日期前将纸质投标文件提交到开标地点，同时提供投标文件电子U盘(内含PDF投标文件和报价明细表）</w:t>
            </w:r>
            <w:r>
              <w:rPr>
                <w:rFonts w:ascii="仿宋" w:hAnsi="仿宋" w:eastAsia="仿宋" w:cs="仿宋"/>
                <w:bCs/>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758" w:type="dxa"/>
            <w:vAlign w:val="center"/>
          </w:tcPr>
          <w:p>
            <w:pPr>
              <w:spacing w:line="360" w:lineRule="exact"/>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10</w:t>
            </w:r>
          </w:p>
        </w:tc>
        <w:tc>
          <w:tcPr>
            <w:tcW w:w="2180" w:type="dxa"/>
            <w:vAlign w:val="center"/>
          </w:tcPr>
          <w:p>
            <w:pPr>
              <w:spacing w:line="360" w:lineRule="exact"/>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纸质投标文件份数</w:t>
            </w:r>
          </w:p>
        </w:tc>
        <w:tc>
          <w:tcPr>
            <w:tcW w:w="6197" w:type="dxa"/>
            <w:vAlign w:val="center"/>
          </w:tcPr>
          <w:p>
            <w:pPr>
              <w:pStyle w:val="38"/>
              <w:snapToGrid w:val="0"/>
              <w:spacing w:before="0" w:beforeAutospacing="0" w:after="0" w:afterAutospacing="0" w:line="360" w:lineRule="exact"/>
              <w:rPr>
                <w:rFonts w:hint="default" w:ascii="仿宋" w:hAnsi="仿宋" w:eastAsia="仿宋" w:cs="仿宋"/>
                <w:bCs/>
                <w:color w:val="auto"/>
                <w:highlight w:val="none"/>
              </w:rPr>
            </w:pPr>
            <w:r>
              <w:rPr>
                <w:rFonts w:ascii="仿宋" w:hAnsi="仿宋" w:eastAsia="仿宋" w:cs="仿宋"/>
                <w:bCs/>
                <w:color w:val="auto"/>
                <w:highlight w:val="none"/>
              </w:rPr>
              <w:t xml:space="preserve">投标文件一式 伍份，固定装订，正本 </w:t>
            </w:r>
            <w:r>
              <w:rPr>
                <w:rFonts w:ascii="仿宋" w:hAnsi="仿宋" w:eastAsia="仿宋" w:cs="仿宋"/>
                <w:bCs/>
                <w:color w:val="auto"/>
                <w:highlight w:val="none"/>
                <w:u w:val="single"/>
              </w:rPr>
              <w:t>壹</w:t>
            </w:r>
            <w:r>
              <w:rPr>
                <w:rFonts w:ascii="仿宋" w:hAnsi="仿宋" w:eastAsia="仿宋" w:cs="仿宋"/>
                <w:bCs/>
                <w:color w:val="auto"/>
                <w:highlight w:val="none"/>
              </w:rPr>
              <w:t xml:space="preserve"> 份，副本</w:t>
            </w:r>
            <w:r>
              <w:rPr>
                <w:rFonts w:ascii="仿宋" w:hAnsi="仿宋" w:eastAsia="仿宋" w:cs="仿宋"/>
                <w:bCs/>
                <w:color w:val="auto"/>
                <w:highlight w:val="none"/>
                <w:u w:val="single"/>
              </w:rPr>
              <w:t>肆</w:t>
            </w:r>
            <w:r>
              <w:rPr>
                <w:rFonts w:ascii="仿宋" w:hAnsi="仿宋" w:eastAsia="仿宋" w:cs="仿宋"/>
                <w:bCs/>
                <w:color w:val="auto"/>
                <w:highlight w:val="none"/>
              </w:rPr>
              <w:t>份。投标人投多包时要针对每个包单独做投标文件，独立密封。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758" w:type="dxa"/>
            <w:vAlign w:val="center"/>
          </w:tcPr>
          <w:p>
            <w:pPr>
              <w:spacing w:line="360" w:lineRule="exact"/>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11</w:t>
            </w:r>
          </w:p>
        </w:tc>
        <w:tc>
          <w:tcPr>
            <w:tcW w:w="2180" w:type="dxa"/>
            <w:vAlign w:val="center"/>
          </w:tcPr>
          <w:p>
            <w:pPr>
              <w:spacing w:line="360" w:lineRule="exact"/>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投标文件递交截止时间</w:t>
            </w:r>
          </w:p>
        </w:tc>
        <w:tc>
          <w:tcPr>
            <w:tcW w:w="6197" w:type="dxa"/>
            <w:vAlign w:val="center"/>
          </w:tcPr>
          <w:p>
            <w:pPr>
              <w:pStyle w:val="38"/>
              <w:snapToGrid w:val="0"/>
              <w:spacing w:before="0" w:beforeAutospacing="0" w:after="0" w:afterAutospacing="0" w:line="360" w:lineRule="exact"/>
              <w:rPr>
                <w:rFonts w:hint="default" w:ascii="仿宋" w:hAnsi="仿宋" w:eastAsia="仿宋" w:cs="仿宋"/>
                <w:bCs/>
                <w:color w:val="auto"/>
                <w:highlight w:val="none"/>
              </w:rPr>
            </w:pPr>
            <w:r>
              <w:rPr>
                <w:rFonts w:ascii="仿宋" w:hAnsi="仿宋" w:eastAsia="仿宋" w:cs="仿宋"/>
                <w:color w:val="auto"/>
                <w:highlight w:val="none"/>
                <w:shd w:val="clear" w:color="auto" w:fill="FFFFFF"/>
              </w:rPr>
              <w:t>202</w:t>
            </w:r>
            <w:r>
              <w:rPr>
                <w:rFonts w:hint="eastAsia" w:ascii="仿宋" w:hAnsi="仿宋" w:eastAsia="仿宋" w:cs="仿宋"/>
                <w:color w:val="auto"/>
                <w:highlight w:val="none"/>
                <w:shd w:val="clear" w:color="auto" w:fill="FFFFFF"/>
                <w:lang w:val="en-US" w:eastAsia="zh-CN"/>
              </w:rPr>
              <w:t>1</w:t>
            </w:r>
            <w:r>
              <w:rPr>
                <w:rFonts w:ascii="仿宋" w:hAnsi="仿宋" w:eastAsia="仿宋" w:cs="仿宋"/>
                <w:color w:val="auto"/>
                <w:highlight w:val="none"/>
                <w:shd w:val="clear" w:color="auto" w:fill="FFFFFF"/>
              </w:rPr>
              <w:t>年</w:t>
            </w:r>
            <w:r>
              <w:rPr>
                <w:rFonts w:hint="eastAsia" w:ascii="仿宋" w:hAnsi="仿宋" w:eastAsia="仿宋" w:cs="仿宋"/>
                <w:color w:val="auto"/>
                <w:highlight w:val="none"/>
                <w:shd w:val="clear" w:color="auto" w:fill="FFFFFF"/>
                <w:lang w:val="en-US" w:eastAsia="zh-CN"/>
              </w:rPr>
              <w:t>01</w:t>
            </w:r>
            <w:r>
              <w:rPr>
                <w:rFonts w:ascii="仿宋" w:hAnsi="仿宋" w:eastAsia="仿宋" w:cs="仿宋"/>
                <w:color w:val="auto"/>
                <w:highlight w:val="none"/>
                <w:shd w:val="clear" w:color="auto" w:fill="FFFFFF"/>
              </w:rPr>
              <w:t>月</w:t>
            </w:r>
            <w:r>
              <w:rPr>
                <w:rFonts w:hint="eastAsia" w:ascii="仿宋" w:hAnsi="仿宋" w:eastAsia="仿宋" w:cs="仿宋"/>
                <w:color w:val="auto"/>
                <w:highlight w:val="none"/>
                <w:shd w:val="clear" w:color="auto" w:fill="FFFFFF"/>
                <w:lang w:val="en-US" w:eastAsia="zh-CN"/>
              </w:rPr>
              <w:t>07</w:t>
            </w:r>
            <w:r>
              <w:rPr>
                <w:rFonts w:ascii="仿宋" w:hAnsi="仿宋" w:eastAsia="仿宋" w:cs="仿宋"/>
                <w:color w:val="auto"/>
                <w:highlight w:val="none"/>
                <w:shd w:val="clear" w:color="auto" w:fill="FFFFFF"/>
              </w:rPr>
              <w:t>日</w:t>
            </w:r>
            <w:r>
              <w:rPr>
                <w:rFonts w:hint="eastAsia" w:ascii="仿宋" w:hAnsi="仿宋" w:eastAsia="仿宋" w:cs="仿宋"/>
                <w:color w:val="auto"/>
                <w:highlight w:val="none"/>
                <w:shd w:val="clear" w:color="auto" w:fill="FFFFFF"/>
                <w:lang w:val="en-US" w:eastAsia="zh-CN"/>
              </w:rPr>
              <w:t>08:30</w:t>
            </w:r>
            <w:r>
              <w:rPr>
                <w:rFonts w:ascii="仿宋" w:hAnsi="仿宋" w:eastAsia="仿宋" w:cs="仿宋"/>
                <w:color w:val="auto"/>
                <w:highlight w:val="none"/>
                <w:shd w:val="clear" w:color="auto" w:fill="FFFFFF"/>
              </w:rPr>
              <w:t>分</w:t>
            </w:r>
            <w:r>
              <w:rPr>
                <w:rFonts w:hint="eastAsia" w:ascii="仿宋" w:hAnsi="仿宋" w:eastAsia="仿宋" w:cs="仿宋"/>
                <w:color w:val="auto"/>
                <w:highlight w:val="none"/>
                <w:shd w:val="clear" w:color="auto" w:fill="FFFFFF"/>
                <w:lang w:val="en-US" w:eastAsia="zh-CN"/>
              </w:rPr>
              <w:t>(</w:t>
            </w:r>
            <w:r>
              <w:rPr>
                <w:rFonts w:ascii="仿宋" w:hAnsi="仿宋" w:eastAsia="仿宋" w:cs="仿宋"/>
                <w:color w:val="auto"/>
                <w:highlight w:val="none"/>
              </w:rPr>
              <w:t>北京时间）</w:t>
            </w:r>
            <w:r>
              <w:rPr>
                <w:rFonts w:ascii="仿宋" w:hAnsi="仿宋" w:eastAsia="仿宋" w:cs="仿宋"/>
                <w:bCs/>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jc w:val="center"/>
        </w:trPr>
        <w:tc>
          <w:tcPr>
            <w:tcW w:w="758" w:type="dxa"/>
            <w:vAlign w:val="center"/>
          </w:tcPr>
          <w:p>
            <w:pPr>
              <w:spacing w:line="360" w:lineRule="exact"/>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12</w:t>
            </w:r>
          </w:p>
        </w:tc>
        <w:tc>
          <w:tcPr>
            <w:tcW w:w="2180" w:type="dxa"/>
            <w:vAlign w:val="center"/>
          </w:tcPr>
          <w:p>
            <w:pPr>
              <w:snapToGrid w:val="0"/>
              <w:spacing w:line="360" w:lineRule="exact"/>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开标时间及地点</w:t>
            </w:r>
          </w:p>
        </w:tc>
        <w:tc>
          <w:tcPr>
            <w:tcW w:w="6197" w:type="dxa"/>
            <w:vAlign w:val="center"/>
          </w:tcPr>
          <w:p>
            <w:pPr>
              <w:spacing w:line="360" w:lineRule="exact"/>
              <w:rPr>
                <w:rFonts w:ascii="仿宋" w:hAnsi="仿宋" w:eastAsia="仿宋" w:cs="仿宋"/>
                <w:color w:val="auto"/>
                <w:sz w:val="24"/>
                <w:szCs w:val="24"/>
                <w:highlight w:val="none"/>
              </w:rPr>
            </w:pPr>
            <w:r>
              <w:rPr>
                <w:rFonts w:ascii="仿宋" w:hAnsi="仿宋" w:eastAsia="仿宋" w:cs="仿宋"/>
                <w:color w:val="auto"/>
                <w:highlight w:val="none"/>
                <w:shd w:val="clear" w:color="auto" w:fill="FFFFFF"/>
              </w:rPr>
              <w:t>202</w:t>
            </w:r>
            <w:r>
              <w:rPr>
                <w:rFonts w:hint="eastAsia" w:ascii="仿宋" w:hAnsi="仿宋" w:eastAsia="仿宋" w:cs="仿宋"/>
                <w:color w:val="auto"/>
                <w:highlight w:val="none"/>
                <w:shd w:val="clear" w:color="auto" w:fill="FFFFFF"/>
                <w:lang w:val="en-US" w:eastAsia="zh-CN"/>
              </w:rPr>
              <w:t>1</w:t>
            </w:r>
            <w:r>
              <w:rPr>
                <w:rFonts w:ascii="仿宋" w:hAnsi="仿宋" w:eastAsia="仿宋" w:cs="仿宋"/>
                <w:color w:val="auto"/>
                <w:highlight w:val="none"/>
                <w:shd w:val="clear" w:color="auto" w:fill="FFFFFF"/>
              </w:rPr>
              <w:t>年</w:t>
            </w:r>
            <w:r>
              <w:rPr>
                <w:rFonts w:hint="eastAsia" w:ascii="仿宋" w:hAnsi="仿宋" w:eastAsia="仿宋" w:cs="仿宋"/>
                <w:color w:val="auto"/>
                <w:highlight w:val="none"/>
                <w:shd w:val="clear" w:color="auto" w:fill="FFFFFF"/>
                <w:lang w:val="en-US" w:eastAsia="zh-CN"/>
              </w:rPr>
              <w:t>01</w:t>
            </w:r>
            <w:r>
              <w:rPr>
                <w:rFonts w:ascii="仿宋" w:hAnsi="仿宋" w:eastAsia="仿宋" w:cs="仿宋"/>
                <w:color w:val="auto"/>
                <w:highlight w:val="none"/>
                <w:shd w:val="clear" w:color="auto" w:fill="FFFFFF"/>
              </w:rPr>
              <w:t>月</w:t>
            </w:r>
            <w:r>
              <w:rPr>
                <w:rFonts w:hint="eastAsia" w:ascii="仿宋" w:hAnsi="仿宋" w:eastAsia="仿宋" w:cs="仿宋"/>
                <w:color w:val="auto"/>
                <w:highlight w:val="none"/>
                <w:shd w:val="clear" w:color="auto" w:fill="FFFFFF"/>
                <w:lang w:val="en-US" w:eastAsia="zh-CN"/>
              </w:rPr>
              <w:t>07</w:t>
            </w:r>
            <w:r>
              <w:rPr>
                <w:rFonts w:ascii="仿宋" w:hAnsi="仿宋" w:eastAsia="仿宋" w:cs="仿宋"/>
                <w:color w:val="auto"/>
                <w:highlight w:val="none"/>
                <w:shd w:val="clear" w:color="auto" w:fill="FFFFFF"/>
              </w:rPr>
              <w:t>日</w:t>
            </w:r>
            <w:r>
              <w:rPr>
                <w:rFonts w:hint="eastAsia" w:ascii="仿宋" w:hAnsi="仿宋" w:eastAsia="仿宋" w:cs="仿宋"/>
                <w:color w:val="auto"/>
                <w:highlight w:val="none"/>
                <w:shd w:val="clear" w:color="auto" w:fill="FFFFFF"/>
                <w:lang w:val="en-US" w:eastAsia="zh-CN"/>
              </w:rPr>
              <w:t>08:30</w:t>
            </w:r>
            <w:r>
              <w:rPr>
                <w:rFonts w:ascii="仿宋" w:hAnsi="仿宋" w:eastAsia="仿宋" w:cs="仿宋"/>
                <w:color w:val="auto"/>
                <w:highlight w:val="none"/>
                <w:shd w:val="clear" w:color="auto" w:fill="FFFFFF"/>
              </w:rPr>
              <w:t>分</w:t>
            </w:r>
            <w:r>
              <w:rPr>
                <w:rFonts w:hint="eastAsia" w:ascii="仿宋" w:hAnsi="仿宋" w:eastAsia="仿宋" w:cs="仿宋"/>
                <w:color w:val="auto"/>
                <w:sz w:val="24"/>
                <w:szCs w:val="24"/>
                <w:highlight w:val="none"/>
              </w:rPr>
              <w:t>（北京时间）前  ；</w:t>
            </w:r>
          </w:p>
          <w:p>
            <w:pPr>
              <w:spacing w:line="360" w:lineRule="exact"/>
              <w:rPr>
                <w:rFonts w:ascii="仿宋" w:hAnsi="仿宋" w:eastAsia="仿宋" w:cs="仿宋"/>
                <w:bCs/>
                <w:color w:val="auto"/>
                <w:sz w:val="24"/>
                <w:szCs w:val="24"/>
                <w:highlight w:val="none"/>
              </w:rPr>
            </w:pPr>
            <w:r>
              <w:rPr>
                <w:rFonts w:hint="eastAsia" w:ascii="仿宋" w:hAnsi="仿宋" w:eastAsia="仿宋" w:cs="仿宋"/>
                <w:color w:val="auto"/>
                <w:highlight w:val="none"/>
                <w:shd w:val="clear" w:color="auto" w:fill="FFFFFF"/>
              </w:rPr>
              <w:t>海口市美兰区五指山路16-3号康业花园西湖苑G栋2A</w:t>
            </w:r>
            <w:r>
              <w:rPr>
                <w:rFonts w:hint="eastAsia" w:ascii="仿宋" w:hAnsi="仿宋" w:eastAsia="仿宋" w:cs="仿宋"/>
                <w:bCs/>
                <w:color w:val="auto"/>
                <w:sz w:val="24"/>
                <w:szCs w:val="24"/>
                <w:highlight w:val="none"/>
              </w:rPr>
              <w:t>。</w:t>
            </w:r>
          </w:p>
        </w:tc>
      </w:tr>
    </w:tbl>
    <w:p>
      <w:pPr>
        <w:spacing w:line="360" w:lineRule="auto"/>
        <w:ind w:right="480"/>
        <w:jc w:val="center"/>
        <w:outlineLvl w:val="0"/>
        <w:rPr>
          <w:rFonts w:ascii="仿宋" w:hAnsi="仿宋" w:eastAsia="仿宋" w:cs="仿宋"/>
          <w:b/>
          <w:color w:val="auto"/>
          <w:sz w:val="44"/>
          <w:szCs w:val="44"/>
          <w:highlight w:val="none"/>
        </w:rPr>
      </w:pPr>
      <w:r>
        <w:rPr>
          <w:rFonts w:hint="eastAsia" w:ascii="仿宋" w:hAnsi="仿宋" w:eastAsia="仿宋" w:cs="仿宋"/>
          <w:bCs/>
          <w:color w:val="auto"/>
          <w:sz w:val="24"/>
          <w:highlight w:val="none"/>
        </w:rPr>
        <w:br w:type="page"/>
      </w:r>
      <w:bookmarkStart w:id="9" w:name="_Toc12660"/>
      <w:bookmarkStart w:id="10" w:name="_Toc264213354"/>
      <w:r>
        <w:rPr>
          <w:rFonts w:hint="eastAsia" w:ascii="仿宋" w:hAnsi="仿宋" w:eastAsia="仿宋" w:cs="仿宋"/>
          <w:b/>
          <w:color w:val="auto"/>
          <w:sz w:val="44"/>
          <w:szCs w:val="44"/>
          <w:highlight w:val="none"/>
        </w:rPr>
        <w:t>第二章  投标人须知</w:t>
      </w:r>
      <w:bookmarkEnd w:id="9"/>
      <w:bookmarkEnd w:id="10"/>
    </w:p>
    <w:p>
      <w:pPr>
        <w:snapToGrid w:val="0"/>
        <w:spacing w:line="520" w:lineRule="exact"/>
        <w:rPr>
          <w:rFonts w:ascii="仿宋" w:hAnsi="仿宋" w:eastAsia="仿宋" w:cs="仿宋"/>
          <w:b/>
          <w:color w:val="auto"/>
          <w:sz w:val="28"/>
          <w:highlight w:val="none"/>
        </w:rPr>
      </w:pPr>
      <w:bookmarkStart w:id="11" w:name="_Toc264182541"/>
      <w:bookmarkStart w:id="12" w:name="_Toc264213355"/>
      <w:r>
        <w:rPr>
          <w:rFonts w:hint="eastAsia" w:ascii="仿宋" w:hAnsi="仿宋" w:eastAsia="仿宋" w:cs="仿宋"/>
          <w:b/>
          <w:color w:val="auto"/>
          <w:sz w:val="28"/>
          <w:highlight w:val="none"/>
        </w:rPr>
        <w:t>一、总则</w:t>
      </w:r>
    </w:p>
    <w:p>
      <w:pPr>
        <w:snapToGrid w:val="0"/>
        <w:spacing w:line="520" w:lineRule="exact"/>
        <w:rPr>
          <w:rFonts w:ascii="仿宋" w:hAnsi="仿宋" w:eastAsia="仿宋" w:cs="仿宋"/>
          <w:color w:val="auto"/>
          <w:sz w:val="24"/>
          <w:highlight w:val="none"/>
        </w:rPr>
      </w:pPr>
      <w:r>
        <w:rPr>
          <w:rFonts w:hint="eastAsia" w:ascii="仿宋" w:hAnsi="仿宋" w:eastAsia="仿宋" w:cs="仿宋"/>
          <w:color w:val="auto"/>
          <w:sz w:val="24"/>
          <w:highlight w:val="none"/>
        </w:rPr>
        <w:t>1. 名词解释</w:t>
      </w:r>
    </w:p>
    <w:p>
      <w:pPr>
        <w:snapToGrid w:val="0"/>
        <w:spacing w:line="52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highlight w:val="none"/>
        </w:rPr>
        <w:t>1.1采</w:t>
      </w:r>
      <w:r>
        <w:rPr>
          <w:rFonts w:hint="eastAsia" w:ascii="仿宋" w:hAnsi="仿宋" w:eastAsia="仿宋" w:cs="仿宋"/>
          <w:color w:val="auto"/>
          <w:sz w:val="24"/>
          <w:szCs w:val="24"/>
          <w:highlight w:val="none"/>
        </w:rPr>
        <w:t>购人：海南省公安厅</w:t>
      </w:r>
    </w:p>
    <w:p>
      <w:pPr>
        <w:snapToGrid w:val="0"/>
        <w:spacing w:line="52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1.2招标代理机构：海南政辉招投标代理有限公司</w:t>
      </w:r>
    </w:p>
    <w:p>
      <w:pPr>
        <w:snapToGrid w:val="0"/>
        <w:spacing w:line="52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1.3投标人：</w:t>
      </w:r>
      <w:r>
        <w:rPr>
          <w:rFonts w:hint="eastAsia" w:ascii="仿宋" w:hAnsi="仿宋" w:eastAsia="仿宋" w:cs="仿宋"/>
          <w:color w:val="auto"/>
          <w:sz w:val="24"/>
          <w:szCs w:val="24"/>
          <w:highlight w:val="none"/>
        </w:rPr>
        <w:t>系指符合本项目采购要求相应资质、向招标方提交投标文件的货物制造厂商或代理商。在投标阶段称为供应商，在签订和履行合同阶段称为中标方、供货方或卖方</w:t>
      </w:r>
      <w:r>
        <w:rPr>
          <w:rFonts w:hint="eastAsia" w:ascii="仿宋" w:hAnsi="仿宋" w:eastAsia="仿宋" w:cs="仿宋"/>
          <w:color w:val="auto"/>
          <w:sz w:val="24"/>
          <w:highlight w:val="none"/>
        </w:rPr>
        <w:t>。</w:t>
      </w:r>
    </w:p>
    <w:p>
      <w:pPr>
        <w:snapToGrid w:val="0"/>
        <w:spacing w:line="520" w:lineRule="exact"/>
        <w:rPr>
          <w:rFonts w:ascii="仿宋" w:hAnsi="仿宋" w:eastAsia="仿宋" w:cs="仿宋"/>
          <w:color w:val="auto"/>
          <w:sz w:val="24"/>
          <w:highlight w:val="none"/>
        </w:rPr>
      </w:pPr>
      <w:r>
        <w:rPr>
          <w:rFonts w:hint="eastAsia" w:ascii="仿宋" w:hAnsi="仿宋" w:eastAsia="仿宋" w:cs="仿宋"/>
          <w:color w:val="auto"/>
          <w:sz w:val="24"/>
          <w:highlight w:val="none"/>
        </w:rPr>
        <w:t>2．适用范围</w:t>
      </w:r>
    </w:p>
    <w:p>
      <w:pPr>
        <w:snapToGrid w:val="0"/>
        <w:spacing w:line="52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本招标文件仅适用于招标人组织的本次投标活动。</w:t>
      </w:r>
    </w:p>
    <w:p>
      <w:pPr>
        <w:snapToGrid w:val="0"/>
        <w:spacing w:line="520" w:lineRule="exact"/>
        <w:rPr>
          <w:rFonts w:ascii="仿宋" w:hAnsi="仿宋" w:eastAsia="仿宋" w:cs="仿宋"/>
          <w:color w:val="auto"/>
          <w:sz w:val="24"/>
          <w:highlight w:val="none"/>
        </w:rPr>
      </w:pPr>
      <w:r>
        <w:rPr>
          <w:rFonts w:hint="eastAsia" w:ascii="仿宋" w:hAnsi="仿宋" w:eastAsia="仿宋" w:cs="仿宋"/>
          <w:color w:val="auto"/>
          <w:sz w:val="24"/>
          <w:highlight w:val="none"/>
        </w:rPr>
        <w:t>3．合格的投标人</w:t>
      </w:r>
    </w:p>
    <w:p>
      <w:pPr>
        <w:snapToGrid w:val="0"/>
        <w:spacing w:line="52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3.1 凡有能力按照本招标文件规定的要求交付货物和服务的投标单位均为合格的投标人。</w:t>
      </w:r>
    </w:p>
    <w:p>
      <w:pPr>
        <w:snapToGrid w:val="0"/>
        <w:spacing w:line="52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3.2 投标人参加本次采购活动应当符合《中华人民共和国政府采购法》第二十二条的规定，并具备本招标文件第一章的“投标人资格要求”规定的条件。</w:t>
      </w:r>
    </w:p>
    <w:p>
      <w:pPr>
        <w:snapToGrid w:val="0"/>
        <w:spacing w:line="520" w:lineRule="exact"/>
        <w:rPr>
          <w:rFonts w:ascii="仿宋" w:hAnsi="仿宋" w:eastAsia="仿宋" w:cs="仿宋"/>
          <w:color w:val="auto"/>
          <w:sz w:val="24"/>
          <w:highlight w:val="none"/>
        </w:rPr>
      </w:pPr>
      <w:r>
        <w:rPr>
          <w:rFonts w:hint="eastAsia" w:ascii="仿宋" w:hAnsi="仿宋" w:eastAsia="仿宋" w:cs="仿宋"/>
          <w:color w:val="auto"/>
          <w:sz w:val="24"/>
          <w:highlight w:val="none"/>
        </w:rPr>
        <w:t>4．投标费用</w:t>
      </w:r>
    </w:p>
    <w:p>
      <w:pPr>
        <w:snapToGrid w:val="0"/>
        <w:spacing w:line="52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无论招标投标过程中的做法和结果如何，投标人均自行承担所有与参加投标有关的全部费用。</w:t>
      </w:r>
    </w:p>
    <w:p>
      <w:pPr>
        <w:snapToGrid w:val="0"/>
        <w:spacing w:line="52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招标代理费由中标企业承担。</w:t>
      </w:r>
    </w:p>
    <w:p>
      <w:pPr>
        <w:snapToGrid w:val="0"/>
        <w:spacing w:line="520" w:lineRule="exact"/>
        <w:rPr>
          <w:rFonts w:ascii="仿宋" w:hAnsi="仿宋" w:eastAsia="仿宋" w:cs="仿宋"/>
          <w:color w:val="auto"/>
          <w:sz w:val="24"/>
          <w:highlight w:val="none"/>
        </w:rPr>
      </w:pPr>
      <w:r>
        <w:rPr>
          <w:rFonts w:hint="eastAsia" w:ascii="仿宋" w:hAnsi="仿宋" w:eastAsia="仿宋" w:cs="仿宋"/>
          <w:color w:val="auto"/>
          <w:sz w:val="24"/>
          <w:highlight w:val="none"/>
        </w:rPr>
        <w:t>5．招标文件的约束力</w:t>
      </w:r>
    </w:p>
    <w:p>
      <w:pPr>
        <w:snapToGrid w:val="0"/>
        <w:spacing w:line="52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5.1投标人购买本招标文件后如在7个工作日内未对“招标代理机构”或“采购人”提出书面质疑，即视为接受了本招标文件中的所有条款和规定。</w:t>
      </w:r>
    </w:p>
    <w:p>
      <w:pPr>
        <w:snapToGrid w:val="0"/>
        <w:spacing w:line="52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5.3 本招标文件由招标代理机构负责解释。</w:t>
      </w:r>
    </w:p>
    <w:p>
      <w:pPr>
        <w:snapToGrid w:val="0"/>
        <w:spacing w:line="520" w:lineRule="exact"/>
        <w:rPr>
          <w:rFonts w:ascii="仿宋" w:hAnsi="仿宋" w:eastAsia="仿宋" w:cs="仿宋"/>
          <w:color w:val="auto"/>
          <w:sz w:val="24"/>
          <w:highlight w:val="none"/>
        </w:rPr>
      </w:pPr>
      <w:r>
        <w:rPr>
          <w:rFonts w:hint="eastAsia" w:ascii="仿宋" w:hAnsi="仿宋" w:eastAsia="仿宋" w:cs="仿宋"/>
          <w:b/>
          <w:color w:val="auto"/>
          <w:sz w:val="28"/>
          <w:highlight w:val="none"/>
        </w:rPr>
        <w:t>二、招标文件</w:t>
      </w:r>
    </w:p>
    <w:p>
      <w:pPr>
        <w:snapToGrid w:val="0"/>
        <w:spacing w:line="520" w:lineRule="exact"/>
        <w:rPr>
          <w:rFonts w:ascii="仿宋" w:hAnsi="仿宋" w:eastAsia="仿宋" w:cs="仿宋"/>
          <w:color w:val="auto"/>
          <w:sz w:val="24"/>
          <w:highlight w:val="none"/>
        </w:rPr>
      </w:pPr>
      <w:r>
        <w:rPr>
          <w:rFonts w:hint="eastAsia" w:ascii="仿宋" w:hAnsi="仿宋" w:eastAsia="仿宋" w:cs="仿宋"/>
          <w:color w:val="auto"/>
          <w:sz w:val="24"/>
          <w:highlight w:val="none"/>
        </w:rPr>
        <w:t>6．招标文件的组成</w:t>
      </w:r>
    </w:p>
    <w:p>
      <w:pPr>
        <w:snapToGrid w:val="0"/>
        <w:spacing w:line="52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6.l 招标文件由六部分组成，包括：</w:t>
      </w:r>
    </w:p>
    <w:p>
      <w:pPr>
        <w:snapToGrid w:val="0"/>
        <w:spacing w:line="52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第一章 投标邀请函</w:t>
      </w:r>
    </w:p>
    <w:p>
      <w:pPr>
        <w:snapToGrid w:val="0"/>
        <w:spacing w:line="52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第二章 投标人须知</w:t>
      </w:r>
    </w:p>
    <w:p>
      <w:pPr>
        <w:snapToGrid w:val="0"/>
        <w:spacing w:line="52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第三章 用户需求书</w:t>
      </w:r>
    </w:p>
    <w:p>
      <w:pPr>
        <w:snapToGrid w:val="0"/>
        <w:spacing w:line="52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第四章 合同主要条款（参考）</w:t>
      </w:r>
    </w:p>
    <w:p>
      <w:pPr>
        <w:snapToGrid w:val="0"/>
        <w:spacing w:line="52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第五章 投标文件内容和格式（参考）</w:t>
      </w:r>
    </w:p>
    <w:p>
      <w:pPr>
        <w:snapToGrid w:val="0"/>
        <w:spacing w:line="52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第六章 评标办法和程序</w:t>
      </w:r>
    </w:p>
    <w:p>
      <w:pPr>
        <w:snapToGrid w:val="0"/>
        <w:spacing w:line="52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请仔细检查招标文件是否齐全，如有缺漏，请立即与招标人联系解决。</w:t>
      </w:r>
    </w:p>
    <w:p>
      <w:pPr>
        <w:snapToGrid w:val="0"/>
        <w:spacing w:line="52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6.2投标人必须详阅招标文件的所有条款、文件及表格格式。投标人若未按招标文件的要求和规范编制、提交招标文件，将有可能导致招标文件被拒绝接受，所造成的负面后果由投标人负责。</w:t>
      </w:r>
    </w:p>
    <w:p>
      <w:pPr>
        <w:snapToGrid w:val="0"/>
        <w:spacing w:line="520" w:lineRule="exact"/>
        <w:rPr>
          <w:rFonts w:ascii="仿宋" w:hAnsi="仿宋" w:eastAsia="仿宋" w:cs="仿宋"/>
          <w:color w:val="auto"/>
          <w:sz w:val="24"/>
          <w:highlight w:val="none"/>
        </w:rPr>
      </w:pPr>
      <w:r>
        <w:rPr>
          <w:rFonts w:hint="eastAsia" w:ascii="仿宋" w:hAnsi="仿宋" w:eastAsia="仿宋" w:cs="仿宋"/>
          <w:color w:val="auto"/>
          <w:sz w:val="24"/>
          <w:highlight w:val="none"/>
        </w:rPr>
        <w:t>7．招标文件的澄清</w:t>
      </w:r>
    </w:p>
    <w:p>
      <w:pPr>
        <w:snapToGrid w:val="0"/>
        <w:spacing w:line="52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投标人在收到招标文件后，若有疑问需要澄清，应于投标截止时间15天前以书面形式（包括书面文字、传真等）向招标代理机构提出，招标代理机构将以书面形式进行答复，同时招标代理机构有权将答复内容分发给所有购买了此招标文件的投标人。</w:t>
      </w:r>
    </w:p>
    <w:p>
      <w:pPr>
        <w:snapToGrid w:val="0"/>
        <w:spacing w:line="520" w:lineRule="exact"/>
        <w:rPr>
          <w:rFonts w:ascii="仿宋" w:hAnsi="仿宋" w:eastAsia="仿宋" w:cs="仿宋"/>
          <w:color w:val="auto"/>
          <w:sz w:val="24"/>
          <w:highlight w:val="none"/>
        </w:rPr>
      </w:pPr>
      <w:r>
        <w:rPr>
          <w:rFonts w:hint="eastAsia" w:ascii="仿宋" w:hAnsi="仿宋" w:eastAsia="仿宋" w:cs="仿宋"/>
          <w:color w:val="auto"/>
          <w:sz w:val="24"/>
          <w:highlight w:val="none"/>
        </w:rPr>
        <w:t>8．招标文件的修改或补充</w:t>
      </w:r>
    </w:p>
    <w:p>
      <w:pPr>
        <w:snapToGrid w:val="0"/>
        <w:spacing w:line="52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8.l 在投标截止时间前15天，招标代理机构可以书面通知的方式修改/补充招标文件。修改/补充通知作为招标文件的组成部分，对投标人起同等约束作用。</w:t>
      </w:r>
    </w:p>
    <w:p>
      <w:pPr>
        <w:snapToGrid w:val="0"/>
        <w:spacing w:line="52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8.2 当招标文件与修改/补充公告的内容相互矛盾时，以招标代理机构最后发出的修改/补充公告为准。</w:t>
      </w:r>
    </w:p>
    <w:p>
      <w:pPr>
        <w:snapToGrid w:val="0"/>
        <w:spacing w:line="52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8.3 投标人收到修改/补充公告后，应在1个工作日内以书面形式回复招标代理机构，逾期不回者，被视为已收到修改/补充公告。</w:t>
      </w:r>
    </w:p>
    <w:p>
      <w:pPr>
        <w:snapToGrid w:val="0"/>
        <w:spacing w:line="52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8.4 为使投标人有足够的时间按招标文件的修改/补充要求修正投标文件，招标代理机构有权决定推迟投标截止日期和开标时间，并将此变更书面通知所有购买了此招标文件的投标人。</w:t>
      </w:r>
    </w:p>
    <w:p>
      <w:pPr>
        <w:snapToGrid w:val="0"/>
        <w:spacing w:line="520" w:lineRule="exact"/>
        <w:ind w:firstLine="562" w:firstLineChars="200"/>
        <w:rPr>
          <w:rFonts w:ascii="仿宋" w:hAnsi="仿宋" w:eastAsia="仿宋" w:cs="仿宋"/>
          <w:b/>
          <w:color w:val="auto"/>
          <w:sz w:val="28"/>
          <w:highlight w:val="none"/>
        </w:rPr>
      </w:pPr>
      <w:r>
        <w:rPr>
          <w:rFonts w:hint="eastAsia" w:ascii="仿宋" w:hAnsi="仿宋" w:eastAsia="仿宋" w:cs="仿宋"/>
          <w:b/>
          <w:color w:val="auto"/>
          <w:sz w:val="28"/>
          <w:highlight w:val="none"/>
        </w:rPr>
        <w:t>三、投标文件</w:t>
      </w:r>
    </w:p>
    <w:p>
      <w:pPr>
        <w:snapToGrid w:val="0"/>
        <w:spacing w:line="520" w:lineRule="exact"/>
        <w:rPr>
          <w:rFonts w:ascii="仿宋" w:hAnsi="仿宋" w:eastAsia="仿宋" w:cs="仿宋"/>
          <w:color w:val="auto"/>
          <w:sz w:val="24"/>
          <w:highlight w:val="none"/>
        </w:rPr>
      </w:pPr>
      <w:r>
        <w:rPr>
          <w:rFonts w:hint="eastAsia" w:ascii="仿宋" w:hAnsi="仿宋" w:eastAsia="仿宋" w:cs="仿宋"/>
          <w:color w:val="auto"/>
          <w:sz w:val="24"/>
          <w:highlight w:val="none"/>
        </w:rPr>
        <w:t>9．投标文件的组成</w:t>
      </w:r>
    </w:p>
    <w:p>
      <w:pPr>
        <w:snapToGrid w:val="0"/>
        <w:spacing w:line="52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9.1 投标文件应按“投标文件内容和格式”要求编制。</w:t>
      </w:r>
    </w:p>
    <w:p>
      <w:pPr>
        <w:snapToGrid w:val="0"/>
        <w:spacing w:line="52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9.2 若投标人未按招标文件的要求提供资料，或未对招标文件做出实质性响应，将可能导致投标文件被视为无效。</w:t>
      </w:r>
    </w:p>
    <w:p>
      <w:pPr>
        <w:snapToGrid w:val="0"/>
        <w:spacing w:line="520" w:lineRule="exact"/>
        <w:rPr>
          <w:rFonts w:ascii="仿宋" w:hAnsi="仿宋" w:eastAsia="仿宋" w:cs="仿宋"/>
          <w:color w:val="auto"/>
          <w:sz w:val="24"/>
          <w:highlight w:val="none"/>
        </w:rPr>
      </w:pPr>
      <w:r>
        <w:rPr>
          <w:rFonts w:hint="eastAsia" w:ascii="仿宋" w:hAnsi="仿宋" w:eastAsia="仿宋" w:cs="仿宋"/>
          <w:color w:val="auto"/>
          <w:sz w:val="24"/>
          <w:highlight w:val="none"/>
        </w:rPr>
        <w:t>10．投标报价</w:t>
      </w:r>
    </w:p>
    <w:p>
      <w:pPr>
        <w:snapToGrid w:val="0"/>
        <w:spacing w:line="52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10.1报价均须以人民币为计算单位。</w:t>
      </w:r>
    </w:p>
    <w:p>
      <w:pPr>
        <w:snapToGrid w:val="0"/>
        <w:spacing w:line="52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10.2本次采购采用总承包方式，因此投标人的报价应包括全部货物、服务的价格及相关税费、运输到指定地点的装运费用、安装调试、培训、售后服务等其他有关的所有费用。</w:t>
      </w:r>
    </w:p>
    <w:p>
      <w:pPr>
        <w:snapToGrid w:val="0"/>
        <w:spacing w:line="52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10.3投标人应按开标一览表的要求报价，不能提供有选择的报价。</w:t>
      </w:r>
    </w:p>
    <w:p>
      <w:pPr>
        <w:snapToGrid w:val="0"/>
        <w:spacing w:line="52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10.4中标候选人的报价如超过采购预算而采购人不能支付的，采购人有权拒绝而递选下一个顺位的候选人。</w:t>
      </w:r>
    </w:p>
    <w:p>
      <w:pPr>
        <w:snapToGrid w:val="0"/>
        <w:spacing w:line="520" w:lineRule="exact"/>
        <w:rPr>
          <w:rFonts w:ascii="仿宋" w:hAnsi="仿宋" w:eastAsia="仿宋" w:cs="仿宋"/>
          <w:color w:val="auto"/>
          <w:sz w:val="24"/>
          <w:highlight w:val="none"/>
        </w:rPr>
      </w:pPr>
      <w:r>
        <w:rPr>
          <w:rFonts w:hint="eastAsia" w:ascii="仿宋" w:hAnsi="仿宋" w:eastAsia="仿宋" w:cs="仿宋"/>
          <w:color w:val="auto"/>
          <w:sz w:val="24"/>
          <w:highlight w:val="none"/>
        </w:rPr>
        <w:t>11．投标保证金</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11.1</w:t>
      </w:r>
      <w:r>
        <w:rPr>
          <w:rFonts w:hint="eastAsia" w:ascii="仿宋" w:hAnsi="仿宋" w:eastAsia="仿宋" w:cs="仿宋"/>
          <w:color w:val="auto"/>
          <w:sz w:val="24"/>
          <w:szCs w:val="24"/>
          <w:highlight w:val="none"/>
        </w:rPr>
        <w:t>投标保证金是参加本项目投标的必要条件，</w:t>
      </w:r>
      <w:r>
        <w:rPr>
          <w:rFonts w:hint="eastAsia" w:ascii="仿宋" w:hAnsi="仿宋" w:eastAsia="仿宋" w:cs="仿宋"/>
          <w:bCs/>
          <w:color w:val="auto"/>
          <w:sz w:val="24"/>
          <w:szCs w:val="24"/>
          <w:highlight w:val="none"/>
        </w:rPr>
        <w:t>投标保证金额及到账截止日期，详见招标公告</w:t>
      </w:r>
      <w:r>
        <w:rPr>
          <w:rFonts w:hint="eastAsia" w:ascii="仿宋" w:hAnsi="仿宋" w:eastAsia="仿宋" w:cs="仿宋"/>
          <w:color w:val="auto"/>
          <w:sz w:val="24"/>
          <w:szCs w:val="24"/>
          <w:highlight w:val="none"/>
        </w:rPr>
        <w:t>。投标文件须附有缴纳保证金的相关证明单据(银行回执单),投标保证金采用</w:t>
      </w:r>
      <w:r>
        <w:rPr>
          <w:rFonts w:hint="eastAsia" w:ascii="仿宋" w:hAnsi="仿宋" w:eastAsia="仿宋" w:cs="仿宋"/>
          <w:b/>
          <w:color w:val="auto"/>
          <w:sz w:val="24"/>
          <w:szCs w:val="24"/>
          <w:highlight w:val="none"/>
          <w:u w:val="single"/>
        </w:rPr>
        <w:t>网上支付</w:t>
      </w:r>
      <w:r>
        <w:rPr>
          <w:rFonts w:hint="eastAsia" w:ascii="仿宋" w:hAnsi="仿宋" w:eastAsia="仿宋" w:cs="仿宋"/>
          <w:color w:val="auto"/>
          <w:sz w:val="24"/>
          <w:szCs w:val="24"/>
          <w:highlight w:val="none"/>
        </w:rPr>
        <w:t>形式，支付地址为：</w:t>
      </w:r>
    </w:p>
    <w:p>
      <w:pPr>
        <w:spacing w:line="360" w:lineRule="auto"/>
        <w:ind w:firstLine="1566" w:firstLineChars="650"/>
        <w:rPr>
          <w:rFonts w:ascii="仿宋" w:hAnsi="仿宋" w:eastAsia="仿宋" w:cs="仿宋"/>
          <w:b/>
          <w:bCs/>
          <w:color w:val="auto"/>
          <w:sz w:val="24"/>
          <w:highlight w:val="none"/>
        </w:rPr>
      </w:pPr>
      <w:r>
        <w:rPr>
          <w:rFonts w:hint="eastAsia" w:ascii="仿宋" w:hAnsi="仿宋" w:eastAsia="仿宋" w:cs="仿宋"/>
          <w:b/>
          <w:bCs/>
          <w:color w:val="auto"/>
          <w:sz w:val="24"/>
          <w:highlight w:val="none"/>
        </w:rPr>
        <w:t>户  名：海南政辉招投标代理有限公司</w:t>
      </w:r>
    </w:p>
    <w:p>
      <w:pPr>
        <w:spacing w:line="360" w:lineRule="auto"/>
        <w:ind w:firstLine="1566" w:firstLineChars="650"/>
        <w:rPr>
          <w:rFonts w:ascii="仿宋" w:hAnsi="仿宋" w:eastAsia="仿宋" w:cs="仿宋"/>
          <w:b/>
          <w:bCs/>
          <w:color w:val="auto"/>
          <w:sz w:val="24"/>
          <w:highlight w:val="none"/>
        </w:rPr>
      </w:pPr>
      <w:r>
        <w:rPr>
          <w:rFonts w:hint="eastAsia" w:ascii="仿宋" w:hAnsi="仿宋" w:eastAsia="仿宋" w:cs="仿宋"/>
          <w:b/>
          <w:bCs/>
          <w:color w:val="auto"/>
          <w:sz w:val="24"/>
          <w:highlight w:val="none"/>
        </w:rPr>
        <w:t>开户行：中国工商银行股份有限公司海口新华支行</w:t>
      </w:r>
    </w:p>
    <w:p>
      <w:pPr>
        <w:spacing w:line="360" w:lineRule="auto"/>
        <w:ind w:firstLine="1566" w:firstLineChars="650"/>
        <w:rPr>
          <w:rStyle w:val="74"/>
          <w:rFonts w:ascii="仿宋" w:hAnsi="仿宋" w:eastAsia="仿宋" w:cs="仿宋"/>
          <w:color w:val="auto"/>
          <w:sz w:val="24"/>
          <w:szCs w:val="24"/>
          <w:highlight w:val="none"/>
        </w:rPr>
      </w:pPr>
      <w:r>
        <w:rPr>
          <w:rFonts w:hint="eastAsia" w:ascii="仿宋" w:hAnsi="仿宋" w:eastAsia="仿宋" w:cs="仿宋"/>
          <w:b/>
          <w:bCs/>
          <w:color w:val="auto"/>
          <w:sz w:val="24"/>
          <w:highlight w:val="none"/>
        </w:rPr>
        <w:t>账  户：2201023809200980178</w:t>
      </w:r>
    </w:p>
    <w:p>
      <w:pPr>
        <w:snapToGrid w:val="0"/>
        <w:spacing w:line="520" w:lineRule="exact"/>
        <w:rPr>
          <w:rFonts w:ascii="仿宋" w:hAnsi="仿宋" w:eastAsia="仿宋" w:cs="仿宋"/>
          <w:color w:val="auto"/>
          <w:sz w:val="24"/>
          <w:highlight w:val="none"/>
        </w:rPr>
      </w:pPr>
      <w:r>
        <w:rPr>
          <w:rFonts w:hint="eastAsia" w:ascii="仿宋" w:hAnsi="仿宋" w:eastAsia="仿宋" w:cs="仿宋"/>
          <w:color w:val="auto"/>
          <w:sz w:val="24"/>
          <w:highlight w:val="none"/>
        </w:rPr>
        <w:t>11.2 若投标人不按规定提交投标保证金，其投标文件将被拒绝接受。</w:t>
      </w:r>
    </w:p>
    <w:p>
      <w:pPr>
        <w:snapToGrid w:val="0"/>
        <w:spacing w:line="52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11.3 投标保证金的退还</w:t>
      </w:r>
    </w:p>
    <w:p>
      <w:pPr>
        <w:snapToGrid w:val="0"/>
        <w:spacing w:line="52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11.3.l 中标人的投标保证金在其与采购人签订了采购合同后退还。</w:t>
      </w:r>
    </w:p>
    <w:p>
      <w:pPr>
        <w:snapToGrid w:val="0"/>
        <w:spacing w:line="52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11.3.2 落标的投标人的投标保证金将在中标公示结束后退还。 </w:t>
      </w:r>
    </w:p>
    <w:p>
      <w:pPr>
        <w:snapToGrid w:val="0"/>
        <w:spacing w:line="52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11.4 发生下列情况之一，投标保证金将不予退还：</w:t>
      </w:r>
    </w:p>
    <w:p>
      <w:pPr>
        <w:snapToGrid w:val="0"/>
        <w:spacing w:line="52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（1）投标人在投标有效期内撤回其投标文件的；</w:t>
      </w:r>
    </w:p>
    <w:p>
      <w:pPr>
        <w:snapToGrid w:val="0"/>
        <w:spacing w:line="52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（2）投标人不按本章规定签订合同；</w:t>
      </w:r>
    </w:p>
    <w:p>
      <w:pPr>
        <w:snapToGrid w:val="0"/>
        <w:spacing w:line="52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（3）投标人提供虚假材料谋取中标、成交的；</w:t>
      </w:r>
    </w:p>
    <w:p>
      <w:pPr>
        <w:snapToGrid w:val="0"/>
        <w:spacing w:line="52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（4）与采购人、其它投标人或者招标代理机构恶意串通的；</w:t>
      </w:r>
    </w:p>
    <w:p>
      <w:pPr>
        <w:snapToGrid w:val="0"/>
        <w:spacing w:line="52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（5）向采购人、招标代理机构、评标委员会成员行贿或者提供其他不正当利益的；</w:t>
      </w:r>
    </w:p>
    <w:p>
      <w:pPr>
        <w:snapToGrid w:val="0"/>
        <w:spacing w:line="52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12．投标有效期</w:t>
      </w:r>
    </w:p>
    <w:p>
      <w:pPr>
        <w:snapToGrid w:val="0"/>
        <w:spacing w:line="52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12.l 投标有效期为从开标截止之日起计算的60天，有效期短于此规定的投标文件将被视为无效。</w:t>
      </w:r>
    </w:p>
    <w:p>
      <w:pPr>
        <w:snapToGrid w:val="0"/>
        <w:spacing w:line="52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12.2 在特殊情况下，招标代理机构可于投标有效期满之前，征得投标人同意延长投标有效期，要求与答复均应以书面形式进行。投标人可以拒绝接受这一要求而放弃投标，投标保证金将尽快无息退还。同意这一要求的投标人，无需也不允许修改其投标文件，但须相应延长投标保证金的有效期。受投标有效期制约的所有权利和义务均应延长至新的有效期。</w:t>
      </w:r>
    </w:p>
    <w:p>
      <w:pPr>
        <w:snapToGrid w:val="0"/>
        <w:spacing w:line="520" w:lineRule="exact"/>
        <w:rPr>
          <w:rFonts w:ascii="仿宋" w:hAnsi="仿宋" w:eastAsia="仿宋" w:cs="仿宋"/>
          <w:color w:val="auto"/>
          <w:sz w:val="24"/>
          <w:highlight w:val="none"/>
        </w:rPr>
      </w:pPr>
      <w:r>
        <w:rPr>
          <w:rFonts w:hint="eastAsia" w:ascii="仿宋" w:hAnsi="仿宋" w:eastAsia="仿宋" w:cs="仿宋"/>
          <w:color w:val="auto"/>
          <w:sz w:val="24"/>
          <w:highlight w:val="none"/>
        </w:rPr>
        <w:t>13．投标文件的数量、签署及形式</w:t>
      </w:r>
    </w:p>
    <w:p>
      <w:pPr>
        <w:snapToGrid w:val="0"/>
        <w:spacing w:line="520" w:lineRule="exact"/>
        <w:ind w:firstLine="480" w:firstLineChars="200"/>
        <w:rPr>
          <w:rFonts w:ascii="仿宋" w:hAnsi="仿宋" w:eastAsia="仿宋" w:cs="仿宋"/>
          <w:b/>
          <w:color w:val="auto"/>
          <w:sz w:val="24"/>
          <w:highlight w:val="none"/>
        </w:rPr>
      </w:pPr>
      <w:r>
        <w:rPr>
          <w:rFonts w:hint="eastAsia" w:ascii="仿宋" w:hAnsi="仿宋" w:eastAsia="仿宋" w:cs="仿宋"/>
          <w:color w:val="auto"/>
          <w:sz w:val="24"/>
          <w:highlight w:val="none"/>
        </w:rPr>
        <w:t>13.1 投标文件一式</w:t>
      </w:r>
      <w:r>
        <w:rPr>
          <w:rFonts w:hint="eastAsia" w:ascii="仿宋" w:hAnsi="仿宋" w:eastAsia="仿宋" w:cs="仿宋"/>
          <w:b/>
          <w:color w:val="auto"/>
          <w:sz w:val="24"/>
          <w:highlight w:val="none"/>
        </w:rPr>
        <w:t>伍份，胶装。其中正本壹份，副本肆份。投标人投多包时要针对每个包单独做投标文件，独立密封； 未独立针对每个包单独做投标文件和未按要求密封按无效投标处理</w:t>
      </w:r>
    </w:p>
    <w:p>
      <w:pPr>
        <w:snapToGrid w:val="0"/>
        <w:spacing w:line="52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13.2 投标文件须按投标文件的要求执行，每份投标文件均须在封面上清楚标明“正本”和“副本”字样，“正本”和“副本”具有同等的法律效力；“正本”和“副本”之间如有差异，以正本为准。</w:t>
      </w:r>
    </w:p>
    <w:p>
      <w:pPr>
        <w:snapToGrid w:val="0"/>
        <w:spacing w:line="52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13.3 投标文件正本中，文字材料需打印或用不褪色墨水书写。投标文件的正本须经法人代表或授权代表签署和加盖投标人公章。</w:t>
      </w:r>
    </w:p>
    <w:p>
      <w:pPr>
        <w:snapToGrid w:val="0"/>
        <w:spacing w:line="52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13.4 投标文件不得涂改和增删，如要修改错漏处，修改处必须由法人代表或授权代表签名、或盖公章。</w:t>
      </w:r>
    </w:p>
    <w:p>
      <w:pPr>
        <w:snapToGrid w:val="0"/>
        <w:spacing w:line="520" w:lineRule="exact"/>
        <w:rPr>
          <w:rFonts w:ascii="仿宋" w:hAnsi="仿宋" w:eastAsia="仿宋" w:cs="仿宋"/>
          <w:b/>
          <w:color w:val="auto"/>
          <w:sz w:val="28"/>
          <w:highlight w:val="none"/>
        </w:rPr>
      </w:pPr>
      <w:r>
        <w:rPr>
          <w:rFonts w:hint="eastAsia" w:ascii="仿宋" w:hAnsi="仿宋" w:eastAsia="仿宋" w:cs="仿宋"/>
          <w:b/>
          <w:color w:val="auto"/>
          <w:sz w:val="28"/>
          <w:highlight w:val="none"/>
        </w:rPr>
        <w:t>四、投标文件的递交</w:t>
      </w:r>
    </w:p>
    <w:p>
      <w:pPr>
        <w:snapToGrid w:val="0"/>
        <w:spacing w:line="520" w:lineRule="exact"/>
        <w:rPr>
          <w:rFonts w:ascii="仿宋" w:hAnsi="仿宋" w:eastAsia="仿宋" w:cs="仿宋"/>
          <w:color w:val="auto"/>
          <w:sz w:val="24"/>
          <w:highlight w:val="none"/>
        </w:rPr>
      </w:pPr>
      <w:r>
        <w:rPr>
          <w:rFonts w:hint="eastAsia" w:ascii="仿宋" w:hAnsi="仿宋" w:eastAsia="仿宋" w:cs="仿宋"/>
          <w:color w:val="auto"/>
          <w:sz w:val="24"/>
          <w:highlight w:val="none"/>
        </w:rPr>
        <w:t>14．投标文件的密封及标记</w:t>
      </w:r>
    </w:p>
    <w:p>
      <w:pPr>
        <w:snapToGrid w:val="0"/>
        <w:spacing w:line="520" w:lineRule="exact"/>
        <w:ind w:firstLine="360" w:firstLineChars="150"/>
        <w:rPr>
          <w:rFonts w:ascii="仿宋" w:hAnsi="仿宋" w:eastAsia="仿宋" w:cs="仿宋"/>
          <w:color w:val="auto"/>
          <w:sz w:val="24"/>
          <w:highlight w:val="none"/>
        </w:rPr>
      </w:pPr>
      <w:r>
        <w:rPr>
          <w:rFonts w:hint="eastAsia" w:ascii="仿宋" w:hAnsi="仿宋" w:eastAsia="仿宋" w:cs="仿宋"/>
          <w:color w:val="auto"/>
          <w:sz w:val="24"/>
          <w:highlight w:val="none"/>
        </w:rPr>
        <w:t>纸质投标文件：</w:t>
      </w:r>
      <w:r>
        <w:rPr>
          <w:rFonts w:hint="eastAsia" w:ascii="仿宋" w:hAnsi="仿宋" w:eastAsia="仿宋" w:cs="仿宋"/>
          <w:b/>
          <w:color w:val="auto"/>
          <w:sz w:val="24"/>
          <w:highlight w:val="none"/>
        </w:rPr>
        <w:t>投标人投多包时要针对每个包单独做投标文件，独立密封。</w:t>
      </w:r>
    </w:p>
    <w:p>
      <w:pPr>
        <w:snapToGrid w:val="0"/>
        <w:spacing w:line="52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14．l 投标人应将投标文件正本和所有副本分别密封在两个报价专用袋（箱）中（正本一包，副本一包），并在报价专用袋（箱）上标明“正本”、“副本”字样，封口处应加盖骑缝章及授权人签名。</w:t>
      </w:r>
      <w:r>
        <w:rPr>
          <w:rFonts w:hint="eastAsia" w:ascii="仿宋" w:hAnsi="仿宋" w:eastAsia="仿宋" w:cs="仿宋"/>
          <w:b/>
          <w:color w:val="auto"/>
          <w:sz w:val="24"/>
          <w:highlight w:val="none"/>
        </w:rPr>
        <w:t>唱标信封一包（内含开标一览表）；投标文件电子U盘单独密封一包（内含PDF版投标文件和报价明细表）。</w:t>
      </w:r>
      <w:r>
        <w:rPr>
          <w:rFonts w:hint="eastAsia" w:ascii="仿宋" w:hAnsi="仿宋" w:eastAsia="仿宋" w:cs="仿宋"/>
          <w:color w:val="auto"/>
          <w:sz w:val="24"/>
          <w:highlight w:val="none"/>
        </w:rPr>
        <w:t>封皮上均应写明：</w:t>
      </w:r>
    </w:p>
    <w:p>
      <w:pPr>
        <w:snapToGrid w:val="0"/>
        <w:spacing w:line="52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致：海南政辉招投标代理有限公司</w:t>
      </w:r>
    </w:p>
    <w:p>
      <w:pPr>
        <w:snapToGrid w:val="0"/>
        <w:spacing w:line="52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项目名称：厅海岸警察总队（筹备组）4G执法记录仪项目</w:t>
      </w:r>
    </w:p>
    <w:p>
      <w:pPr>
        <w:snapToGrid w:val="0"/>
        <w:spacing w:line="52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highlight w:val="none"/>
        </w:rPr>
        <w:t>招标编号：HNZH-2020-301</w:t>
      </w:r>
    </w:p>
    <w:p>
      <w:pPr>
        <w:snapToGrid w:val="0"/>
        <w:spacing w:line="52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包    号：包（如有）</w:t>
      </w:r>
    </w:p>
    <w:p>
      <w:pPr>
        <w:snapToGrid w:val="0"/>
        <w:spacing w:line="52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注明：“请勿在开标时间之前启封”</w:t>
      </w:r>
    </w:p>
    <w:p>
      <w:pPr>
        <w:snapToGrid w:val="0"/>
        <w:spacing w:line="520" w:lineRule="exact"/>
        <w:ind w:firstLine="1320" w:firstLineChars="550"/>
        <w:rPr>
          <w:rFonts w:ascii="仿宋" w:hAnsi="仿宋" w:eastAsia="仿宋" w:cs="仿宋"/>
          <w:color w:val="auto"/>
          <w:sz w:val="24"/>
          <w:highlight w:val="none"/>
        </w:rPr>
      </w:pPr>
      <w:r>
        <w:rPr>
          <w:rFonts w:hint="eastAsia" w:ascii="仿宋" w:hAnsi="仿宋" w:eastAsia="仿宋" w:cs="仿宋"/>
          <w:color w:val="auto"/>
          <w:sz w:val="24"/>
          <w:highlight w:val="none"/>
        </w:rPr>
        <w:t>投标单位名称、联系人姓名和电话</w:t>
      </w:r>
    </w:p>
    <w:p>
      <w:pPr>
        <w:snapToGrid w:val="0"/>
        <w:spacing w:line="52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14.2 投标文件未按上述规定书写标记和密封者，招标代理机构不对投标文件被错放或先期启封负责。</w:t>
      </w:r>
    </w:p>
    <w:p>
      <w:pPr>
        <w:snapToGrid w:val="0"/>
        <w:spacing w:line="520" w:lineRule="exact"/>
        <w:rPr>
          <w:rFonts w:ascii="仿宋" w:hAnsi="仿宋" w:eastAsia="仿宋" w:cs="仿宋"/>
          <w:color w:val="auto"/>
          <w:sz w:val="24"/>
          <w:highlight w:val="none"/>
        </w:rPr>
      </w:pPr>
      <w:r>
        <w:rPr>
          <w:rFonts w:hint="eastAsia" w:ascii="仿宋" w:hAnsi="仿宋" w:eastAsia="仿宋" w:cs="仿宋"/>
          <w:color w:val="auto"/>
          <w:sz w:val="24"/>
          <w:highlight w:val="none"/>
        </w:rPr>
        <w:t>15．投标截止时间</w:t>
      </w:r>
    </w:p>
    <w:p>
      <w:pPr>
        <w:snapToGrid w:val="0"/>
        <w:spacing w:line="52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15.1 若招标代理机构推迟了投标截止时间，应以公告的形式通知所有投标人。在这种情况下，招标代理机构、采购人和投标人的权利和义务均应以新的截止时间为准。</w:t>
      </w:r>
    </w:p>
    <w:p>
      <w:pPr>
        <w:snapToGrid w:val="0"/>
        <w:spacing w:line="52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15.2 在投标截止时间后递交的投标文件，招标代理机构将拒绝接受。</w:t>
      </w:r>
    </w:p>
    <w:p>
      <w:pPr>
        <w:snapToGrid w:val="0"/>
        <w:spacing w:line="520" w:lineRule="exact"/>
        <w:rPr>
          <w:rFonts w:ascii="仿宋" w:hAnsi="仿宋" w:eastAsia="仿宋" w:cs="仿宋"/>
          <w:b/>
          <w:color w:val="auto"/>
          <w:sz w:val="28"/>
          <w:highlight w:val="none"/>
        </w:rPr>
      </w:pPr>
      <w:r>
        <w:rPr>
          <w:rFonts w:hint="eastAsia" w:ascii="仿宋" w:hAnsi="仿宋" w:eastAsia="仿宋" w:cs="仿宋"/>
          <w:b/>
          <w:color w:val="auto"/>
          <w:sz w:val="28"/>
          <w:highlight w:val="none"/>
        </w:rPr>
        <w:t>五、开标及评标</w:t>
      </w:r>
    </w:p>
    <w:p>
      <w:pPr>
        <w:snapToGrid w:val="0"/>
        <w:spacing w:line="520" w:lineRule="exact"/>
        <w:rPr>
          <w:rFonts w:ascii="仿宋" w:hAnsi="仿宋" w:eastAsia="仿宋" w:cs="仿宋"/>
          <w:color w:val="auto"/>
          <w:sz w:val="24"/>
          <w:highlight w:val="none"/>
        </w:rPr>
      </w:pPr>
      <w:r>
        <w:rPr>
          <w:rFonts w:hint="eastAsia" w:ascii="仿宋" w:hAnsi="仿宋" w:eastAsia="仿宋" w:cs="仿宋"/>
          <w:color w:val="auto"/>
          <w:sz w:val="24"/>
          <w:highlight w:val="none"/>
        </w:rPr>
        <w:t>16．开标</w:t>
      </w:r>
    </w:p>
    <w:p>
      <w:pPr>
        <w:snapToGrid w:val="0"/>
        <w:spacing w:line="52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16.l 招标代理机构按投标文件第一章规定的时间和地点进行开标，采购人代表、招标代理机构、投标人有关工作人员参加。投标人应委派授权代表参加开标活动，参加开标的代表须持本人身份证件签名报到以证明其出席。未派授权代表或不能证明其授权代表身份的，招标代理机构对投标文件的处理不承担责任。</w:t>
      </w:r>
    </w:p>
    <w:p>
      <w:pPr>
        <w:snapToGrid w:val="0"/>
        <w:spacing w:line="52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16.2政府采购主管部门、监督部门、国家公证机关公证员由其视情况决定是否派代表到现场进行监督。</w:t>
      </w:r>
    </w:p>
    <w:p>
      <w:pPr>
        <w:snapToGrid w:val="0"/>
        <w:spacing w:line="52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16.3 开标时，投标人代表将查验投标文件密封情况，确认无误后拆封唱标，公布每份投标文件中“开标一览表”的内容，以及招标代理机构认为合适的其他内容，招标代理机构将作开标记录。</w:t>
      </w:r>
    </w:p>
    <w:p>
      <w:pPr>
        <w:snapToGrid w:val="0"/>
        <w:spacing w:line="52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16.4 若投标文件未密封，招标代理机构将拒绝接受该投标人的投标文件。</w:t>
      </w:r>
    </w:p>
    <w:p>
      <w:pPr>
        <w:snapToGrid w:val="0"/>
        <w:spacing w:line="520" w:lineRule="exact"/>
        <w:rPr>
          <w:rFonts w:ascii="仿宋" w:hAnsi="仿宋" w:eastAsia="仿宋" w:cs="仿宋"/>
          <w:color w:val="auto"/>
          <w:sz w:val="24"/>
          <w:highlight w:val="none"/>
        </w:rPr>
      </w:pPr>
      <w:r>
        <w:rPr>
          <w:rFonts w:hint="eastAsia" w:ascii="仿宋" w:hAnsi="仿宋" w:eastAsia="仿宋" w:cs="仿宋"/>
          <w:color w:val="auto"/>
          <w:sz w:val="24"/>
          <w:highlight w:val="none"/>
        </w:rPr>
        <w:t>17．评标委员会</w:t>
      </w:r>
    </w:p>
    <w:p>
      <w:pPr>
        <w:snapToGrid w:val="0"/>
        <w:spacing w:line="520" w:lineRule="exact"/>
        <w:ind w:firstLine="480"/>
        <w:rPr>
          <w:rFonts w:ascii="仿宋" w:hAnsi="仿宋" w:eastAsia="仿宋" w:cs="仿宋"/>
          <w:color w:val="auto"/>
          <w:sz w:val="24"/>
          <w:highlight w:val="none"/>
        </w:rPr>
      </w:pPr>
      <w:r>
        <w:rPr>
          <w:rFonts w:hint="eastAsia" w:ascii="仿宋" w:hAnsi="仿宋" w:eastAsia="仿宋" w:cs="仿宋"/>
          <w:color w:val="auto"/>
          <w:sz w:val="24"/>
          <w:highlight w:val="none"/>
        </w:rPr>
        <w:t>评标委员会由5名评委组成，该评标委员会独立工作，负责评审所有投标文件并确定中标候选人。</w:t>
      </w:r>
    </w:p>
    <w:p>
      <w:pPr>
        <w:snapToGrid w:val="0"/>
        <w:spacing w:line="520" w:lineRule="exact"/>
        <w:rPr>
          <w:rFonts w:ascii="仿宋" w:hAnsi="仿宋" w:eastAsia="仿宋" w:cs="仿宋"/>
          <w:color w:val="auto"/>
          <w:sz w:val="24"/>
          <w:highlight w:val="none"/>
        </w:rPr>
      </w:pPr>
      <w:r>
        <w:rPr>
          <w:rFonts w:hint="eastAsia" w:ascii="仿宋" w:hAnsi="仿宋" w:eastAsia="仿宋" w:cs="仿宋"/>
          <w:color w:val="auto"/>
          <w:sz w:val="24"/>
          <w:highlight w:val="none"/>
        </w:rPr>
        <w:t>18.评标</w:t>
      </w:r>
    </w:p>
    <w:p>
      <w:pPr>
        <w:snapToGrid w:val="0"/>
        <w:spacing w:line="520" w:lineRule="exact"/>
        <w:ind w:firstLine="480"/>
        <w:rPr>
          <w:rFonts w:ascii="仿宋" w:hAnsi="仿宋" w:eastAsia="仿宋" w:cs="仿宋"/>
          <w:color w:val="auto"/>
          <w:sz w:val="24"/>
          <w:highlight w:val="none"/>
        </w:rPr>
      </w:pPr>
      <w:r>
        <w:rPr>
          <w:rFonts w:hint="eastAsia" w:ascii="仿宋" w:hAnsi="仿宋" w:eastAsia="仿宋" w:cs="仿宋"/>
          <w:color w:val="auto"/>
          <w:sz w:val="24"/>
          <w:highlight w:val="none"/>
        </w:rPr>
        <w:t>见“第四章 评审办法和程序”。</w:t>
      </w:r>
    </w:p>
    <w:p>
      <w:pPr>
        <w:spacing w:line="300" w:lineRule="auto"/>
        <w:rPr>
          <w:rFonts w:ascii="仿宋" w:hAnsi="仿宋" w:eastAsia="仿宋" w:cs="仿宋"/>
          <w:color w:val="auto"/>
          <w:sz w:val="24"/>
          <w:highlight w:val="none"/>
        </w:rPr>
      </w:pPr>
      <w:r>
        <w:rPr>
          <w:rFonts w:hint="eastAsia" w:ascii="仿宋" w:hAnsi="仿宋" w:eastAsia="仿宋" w:cs="仿宋"/>
          <w:color w:val="auto"/>
          <w:highlight w:val="none"/>
        </w:rPr>
        <w:t>1</w:t>
      </w:r>
      <w:r>
        <w:rPr>
          <w:rFonts w:hint="eastAsia" w:ascii="仿宋" w:hAnsi="仿宋" w:eastAsia="仿宋" w:cs="仿宋"/>
          <w:color w:val="auto"/>
          <w:sz w:val="24"/>
          <w:highlight w:val="none"/>
        </w:rPr>
        <w:t>8.1 关于政策性加分</w:t>
      </w:r>
    </w:p>
    <w:p>
      <w:pPr>
        <w:spacing w:line="30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18.1.1 所投分包(如不分包则指本项目)的所有投标产品进入当期节能清单的，其评标价=投标报价*（1-2%）；投标人所投产品满足此规定的，必须提供声明函并提供相关证明文件。</w:t>
      </w:r>
    </w:p>
    <w:p>
      <w:pPr>
        <w:spacing w:line="30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18.1.2 所投分包(如不分包则指本项目)的所有投标产品进入当期环保清单的，其评标价=投标报价*（1-1%）；投标人所投产品满足此规定的，必须提供声明函并提供相关证明文件。</w:t>
      </w:r>
    </w:p>
    <w:p>
      <w:pPr>
        <w:spacing w:line="30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18.1.3 投标人为小型和微型企业（含联合体）的情况：</w:t>
      </w:r>
    </w:p>
    <w:p>
      <w:pPr>
        <w:spacing w:line="30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18.1.3.1 中小企业的认定标准：</w:t>
      </w:r>
    </w:p>
    <w:p>
      <w:pPr>
        <w:spacing w:line="30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1）提供本企业制造的货物、承担的工程或者服务，或者提供其他中小企业制造的货物，不包括提供或使用大型企业注册商标的货物；</w:t>
      </w:r>
    </w:p>
    <w:p>
      <w:pPr>
        <w:spacing w:line="30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2）本规定所称中小企业划分标准，是指国务院有关部门根据企业从业人员、营业收入、资产总额等指标制定的中小企业划型标准（工信部联企业〔2011〕300 号）；</w:t>
      </w:r>
    </w:p>
    <w:p>
      <w:pPr>
        <w:spacing w:line="30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3）小型、微型企业提供有中型企业制造的货物的，视同为中型企业；小型、微型、中型企业提供有大型企业制造的货物的，视同为大型企业。</w:t>
      </w:r>
    </w:p>
    <w:p>
      <w:pPr>
        <w:spacing w:line="30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18.1.3.2 具体评审价说明：</w:t>
      </w:r>
    </w:p>
    <w:p>
      <w:pPr>
        <w:spacing w:line="30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1）投标人为小型或微型企业，其评审价=投标报价*（1-6%）；</w:t>
      </w:r>
    </w:p>
    <w:p>
      <w:pPr>
        <w:spacing w:line="30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18.1.3.3 投标人为工信部联企业〔2011〕300 号文规定的小型和微型企业</w:t>
      </w:r>
    </w:p>
    <w:p>
      <w:pPr>
        <w:spacing w:line="300" w:lineRule="auto"/>
        <w:rPr>
          <w:rFonts w:ascii="仿宋" w:hAnsi="仿宋" w:eastAsia="仿宋" w:cs="仿宋"/>
          <w:color w:val="auto"/>
          <w:sz w:val="24"/>
          <w:highlight w:val="none"/>
        </w:rPr>
      </w:pPr>
      <w:r>
        <w:rPr>
          <w:rFonts w:hint="eastAsia" w:ascii="仿宋" w:hAnsi="仿宋" w:eastAsia="仿宋" w:cs="仿宋"/>
          <w:color w:val="auto"/>
          <w:sz w:val="24"/>
          <w:highlight w:val="none"/>
        </w:rPr>
        <w:t>的，必须如实填写“中小企业声明函”（内容、格式见财库〔2011〕181号），否则无效。</w:t>
      </w:r>
    </w:p>
    <w:p>
      <w:pPr>
        <w:spacing w:line="30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如有虚假骗取政策性加分，将依法承担相应责任。</w:t>
      </w:r>
    </w:p>
    <w:p>
      <w:pPr>
        <w:snapToGrid w:val="0"/>
        <w:spacing w:line="520" w:lineRule="exact"/>
        <w:rPr>
          <w:rFonts w:ascii="仿宋" w:hAnsi="仿宋" w:eastAsia="仿宋" w:cs="仿宋"/>
          <w:b/>
          <w:color w:val="auto"/>
          <w:sz w:val="28"/>
          <w:highlight w:val="none"/>
        </w:rPr>
      </w:pPr>
      <w:r>
        <w:rPr>
          <w:rFonts w:hint="eastAsia" w:ascii="仿宋" w:hAnsi="仿宋" w:eastAsia="仿宋" w:cs="仿宋"/>
          <w:b/>
          <w:color w:val="auto"/>
          <w:sz w:val="28"/>
          <w:highlight w:val="none"/>
        </w:rPr>
        <w:t>六、授标及签约</w:t>
      </w:r>
    </w:p>
    <w:p>
      <w:pPr>
        <w:snapToGrid w:val="0"/>
        <w:spacing w:line="520" w:lineRule="exact"/>
        <w:rPr>
          <w:rFonts w:ascii="仿宋" w:hAnsi="仿宋" w:eastAsia="仿宋" w:cs="仿宋"/>
          <w:color w:val="auto"/>
          <w:sz w:val="24"/>
          <w:highlight w:val="none"/>
        </w:rPr>
      </w:pPr>
      <w:r>
        <w:rPr>
          <w:rFonts w:hint="eastAsia" w:ascii="仿宋" w:hAnsi="仿宋" w:eastAsia="仿宋" w:cs="仿宋"/>
          <w:color w:val="auto"/>
          <w:sz w:val="24"/>
          <w:highlight w:val="none"/>
        </w:rPr>
        <w:t>19．定标原则</w:t>
      </w:r>
    </w:p>
    <w:p>
      <w:pPr>
        <w:snapToGrid w:val="0"/>
        <w:spacing w:line="52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19.1评标委员会将严格按照招标文件的要求和条件进行评标,根据评标办法推荐出一至三人为中标候选人，并标明排列顺序。采购人将确定排名第一的中标候选人为中标人并向其授予合同。排名第一的中标候选人因不可抗力或者自身原因不能履行合同，或者本文件规定应当提交履约保证金而在规定期限未能提交的，或者是评标委员会出现评标错误，被他人质疑后证实确有其事的，采购人将把合同授予排名第二的中标候选人。排名第二的中标候选人因前款规定的同样原因不能签订合同的，采购人将把合同授予排名第三的中标候选人。</w:t>
      </w:r>
    </w:p>
    <w:p>
      <w:pPr>
        <w:snapToGrid w:val="0"/>
        <w:spacing w:line="52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19.2 招标代理机构将在指定的网站上公示投标结果。</w:t>
      </w:r>
    </w:p>
    <w:p>
      <w:pPr>
        <w:snapToGrid w:val="0"/>
        <w:spacing w:line="520" w:lineRule="exact"/>
        <w:rPr>
          <w:rFonts w:ascii="仿宋" w:hAnsi="仿宋" w:eastAsia="仿宋" w:cs="仿宋"/>
          <w:color w:val="auto"/>
          <w:sz w:val="24"/>
          <w:highlight w:val="none"/>
        </w:rPr>
      </w:pPr>
      <w:r>
        <w:rPr>
          <w:rFonts w:hint="eastAsia" w:ascii="仿宋" w:hAnsi="仿宋" w:eastAsia="仿宋" w:cs="仿宋"/>
          <w:color w:val="auto"/>
          <w:sz w:val="24"/>
          <w:highlight w:val="none"/>
        </w:rPr>
        <w:t>20. 质疑处理</w:t>
      </w:r>
    </w:p>
    <w:p>
      <w:pPr>
        <w:snapToGrid w:val="0"/>
        <w:spacing w:line="520" w:lineRule="exact"/>
        <w:rPr>
          <w:rFonts w:ascii="仿宋" w:hAnsi="仿宋" w:eastAsia="仿宋" w:cs="仿宋"/>
          <w:color w:val="auto"/>
          <w:sz w:val="24"/>
          <w:highlight w:val="none"/>
        </w:rPr>
      </w:pPr>
      <w:r>
        <w:rPr>
          <w:rFonts w:hint="eastAsia" w:ascii="仿宋" w:hAnsi="仿宋" w:eastAsia="仿宋" w:cs="仿宋"/>
          <w:color w:val="auto"/>
          <w:sz w:val="24"/>
          <w:highlight w:val="none"/>
        </w:rPr>
        <w:t xml:space="preserve">    20.1 投标人如认为采购文件、采购过程和中标结果使自己的权益收到损害的，应在知道或应知道其权益受到损害之日起7个工作日内以书面形式向招标代理机构或采购人提出质疑。匿名、非书面形式、7个工作日之外的质疑均不予受理。</w:t>
      </w:r>
    </w:p>
    <w:p>
      <w:pPr>
        <w:spacing w:line="360" w:lineRule="auto"/>
        <w:ind w:firstLine="480" w:firstLineChars="200"/>
        <w:rPr>
          <w:rFonts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20.2质疑书原件可采取当面递交或邮寄、快递的方式送达代理机构。以邮寄、快递方式递交的，质疑提起日期以邮寄件上的戳记日期、邮政快递件上的戳记日期或非邮政快递件上的签注之日计算，受理日期则以代理机构收到质疑函原件之日计算。</w:t>
      </w:r>
    </w:p>
    <w:p>
      <w:pPr>
        <w:spacing w:line="360" w:lineRule="auto"/>
        <w:ind w:firstLine="480" w:firstLineChars="200"/>
        <w:rPr>
          <w:rFonts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以邮寄、快递方式递交质疑函的，质疑人可以在质疑有效期内以清晰扫描及时将质疑事项告知代理机构，并提供邮寄件、快递件的有效查询方式。</w:t>
      </w:r>
    </w:p>
    <w:p>
      <w:pPr>
        <w:spacing w:line="360" w:lineRule="auto"/>
        <w:ind w:firstLine="480" w:firstLineChars="200"/>
        <w:rPr>
          <w:rFonts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20.3质疑函接收信息</w:t>
      </w:r>
    </w:p>
    <w:p>
      <w:pPr>
        <w:spacing w:line="360" w:lineRule="auto"/>
        <w:ind w:firstLine="480" w:firstLineChars="200"/>
        <w:rPr>
          <w:rFonts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联系部门：海南政辉招投标代理有限公司—项目部</w:t>
      </w:r>
    </w:p>
    <w:p>
      <w:pPr>
        <w:spacing w:line="360" w:lineRule="auto"/>
        <w:ind w:firstLine="480" w:firstLineChars="200"/>
        <w:rPr>
          <w:rFonts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联系电话及联系人：</w:t>
      </w:r>
      <w:r>
        <w:rPr>
          <w:rFonts w:hint="eastAsia" w:ascii="仿宋_GB2312" w:hAnsi="仿宋_GB2312" w:eastAsia="仿宋_GB2312" w:cs="仿宋_GB2312"/>
          <w:color w:val="auto"/>
          <w:sz w:val="24"/>
          <w:highlight w:val="none"/>
        </w:rPr>
        <w:t>周工 0898-66557609</w:t>
      </w:r>
    </w:p>
    <w:p>
      <w:pPr>
        <w:spacing w:line="360" w:lineRule="auto"/>
        <w:ind w:firstLine="480" w:firstLineChars="200"/>
        <w:rPr>
          <w:rFonts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通讯地址：</w:t>
      </w:r>
      <w:r>
        <w:rPr>
          <w:rFonts w:hint="eastAsia" w:ascii="仿宋_GB2312" w:hAnsi="仿宋_GB2312" w:eastAsia="仿宋_GB2312" w:cs="仿宋_GB2312"/>
          <w:color w:val="auto"/>
          <w:sz w:val="24"/>
          <w:highlight w:val="none"/>
        </w:rPr>
        <w:t>海口市五指山路康业花园西湖苑G栋2A</w:t>
      </w:r>
    </w:p>
    <w:p>
      <w:pPr>
        <w:spacing w:line="360" w:lineRule="auto"/>
        <w:ind w:firstLine="480" w:firstLineChars="200"/>
        <w:rPr>
          <w:rFonts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20.4有下列情形之一的，属于无效质疑，采购人或采购代理机构可不予受理：</w:t>
      </w:r>
    </w:p>
    <w:p>
      <w:pPr>
        <w:spacing w:line="360" w:lineRule="auto"/>
        <w:ind w:firstLine="480" w:firstLineChars="200"/>
        <w:rPr>
          <w:rFonts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（1）未在有效期限内提出质疑的；</w:t>
      </w:r>
    </w:p>
    <w:p>
      <w:pPr>
        <w:spacing w:line="360" w:lineRule="auto"/>
        <w:ind w:firstLine="480" w:firstLineChars="200"/>
        <w:rPr>
          <w:rFonts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（2）质疑未以书面形式提出的；</w:t>
      </w:r>
    </w:p>
    <w:p>
      <w:pPr>
        <w:spacing w:line="360" w:lineRule="auto"/>
        <w:ind w:firstLine="480" w:firstLineChars="200"/>
        <w:rPr>
          <w:rFonts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（3）所提交材料未明示属于质疑材料的；</w:t>
      </w:r>
    </w:p>
    <w:p>
      <w:pPr>
        <w:spacing w:line="360" w:lineRule="auto"/>
        <w:ind w:firstLine="480" w:firstLineChars="200"/>
        <w:rPr>
          <w:rFonts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（4）质疑事项已经进入投诉或者诉讼程序的；</w:t>
      </w:r>
    </w:p>
    <w:p>
      <w:pPr>
        <w:spacing w:line="360" w:lineRule="auto"/>
        <w:ind w:firstLine="480" w:firstLineChars="200"/>
        <w:rPr>
          <w:rFonts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（5）在质疑有效期内未就同一环节一次性提出质疑的；</w:t>
      </w:r>
    </w:p>
    <w:p>
      <w:pPr>
        <w:spacing w:line="360" w:lineRule="auto"/>
        <w:ind w:firstLine="480" w:firstLineChars="200"/>
        <w:rPr>
          <w:rFonts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（6）其它不符合受理条件的情形。</w:t>
      </w:r>
    </w:p>
    <w:p>
      <w:pPr>
        <w:spacing w:line="360" w:lineRule="auto"/>
        <w:ind w:firstLine="480" w:firstLineChars="200"/>
        <w:rPr>
          <w:rFonts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20.5质疑函的形式有下列情形之一的，采购人或采购代理机构应当一次性告知质疑人在法定质疑期内修改后重新提交。法定质疑期内质疑人未重新提交，或者重新提交的质疑仍不符合形式规定的，由此产生的风险由投标人自行承担：</w:t>
      </w:r>
    </w:p>
    <w:p>
      <w:pPr>
        <w:spacing w:line="360" w:lineRule="auto"/>
        <w:ind w:firstLine="480" w:firstLineChars="200"/>
        <w:rPr>
          <w:rFonts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（1）质疑函未使用财政部制定的政府采购供应商质疑函范本进行编写的；</w:t>
      </w:r>
    </w:p>
    <w:p>
      <w:pPr>
        <w:spacing w:line="360" w:lineRule="auto"/>
        <w:ind w:firstLine="480" w:firstLineChars="200"/>
        <w:rPr>
          <w:rFonts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（2）质疑函内容不全的。</w:t>
      </w:r>
    </w:p>
    <w:p>
      <w:pPr>
        <w:spacing w:line="360" w:lineRule="auto"/>
        <w:ind w:firstLine="480" w:firstLineChars="200"/>
        <w:rPr>
          <w:rFonts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20.6代理机构应于收到质疑函后一个工作日内对质疑函的形式进行审查，符合条件的质疑，应当受理并向质疑人发出质疑签收单。收到质疑函原件并向质疑人发出质疑签收单之日，为质疑正式受理之日。</w:t>
      </w:r>
    </w:p>
    <w:p>
      <w:pPr>
        <w:spacing w:line="360" w:lineRule="auto"/>
        <w:ind w:firstLine="480" w:firstLineChars="200"/>
        <w:rPr>
          <w:rFonts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质疑函在质疑有效期内需要修改、补充的，以提交修改或补充的质疑函原件并发出质疑签收单之日作为质疑正式受理之日。</w:t>
      </w:r>
    </w:p>
    <w:p>
      <w:pPr>
        <w:snapToGrid w:val="0"/>
        <w:spacing w:line="520" w:lineRule="exact"/>
        <w:rPr>
          <w:rFonts w:ascii="仿宋" w:hAnsi="仿宋" w:eastAsia="仿宋" w:cs="仿宋"/>
          <w:color w:val="auto"/>
          <w:sz w:val="24"/>
          <w:highlight w:val="none"/>
        </w:rPr>
      </w:pPr>
      <w:r>
        <w:rPr>
          <w:rFonts w:hint="eastAsia" w:ascii="仿宋" w:hAnsi="仿宋" w:eastAsia="仿宋" w:cs="仿宋"/>
          <w:color w:val="auto"/>
          <w:sz w:val="24"/>
          <w:highlight w:val="none"/>
        </w:rPr>
        <w:t>21．中标通知</w:t>
      </w:r>
    </w:p>
    <w:p>
      <w:pPr>
        <w:snapToGrid w:val="0"/>
        <w:spacing w:line="52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21.l定标后,招标人应将定标结果通知所有的投标人。</w:t>
      </w:r>
    </w:p>
    <w:p>
      <w:pPr>
        <w:snapToGrid w:val="0"/>
        <w:spacing w:line="52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21.2中标人收到中标通知后，应在规定时间内到招标人处领取中标通知书，并办理相关手续。</w:t>
      </w:r>
    </w:p>
    <w:p>
      <w:pPr>
        <w:snapToGrid w:val="0"/>
        <w:spacing w:line="52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21.3 中标通知书将是合同的一个组成部分。</w:t>
      </w:r>
    </w:p>
    <w:p>
      <w:pPr>
        <w:snapToGrid w:val="0"/>
        <w:spacing w:line="520" w:lineRule="exact"/>
        <w:rPr>
          <w:rFonts w:ascii="仿宋" w:hAnsi="仿宋" w:eastAsia="仿宋" w:cs="仿宋"/>
          <w:color w:val="auto"/>
          <w:sz w:val="24"/>
          <w:highlight w:val="none"/>
        </w:rPr>
      </w:pPr>
      <w:r>
        <w:rPr>
          <w:rFonts w:hint="eastAsia" w:ascii="仿宋" w:hAnsi="仿宋" w:eastAsia="仿宋" w:cs="仿宋"/>
          <w:color w:val="auto"/>
          <w:sz w:val="24"/>
          <w:highlight w:val="none"/>
        </w:rPr>
        <w:t>22．签订合同</w:t>
      </w:r>
    </w:p>
    <w:p>
      <w:pPr>
        <w:snapToGrid w:val="0"/>
        <w:spacing w:line="52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22.l 中标人应按中标通知书规定的时间、地点与采购人签订中标合同,否则投标保证金将不予退还，给采购人和招标人造成损失的，投标人还应承担赔偿责任。</w:t>
      </w:r>
    </w:p>
    <w:p>
      <w:pPr>
        <w:snapToGrid w:val="0"/>
        <w:spacing w:line="52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22.2 投标文件、中标人的投标文件及评标过程中有关澄清文件均应作为合同附件。</w:t>
      </w:r>
    </w:p>
    <w:p>
      <w:pPr>
        <w:snapToGrid w:val="0"/>
        <w:spacing w:line="520" w:lineRule="exact"/>
        <w:rPr>
          <w:rFonts w:ascii="仿宋" w:hAnsi="仿宋" w:eastAsia="仿宋" w:cs="仿宋"/>
          <w:color w:val="auto"/>
          <w:sz w:val="24"/>
          <w:highlight w:val="none"/>
        </w:rPr>
      </w:pPr>
      <w:r>
        <w:rPr>
          <w:rFonts w:hint="eastAsia" w:ascii="仿宋" w:hAnsi="仿宋" w:eastAsia="仿宋" w:cs="仿宋"/>
          <w:color w:val="auto"/>
          <w:sz w:val="24"/>
          <w:highlight w:val="none"/>
        </w:rPr>
        <w:t>23．招标代理服务费</w:t>
      </w:r>
    </w:p>
    <w:p>
      <w:pPr>
        <w:snapToGrid w:val="0"/>
        <w:spacing w:line="520" w:lineRule="exact"/>
        <w:ind w:firstLine="540" w:firstLineChars="225"/>
        <w:rPr>
          <w:rFonts w:ascii="仿宋" w:hAnsi="仿宋" w:eastAsia="仿宋" w:cs="仿宋"/>
          <w:color w:val="auto"/>
          <w:sz w:val="24"/>
          <w:szCs w:val="24"/>
          <w:highlight w:val="none"/>
        </w:rPr>
      </w:pPr>
      <w:r>
        <w:rPr>
          <w:rFonts w:hint="eastAsia" w:ascii="仿宋" w:hAnsi="仿宋" w:eastAsia="仿宋" w:cs="仿宋"/>
          <w:color w:val="auto"/>
          <w:sz w:val="24"/>
          <w:highlight w:val="none"/>
        </w:rPr>
        <w:t>本次采购活动采购代理服务费按按琼价费管【2011】225号收取，由中标供应商向海南政辉招投标代理有限公司支付</w:t>
      </w:r>
    </w:p>
    <w:p>
      <w:pPr>
        <w:snapToGrid w:val="0"/>
        <w:spacing w:line="520" w:lineRule="exact"/>
        <w:rPr>
          <w:rFonts w:ascii="仿宋" w:hAnsi="仿宋" w:eastAsia="仿宋" w:cs="仿宋"/>
          <w:color w:val="auto"/>
          <w:sz w:val="24"/>
          <w:highlight w:val="none"/>
        </w:rPr>
      </w:pPr>
      <w:r>
        <w:rPr>
          <w:rFonts w:hint="eastAsia" w:ascii="仿宋" w:hAnsi="仿宋" w:eastAsia="仿宋" w:cs="仿宋"/>
          <w:color w:val="auto"/>
          <w:sz w:val="24"/>
          <w:highlight w:val="none"/>
        </w:rPr>
        <w:t>24.其它</w:t>
      </w:r>
    </w:p>
    <w:p>
      <w:pPr>
        <w:snapToGrid w:val="0"/>
        <w:spacing w:line="52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本项目不召开答疑会。</w:t>
      </w:r>
    </w:p>
    <w:p>
      <w:pPr>
        <w:rPr>
          <w:rFonts w:ascii="仿宋" w:hAnsi="仿宋" w:eastAsia="仿宋" w:cs="仿宋"/>
          <w:color w:val="auto"/>
          <w:highlight w:val="none"/>
        </w:rPr>
      </w:pPr>
    </w:p>
    <w:p>
      <w:pPr>
        <w:snapToGrid w:val="0"/>
        <w:spacing w:line="520" w:lineRule="exact"/>
        <w:jc w:val="center"/>
        <w:outlineLvl w:val="0"/>
        <w:rPr>
          <w:rFonts w:ascii="仿宋" w:hAnsi="仿宋" w:eastAsia="仿宋" w:cs="仿宋"/>
          <w:b/>
          <w:color w:val="auto"/>
          <w:sz w:val="28"/>
          <w:highlight w:val="none"/>
        </w:rPr>
      </w:pPr>
    </w:p>
    <w:p>
      <w:pPr>
        <w:snapToGrid w:val="0"/>
        <w:spacing w:line="520" w:lineRule="exact"/>
        <w:jc w:val="center"/>
        <w:outlineLvl w:val="0"/>
        <w:rPr>
          <w:rFonts w:ascii="仿宋" w:hAnsi="仿宋" w:eastAsia="仿宋" w:cs="仿宋"/>
          <w:b/>
          <w:color w:val="auto"/>
          <w:sz w:val="44"/>
          <w:szCs w:val="44"/>
          <w:highlight w:val="none"/>
        </w:rPr>
      </w:pPr>
    </w:p>
    <w:p>
      <w:pPr>
        <w:snapToGrid w:val="0"/>
        <w:spacing w:line="520" w:lineRule="exact"/>
        <w:jc w:val="center"/>
        <w:outlineLvl w:val="0"/>
        <w:rPr>
          <w:rFonts w:ascii="仿宋" w:hAnsi="仿宋" w:eastAsia="仿宋" w:cs="仿宋"/>
          <w:b/>
          <w:color w:val="auto"/>
          <w:sz w:val="44"/>
          <w:szCs w:val="44"/>
          <w:highlight w:val="none"/>
        </w:rPr>
      </w:pPr>
    </w:p>
    <w:p>
      <w:pPr>
        <w:snapToGrid w:val="0"/>
        <w:spacing w:line="520" w:lineRule="exact"/>
        <w:jc w:val="center"/>
        <w:outlineLvl w:val="0"/>
        <w:rPr>
          <w:rFonts w:ascii="仿宋" w:hAnsi="仿宋" w:eastAsia="仿宋" w:cs="仿宋"/>
          <w:b/>
          <w:color w:val="auto"/>
          <w:sz w:val="44"/>
          <w:szCs w:val="44"/>
          <w:highlight w:val="none"/>
        </w:rPr>
      </w:pPr>
    </w:p>
    <w:p>
      <w:pPr>
        <w:snapToGrid w:val="0"/>
        <w:spacing w:line="520" w:lineRule="exact"/>
        <w:jc w:val="center"/>
        <w:outlineLvl w:val="0"/>
        <w:rPr>
          <w:rFonts w:ascii="仿宋" w:hAnsi="仿宋" w:eastAsia="仿宋" w:cs="仿宋"/>
          <w:b/>
          <w:color w:val="auto"/>
          <w:sz w:val="44"/>
          <w:szCs w:val="44"/>
          <w:highlight w:val="none"/>
        </w:rPr>
      </w:pPr>
    </w:p>
    <w:p>
      <w:pPr>
        <w:snapToGrid w:val="0"/>
        <w:spacing w:line="520" w:lineRule="exact"/>
        <w:jc w:val="center"/>
        <w:outlineLvl w:val="0"/>
        <w:rPr>
          <w:rFonts w:ascii="仿宋" w:hAnsi="仿宋" w:eastAsia="仿宋" w:cs="仿宋"/>
          <w:b/>
          <w:color w:val="auto"/>
          <w:sz w:val="44"/>
          <w:szCs w:val="44"/>
          <w:highlight w:val="none"/>
        </w:rPr>
      </w:pPr>
    </w:p>
    <w:p>
      <w:pPr>
        <w:snapToGrid w:val="0"/>
        <w:spacing w:line="520" w:lineRule="exact"/>
        <w:jc w:val="center"/>
        <w:outlineLvl w:val="0"/>
        <w:rPr>
          <w:rFonts w:ascii="仿宋" w:hAnsi="仿宋" w:eastAsia="仿宋" w:cs="仿宋"/>
          <w:b/>
          <w:color w:val="auto"/>
          <w:sz w:val="44"/>
          <w:szCs w:val="44"/>
          <w:highlight w:val="none"/>
        </w:rPr>
      </w:pPr>
    </w:p>
    <w:p>
      <w:pPr>
        <w:snapToGrid w:val="0"/>
        <w:spacing w:line="520" w:lineRule="exact"/>
        <w:jc w:val="center"/>
        <w:outlineLvl w:val="0"/>
        <w:rPr>
          <w:rFonts w:ascii="仿宋" w:hAnsi="仿宋" w:eastAsia="仿宋" w:cs="仿宋"/>
          <w:b/>
          <w:color w:val="auto"/>
          <w:sz w:val="44"/>
          <w:szCs w:val="44"/>
          <w:highlight w:val="none"/>
        </w:rPr>
      </w:pPr>
      <w:bookmarkStart w:id="13" w:name="_Toc21088"/>
      <w:r>
        <w:rPr>
          <w:rFonts w:hint="eastAsia" w:ascii="仿宋" w:hAnsi="仿宋" w:eastAsia="仿宋" w:cs="仿宋"/>
          <w:b/>
          <w:color w:val="auto"/>
          <w:sz w:val="44"/>
          <w:szCs w:val="44"/>
          <w:highlight w:val="none"/>
        </w:rPr>
        <w:t>第三章  用户需求书</w:t>
      </w:r>
      <w:bookmarkEnd w:id="11"/>
      <w:bookmarkEnd w:id="12"/>
      <w:bookmarkEnd w:id="13"/>
    </w:p>
    <w:p>
      <w:pPr>
        <w:pStyle w:val="2"/>
        <w:spacing w:before="0" w:after="0" w:line="360" w:lineRule="auto"/>
        <w:rPr>
          <w:rFonts w:ascii="仿宋" w:hAnsi="仿宋" w:eastAsia="仿宋" w:cs="仿宋"/>
          <w:color w:val="auto"/>
          <w:sz w:val="28"/>
          <w:szCs w:val="28"/>
          <w:highlight w:val="none"/>
        </w:rPr>
      </w:pPr>
      <w:bookmarkStart w:id="14" w:name="_Toc14066"/>
      <w:bookmarkStart w:id="15" w:name="_Toc58594540"/>
      <w:bookmarkStart w:id="16" w:name="_Toc487034072"/>
      <w:r>
        <w:rPr>
          <w:rFonts w:hint="eastAsia" w:ascii="仿宋" w:hAnsi="仿宋" w:eastAsia="仿宋" w:cs="仿宋"/>
          <w:color w:val="auto"/>
          <w:sz w:val="28"/>
          <w:szCs w:val="28"/>
          <w:highlight w:val="none"/>
        </w:rPr>
        <w:t>一、项目概况</w:t>
      </w:r>
      <w:bookmarkEnd w:id="14"/>
      <w:bookmarkEnd w:id="15"/>
      <w:bookmarkEnd w:id="16"/>
    </w:p>
    <w:p>
      <w:pPr>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1、项目名称：厅海岸警察总队（筹备组）4G执法记录仪项目</w:t>
      </w:r>
    </w:p>
    <w:p>
      <w:pPr>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2、资金来源：财政资金 </w:t>
      </w:r>
    </w:p>
    <w:p>
      <w:pPr>
        <w:spacing w:line="360" w:lineRule="auto"/>
        <w:rPr>
          <w:rFonts w:eastAsia="仿宋"/>
          <w:color w:val="auto"/>
          <w:highlight w:val="none"/>
        </w:rPr>
      </w:pPr>
      <w:r>
        <w:rPr>
          <w:rFonts w:hint="eastAsia" w:ascii="仿宋" w:hAnsi="仿宋" w:eastAsia="仿宋" w:cs="仿宋"/>
          <w:color w:val="auto"/>
          <w:sz w:val="24"/>
          <w:szCs w:val="24"/>
          <w:highlight w:val="none"/>
        </w:rPr>
        <w:t>3、采购预算：</w:t>
      </w:r>
      <w:r>
        <w:rPr>
          <w:rFonts w:hint="eastAsia" w:ascii="仿宋" w:hAnsi="仿宋" w:eastAsia="仿宋" w:cs="仿宋"/>
          <w:color w:val="auto"/>
          <w:sz w:val="24"/>
          <w:szCs w:val="24"/>
          <w:highlight w:val="none"/>
          <w:shd w:val="clear" w:color="auto" w:fill="FFFFFF"/>
        </w:rPr>
        <w:t xml:space="preserve">2200000.00元,最高限价：2107894.75元（超过最高限价的投标文件按无效投标处理） </w:t>
      </w:r>
    </w:p>
    <w:p>
      <w:pPr>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4、项目实施地点：采购人指定地点</w:t>
      </w:r>
    </w:p>
    <w:p>
      <w:pPr>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5、交货期：签订合同之日起30天内</w:t>
      </w:r>
    </w:p>
    <w:p>
      <w:pPr>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6、付款方式：</w:t>
      </w:r>
    </w:p>
    <w:p>
      <w:pPr>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1、签订合同之日起7个工作日内，甲方凭借乙方正式有效发票向其支付合同金额的30%做为预付款；</w:t>
      </w:r>
    </w:p>
    <w:p>
      <w:pPr>
        <w:pStyle w:val="17"/>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2、项目到货验收后7个工作日内，甲方凭借乙方正式有效发票和银行出具合同金额5%履约保函，甲方确认无误后向其支付合同金额的70%；</w:t>
      </w:r>
    </w:p>
    <w:p>
      <w:pPr>
        <w:spacing w:line="360" w:lineRule="auto"/>
        <w:jc w:val="both"/>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二、采购需求</w:t>
      </w:r>
    </w:p>
    <w:p>
      <w:pPr>
        <w:rPr>
          <w:color w:val="auto"/>
          <w:highlight w:val="none"/>
        </w:rPr>
      </w:pP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2"/>
        <w:gridCol w:w="3036"/>
        <w:gridCol w:w="2314"/>
        <w:gridCol w:w="2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1592" w:type="dxa"/>
            <w:shd w:val="clear" w:color="auto" w:fill="auto"/>
            <w:vAlign w:val="center"/>
          </w:tcPr>
          <w:p>
            <w:pPr>
              <w:widowControl w:val="0"/>
              <w:jc w:val="center"/>
              <w:rPr>
                <w:rFonts w:ascii="仿宋" w:hAnsi="仿宋" w:eastAsia="仿宋" w:cs="仿宋"/>
                <w:color w:val="auto"/>
                <w:highlight w:val="none"/>
              </w:rPr>
            </w:pPr>
            <w:r>
              <w:rPr>
                <w:rFonts w:hint="eastAsia" w:ascii="仿宋" w:hAnsi="仿宋" w:eastAsia="仿宋" w:cs="仿宋"/>
                <w:color w:val="auto"/>
                <w:highlight w:val="none"/>
              </w:rPr>
              <w:t>序号</w:t>
            </w:r>
          </w:p>
        </w:tc>
        <w:tc>
          <w:tcPr>
            <w:tcW w:w="3036" w:type="dxa"/>
            <w:shd w:val="clear" w:color="auto" w:fill="auto"/>
            <w:vAlign w:val="center"/>
          </w:tcPr>
          <w:p>
            <w:pPr>
              <w:pStyle w:val="2"/>
              <w:widowControl w:val="0"/>
              <w:jc w:val="center"/>
              <w:rPr>
                <w:rFonts w:ascii="仿宋" w:hAnsi="仿宋" w:eastAsia="仿宋" w:cs="仿宋"/>
                <w:b w:val="0"/>
                <w:bCs w:val="0"/>
                <w:color w:val="auto"/>
                <w:sz w:val="24"/>
                <w:szCs w:val="24"/>
                <w:highlight w:val="none"/>
              </w:rPr>
            </w:pPr>
            <w:bookmarkStart w:id="17" w:name="_Toc58594541"/>
            <w:bookmarkStart w:id="18" w:name="_Toc4204"/>
            <w:r>
              <w:rPr>
                <w:rFonts w:hint="eastAsia" w:ascii="仿宋" w:hAnsi="仿宋" w:eastAsia="仿宋" w:cs="仿宋"/>
                <w:b w:val="0"/>
                <w:bCs w:val="0"/>
                <w:color w:val="auto"/>
                <w:sz w:val="24"/>
                <w:szCs w:val="24"/>
                <w:highlight w:val="none"/>
              </w:rPr>
              <w:t>名称</w:t>
            </w:r>
            <w:bookmarkEnd w:id="17"/>
            <w:bookmarkEnd w:id="18"/>
          </w:p>
        </w:tc>
        <w:tc>
          <w:tcPr>
            <w:tcW w:w="2314" w:type="dxa"/>
            <w:shd w:val="clear" w:color="auto" w:fill="auto"/>
            <w:vAlign w:val="center"/>
          </w:tcPr>
          <w:p>
            <w:pPr>
              <w:pStyle w:val="2"/>
              <w:widowControl w:val="0"/>
              <w:jc w:val="center"/>
              <w:rPr>
                <w:rFonts w:ascii="仿宋" w:hAnsi="仿宋" w:eastAsia="仿宋" w:cs="仿宋"/>
                <w:b w:val="0"/>
                <w:bCs w:val="0"/>
                <w:color w:val="auto"/>
                <w:sz w:val="24"/>
                <w:szCs w:val="24"/>
                <w:highlight w:val="none"/>
              </w:rPr>
            </w:pPr>
            <w:bookmarkStart w:id="19" w:name="_Toc58594542"/>
            <w:bookmarkStart w:id="20" w:name="_Toc5857"/>
            <w:r>
              <w:rPr>
                <w:rFonts w:hint="eastAsia" w:ascii="仿宋" w:hAnsi="仿宋" w:eastAsia="仿宋" w:cs="仿宋"/>
                <w:b w:val="0"/>
                <w:bCs w:val="0"/>
                <w:color w:val="auto"/>
                <w:sz w:val="24"/>
                <w:szCs w:val="24"/>
                <w:highlight w:val="none"/>
              </w:rPr>
              <w:t>数量</w:t>
            </w:r>
            <w:bookmarkEnd w:id="19"/>
            <w:bookmarkEnd w:id="20"/>
          </w:p>
        </w:tc>
        <w:tc>
          <w:tcPr>
            <w:tcW w:w="2314" w:type="dxa"/>
            <w:shd w:val="clear" w:color="auto" w:fill="auto"/>
            <w:vAlign w:val="center"/>
          </w:tcPr>
          <w:p>
            <w:pPr>
              <w:pStyle w:val="2"/>
              <w:widowControl w:val="0"/>
              <w:jc w:val="center"/>
              <w:rPr>
                <w:rFonts w:ascii="仿宋" w:hAnsi="仿宋" w:eastAsia="仿宋" w:cs="仿宋"/>
                <w:b w:val="0"/>
                <w:bCs w:val="0"/>
                <w:color w:val="auto"/>
                <w:sz w:val="24"/>
                <w:szCs w:val="24"/>
                <w:highlight w:val="none"/>
              </w:rPr>
            </w:pPr>
            <w:bookmarkStart w:id="21" w:name="_Toc58594543"/>
            <w:bookmarkStart w:id="22" w:name="_Toc4491"/>
            <w:r>
              <w:rPr>
                <w:rFonts w:hint="eastAsia" w:ascii="仿宋" w:hAnsi="仿宋" w:eastAsia="仿宋" w:cs="仿宋"/>
                <w:b w:val="0"/>
                <w:bCs w:val="0"/>
                <w:color w:val="auto"/>
                <w:sz w:val="24"/>
                <w:szCs w:val="24"/>
                <w:highlight w:val="none"/>
              </w:rPr>
              <w:t>备注</w:t>
            </w:r>
            <w:bookmarkEnd w:id="21"/>
            <w:bookmarkEnd w:id="2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92" w:type="dxa"/>
            <w:shd w:val="clear" w:color="auto" w:fill="auto"/>
            <w:vAlign w:val="center"/>
          </w:tcPr>
          <w:p>
            <w:pPr>
              <w:widowControl w:val="0"/>
              <w:jc w:val="center"/>
              <w:rPr>
                <w:rFonts w:ascii="仿宋" w:hAnsi="仿宋" w:eastAsia="仿宋" w:cs="仿宋"/>
                <w:color w:val="auto"/>
                <w:highlight w:val="none"/>
              </w:rPr>
            </w:pPr>
            <w:r>
              <w:rPr>
                <w:rFonts w:hint="eastAsia" w:ascii="仿宋" w:hAnsi="仿宋" w:eastAsia="仿宋" w:cs="仿宋"/>
                <w:color w:val="auto"/>
                <w:highlight w:val="none"/>
              </w:rPr>
              <w:t>1</w:t>
            </w:r>
          </w:p>
        </w:tc>
        <w:tc>
          <w:tcPr>
            <w:tcW w:w="3036" w:type="dxa"/>
            <w:shd w:val="clear" w:color="auto" w:fill="auto"/>
            <w:vAlign w:val="center"/>
          </w:tcPr>
          <w:p>
            <w:pPr>
              <w:pStyle w:val="2"/>
              <w:widowControl w:val="0"/>
              <w:jc w:val="center"/>
              <w:rPr>
                <w:rFonts w:ascii="仿宋" w:hAnsi="仿宋" w:eastAsia="仿宋" w:cs="仿宋"/>
                <w:b w:val="0"/>
                <w:bCs w:val="0"/>
                <w:color w:val="auto"/>
                <w:sz w:val="24"/>
                <w:szCs w:val="24"/>
                <w:highlight w:val="none"/>
              </w:rPr>
            </w:pPr>
            <w:bookmarkStart w:id="23" w:name="_Toc58594544"/>
            <w:bookmarkStart w:id="24" w:name="_Toc25436"/>
            <w:r>
              <w:rPr>
                <w:rFonts w:hint="eastAsia" w:ascii="仿宋" w:hAnsi="仿宋" w:eastAsia="仿宋" w:cs="仿宋"/>
                <w:b w:val="0"/>
                <w:bCs w:val="0"/>
                <w:color w:val="auto"/>
                <w:sz w:val="24"/>
                <w:szCs w:val="24"/>
                <w:highlight w:val="none"/>
              </w:rPr>
              <w:t>4G执法记录仪单警设备</w:t>
            </w:r>
            <w:bookmarkEnd w:id="23"/>
            <w:bookmarkEnd w:id="24"/>
          </w:p>
        </w:tc>
        <w:tc>
          <w:tcPr>
            <w:tcW w:w="2314" w:type="dxa"/>
            <w:shd w:val="clear" w:color="auto" w:fill="auto"/>
            <w:vAlign w:val="center"/>
          </w:tcPr>
          <w:p>
            <w:pPr>
              <w:pStyle w:val="2"/>
              <w:widowControl w:val="0"/>
              <w:jc w:val="center"/>
              <w:rPr>
                <w:rFonts w:ascii="仿宋" w:hAnsi="仿宋" w:eastAsia="仿宋" w:cs="仿宋"/>
                <w:b w:val="0"/>
                <w:bCs w:val="0"/>
                <w:color w:val="auto"/>
                <w:sz w:val="24"/>
                <w:szCs w:val="24"/>
                <w:highlight w:val="none"/>
              </w:rPr>
            </w:pPr>
            <w:bookmarkStart w:id="25" w:name="_Toc58594545"/>
            <w:bookmarkStart w:id="26" w:name="_Toc9382"/>
            <w:r>
              <w:rPr>
                <w:rFonts w:hint="eastAsia" w:ascii="仿宋" w:hAnsi="仿宋" w:eastAsia="仿宋" w:cs="仿宋"/>
                <w:b w:val="0"/>
                <w:bCs w:val="0"/>
                <w:color w:val="auto"/>
                <w:sz w:val="24"/>
                <w:szCs w:val="24"/>
                <w:highlight w:val="none"/>
              </w:rPr>
              <w:t>500部</w:t>
            </w:r>
            <w:bookmarkEnd w:id="25"/>
            <w:bookmarkEnd w:id="26"/>
          </w:p>
        </w:tc>
        <w:tc>
          <w:tcPr>
            <w:tcW w:w="2314" w:type="dxa"/>
            <w:shd w:val="clear" w:color="auto" w:fill="auto"/>
            <w:vAlign w:val="center"/>
          </w:tcPr>
          <w:p>
            <w:pPr>
              <w:pStyle w:val="2"/>
              <w:widowControl w:val="0"/>
              <w:jc w:val="center"/>
              <w:rPr>
                <w:rFonts w:ascii="仿宋" w:hAnsi="仿宋" w:eastAsia="仿宋" w:cs="仿宋"/>
                <w:b w:val="0"/>
                <w:bCs w:val="0"/>
                <w:color w:val="auto"/>
                <w:sz w:val="24"/>
                <w:szCs w:val="24"/>
                <w:highlight w:val="none"/>
              </w:rPr>
            </w:pPr>
          </w:p>
        </w:tc>
      </w:tr>
    </w:tbl>
    <w:p>
      <w:pPr>
        <w:rPr>
          <w:color w:val="auto"/>
          <w:highlight w:val="none"/>
        </w:rPr>
      </w:pPr>
    </w:p>
    <w:p>
      <w:pPr>
        <w:rPr>
          <w:color w:val="auto"/>
          <w:highlight w:val="none"/>
        </w:rPr>
      </w:pPr>
    </w:p>
    <w:p>
      <w:pPr>
        <w:rPr>
          <w:color w:val="auto"/>
          <w:highlight w:val="none"/>
        </w:rPr>
      </w:pPr>
      <w:r>
        <w:rPr>
          <w:rFonts w:hint="eastAsia"/>
          <w:color w:val="auto"/>
          <w:highlight w:val="none"/>
        </w:rPr>
        <w:t>一、</w:t>
      </w:r>
      <w:r>
        <w:rPr>
          <w:rFonts w:hint="eastAsia" w:ascii="仿宋" w:hAnsi="仿宋" w:eastAsia="仿宋" w:cs="仿宋"/>
          <w:b/>
          <w:bCs/>
          <w:color w:val="auto"/>
          <w:sz w:val="24"/>
          <w:szCs w:val="24"/>
          <w:highlight w:val="none"/>
        </w:rPr>
        <w:t>4G执法记录仪单警设备</w:t>
      </w:r>
    </w:p>
    <w:p>
      <w:pPr>
        <w:rPr>
          <w:color w:val="auto"/>
          <w:highlight w:val="none"/>
        </w:rPr>
      </w:pPr>
    </w:p>
    <w:tbl>
      <w:tblPr>
        <w:tblStyle w:val="43"/>
        <w:tblW w:w="86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717"/>
        <w:gridCol w:w="1233"/>
        <w:gridCol w:w="4859"/>
        <w:gridCol w:w="1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91" w:hRule="atLeast"/>
          <w:jc w:val="center"/>
        </w:trPr>
        <w:tc>
          <w:tcPr>
            <w:tcW w:w="8655"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Cs/>
                <w:color w:val="auto"/>
                <w:sz w:val="24"/>
                <w:szCs w:val="24"/>
                <w:highlight w:val="none"/>
              </w:rPr>
            </w:pPr>
            <w:r>
              <w:rPr>
                <w:rFonts w:hint="eastAsia" w:ascii="仿宋" w:hAnsi="仿宋" w:eastAsia="仿宋" w:cs="仿宋"/>
                <w:b/>
                <w:color w:val="auto"/>
                <w:sz w:val="24"/>
                <w:szCs w:val="24"/>
                <w:highlight w:val="none"/>
              </w:rPr>
              <w:t>4G执法记录仪单警设备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1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序号</w:t>
            </w:r>
          </w:p>
        </w:tc>
        <w:tc>
          <w:tcPr>
            <w:tcW w:w="123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性能项目</w:t>
            </w:r>
          </w:p>
        </w:tc>
        <w:tc>
          <w:tcPr>
            <w:tcW w:w="485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技术参数</w:t>
            </w:r>
          </w:p>
        </w:tc>
        <w:tc>
          <w:tcPr>
            <w:tcW w:w="184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2" w:hRule="atLeast"/>
          <w:jc w:val="center"/>
        </w:trPr>
        <w:tc>
          <w:tcPr>
            <w:tcW w:w="71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w:t>
            </w:r>
          </w:p>
        </w:tc>
        <w:tc>
          <w:tcPr>
            <w:tcW w:w="123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智能化</w:t>
            </w:r>
          </w:p>
        </w:tc>
        <w:tc>
          <w:tcPr>
            <w:tcW w:w="4859"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_GB2312" w:hAnsi="仿宋_GB2312" w:eastAsia="仿宋_GB2312" w:cs="仿宋_GB2312"/>
                <w:color w:val="auto"/>
                <w:sz w:val="24"/>
                <w:highlight w:val="none"/>
              </w:rPr>
              <w:t xml:space="preserve"> ★</w:t>
            </w:r>
            <w:r>
              <w:rPr>
                <w:rFonts w:hint="eastAsia" w:ascii="仿宋" w:hAnsi="仿宋" w:eastAsia="仿宋" w:cs="仿宋"/>
                <w:color w:val="auto"/>
                <w:sz w:val="24"/>
                <w:szCs w:val="24"/>
                <w:highlight w:val="none"/>
              </w:rPr>
              <w:t>支持人脸抓拍，自动从摄录场景中抓取到人员头肩照、全景照；支持上传抓拍的人脸图片，显示上传状态，并接收布控平台对布控人员的告警信息下发，显示人员告警信息；</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_GB2312" w:hAnsi="仿宋_GB2312" w:eastAsia="仿宋_GB2312" w:cs="仿宋_GB2312"/>
                <w:color w:val="auto"/>
                <w:sz w:val="24"/>
                <w:highlight w:val="none"/>
              </w:rPr>
              <w:t xml:space="preserve"> ★</w:t>
            </w:r>
            <w:r>
              <w:rPr>
                <w:rFonts w:hint="eastAsia" w:ascii="仿宋" w:hAnsi="仿宋" w:eastAsia="仿宋" w:cs="仿宋"/>
                <w:color w:val="auto"/>
                <w:sz w:val="24"/>
                <w:szCs w:val="24"/>
                <w:highlight w:val="none"/>
              </w:rPr>
              <w:t>支持车辆抓拍，自动从摄录场景中抓取出车牌照，支持上传抓拍的车牌图片，显示上传状态，并接收布控平台对布控车牌告警信息下发，显示车牌告警信息；</w:t>
            </w:r>
          </w:p>
        </w:tc>
        <w:tc>
          <w:tcPr>
            <w:tcW w:w="184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Cs/>
                <w:color w:val="auto"/>
                <w:sz w:val="24"/>
                <w:szCs w:val="24"/>
                <w:highlight w:val="none"/>
              </w:rPr>
            </w:pPr>
            <w:r>
              <w:rPr>
                <w:rFonts w:hint="eastAsia" w:ascii="仿宋_GB2312" w:hAnsi="仿宋_GB2312" w:eastAsia="仿宋_GB2312" w:cs="仿宋_GB2312"/>
                <w:color w:val="auto"/>
                <w:sz w:val="24"/>
                <w:highlight w:val="none"/>
              </w:rPr>
              <w:t>★号项需</w:t>
            </w:r>
            <w:r>
              <w:rPr>
                <w:rFonts w:hint="eastAsia" w:ascii="仿宋" w:hAnsi="仿宋" w:eastAsia="仿宋" w:cs="仿宋"/>
                <w:color w:val="auto"/>
                <w:sz w:val="24"/>
                <w:szCs w:val="24"/>
                <w:highlight w:val="none"/>
              </w:rPr>
              <w:t>提供公安部权威机构提供的检测报告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3" w:hRule="atLeast"/>
          <w:jc w:val="center"/>
        </w:trPr>
        <w:tc>
          <w:tcPr>
            <w:tcW w:w="717" w:type="dxa"/>
            <w:tcBorders>
              <w:top w:val="single" w:color="auto" w:sz="4" w:space="0"/>
              <w:left w:val="single" w:color="auto" w:sz="4" w:space="0"/>
              <w:right w:val="single" w:color="auto" w:sz="4" w:space="0"/>
            </w:tcBorders>
            <w:shd w:val="clear" w:color="auto" w:fill="FFFFFF"/>
            <w:vAlign w:val="center"/>
          </w:tcPr>
          <w:p>
            <w:pPr>
              <w:jc w:val="center"/>
              <w:rPr>
                <w:rFonts w:ascii="仿宋" w:hAnsi="仿宋" w:eastAsia="仿宋" w:cs="仿宋"/>
                <w:bCs/>
                <w:color w:val="auto"/>
                <w:sz w:val="24"/>
                <w:szCs w:val="24"/>
                <w:highlight w:val="none"/>
              </w:rPr>
            </w:pPr>
          </w:p>
          <w:p>
            <w:pPr>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w:t>
            </w:r>
          </w:p>
        </w:tc>
        <w:tc>
          <w:tcPr>
            <w:tcW w:w="1233" w:type="dxa"/>
            <w:tcBorders>
              <w:top w:val="single" w:color="auto" w:sz="4" w:space="0"/>
              <w:left w:val="single" w:color="auto" w:sz="4" w:space="0"/>
              <w:right w:val="single" w:color="auto" w:sz="4" w:space="0"/>
            </w:tcBorders>
            <w:shd w:val="clear" w:color="auto" w:fill="FFFFFF"/>
            <w:vAlign w:val="center"/>
          </w:tcPr>
          <w:p>
            <w:pPr>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可视化指挥</w:t>
            </w:r>
          </w:p>
        </w:tc>
        <w:tc>
          <w:tcPr>
            <w:tcW w:w="4859"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3"/>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可接入移动、联通和电信4G SIM卡，实现无线传输功能；</w:t>
            </w:r>
          </w:p>
          <w:p>
            <w:pPr>
              <w:numPr>
                <w:ilvl w:val="0"/>
                <w:numId w:val="3"/>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远程接收端的视频性能应满足GA/T947.2-2015中1~3级相应分辨率的要求；</w:t>
            </w:r>
          </w:p>
          <w:p>
            <w:pPr>
              <w:numPr>
                <w:ilvl w:val="0"/>
                <w:numId w:val="3"/>
              </w:numPr>
              <w:rPr>
                <w:rFonts w:ascii="仿宋" w:hAnsi="仿宋" w:eastAsia="仿宋" w:cs="仿宋"/>
                <w:color w:val="auto"/>
                <w:sz w:val="24"/>
                <w:szCs w:val="24"/>
                <w:highlight w:val="none"/>
              </w:rPr>
            </w:pPr>
            <w:r>
              <w:rPr>
                <w:rFonts w:hint="eastAsia" w:ascii="仿宋_GB2312" w:hAnsi="仿宋_GB2312" w:eastAsia="仿宋_GB2312" w:cs="仿宋_GB2312"/>
                <w:color w:val="auto"/>
                <w:sz w:val="24"/>
                <w:highlight w:val="none"/>
              </w:rPr>
              <w:t>★</w:t>
            </w:r>
            <w:r>
              <w:rPr>
                <w:rFonts w:hint="eastAsia" w:ascii="仿宋" w:hAnsi="仿宋" w:eastAsia="仿宋" w:cs="仿宋"/>
                <w:color w:val="auto"/>
                <w:sz w:val="24"/>
                <w:szCs w:val="24"/>
                <w:highlight w:val="none"/>
              </w:rPr>
              <w:t>设备应能支持GPS、北斗定位系统，优先使用北斗，可采集设备的运行轨迹并上传到监控平台；</w:t>
            </w:r>
          </w:p>
          <w:p>
            <w:pPr>
              <w:numPr>
                <w:ilvl w:val="0"/>
                <w:numId w:val="3"/>
              </w:numPr>
              <w:rPr>
                <w:color w:val="auto"/>
                <w:highlight w:val="none"/>
              </w:rPr>
            </w:pPr>
            <w:r>
              <w:rPr>
                <w:rFonts w:hint="eastAsia" w:ascii="仿宋_GB2312" w:hAnsi="仿宋_GB2312" w:eastAsia="仿宋_GB2312" w:cs="仿宋_GB2312"/>
                <w:color w:val="auto"/>
                <w:sz w:val="24"/>
                <w:highlight w:val="none"/>
              </w:rPr>
              <w:t>★</w:t>
            </w:r>
            <w:r>
              <w:rPr>
                <w:rFonts w:hint="eastAsia" w:ascii="仿宋" w:hAnsi="仿宋" w:eastAsia="仿宋" w:cs="仿宋"/>
                <w:color w:val="auto"/>
                <w:sz w:val="24"/>
                <w:szCs w:val="24"/>
                <w:highlight w:val="none"/>
              </w:rPr>
              <w:t>支持外</w:t>
            </w:r>
            <w:r>
              <w:rPr>
                <w:rFonts w:hint="eastAsia" w:ascii="仿宋" w:hAnsi="仿宋" w:eastAsia="仿宋" w:cs="仿宋"/>
                <w:color w:val="auto"/>
                <w:sz w:val="24"/>
                <w:szCs w:val="24"/>
                <w:highlight w:val="none"/>
              </w:rPr>
              <w:t>接AR眼镜</w:t>
            </w:r>
            <w:r>
              <w:rPr>
                <w:rFonts w:hint="eastAsia" w:ascii="仿宋" w:hAnsi="仿宋" w:eastAsia="仿宋" w:cs="仿宋"/>
                <w:color w:val="auto"/>
                <w:sz w:val="24"/>
                <w:szCs w:val="24"/>
                <w:highlight w:val="none"/>
              </w:rPr>
              <w:t>，满足应急指挥场合应用。</w:t>
            </w:r>
          </w:p>
        </w:tc>
        <w:tc>
          <w:tcPr>
            <w:tcW w:w="184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Cs/>
                <w:color w:val="auto"/>
                <w:sz w:val="24"/>
                <w:szCs w:val="24"/>
                <w:highlight w:val="none"/>
              </w:rPr>
            </w:pPr>
            <w:r>
              <w:rPr>
                <w:rFonts w:hint="eastAsia" w:ascii="仿宋_GB2312" w:hAnsi="仿宋_GB2312" w:eastAsia="仿宋_GB2312" w:cs="仿宋_GB2312"/>
                <w:color w:val="auto"/>
                <w:sz w:val="24"/>
                <w:highlight w:val="none"/>
              </w:rPr>
              <w:t>★号项</w:t>
            </w:r>
            <w:r>
              <w:rPr>
                <w:rFonts w:hint="eastAsia" w:ascii="仿宋" w:hAnsi="仿宋" w:eastAsia="仿宋" w:cs="仿宋"/>
                <w:color w:val="auto"/>
                <w:sz w:val="24"/>
                <w:szCs w:val="24"/>
                <w:highlight w:val="none"/>
              </w:rPr>
              <w:t>提供公安部权威机构提供的检测报告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0" w:hRule="atLeast"/>
          <w:jc w:val="center"/>
        </w:trPr>
        <w:tc>
          <w:tcPr>
            <w:tcW w:w="717" w:type="dxa"/>
            <w:tcBorders>
              <w:left w:val="single" w:color="auto" w:sz="4" w:space="0"/>
              <w:right w:val="single" w:color="auto" w:sz="4" w:space="0"/>
            </w:tcBorders>
            <w:shd w:val="clear" w:color="auto" w:fill="FFFFFF"/>
            <w:vAlign w:val="center"/>
          </w:tcPr>
          <w:p>
            <w:pPr>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3</w:t>
            </w:r>
          </w:p>
        </w:tc>
        <w:tc>
          <w:tcPr>
            <w:tcW w:w="1233" w:type="dxa"/>
            <w:tcBorders>
              <w:left w:val="single" w:color="auto" w:sz="4" w:space="0"/>
              <w:right w:val="single" w:color="auto" w:sz="4" w:space="0"/>
            </w:tcBorders>
            <w:shd w:val="clear" w:color="auto" w:fill="FFFFFF"/>
            <w:vAlign w:val="center"/>
          </w:tcPr>
          <w:p>
            <w:pPr>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安全防护</w:t>
            </w:r>
          </w:p>
        </w:tc>
        <w:tc>
          <w:tcPr>
            <w:tcW w:w="4859"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4"/>
              </w:numPr>
              <w:rPr>
                <w:rFonts w:ascii="仿宋" w:hAnsi="仿宋" w:eastAsia="仿宋" w:cs="仿宋"/>
                <w:color w:val="auto"/>
                <w:sz w:val="24"/>
                <w:szCs w:val="24"/>
                <w:highlight w:val="none"/>
              </w:rPr>
            </w:pPr>
            <w:r>
              <w:rPr>
                <w:rFonts w:hint="eastAsia" w:ascii="仿宋_GB2312" w:hAnsi="仿宋_GB2312" w:eastAsia="仿宋_GB2312" w:cs="仿宋_GB2312"/>
                <w:color w:val="auto"/>
                <w:sz w:val="24"/>
                <w:highlight w:val="none"/>
              </w:rPr>
              <w:t>★</w:t>
            </w:r>
            <w:r>
              <w:rPr>
                <w:rFonts w:hint="eastAsia" w:ascii="仿宋" w:hAnsi="仿宋" w:eastAsia="仿宋" w:cs="仿宋"/>
                <w:color w:val="auto"/>
                <w:sz w:val="24"/>
                <w:szCs w:val="24"/>
                <w:highlight w:val="none"/>
              </w:rPr>
              <w:t>设备外壳防护等级应符合GB4208-2008中IP68要求；</w:t>
            </w:r>
          </w:p>
          <w:p>
            <w:pPr>
              <w:numPr>
                <w:ilvl w:val="0"/>
                <w:numId w:val="4"/>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执法记录仪可对存储的数据加以保护，存储的数据不应被本机或未经授权的设备删除和覆盖；</w:t>
            </w:r>
          </w:p>
          <w:p>
            <w:pPr>
              <w:numPr>
                <w:ilvl w:val="0"/>
                <w:numId w:val="4"/>
              </w:numPr>
              <w:rPr>
                <w:rFonts w:ascii="仿宋" w:hAnsi="仿宋" w:eastAsia="仿宋" w:cs="仿宋"/>
                <w:color w:val="auto"/>
                <w:sz w:val="24"/>
                <w:szCs w:val="24"/>
                <w:highlight w:val="none"/>
              </w:rPr>
            </w:pPr>
            <w:r>
              <w:rPr>
                <w:rFonts w:hint="eastAsia" w:ascii="仿宋_GB2312" w:hAnsi="仿宋_GB2312" w:eastAsia="仿宋_GB2312" w:cs="仿宋_GB2312"/>
                <w:color w:val="auto"/>
                <w:sz w:val="24"/>
                <w:highlight w:val="none"/>
              </w:rPr>
              <w:t>★</w:t>
            </w:r>
            <w:r>
              <w:rPr>
                <w:rFonts w:hint="eastAsia" w:ascii="仿宋" w:hAnsi="仿宋" w:eastAsia="仿宋" w:cs="仿宋"/>
                <w:color w:val="auto"/>
                <w:sz w:val="24"/>
                <w:szCs w:val="24"/>
                <w:highlight w:val="none"/>
              </w:rPr>
              <w:t>编码视频流有防篡改、防非法复制等认证措施（如：水印叠加），以保证原始数据的完整性；</w:t>
            </w:r>
          </w:p>
          <w:p>
            <w:pPr>
              <w:numPr>
                <w:ilvl w:val="0"/>
                <w:numId w:val="4"/>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考虑到日常使用场景，执法记录仪器在自然跌落高度2米的情况下，设备不应出现变形、损伤、电气故障、部件松动和接触不良，设备应能正常工作，存储的数据不应丢失；</w:t>
            </w:r>
          </w:p>
        </w:tc>
        <w:tc>
          <w:tcPr>
            <w:tcW w:w="184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Cs/>
                <w:color w:val="auto"/>
                <w:sz w:val="24"/>
                <w:szCs w:val="24"/>
                <w:highlight w:val="none"/>
              </w:rPr>
            </w:pPr>
            <w:r>
              <w:rPr>
                <w:rFonts w:hint="eastAsia" w:ascii="仿宋_GB2312" w:hAnsi="仿宋_GB2312" w:eastAsia="仿宋_GB2312" w:cs="仿宋_GB2312"/>
                <w:color w:val="auto"/>
                <w:sz w:val="24"/>
                <w:highlight w:val="none"/>
              </w:rPr>
              <w:t>★号项</w:t>
            </w:r>
            <w:r>
              <w:rPr>
                <w:rFonts w:hint="eastAsia" w:ascii="仿宋" w:hAnsi="仿宋" w:eastAsia="仿宋" w:cs="仿宋"/>
                <w:color w:val="auto"/>
                <w:sz w:val="24"/>
                <w:szCs w:val="24"/>
                <w:highlight w:val="none"/>
              </w:rPr>
              <w:t>提供公安部权威机构提供的检测报告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7" w:type="dxa"/>
            <w:tcBorders>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4</w:t>
            </w:r>
          </w:p>
        </w:tc>
        <w:tc>
          <w:tcPr>
            <w:tcW w:w="1233" w:type="dxa"/>
            <w:tcBorders>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基础性能</w:t>
            </w:r>
          </w:p>
        </w:tc>
        <w:tc>
          <w:tcPr>
            <w:tcW w:w="4859"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_GB2312" w:hAnsi="仿宋_GB2312" w:eastAsia="仿宋_GB2312" w:cs="仿宋_GB2312"/>
                <w:color w:val="auto"/>
                <w:sz w:val="24"/>
                <w:highlight w:val="none"/>
              </w:rPr>
              <w:t xml:space="preserve"> ★</w:t>
            </w:r>
            <w:r>
              <w:rPr>
                <w:rFonts w:hint="eastAsia" w:ascii="仿宋" w:hAnsi="仿宋" w:eastAsia="仿宋" w:cs="仿宋"/>
                <w:color w:val="auto"/>
                <w:sz w:val="24"/>
                <w:szCs w:val="24"/>
                <w:highlight w:val="none"/>
              </w:rPr>
              <w:t>视频分辨率应支持1920×1080、1280×720，在1920×1080下视频分辨率不低于1000线，在1280×720下视频分辨率不低于700线；</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_GB2312" w:hAnsi="仿宋_GB2312" w:eastAsia="仿宋_GB2312" w:cs="仿宋_GB2312"/>
                <w:color w:val="auto"/>
                <w:sz w:val="24"/>
                <w:highlight w:val="none"/>
              </w:rPr>
              <w:t xml:space="preserve"> ★</w:t>
            </w:r>
            <w:r>
              <w:rPr>
                <w:rFonts w:hint="eastAsia" w:ascii="仿宋" w:hAnsi="仿宋" w:eastAsia="仿宋" w:cs="仿宋"/>
                <w:color w:val="auto"/>
                <w:sz w:val="24"/>
                <w:szCs w:val="24"/>
                <w:highlight w:val="none"/>
              </w:rPr>
              <w:t>照片分辨率支持7392*5544、5248*3936、4160*3120、3264*2448、2592*1944、2048*1536，照片分辨率应大于或等于1000线；</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3.执法记录仪照片、音频、视音频文件应采用便于传输、压缩、翻译、转换的格式，视音频文件应易于压缩转换为MP4流媒体文件，照片应以JPEG格式保存；</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4.在1920*1080分辨率，帧率25帧/s下，执法记录仪应能存储不低于10小时的动态视音频图像；</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5.设备应具有夜视功能，开启夜视功能后，有效拍摄距离不低于10m，有效拍摄距离处能看清人物面部特征；</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6.</w:t>
            </w:r>
            <w:r>
              <w:rPr>
                <w:rFonts w:hint="eastAsia" w:ascii="仿宋_GB2312" w:hAnsi="仿宋_GB2312" w:eastAsia="仿宋_GB2312" w:cs="仿宋_GB2312"/>
                <w:color w:val="auto"/>
                <w:sz w:val="24"/>
                <w:highlight w:val="none"/>
              </w:rPr>
              <w:t xml:space="preserve"> ★</w:t>
            </w:r>
            <w:r>
              <w:rPr>
                <w:rFonts w:hint="eastAsia" w:ascii="仿宋" w:hAnsi="仿宋" w:eastAsia="仿宋" w:cs="仿宋"/>
                <w:color w:val="auto"/>
                <w:sz w:val="24"/>
                <w:szCs w:val="24"/>
                <w:highlight w:val="none"/>
              </w:rPr>
              <w:t>外置按键：考虑到实际使用便捷性，要具体实体对讲按键。</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7.</w:t>
            </w:r>
            <w:r>
              <w:rPr>
                <w:rFonts w:hint="eastAsia" w:ascii="仿宋_GB2312" w:hAnsi="仿宋_GB2312" w:eastAsia="仿宋_GB2312" w:cs="仿宋_GB2312"/>
                <w:color w:val="auto"/>
                <w:sz w:val="24"/>
                <w:highlight w:val="none"/>
              </w:rPr>
              <w:t xml:space="preserve"> ★</w:t>
            </w:r>
            <w:r>
              <w:rPr>
                <w:rFonts w:hint="eastAsia" w:ascii="仿宋" w:hAnsi="仿宋" w:eastAsia="仿宋" w:cs="仿宋"/>
                <w:color w:val="auto"/>
                <w:sz w:val="24"/>
                <w:szCs w:val="24"/>
                <w:highlight w:val="none"/>
              </w:rPr>
              <w:t>执法记录仪采用内置可更换电池供电，连续摄录时间不低于10小时。</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8.支持通过4G方式对执法仪进行远程配置，实现关联平台、视频参数、音频参数等远程管控和配置。</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9.支持SOS一键告警，告警信息自动上传平台</w:t>
            </w:r>
          </w:p>
        </w:tc>
        <w:tc>
          <w:tcPr>
            <w:tcW w:w="184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color w:val="auto"/>
                <w:sz w:val="24"/>
                <w:szCs w:val="24"/>
                <w:highlight w:val="none"/>
              </w:rPr>
            </w:pPr>
            <w:r>
              <w:rPr>
                <w:rFonts w:hint="eastAsia" w:ascii="仿宋_GB2312" w:hAnsi="仿宋_GB2312" w:eastAsia="仿宋_GB2312" w:cs="仿宋_GB2312"/>
                <w:color w:val="auto"/>
                <w:sz w:val="24"/>
                <w:highlight w:val="none"/>
              </w:rPr>
              <w:t>★号项</w:t>
            </w:r>
            <w:r>
              <w:rPr>
                <w:rFonts w:hint="eastAsia" w:ascii="仿宋" w:hAnsi="仿宋" w:eastAsia="仿宋" w:cs="仿宋"/>
                <w:color w:val="auto"/>
                <w:sz w:val="24"/>
                <w:szCs w:val="24"/>
                <w:highlight w:val="none"/>
              </w:rPr>
              <w:t>提供公安部权威机构提供的检测报告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3" w:hRule="atLeast"/>
          <w:jc w:val="center"/>
        </w:trPr>
        <w:tc>
          <w:tcPr>
            <w:tcW w:w="717" w:type="dxa"/>
            <w:tcBorders>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5</w:t>
            </w:r>
          </w:p>
        </w:tc>
        <w:tc>
          <w:tcPr>
            <w:tcW w:w="1233" w:type="dxa"/>
            <w:tcBorders>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设备认证</w:t>
            </w:r>
          </w:p>
        </w:tc>
        <w:tc>
          <w:tcPr>
            <w:tcW w:w="4859"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1.提供权威检测机构出具的符合GA/T947.2-2015《单警执法视音频记录系统》行业标准的检测报告复印件；</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2.提供3C认证证书复印件。</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3.提供电信设备进网许可证复印件。</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4.提供无线电发射设备型号核准证复印件。</w:t>
            </w:r>
          </w:p>
        </w:tc>
        <w:tc>
          <w:tcPr>
            <w:tcW w:w="184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提供权威机构提供的证书复印件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717" w:type="dxa"/>
            <w:tcBorders>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6</w:t>
            </w:r>
          </w:p>
        </w:tc>
        <w:tc>
          <w:tcPr>
            <w:tcW w:w="1233" w:type="dxa"/>
            <w:tcBorders>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售后服务</w:t>
            </w:r>
          </w:p>
        </w:tc>
        <w:tc>
          <w:tcPr>
            <w:tcW w:w="670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numPr>
                <w:ilvl w:val="255"/>
                <w:numId w:val="0"/>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1.设备验收通过之日起，提供整机不少于2年（含）免费质量保修服务。</w:t>
            </w:r>
          </w:p>
          <w:p>
            <w:pPr>
              <w:numPr>
                <w:ilvl w:val="255"/>
                <w:numId w:val="0"/>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2.保修期内，免费提供省内运维技术远程在线服务和到场技术支持服务，故障7X24小时响应、当日工程师到场服务。</w:t>
            </w:r>
          </w:p>
          <w:p>
            <w:pPr>
              <w:numPr>
                <w:ilvl w:val="255"/>
                <w:numId w:val="0"/>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3.储备设备配件不少于5年，保修期满后，提供成本价维修。</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4.根据业主任务安排，免费提供不少于1名厂家工程师应急驻点运维服务。每年服务次数1-3次，总计时间不少于15天。</w:t>
            </w:r>
          </w:p>
          <w:p>
            <w:pPr>
              <w:numPr>
                <w:ilvl w:val="255"/>
                <w:numId w:val="0"/>
              </w:numPr>
              <w:rPr>
                <w:color w:val="auto"/>
                <w:highlight w:val="none"/>
              </w:rPr>
            </w:pPr>
            <w:r>
              <w:rPr>
                <w:rFonts w:hint="eastAsia" w:ascii="仿宋" w:hAnsi="仿宋" w:eastAsia="仿宋" w:cs="仿宋"/>
                <w:color w:val="auto"/>
                <w:sz w:val="24"/>
                <w:szCs w:val="24"/>
                <w:highlight w:val="none"/>
              </w:rPr>
              <w:t>5.采取现场培训和远程视频培训相结合方式提供1-3次免费应用培训，具体组织时间、人员由用户业主发起。</w:t>
            </w:r>
          </w:p>
        </w:tc>
      </w:tr>
    </w:tbl>
    <w:p>
      <w:pPr>
        <w:pStyle w:val="17"/>
        <w:rPr>
          <w:color w:val="auto"/>
          <w:highlight w:val="none"/>
        </w:rPr>
      </w:pPr>
    </w:p>
    <w:p>
      <w:pPr>
        <w:spacing w:line="360" w:lineRule="auto"/>
        <w:jc w:val="both"/>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三、其他要求</w:t>
      </w:r>
    </w:p>
    <w:p>
      <w:pPr>
        <w:ind w:firstLine="480" w:firstLineChars="200"/>
        <w:rPr>
          <w:rFonts w:ascii="仿宋" w:hAnsi="仿宋" w:eastAsia="仿宋" w:cs="仿宋"/>
          <w:color w:val="auto"/>
          <w:sz w:val="24"/>
          <w:highlight w:val="none"/>
        </w:rPr>
      </w:pPr>
      <w:r>
        <w:rPr>
          <w:rFonts w:ascii="仿宋" w:hAnsi="仿宋" w:eastAsia="仿宋" w:cs="仿宋"/>
          <w:color w:val="auto"/>
          <w:sz w:val="24"/>
          <w:highlight w:val="none"/>
        </w:rPr>
        <w:t>1、</w:t>
      </w:r>
      <w:r>
        <w:rPr>
          <w:rFonts w:hint="eastAsia" w:ascii="仿宋" w:hAnsi="仿宋" w:eastAsia="仿宋" w:cs="仿宋"/>
          <w:color w:val="auto"/>
          <w:sz w:val="24"/>
          <w:highlight w:val="none"/>
        </w:rPr>
        <w:t>所提供产品后期需接入公安厅视频共享平台及图库。</w:t>
      </w:r>
    </w:p>
    <w:p>
      <w:pPr>
        <w:rPr>
          <w:color w:val="auto"/>
          <w:highlight w:val="none"/>
        </w:rPr>
      </w:pPr>
    </w:p>
    <w:p>
      <w:pPr>
        <w:rPr>
          <w:color w:val="auto"/>
          <w:highlight w:val="none"/>
        </w:rPr>
      </w:pPr>
    </w:p>
    <w:p>
      <w:pPr>
        <w:pStyle w:val="17"/>
        <w:rPr>
          <w:color w:val="auto"/>
          <w:highlight w:val="none"/>
        </w:rPr>
      </w:pPr>
    </w:p>
    <w:p>
      <w:pPr>
        <w:rPr>
          <w:color w:val="auto"/>
          <w:highlight w:val="none"/>
        </w:rPr>
      </w:pPr>
    </w:p>
    <w:p>
      <w:pPr>
        <w:jc w:val="center"/>
        <w:outlineLvl w:val="0"/>
        <w:rPr>
          <w:rFonts w:ascii="仿宋" w:hAnsi="仿宋" w:eastAsia="仿宋" w:cs="仿宋"/>
          <w:b/>
          <w:bCs/>
          <w:color w:val="auto"/>
          <w:sz w:val="48"/>
          <w:szCs w:val="48"/>
          <w:highlight w:val="none"/>
        </w:rPr>
      </w:pPr>
    </w:p>
    <w:p>
      <w:pPr>
        <w:jc w:val="center"/>
        <w:outlineLvl w:val="0"/>
        <w:rPr>
          <w:rFonts w:ascii="仿宋" w:hAnsi="仿宋" w:eastAsia="仿宋" w:cs="仿宋"/>
          <w:b/>
          <w:bCs/>
          <w:color w:val="auto"/>
          <w:sz w:val="48"/>
          <w:szCs w:val="48"/>
          <w:highlight w:val="none"/>
        </w:rPr>
      </w:pPr>
    </w:p>
    <w:p>
      <w:pPr>
        <w:jc w:val="center"/>
        <w:outlineLvl w:val="0"/>
        <w:rPr>
          <w:rFonts w:ascii="仿宋" w:hAnsi="仿宋" w:eastAsia="仿宋" w:cs="仿宋"/>
          <w:b/>
          <w:bCs/>
          <w:color w:val="auto"/>
          <w:sz w:val="48"/>
          <w:szCs w:val="48"/>
          <w:highlight w:val="none"/>
        </w:rPr>
      </w:pPr>
    </w:p>
    <w:p>
      <w:pPr>
        <w:jc w:val="center"/>
        <w:outlineLvl w:val="0"/>
        <w:rPr>
          <w:rFonts w:ascii="仿宋" w:hAnsi="仿宋" w:eastAsia="仿宋" w:cs="仿宋"/>
          <w:b/>
          <w:bCs/>
          <w:color w:val="auto"/>
          <w:sz w:val="48"/>
          <w:szCs w:val="48"/>
          <w:highlight w:val="none"/>
        </w:rPr>
      </w:pPr>
    </w:p>
    <w:p>
      <w:pPr>
        <w:jc w:val="center"/>
        <w:outlineLvl w:val="0"/>
        <w:rPr>
          <w:rFonts w:ascii="仿宋" w:hAnsi="仿宋" w:eastAsia="仿宋" w:cs="仿宋"/>
          <w:b/>
          <w:bCs/>
          <w:color w:val="auto"/>
          <w:sz w:val="48"/>
          <w:szCs w:val="48"/>
          <w:highlight w:val="none"/>
        </w:rPr>
      </w:pPr>
    </w:p>
    <w:p>
      <w:pPr>
        <w:jc w:val="center"/>
        <w:outlineLvl w:val="0"/>
        <w:rPr>
          <w:rFonts w:ascii="仿宋" w:hAnsi="仿宋" w:eastAsia="仿宋" w:cs="仿宋"/>
          <w:b/>
          <w:bCs/>
          <w:color w:val="auto"/>
          <w:sz w:val="48"/>
          <w:szCs w:val="48"/>
          <w:highlight w:val="none"/>
        </w:rPr>
      </w:pPr>
    </w:p>
    <w:p>
      <w:pPr>
        <w:jc w:val="center"/>
        <w:outlineLvl w:val="0"/>
        <w:rPr>
          <w:rFonts w:ascii="仿宋" w:hAnsi="仿宋" w:eastAsia="仿宋" w:cs="仿宋"/>
          <w:b/>
          <w:bCs/>
          <w:color w:val="auto"/>
          <w:sz w:val="48"/>
          <w:szCs w:val="48"/>
          <w:highlight w:val="none"/>
        </w:rPr>
      </w:pPr>
    </w:p>
    <w:p>
      <w:pPr>
        <w:jc w:val="center"/>
        <w:outlineLvl w:val="0"/>
        <w:rPr>
          <w:rFonts w:ascii="仿宋" w:hAnsi="仿宋" w:eastAsia="仿宋" w:cs="仿宋"/>
          <w:b/>
          <w:bCs/>
          <w:color w:val="auto"/>
          <w:sz w:val="48"/>
          <w:szCs w:val="48"/>
          <w:highlight w:val="none"/>
        </w:rPr>
      </w:pPr>
    </w:p>
    <w:p>
      <w:pPr>
        <w:jc w:val="center"/>
        <w:outlineLvl w:val="0"/>
        <w:rPr>
          <w:rFonts w:ascii="仿宋" w:hAnsi="仿宋" w:eastAsia="仿宋" w:cs="仿宋"/>
          <w:b/>
          <w:bCs/>
          <w:color w:val="auto"/>
          <w:sz w:val="48"/>
          <w:szCs w:val="48"/>
          <w:highlight w:val="none"/>
        </w:rPr>
      </w:pPr>
      <w:bookmarkStart w:id="27" w:name="_Toc2053"/>
      <w:r>
        <w:rPr>
          <w:rFonts w:hint="eastAsia" w:ascii="仿宋" w:hAnsi="仿宋" w:eastAsia="仿宋" w:cs="仿宋"/>
          <w:b/>
          <w:bCs/>
          <w:color w:val="auto"/>
          <w:sz w:val="48"/>
          <w:szCs w:val="48"/>
          <w:highlight w:val="none"/>
        </w:rPr>
        <w:t>第四章 合同主要条款（参考）</w:t>
      </w:r>
      <w:bookmarkEnd w:id="27"/>
    </w:p>
    <w:p>
      <w:pPr>
        <w:snapToGrid w:val="0"/>
        <w:spacing w:before="19" w:line="500" w:lineRule="exact"/>
        <w:rPr>
          <w:rFonts w:ascii="仿宋" w:hAnsi="仿宋" w:eastAsia="仿宋" w:cs="仿宋"/>
          <w:b/>
          <w:color w:val="auto"/>
          <w:sz w:val="24"/>
          <w:highlight w:val="none"/>
          <w:u w:val="single"/>
        </w:rPr>
      </w:pPr>
      <w:r>
        <w:rPr>
          <w:rFonts w:hint="eastAsia" w:ascii="仿宋" w:hAnsi="仿宋" w:eastAsia="仿宋" w:cs="仿宋"/>
          <w:color w:val="auto"/>
          <w:sz w:val="24"/>
          <w:highlight w:val="none"/>
        </w:rPr>
        <w:t>甲方:</w:t>
      </w:r>
    </w:p>
    <w:p>
      <w:pPr>
        <w:snapToGrid w:val="0"/>
        <w:spacing w:before="19" w:line="500" w:lineRule="exact"/>
        <w:rPr>
          <w:rFonts w:ascii="仿宋" w:hAnsi="仿宋" w:eastAsia="仿宋" w:cs="仿宋"/>
          <w:b/>
          <w:color w:val="auto"/>
          <w:sz w:val="24"/>
          <w:highlight w:val="none"/>
          <w:u w:val="single"/>
        </w:rPr>
      </w:pPr>
      <w:r>
        <w:rPr>
          <w:rFonts w:hint="eastAsia" w:ascii="仿宋" w:hAnsi="仿宋" w:eastAsia="仿宋" w:cs="仿宋"/>
          <w:color w:val="auto"/>
          <w:sz w:val="24"/>
          <w:highlight w:val="none"/>
        </w:rPr>
        <w:t>乙方:</w:t>
      </w:r>
    </w:p>
    <w:p>
      <w:pPr>
        <w:widowControl w:val="0"/>
        <w:snapToGrid w:val="0"/>
        <w:spacing w:line="360" w:lineRule="auto"/>
        <w:ind w:firstLine="480" w:firstLineChars="200"/>
        <w:jc w:val="both"/>
        <w:rPr>
          <w:rFonts w:ascii="仿宋" w:hAnsi="仿宋" w:eastAsia="仿宋" w:cs="仿宋"/>
          <w:b/>
          <w:color w:val="auto"/>
          <w:sz w:val="24"/>
          <w:highlight w:val="none"/>
          <w:u w:val="single"/>
        </w:rPr>
      </w:pPr>
      <w:r>
        <w:rPr>
          <w:rFonts w:hint="eastAsia" w:ascii="仿宋" w:hAnsi="仿宋" w:eastAsia="仿宋" w:cs="仿宋"/>
          <w:color w:val="auto"/>
          <w:sz w:val="24"/>
          <w:highlight w:val="none"/>
        </w:rPr>
        <w:t>甲乙双方根据年月日</w:t>
      </w:r>
      <w:r>
        <w:rPr>
          <w:rFonts w:hint="eastAsia" w:ascii="仿宋" w:hAnsi="仿宋" w:eastAsia="仿宋" w:cs="仿宋"/>
          <w:b/>
          <w:color w:val="auto"/>
          <w:sz w:val="24"/>
          <w:highlight w:val="none"/>
          <w:u w:val="single"/>
        </w:rPr>
        <w:t>“厅海岸警察总队（筹备组）4G执法记录仪项目</w:t>
      </w:r>
      <w:r>
        <w:rPr>
          <w:rFonts w:hint="eastAsia" w:ascii="仿宋" w:hAnsi="仿宋" w:eastAsia="仿宋" w:cs="仿宋"/>
          <w:color w:val="auto"/>
          <w:sz w:val="24"/>
          <w:highlight w:val="none"/>
        </w:rPr>
        <w:t>（项目编号:HNZH-2020-301）公开招标结果及招标文件的要求,经协商一致,同意以下专用条款作为本项目合同条款的补充。当合同条款与专用条款不一致时，以专用条款为准。</w:t>
      </w:r>
    </w:p>
    <w:p>
      <w:pPr>
        <w:widowControl w:val="0"/>
        <w:snapToGrid w:val="0"/>
        <w:spacing w:before="19" w:line="360" w:lineRule="auto"/>
        <w:jc w:val="both"/>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一、合同标的及金额等(详见附件清单)</w:t>
      </w:r>
    </w:p>
    <w:tbl>
      <w:tblPr>
        <w:tblStyle w:val="43"/>
        <w:tblW w:w="0" w:type="auto"/>
        <w:tblInd w:w="-150" w:type="dxa"/>
        <w:tblLayout w:type="fixed"/>
        <w:tblCellMar>
          <w:top w:w="0" w:type="dxa"/>
          <w:left w:w="30" w:type="dxa"/>
          <w:bottom w:w="0" w:type="dxa"/>
          <w:right w:w="30" w:type="dxa"/>
        </w:tblCellMar>
      </w:tblPr>
      <w:tblGrid>
        <w:gridCol w:w="720"/>
        <w:gridCol w:w="1448"/>
        <w:gridCol w:w="2332"/>
        <w:gridCol w:w="1080"/>
        <w:gridCol w:w="720"/>
        <w:gridCol w:w="900"/>
        <w:gridCol w:w="1080"/>
        <w:gridCol w:w="902"/>
      </w:tblGrid>
      <w:tr>
        <w:tblPrEx>
          <w:tblCellMar>
            <w:top w:w="0" w:type="dxa"/>
            <w:left w:w="30" w:type="dxa"/>
            <w:bottom w:w="0" w:type="dxa"/>
            <w:right w:w="30" w:type="dxa"/>
          </w:tblCellMar>
        </w:tblPrEx>
        <w:trPr>
          <w:trHeight w:val="593" w:hRule="exact"/>
        </w:trPr>
        <w:tc>
          <w:tcPr>
            <w:tcW w:w="720" w:type="dxa"/>
            <w:tcBorders>
              <w:top w:val="single" w:color="auto" w:sz="8" w:space="0"/>
              <w:left w:val="single" w:color="auto" w:sz="8" w:space="0"/>
              <w:bottom w:val="single" w:color="auto" w:sz="8" w:space="0"/>
              <w:right w:val="single" w:color="auto" w:sz="8" w:space="0"/>
            </w:tcBorders>
          </w:tcPr>
          <w:p>
            <w:pPr>
              <w:autoSpaceDE w:val="0"/>
              <w:autoSpaceDN w:val="0"/>
              <w:adjustRightInd w:val="0"/>
              <w:jc w:val="center"/>
              <w:rPr>
                <w:rFonts w:ascii="仿宋" w:hAnsi="仿宋" w:eastAsia="仿宋" w:cs="仿宋"/>
                <w:b/>
                <w:color w:val="auto"/>
                <w:sz w:val="24"/>
                <w:szCs w:val="21"/>
                <w:highlight w:val="none"/>
              </w:rPr>
            </w:pPr>
            <w:r>
              <w:rPr>
                <w:rFonts w:hint="eastAsia" w:ascii="仿宋" w:hAnsi="仿宋" w:eastAsia="仿宋" w:cs="仿宋"/>
                <w:b/>
                <w:color w:val="auto"/>
                <w:sz w:val="24"/>
                <w:szCs w:val="21"/>
                <w:highlight w:val="none"/>
              </w:rPr>
              <w:t>序号</w:t>
            </w:r>
          </w:p>
        </w:tc>
        <w:tc>
          <w:tcPr>
            <w:tcW w:w="1448" w:type="dxa"/>
            <w:tcBorders>
              <w:top w:val="single" w:color="auto" w:sz="8" w:space="0"/>
              <w:left w:val="single" w:color="auto" w:sz="8" w:space="0"/>
              <w:bottom w:val="single" w:color="auto" w:sz="8" w:space="0"/>
              <w:right w:val="single" w:color="auto" w:sz="8" w:space="0"/>
            </w:tcBorders>
          </w:tcPr>
          <w:p>
            <w:pPr>
              <w:autoSpaceDE w:val="0"/>
              <w:autoSpaceDN w:val="0"/>
              <w:adjustRightInd w:val="0"/>
              <w:jc w:val="center"/>
              <w:rPr>
                <w:rFonts w:ascii="仿宋" w:hAnsi="仿宋" w:eastAsia="仿宋" w:cs="仿宋"/>
                <w:b/>
                <w:color w:val="auto"/>
                <w:sz w:val="24"/>
                <w:szCs w:val="21"/>
                <w:highlight w:val="none"/>
              </w:rPr>
            </w:pPr>
            <w:r>
              <w:rPr>
                <w:rFonts w:hint="eastAsia" w:ascii="仿宋" w:hAnsi="仿宋" w:eastAsia="仿宋" w:cs="仿宋"/>
                <w:b/>
                <w:color w:val="auto"/>
                <w:sz w:val="24"/>
                <w:szCs w:val="21"/>
                <w:highlight w:val="none"/>
              </w:rPr>
              <w:t>名称</w:t>
            </w:r>
          </w:p>
        </w:tc>
        <w:tc>
          <w:tcPr>
            <w:tcW w:w="2332" w:type="dxa"/>
            <w:tcBorders>
              <w:top w:val="single" w:color="auto" w:sz="8" w:space="0"/>
              <w:left w:val="single" w:color="auto" w:sz="8" w:space="0"/>
              <w:bottom w:val="single" w:color="auto" w:sz="8" w:space="0"/>
              <w:right w:val="single" w:color="auto" w:sz="8" w:space="0"/>
            </w:tcBorders>
          </w:tcPr>
          <w:p>
            <w:pPr>
              <w:autoSpaceDE w:val="0"/>
              <w:autoSpaceDN w:val="0"/>
              <w:adjustRightInd w:val="0"/>
              <w:jc w:val="center"/>
              <w:rPr>
                <w:rFonts w:ascii="仿宋" w:hAnsi="仿宋" w:eastAsia="仿宋" w:cs="仿宋"/>
                <w:b/>
                <w:color w:val="auto"/>
                <w:sz w:val="24"/>
                <w:szCs w:val="21"/>
                <w:highlight w:val="none"/>
              </w:rPr>
            </w:pPr>
            <w:r>
              <w:rPr>
                <w:rFonts w:hint="eastAsia" w:ascii="仿宋" w:hAnsi="仿宋" w:eastAsia="仿宋" w:cs="仿宋"/>
                <w:b/>
                <w:color w:val="auto"/>
                <w:sz w:val="24"/>
                <w:szCs w:val="21"/>
                <w:highlight w:val="none"/>
              </w:rPr>
              <w:t>技术要求</w:t>
            </w:r>
          </w:p>
        </w:tc>
        <w:tc>
          <w:tcPr>
            <w:tcW w:w="1080" w:type="dxa"/>
            <w:tcBorders>
              <w:top w:val="single" w:color="auto" w:sz="8" w:space="0"/>
              <w:left w:val="single" w:color="auto" w:sz="8" w:space="0"/>
              <w:bottom w:val="single" w:color="auto" w:sz="8" w:space="0"/>
              <w:right w:val="single" w:color="auto" w:sz="8" w:space="0"/>
            </w:tcBorders>
          </w:tcPr>
          <w:p>
            <w:pPr>
              <w:autoSpaceDE w:val="0"/>
              <w:autoSpaceDN w:val="0"/>
              <w:adjustRightInd w:val="0"/>
              <w:jc w:val="center"/>
              <w:rPr>
                <w:rFonts w:ascii="仿宋" w:hAnsi="仿宋" w:eastAsia="仿宋" w:cs="仿宋"/>
                <w:b/>
                <w:color w:val="auto"/>
                <w:sz w:val="24"/>
                <w:szCs w:val="21"/>
                <w:highlight w:val="none"/>
              </w:rPr>
            </w:pPr>
            <w:r>
              <w:rPr>
                <w:rFonts w:hint="eastAsia" w:ascii="仿宋" w:hAnsi="仿宋" w:eastAsia="仿宋" w:cs="仿宋"/>
                <w:b/>
                <w:color w:val="auto"/>
                <w:sz w:val="24"/>
                <w:szCs w:val="21"/>
                <w:highlight w:val="none"/>
              </w:rPr>
              <w:t>单价（元）</w:t>
            </w:r>
          </w:p>
        </w:tc>
        <w:tc>
          <w:tcPr>
            <w:tcW w:w="720" w:type="dxa"/>
            <w:tcBorders>
              <w:top w:val="single" w:color="auto" w:sz="8" w:space="0"/>
              <w:left w:val="single" w:color="auto" w:sz="8" w:space="0"/>
              <w:bottom w:val="single" w:color="auto" w:sz="8" w:space="0"/>
              <w:right w:val="single" w:color="auto" w:sz="4" w:space="0"/>
            </w:tcBorders>
          </w:tcPr>
          <w:p>
            <w:pPr>
              <w:autoSpaceDE w:val="0"/>
              <w:autoSpaceDN w:val="0"/>
              <w:adjustRightInd w:val="0"/>
              <w:jc w:val="center"/>
              <w:rPr>
                <w:rFonts w:ascii="仿宋" w:hAnsi="仿宋" w:eastAsia="仿宋" w:cs="仿宋"/>
                <w:b/>
                <w:color w:val="auto"/>
                <w:sz w:val="24"/>
                <w:szCs w:val="21"/>
                <w:highlight w:val="none"/>
              </w:rPr>
            </w:pPr>
            <w:r>
              <w:rPr>
                <w:rFonts w:hint="eastAsia" w:ascii="仿宋" w:hAnsi="仿宋" w:eastAsia="仿宋" w:cs="仿宋"/>
                <w:b/>
                <w:color w:val="auto"/>
                <w:sz w:val="24"/>
                <w:szCs w:val="21"/>
                <w:highlight w:val="none"/>
              </w:rPr>
              <w:t>数量</w:t>
            </w:r>
          </w:p>
        </w:tc>
        <w:tc>
          <w:tcPr>
            <w:tcW w:w="900" w:type="dxa"/>
            <w:tcBorders>
              <w:top w:val="single" w:color="auto" w:sz="8" w:space="0"/>
              <w:left w:val="single" w:color="auto" w:sz="4" w:space="0"/>
              <w:bottom w:val="single" w:color="auto" w:sz="8" w:space="0"/>
              <w:right w:val="single" w:color="auto" w:sz="8" w:space="0"/>
            </w:tcBorders>
          </w:tcPr>
          <w:p>
            <w:pPr>
              <w:autoSpaceDE w:val="0"/>
              <w:autoSpaceDN w:val="0"/>
              <w:adjustRightInd w:val="0"/>
              <w:jc w:val="center"/>
              <w:rPr>
                <w:rFonts w:ascii="仿宋" w:hAnsi="仿宋" w:eastAsia="仿宋" w:cs="仿宋"/>
                <w:b/>
                <w:color w:val="auto"/>
                <w:sz w:val="24"/>
                <w:szCs w:val="21"/>
                <w:highlight w:val="none"/>
              </w:rPr>
            </w:pPr>
            <w:r>
              <w:rPr>
                <w:rFonts w:hint="eastAsia" w:ascii="仿宋" w:hAnsi="仿宋" w:eastAsia="仿宋" w:cs="仿宋"/>
                <w:b/>
                <w:color w:val="auto"/>
                <w:sz w:val="24"/>
                <w:szCs w:val="21"/>
                <w:highlight w:val="none"/>
              </w:rPr>
              <w:t>单位</w:t>
            </w:r>
          </w:p>
        </w:tc>
        <w:tc>
          <w:tcPr>
            <w:tcW w:w="1080" w:type="dxa"/>
            <w:tcBorders>
              <w:top w:val="single" w:color="auto" w:sz="8" w:space="0"/>
              <w:left w:val="single" w:color="auto" w:sz="8" w:space="0"/>
              <w:bottom w:val="single" w:color="auto" w:sz="8" w:space="0"/>
              <w:right w:val="single" w:color="auto" w:sz="8" w:space="0"/>
            </w:tcBorders>
          </w:tcPr>
          <w:p>
            <w:pPr>
              <w:autoSpaceDE w:val="0"/>
              <w:autoSpaceDN w:val="0"/>
              <w:adjustRightInd w:val="0"/>
              <w:jc w:val="center"/>
              <w:rPr>
                <w:rFonts w:ascii="仿宋" w:hAnsi="仿宋" w:eastAsia="仿宋" w:cs="仿宋"/>
                <w:b/>
                <w:color w:val="auto"/>
                <w:sz w:val="24"/>
                <w:szCs w:val="21"/>
                <w:highlight w:val="none"/>
              </w:rPr>
            </w:pPr>
            <w:r>
              <w:rPr>
                <w:rFonts w:hint="eastAsia" w:ascii="仿宋" w:hAnsi="仿宋" w:eastAsia="仿宋" w:cs="仿宋"/>
                <w:b/>
                <w:color w:val="auto"/>
                <w:sz w:val="24"/>
                <w:szCs w:val="21"/>
                <w:highlight w:val="none"/>
              </w:rPr>
              <w:t>合计（元）</w:t>
            </w:r>
          </w:p>
        </w:tc>
        <w:tc>
          <w:tcPr>
            <w:tcW w:w="902" w:type="dxa"/>
            <w:tcBorders>
              <w:top w:val="single" w:color="auto" w:sz="8" w:space="0"/>
              <w:left w:val="single" w:color="auto" w:sz="8" w:space="0"/>
              <w:bottom w:val="single" w:color="auto" w:sz="8" w:space="0"/>
              <w:right w:val="single" w:color="auto" w:sz="8" w:space="0"/>
            </w:tcBorders>
          </w:tcPr>
          <w:p>
            <w:pPr>
              <w:autoSpaceDE w:val="0"/>
              <w:autoSpaceDN w:val="0"/>
              <w:adjustRightInd w:val="0"/>
              <w:jc w:val="center"/>
              <w:rPr>
                <w:rFonts w:ascii="仿宋" w:hAnsi="仿宋" w:eastAsia="仿宋" w:cs="仿宋"/>
                <w:b/>
                <w:color w:val="auto"/>
                <w:sz w:val="24"/>
                <w:szCs w:val="21"/>
                <w:highlight w:val="none"/>
              </w:rPr>
            </w:pPr>
            <w:r>
              <w:rPr>
                <w:rFonts w:hint="eastAsia" w:ascii="仿宋" w:hAnsi="仿宋" w:eastAsia="仿宋" w:cs="仿宋"/>
                <w:b/>
                <w:color w:val="auto"/>
                <w:sz w:val="24"/>
                <w:szCs w:val="21"/>
                <w:highlight w:val="none"/>
              </w:rPr>
              <w:t>备注</w:t>
            </w:r>
          </w:p>
        </w:tc>
      </w:tr>
      <w:tr>
        <w:tblPrEx>
          <w:tblCellMar>
            <w:top w:w="0" w:type="dxa"/>
            <w:left w:w="30" w:type="dxa"/>
            <w:bottom w:w="0" w:type="dxa"/>
            <w:right w:w="30" w:type="dxa"/>
          </w:tblCellMar>
        </w:tblPrEx>
        <w:trPr>
          <w:trHeight w:val="770" w:hRule="exact"/>
        </w:trPr>
        <w:tc>
          <w:tcPr>
            <w:tcW w:w="7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仿宋" w:hAnsi="仿宋" w:eastAsia="仿宋" w:cs="仿宋"/>
                <w:color w:val="auto"/>
                <w:sz w:val="24"/>
                <w:szCs w:val="21"/>
                <w:highlight w:val="none"/>
              </w:rPr>
            </w:pPr>
            <w:r>
              <w:rPr>
                <w:rFonts w:hint="eastAsia" w:ascii="仿宋" w:hAnsi="仿宋" w:eastAsia="仿宋" w:cs="仿宋"/>
                <w:color w:val="auto"/>
                <w:sz w:val="24"/>
                <w:szCs w:val="21"/>
                <w:highlight w:val="none"/>
              </w:rPr>
              <w:t>1</w:t>
            </w:r>
          </w:p>
        </w:tc>
        <w:tc>
          <w:tcPr>
            <w:tcW w:w="1448" w:type="dxa"/>
            <w:tcBorders>
              <w:top w:val="single" w:color="auto" w:sz="8" w:space="0"/>
              <w:left w:val="single" w:color="auto" w:sz="8" w:space="0"/>
              <w:bottom w:val="single" w:color="auto" w:sz="8" w:space="0"/>
              <w:right w:val="single" w:color="auto" w:sz="8" w:space="0"/>
            </w:tcBorders>
            <w:vAlign w:val="bottom"/>
          </w:tcPr>
          <w:p>
            <w:pPr>
              <w:rPr>
                <w:rFonts w:ascii="仿宋" w:hAnsi="仿宋" w:eastAsia="仿宋" w:cs="仿宋"/>
                <w:color w:val="auto"/>
                <w:sz w:val="24"/>
                <w:highlight w:val="none"/>
              </w:rPr>
            </w:pPr>
          </w:p>
          <w:p>
            <w:pPr>
              <w:jc w:val="center"/>
              <w:rPr>
                <w:rFonts w:ascii="仿宋" w:hAnsi="仿宋" w:eastAsia="仿宋" w:cs="仿宋"/>
                <w:color w:val="auto"/>
                <w:sz w:val="24"/>
                <w:highlight w:val="none"/>
              </w:rPr>
            </w:pPr>
          </w:p>
        </w:tc>
        <w:tc>
          <w:tcPr>
            <w:tcW w:w="2332"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ind w:right="480" w:firstLine="360" w:firstLineChars="150"/>
              <w:jc w:val="center"/>
              <w:rPr>
                <w:rFonts w:ascii="仿宋" w:hAnsi="仿宋" w:eastAsia="仿宋" w:cs="仿宋"/>
                <w:color w:val="auto"/>
                <w:sz w:val="24"/>
                <w:szCs w:val="21"/>
                <w:highlight w:val="none"/>
              </w:rPr>
            </w:pPr>
          </w:p>
        </w:tc>
        <w:tc>
          <w:tcPr>
            <w:tcW w:w="1080" w:type="dxa"/>
            <w:tcBorders>
              <w:top w:val="single" w:color="auto" w:sz="8" w:space="0"/>
              <w:left w:val="single" w:color="auto" w:sz="8" w:space="0"/>
              <w:bottom w:val="single" w:color="auto" w:sz="8" w:space="0"/>
              <w:right w:val="single" w:color="auto" w:sz="8" w:space="0"/>
            </w:tcBorders>
          </w:tcPr>
          <w:p>
            <w:pPr>
              <w:autoSpaceDE w:val="0"/>
              <w:autoSpaceDN w:val="0"/>
              <w:adjustRightInd w:val="0"/>
              <w:jc w:val="center"/>
              <w:rPr>
                <w:rFonts w:ascii="仿宋" w:hAnsi="仿宋" w:eastAsia="仿宋" w:cs="仿宋"/>
                <w:color w:val="auto"/>
                <w:sz w:val="24"/>
                <w:szCs w:val="21"/>
                <w:highlight w:val="none"/>
              </w:rPr>
            </w:pPr>
          </w:p>
        </w:tc>
        <w:tc>
          <w:tcPr>
            <w:tcW w:w="720" w:type="dxa"/>
            <w:tcBorders>
              <w:top w:val="single" w:color="auto" w:sz="8" w:space="0"/>
              <w:left w:val="single" w:color="auto" w:sz="8" w:space="0"/>
              <w:bottom w:val="single" w:color="auto" w:sz="8" w:space="0"/>
              <w:right w:val="single" w:color="auto" w:sz="4" w:space="0"/>
            </w:tcBorders>
          </w:tcPr>
          <w:p>
            <w:pPr>
              <w:autoSpaceDE w:val="0"/>
              <w:autoSpaceDN w:val="0"/>
              <w:adjustRightInd w:val="0"/>
              <w:jc w:val="center"/>
              <w:rPr>
                <w:rFonts w:ascii="仿宋" w:hAnsi="仿宋" w:eastAsia="仿宋" w:cs="仿宋"/>
                <w:color w:val="auto"/>
                <w:sz w:val="24"/>
                <w:szCs w:val="21"/>
                <w:highlight w:val="none"/>
              </w:rPr>
            </w:pPr>
          </w:p>
        </w:tc>
        <w:tc>
          <w:tcPr>
            <w:tcW w:w="900" w:type="dxa"/>
            <w:tcBorders>
              <w:top w:val="single" w:color="auto" w:sz="8" w:space="0"/>
              <w:left w:val="single" w:color="auto" w:sz="4" w:space="0"/>
              <w:bottom w:val="single" w:color="auto" w:sz="8" w:space="0"/>
              <w:right w:val="single" w:color="auto" w:sz="8" w:space="0"/>
            </w:tcBorders>
          </w:tcPr>
          <w:p>
            <w:pPr>
              <w:autoSpaceDE w:val="0"/>
              <w:autoSpaceDN w:val="0"/>
              <w:adjustRightInd w:val="0"/>
              <w:jc w:val="center"/>
              <w:rPr>
                <w:rFonts w:ascii="仿宋" w:hAnsi="仿宋" w:eastAsia="仿宋" w:cs="仿宋"/>
                <w:color w:val="auto"/>
                <w:sz w:val="24"/>
                <w:szCs w:val="21"/>
                <w:highlight w:val="none"/>
              </w:rPr>
            </w:pPr>
          </w:p>
        </w:tc>
        <w:tc>
          <w:tcPr>
            <w:tcW w:w="1080" w:type="dxa"/>
            <w:tcBorders>
              <w:top w:val="single" w:color="auto" w:sz="8" w:space="0"/>
              <w:left w:val="single" w:color="auto" w:sz="8" w:space="0"/>
              <w:bottom w:val="single" w:color="auto" w:sz="8" w:space="0"/>
              <w:right w:val="single" w:color="auto" w:sz="8" w:space="0"/>
            </w:tcBorders>
          </w:tcPr>
          <w:p>
            <w:pPr>
              <w:jc w:val="center"/>
              <w:rPr>
                <w:rFonts w:ascii="仿宋" w:hAnsi="仿宋" w:eastAsia="仿宋" w:cs="仿宋"/>
                <w:color w:val="auto"/>
                <w:sz w:val="24"/>
                <w:szCs w:val="21"/>
                <w:highlight w:val="none"/>
              </w:rPr>
            </w:pPr>
          </w:p>
        </w:tc>
        <w:tc>
          <w:tcPr>
            <w:tcW w:w="90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cs="仿宋"/>
                <w:color w:val="auto"/>
                <w:sz w:val="24"/>
                <w:szCs w:val="21"/>
                <w:highlight w:val="none"/>
              </w:rPr>
            </w:pPr>
          </w:p>
        </w:tc>
      </w:tr>
      <w:tr>
        <w:tblPrEx>
          <w:tblCellMar>
            <w:top w:w="0" w:type="dxa"/>
            <w:left w:w="30" w:type="dxa"/>
            <w:bottom w:w="0" w:type="dxa"/>
            <w:right w:w="30" w:type="dxa"/>
          </w:tblCellMar>
        </w:tblPrEx>
        <w:trPr>
          <w:trHeight w:val="734" w:hRule="exact"/>
        </w:trPr>
        <w:tc>
          <w:tcPr>
            <w:tcW w:w="7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仿宋" w:hAnsi="仿宋" w:eastAsia="仿宋" w:cs="仿宋"/>
                <w:color w:val="auto"/>
                <w:sz w:val="24"/>
                <w:szCs w:val="21"/>
                <w:highlight w:val="none"/>
              </w:rPr>
            </w:pPr>
            <w:r>
              <w:rPr>
                <w:rFonts w:hint="eastAsia" w:ascii="仿宋" w:hAnsi="仿宋" w:eastAsia="仿宋" w:cs="仿宋"/>
                <w:color w:val="auto"/>
                <w:sz w:val="24"/>
                <w:szCs w:val="21"/>
                <w:highlight w:val="none"/>
              </w:rPr>
              <w:t>2</w:t>
            </w:r>
          </w:p>
        </w:tc>
        <w:tc>
          <w:tcPr>
            <w:tcW w:w="1448" w:type="dxa"/>
            <w:tcBorders>
              <w:top w:val="single" w:color="auto" w:sz="8" w:space="0"/>
              <w:left w:val="single" w:color="auto" w:sz="8" w:space="0"/>
              <w:bottom w:val="single" w:color="auto" w:sz="8" w:space="0"/>
              <w:right w:val="single" w:color="auto" w:sz="8" w:space="0"/>
            </w:tcBorders>
            <w:vAlign w:val="bottom"/>
          </w:tcPr>
          <w:p>
            <w:pPr>
              <w:rPr>
                <w:rFonts w:ascii="仿宋" w:hAnsi="仿宋" w:eastAsia="仿宋" w:cs="仿宋"/>
                <w:color w:val="auto"/>
                <w:sz w:val="24"/>
                <w:highlight w:val="none"/>
              </w:rPr>
            </w:pPr>
          </w:p>
          <w:p>
            <w:pPr>
              <w:jc w:val="center"/>
              <w:rPr>
                <w:rFonts w:ascii="仿宋" w:hAnsi="仿宋" w:eastAsia="仿宋" w:cs="仿宋"/>
                <w:color w:val="auto"/>
                <w:sz w:val="24"/>
                <w:highlight w:val="none"/>
              </w:rPr>
            </w:pPr>
          </w:p>
        </w:tc>
        <w:tc>
          <w:tcPr>
            <w:tcW w:w="2332"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ind w:right="480" w:firstLine="360" w:firstLineChars="150"/>
              <w:jc w:val="center"/>
              <w:rPr>
                <w:rFonts w:ascii="仿宋" w:hAnsi="仿宋" w:eastAsia="仿宋" w:cs="仿宋"/>
                <w:color w:val="auto"/>
                <w:sz w:val="24"/>
                <w:szCs w:val="21"/>
                <w:highlight w:val="none"/>
              </w:rPr>
            </w:pPr>
          </w:p>
        </w:tc>
        <w:tc>
          <w:tcPr>
            <w:tcW w:w="1080" w:type="dxa"/>
            <w:tcBorders>
              <w:top w:val="single" w:color="auto" w:sz="8" w:space="0"/>
              <w:left w:val="single" w:color="auto" w:sz="8" w:space="0"/>
              <w:bottom w:val="single" w:color="auto" w:sz="8" w:space="0"/>
              <w:right w:val="single" w:color="auto" w:sz="8" w:space="0"/>
            </w:tcBorders>
          </w:tcPr>
          <w:p>
            <w:pPr>
              <w:autoSpaceDE w:val="0"/>
              <w:autoSpaceDN w:val="0"/>
              <w:adjustRightInd w:val="0"/>
              <w:jc w:val="center"/>
              <w:rPr>
                <w:rFonts w:ascii="仿宋" w:hAnsi="仿宋" w:eastAsia="仿宋" w:cs="仿宋"/>
                <w:color w:val="auto"/>
                <w:sz w:val="24"/>
                <w:szCs w:val="21"/>
                <w:highlight w:val="none"/>
              </w:rPr>
            </w:pPr>
          </w:p>
        </w:tc>
        <w:tc>
          <w:tcPr>
            <w:tcW w:w="720" w:type="dxa"/>
            <w:tcBorders>
              <w:top w:val="single" w:color="auto" w:sz="8" w:space="0"/>
              <w:left w:val="single" w:color="auto" w:sz="8" w:space="0"/>
              <w:bottom w:val="single" w:color="auto" w:sz="8" w:space="0"/>
              <w:right w:val="single" w:color="auto" w:sz="4" w:space="0"/>
            </w:tcBorders>
          </w:tcPr>
          <w:p>
            <w:pPr>
              <w:autoSpaceDE w:val="0"/>
              <w:autoSpaceDN w:val="0"/>
              <w:adjustRightInd w:val="0"/>
              <w:jc w:val="center"/>
              <w:rPr>
                <w:rFonts w:ascii="仿宋" w:hAnsi="仿宋" w:eastAsia="仿宋" w:cs="仿宋"/>
                <w:color w:val="auto"/>
                <w:sz w:val="24"/>
                <w:szCs w:val="21"/>
                <w:highlight w:val="none"/>
              </w:rPr>
            </w:pPr>
          </w:p>
        </w:tc>
        <w:tc>
          <w:tcPr>
            <w:tcW w:w="900" w:type="dxa"/>
            <w:tcBorders>
              <w:top w:val="single" w:color="auto" w:sz="8" w:space="0"/>
              <w:left w:val="single" w:color="auto" w:sz="4" w:space="0"/>
              <w:bottom w:val="single" w:color="auto" w:sz="8" w:space="0"/>
              <w:right w:val="single" w:color="auto" w:sz="8" w:space="0"/>
            </w:tcBorders>
          </w:tcPr>
          <w:p>
            <w:pPr>
              <w:autoSpaceDE w:val="0"/>
              <w:autoSpaceDN w:val="0"/>
              <w:adjustRightInd w:val="0"/>
              <w:jc w:val="center"/>
              <w:rPr>
                <w:rFonts w:ascii="仿宋" w:hAnsi="仿宋" w:eastAsia="仿宋" w:cs="仿宋"/>
                <w:color w:val="auto"/>
                <w:sz w:val="24"/>
                <w:szCs w:val="21"/>
                <w:highlight w:val="none"/>
              </w:rPr>
            </w:pPr>
          </w:p>
        </w:tc>
        <w:tc>
          <w:tcPr>
            <w:tcW w:w="1080" w:type="dxa"/>
            <w:tcBorders>
              <w:top w:val="single" w:color="auto" w:sz="8" w:space="0"/>
              <w:left w:val="single" w:color="auto" w:sz="8" w:space="0"/>
              <w:bottom w:val="single" w:color="auto" w:sz="8" w:space="0"/>
              <w:right w:val="single" w:color="auto" w:sz="8" w:space="0"/>
            </w:tcBorders>
          </w:tcPr>
          <w:p>
            <w:pPr>
              <w:jc w:val="center"/>
              <w:rPr>
                <w:rFonts w:ascii="仿宋" w:hAnsi="仿宋" w:eastAsia="仿宋" w:cs="仿宋"/>
                <w:color w:val="auto"/>
                <w:sz w:val="24"/>
                <w:szCs w:val="21"/>
                <w:highlight w:val="none"/>
              </w:rPr>
            </w:pPr>
          </w:p>
        </w:tc>
        <w:tc>
          <w:tcPr>
            <w:tcW w:w="90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cs="仿宋"/>
                <w:color w:val="auto"/>
                <w:sz w:val="24"/>
                <w:szCs w:val="21"/>
                <w:highlight w:val="none"/>
              </w:rPr>
            </w:pPr>
          </w:p>
        </w:tc>
      </w:tr>
      <w:tr>
        <w:tblPrEx>
          <w:tblCellMar>
            <w:top w:w="0" w:type="dxa"/>
            <w:left w:w="30" w:type="dxa"/>
            <w:bottom w:w="0" w:type="dxa"/>
            <w:right w:w="30" w:type="dxa"/>
          </w:tblCellMar>
        </w:tblPrEx>
        <w:trPr>
          <w:trHeight w:val="734" w:hRule="exact"/>
        </w:trPr>
        <w:tc>
          <w:tcPr>
            <w:tcW w:w="7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仿宋" w:hAnsi="仿宋" w:eastAsia="仿宋" w:cs="仿宋"/>
                <w:color w:val="auto"/>
                <w:sz w:val="24"/>
                <w:szCs w:val="21"/>
                <w:highlight w:val="none"/>
              </w:rPr>
            </w:pPr>
          </w:p>
        </w:tc>
        <w:tc>
          <w:tcPr>
            <w:tcW w:w="1448" w:type="dxa"/>
            <w:tcBorders>
              <w:top w:val="single" w:color="auto" w:sz="8" w:space="0"/>
              <w:left w:val="single" w:color="auto" w:sz="8" w:space="0"/>
              <w:bottom w:val="single" w:color="auto" w:sz="8" w:space="0"/>
              <w:right w:val="single" w:color="auto" w:sz="8" w:space="0"/>
            </w:tcBorders>
            <w:vAlign w:val="bottom"/>
          </w:tcPr>
          <w:p>
            <w:pPr>
              <w:rPr>
                <w:rFonts w:ascii="仿宋" w:hAnsi="仿宋" w:eastAsia="仿宋" w:cs="仿宋"/>
                <w:color w:val="auto"/>
                <w:sz w:val="24"/>
                <w:highlight w:val="none"/>
              </w:rPr>
            </w:pPr>
          </w:p>
        </w:tc>
        <w:tc>
          <w:tcPr>
            <w:tcW w:w="2332"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ind w:right="480" w:firstLine="360" w:firstLineChars="150"/>
              <w:jc w:val="center"/>
              <w:rPr>
                <w:rFonts w:ascii="仿宋" w:hAnsi="仿宋" w:eastAsia="仿宋" w:cs="仿宋"/>
                <w:color w:val="auto"/>
                <w:sz w:val="24"/>
                <w:szCs w:val="21"/>
                <w:highlight w:val="none"/>
              </w:rPr>
            </w:pPr>
          </w:p>
        </w:tc>
        <w:tc>
          <w:tcPr>
            <w:tcW w:w="1080" w:type="dxa"/>
            <w:tcBorders>
              <w:top w:val="single" w:color="auto" w:sz="8" w:space="0"/>
              <w:left w:val="single" w:color="auto" w:sz="8" w:space="0"/>
              <w:bottom w:val="single" w:color="auto" w:sz="8" w:space="0"/>
              <w:right w:val="single" w:color="auto" w:sz="8" w:space="0"/>
            </w:tcBorders>
          </w:tcPr>
          <w:p>
            <w:pPr>
              <w:autoSpaceDE w:val="0"/>
              <w:autoSpaceDN w:val="0"/>
              <w:adjustRightInd w:val="0"/>
              <w:jc w:val="center"/>
              <w:rPr>
                <w:rFonts w:ascii="仿宋" w:hAnsi="仿宋" w:eastAsia="仿宋" w:cs="仿宋"/>
                <w:color w:val="auto"/>
                <w:sz w:val="24"/>
                <w:szCs w:val="21"/>
                <w:highlight w:val="none"/>
              </w:rPr>
            </w:pPr>
          </w:p>
        </w:tc>
        <w:tc>
          <w:tcPr>
            <w:tcW w:w="720" w:type="dxa"/>
            <w:tcBorders>
              <w:top w:val="single" w:color="auto" w:sz="8" w:space="0"/>
              <w:left w:val="single" w:color="auto" w:sz="8" w:space="0"/>
              <w:bottom w:val="single" w:color="auto" w:sz="8" w:space="0"/>
              <w:right w:val="single" w:color="auto" w:sz="4" w:space="0"/>
            </w:tcBorders>
          </w:tcPr>
          <w:p>
            <w:pPr>
              <w:autoSpaceDE w:val="0"/>
              <w:autoSpaceDN w:val="0"/>
              <w:adjustRightInd w:val="0"/>
              <w:jc w:val="center"/>
              <w:rPr>
                <w:rFonts w:ascii="仿宋" w:hAnsi="仿宋" w:eastAsia="仿宋" w:cs="仿宋"/>
                <w:color w:val="auto"/>
                <w:sz w:val="24"/>
                <w:szCs w:val="21"/>
                <w:highlight w:val="none"/>
              </w:rPr>
            </w:pPr>
          </w:p>
        </w:tc>
        <w:tc>
          <w:tcPr>
            <w:tcW w:w="900" w:type="dxa"/>
            <w:tcBorders>
              <w:top w:val="single" w:color="auto" w:sz="8" w:space="0"/>
              <w:left w:val="single" w:color="auto" w:sz="4" w:space="0"/>
              <w:bottom w:val="single" w:color="auto" w:sz="8" w:space="0"/>
              <w:right w:val="single" w:color="auto" w:sz="8" w:space="0"/>
            </w:tcBorders>
          </w:tcPr>
          <w:p>
            <w:pPr>
              <w:autoSpaceDE w:val="0"/>
              <w:autoSpaceDN w:val="0"/>
              <w:adjustRightInd w:val="0"/>
              <w:jc w:val="center"/>
              <w:rPr>
                <w:rFonts w:ascii="仿宋" w:hAnsi="仿宋" w:eastAsia="仿宋" w:cs="仿宋"/>
                <w:color w:val="auto"/>
                <w:sz w:val="24"/>
                <w:szCs w:val="21"/>
                <w:highlight w:val="none"/>
              </w:rPr>
            </w:pPr>
          </w:p>
        </w:tc>
        <w:tc>
          <w:tcPr>
            <w:tcW w:w="1080" w:type="dxa"/>
            <w:tcBorders>
              <w:top w:val="single" w:color="auto" w:sz="8" w:space="0"/>
              <w:left w:val="single" w:color="auto" w:sz="8" w:space="0"/>
              <w:bottom w:val="single" w:color="auto" w:sz="8" w:space="0"/>
              <w:right w:val="single" w:color="auto" w:sz="8" w:space="0"/>
            </w:tcBorders>
          </w:tcPr>
          <w:p>
            <w:pPr>
              <w:jc w:val="center"/>
              <w:rPr>
                <w:rFonts w:ascii="仿宋" w:hAnsi="仿宋" w:eastAsia="仿宋" w:cs="仿宋"/>
                <w:color w:val="auto"/>
                <w:sz w:val="24"/>
                <w:szCs w:val="21"/>
                <w:highlight w:val="none"/>
              </w:rPr>
            </w:pPr>
          </w:p>
        </w:tc>
        <w:tc>
          <w:tcPr>
            <w:tcW w:w="90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cs="仿宋"/>
                <w:color w:val="auto"/>
                <w:sz w:val="24"/>
                <w:szCs w:val="21"/>
                <w:highlight w:val="none"/>
              </w:rPr>
            </w:pPr>
          </w:p>
        </w:tc>
      </w:tr>
      <w:tr>
        <w:tblPrEx>
          <w:tblCellMar>
            <w:top w:w="0" w:type="dxa"/>
            <w:left w:w="30" w:type="dxa"/>
            <w:bottom w:w="0" w:type="dxa"/>
            <w:right w:w="30" w:type="dxa"/>
          </w:tblCellMar>
        </w:tblPrEx>
        <w:trPr>
          <w:trHeight w:val="579" w:hRule="exact"/>
        </w:trPr>
        <w:tc>
          <w:tcPr>
            <w:tcW w:w="2168" w:type="dxa"/>
            <w:gridSpan w:val="2"/>
            <w:vMerge w:val="restart"/>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仿宋" w:hAnsi="仿宋" w:eastAsia="仿宋" w:cs="仿宋"/>
                <w:color w:val="auto"/>
                <w:sz w:val="24"/>
                <w:szCs w:val="21"/>
                <w:highlight w:val="none"/>
              </w:rPr>
            </w:pPr>
            <w:r>
              <w:rPr>
                <w:rFonts w:hint="eastAsia" w:ascii="仿宋" w:hAnsi="仿宋" w:eastAsia="仿宋" w:cs="仿宋"/>
                <w:b/>
                <w:color w:val="auto"/>
                <w:sz w:val="24"/>
                <w:szCs w:val="21"/>
                <w:highlight w:val="none"/>
              </w:rPr>
              <w:t>合同总额</w:t>
            </w:r>
          </w:p>
        </w:tc>
        <w:tc>
          <w:tcPr>
            <w:tcW w:w="7014" w:type="dxa"/>
            <w:gridSpan w:val="6"/>
            <w:tcBorders>
              <w:top w:val="single" w:color="auto" w:sz="8" w:space="0"/>
              <w:left w:val="single" w:color="auto" w:sz="8" w:space="0"/>
              <w:bottom w:val="single" w:color="auto" w:sz="8" w:space="0"/>
              <w:right w:val="single" w:color="auto" w:sz="8" w:space="0"/>
            </w:tcBorders>
            <w:vAlign w:val="center"/>
          </w:tcPr>
          <w:p>
            <w:pPr>
              <w:rPr>
                <w:rFonts w:ascii="仿宋" w:hAnsi="仿宋" w:eastAsia="仿宋" w:cs="仿宋"/>
                <w:color w:val="auto"/>
                <w:sz w:val="24"/>
                <w:szCs w:val="21"/>
                <w:highlight w:val="none"/>
              </w:rPr>
            </w:pPr>
            <w:r>
              <w:rPr>
                <w:rFonts w:hint="eastAsia" w:ascii="仿宋" w:hAnsi="仿宋" w:eastAsia="仿宋" w:cs="仿宋"/>
                <w:color w:val="auto"/>
                <w:sz w:val="24"/>
                <w:szCs w:val="21"/>
                <w:highlight w:val="none"/>
              </w:rPr>
              <w:t>（小写）：¥      元</w:t>
            </w:r>
          </w:p>
        </w:tc>
      </w:tr>
      <w:tr>
        <w:tblPrEx>
          <w:tblCellMar>
            <w:top w:w="0" w:type="dxa"/>
            <w:left w:w="30" w:type="dxa"/>
            <w:bottom w:w="0" w:type="dxa"/>
            <w:right w:w="30" w:type="dxa"/>
          </w:tblCellMar>
        </w:tblPrEx>
        <w:trPr>
          <w:trHeight w:val="579" w:hRule="atLeast"/>
        </w:trPr>
        <w:tc>
          <w:tcPr>
            <w:tcW w:w="2168" w:type="dxa"/>
            <w:gridSpan w:val="2"/>
            <w:vMerge w:val="continue"/>
            <w:tcBorders>
              <w:top w:val="single" w:color="auto" w:sz="8" w:space="0"/>
              <w:left w:val="single" w:color="auto" w:sz="8" w:space="0"/>
              <w:bottom w:val="single" w:color="auto" w:sz="8" w:space="0"/>
              <w:right w:val="single" w:color="auto" w:sz="8" w:space="0"/>
            </w:tcBorders>
            <w:vAlign w:val="center"/>
          </w:tcPr>
          <w:p>
            <w:pPr>
              <w:rPr>
                <w:rFonts w:ascii="仿宋" w:hAnsi="仿宋" w:eastAsia="仿宋" w:cs="仿宋"/>
                <w:color w:val="auto"/>
                <w:sz w:val="24"/>
                <w:szCs w:val="21"/>
                <w:highlight w:val="none"/>
              </w:rPr>
            </w:pPr>
          </w:p>
        </w:tc>
        <w:tc>
          <w:tcPr>
            <w:tcW w:w="7014" w:type="dxa"/>
            <w:gridSpan w:val="6"/>
            <w:tcBorders>
              <w:top w:val="single" w:color="auto" w:sz="8" w:space="0"/>
              <w:left w:val="single" w:color="auto" w:sz="8" w:space="0"/>
              <w:bottom w:val="single" w:color="auto" w:sz="8" w:space="0"/>
              <w:right w:val="single" w:color="auto" w:sz="8" w:space="0"/>
            </w:tcBorders>
            <w:vAlign w:val="center"/>
          </w:tcPr>
          <w:p>
            <w:pPr>
              <w:rPr>
                <w:rFonts w:ascii="仿宋" w:hAnsi="仿宋" w:eastAsia="仿宋" w:cs="仿宋"/>
                <w:color w:val="auto"/>
                <w:sz w:val="24"/>
                <w:szCs w:val="21"/>
                <w:highlight w:val="none"/>
              </w:rPr>
            </w:pPr>
            <w:r>
              <w:rPr>
                <w:rFonts w:hint="eastAsia" w:ascii="仿宋" w:hAnsi="仿宋" w:eastAsia="仿宋" w:cs="仿宋"/>
                <w:color w:val="auto"/>
                <w:sz w:val="24"/>
                <w:szCs w:val="21"/>
                <w:highlight w:val="none"/>
              </w:rPr>
              <w:t xml:space="preserve">（大写）:               </w:t>
            </w:r>
            <w:r>
              <w:rPr>
                <w:rFonts w:hint="eastAsia" w:ascii="仿宋" w:hAnsi="仿宋" w:eastAsia="仿宋" w:cs="仿宋"/>
                <w:color w:val="auto"/>
                <w:sz w:val="28"/>
                <w:szCs w:val="21"/>
                <w:highlight w:val="none"/>
              </w:rPr>
              <w:t>元整</w:t>
            </w:r>
          </w:p>
        </w:tc>
      </w:tr>
    </w:tbl>
    <w:p>
      <w:pPr>
        <w:snapToGrid w:val="0"/>
        <w:spacing w:line="360" w:lineRule="auto"/>
        <w:jc w:val="both"/>
        <w:rPr>
          <w:rFonts w:ascii="仿宋" w:hAnsi="仿宋" w:eastAsia="仿宋" w:cs="仿宋"/>
          <w:b/>
          <w:color w:val="auto"/>
          <w:sz w:val="28"/>
          <w:szCs w:val="28"/>
          <w:highlight w:val="none"/>
        </w:rPr>
      </w:pPr>
      <w:bookmarkStart w:id="28" w:name="_Toc424566854"/>
      <w:bookmarkStart w:id="29" w:name="_Toc424563315"/>
      <w:bookmarkStart w:id="30" w:name="_Toc425425703"/>
      <w:bookmarkStart w:id="31" w:name="_Toc424716420"/>
      <w:r>
        <w:rPr>
          <w:rFonts w:hint="eastAsia" w:ascii="仿宋" w:hAnsi="仿宋" w:eastAsia="仿宋" w:cs="仿宋"/>
          <w:b/>
          <w:color w:val="auto"/>
          <w:sz w:val="28"/>
          <w:szCs w:val="28"/>
          <w:highlight w:val="none"/>
        </w:rPr>
        <w:t xml:space="preserve">二、合同通用条款 </w:t>
      </w:r>
    </w:p>
    <w:p>
      <w:pPr>
        <w:snapToGrid w:val="0"/>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（双方友好协商）</w:t>
      </w:r>
    </w:p>
    <w:p>
      <w:pPr>
        <w:snapToGrid w:val="0"/>
        <w:spacing w:line="360" w:lineRule="auto"/>
        <w:jc w:val="both"/>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三、付款方式</w:t>
      </w:r>
      <w:bookmarkEnd w:id="28"/>
      <w:bookmarkEnd w:id="29"/>
      <w:bookmarkEnd w:id="30"/>
      <w:bookmarkEnd w:id="31"/>
    </w:p>
    <w:p>
      <w:pPr>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1、签订合同之日起7个工作日内，甲方凭借乙方正式有效发票向其支付合同金额的30%做为预付款；</w:t>
      </w:r>
    </w:p>
    <w:p>
      <w:pPr>
        <w:pStyle w:val="17"/>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2、项目到货验收后7个工作日内，甲方凭借乙方正式有效发票向其支付合同金额的65%；</w:t>
      </w:r>
    </w:p>
    <w:p>
      <w:pPr>
        <w:pStyle w:val="17"/>
        <w:rPr>
          <w:color w:val="auto"/>
          <w:highlight w:val="none"/>
        </w:rPr>
      </w:pPr>
      <w:r>
        <w:rPr>
          <w:rFonts w:hint="eastAsia" w:ascii="仿宋" w:hAnsi="仿宋" w:eastAsia="仿宋" w:cs="仿宋"/>
          <w:color w:val="auto"/>
          <w:sz w:val="24"/>
          <w:szCs w:val="24"/>
          <w:highlight w:val="none"/>
        </w:rPr>
        <w:t>3、二年质保期后，7个工作日内，甲方凭借乙方正式有效发票向其支付合同金额的5%。</w:t>
      </w:r>
    </w:p>
    <w:p>
      <w:pPr>
        <w:snapToGrid w:val="0"/>
        <w:spacing w:line="360" w:lineRule="auto"/>
        <w:jc w:val="both"/>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四、违约赔偿</w:t>
      </w:r>
    </w:p>
    <w:p>
      <w:pPr>
        <w:snapToGrid w:val="0"/>
        <w:spacing w:line="360" w:lineRule="auto"/>
        <w:ind w:firstLine="480" w:firstLineChars="200"/>
        <w:jc w:val="both"/>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 除下一条规定的不可抗力外，如果乙方没有按照合同规定的时间交货和提供服务，甲方可从合同款中扣除违约赔偿费，每延迟一个工作日迟交货物（含软件及相关服务）或未提供服务或提供产品及服务不满足项目需求，按合同金额的1％/天计扣违约赔偿费。但违约赔偿费的最高限额为合同金额的10％。如果乙方延迟交货时间超过一个月，甲方有权终止合同，并按合同约定及法律规定追究乙方的违约责任。</w:t>
      </w:r>
    </w:p>
    <w:p>
      <w:pPr>
        <w:snapToGrid w:val="0"/>
        <w:spacing w:line="360" w:lineRule="auto"/>
        <w:ind w:firstLine="480" w:firstLineChars="200"/>
        <w:jc w:val="both"/>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2.如果双方中任何一方由于战争、严重火灾、水灾、台风和地震以及其它经双方同意属于不可抗力的事故，致使合同履行受阻时，履行合同的期限应予以延长，延长的期限应相当于事故所影响的时间。</w:t>
      </w:r>
    </w:p>
    <w:p>
      <w:pPr>
        <w:snapToGrid w:val="0"/>
        <w:spacing w:line="360" w:lineRule="auto"/>
        <w:jc w:val="both"/>
        <w:rPr>
          <w:rFonts w:ascii="仿宋" w:hAnsi="仿宋" w:eastAsia="仿宋" w:cs="仿宋"/>
          <w:b/>
          <w:color w:val="auto"/>
          <w:sz w:val="28"/>
          <w:szCs w:val="28"/>
          <w:highlight w:val="none"/>
        </w:rPr>
      </w:pPr>
      <w:bookmarkStart w:id="32" w:name="_Toc417386177"/>
      <w:bookmarkStart w:id="33" w:name="_Toc462068969"/>
      <w:r>
        <w:rPr>
          <w:rFonts w:hint="eastAsia" w:ascii="仿宋" w:hAnsi="仿宋" w:eastAsia="仿宋" w:cs="仿宋"/>
          <w:b/>
          <w:color w:val="auto"/>
          <w:sz w:val="28"/>
          <w:szCs w:val="28"/>
          <w:highlight w:val="none"/>
        </w:rPr>
        <w:t>五、合同纠纷处理</w:t>
      </w:r>
      <w:bookmarkEnd w:id="32"/>
      <w:bookmarkEnd w:id="33"/>
    </w:p>
    <w:p>
      <w:pPr>
        <w:tabs>
          <w:tab w:val="left" w:pos="1980"/>
        </w:tabs>
        <w:snapToGrid w:val="0"/>
        <w:spacing w:line="360" w:lineRule="auto"/>
        <w:ind w:firstLine="470" w:firstLineChars="196"/>
        <w:rPr>
          <w:rFonts w:ascii="仿宋" w:hAnsi="仿宋" w:eastAsia="仿宋" w:cs="仿宋"/>
          <w:color w:val="auto"/>
          <w:sz w:val="24"/>
          <w:highlight w:val="none"/>
        </w:rPr>
      </w:pPr>
      <w:bookmarkStart w:id="34" w:name="_Toc417386178"/>
      <w:bookmarkStart w:id="35" w:name="_Toc462068970"/>
      <w:r>
        <w:rPr>
          <w:rFonts w:hint="eastAsia" w:ascii="仿宋" w:hAnsi="仿宋" w:eastAsia="仿宋" w:cs="仿宋"/>
          <w:color w:val="auto"/>
          <w:sz w:val="24"/>
          <w:highlight w:val="none"/>
        </w:rPr>
        <w:t>本合同履行过程中发生纠纷，应协商解决，协商不成，可向甲方人民法院提起诉讼解决。</w:t>
      </w:r>
    </w:p>
    <w:p>
      <w:pPr>
        <w:snapToGrid w:val="0"/>
        <w:spacing w:line="360" w:lineRule="auto"/>
        <w:jc w:val="both"/>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六、合同生效</w:t>
      </w:r>
      <w:bookmarkEnd w:id="34"/>
      <w:bookmarkEnd w:id="35"/>
    </w:p>
    <w:p>
      <w:pPr>
        <w:snapToGrid w:val="0"/>
        <w:spacing w:line="360" w:lineRule="auto"/>
        <w:ind w:left="555"/>
        <w:jc w:val="both"/>
        <w:rPr>
          <w:rFonts w:ascii="仿宋" w:hAnsi="仿宋" w:eastAsia="仿宋" w:cs="仿宋"/>
          <w:color w:val="auto"/>
          <w:sz w:val="24"/>
          <w:highlight w:val="none"/>
        </w:rPr>
      </w:pPr>
      <w:r>
        <w:rPr>
          <w:rFonts w:hint="eastAsia" w:ascii="仿宋" w:hAnsi="仿宋" w:eastAsia="仿宋" w:cs="仿宋"/>
          <w:color w:val="auto"/>
          <w:sz w:val="24"/>
          <w:highlight w:val="none"/>
        </w:rPr>
        <w:t>本合同由甲乙双方签字盖章后生效。</w:t>
      </w:r>
    </w:p>
    <w:p>
      <w:pPr>
        <w:snapToGrid w:val="0"/>
        <w:spacing w:line="360" w:lineRule="auto"/>
        <w:jc w:val="both"/>
        <w:rPr>
          <w:rFonts w:ascii="仿宋" w:hAnsi="仿宋" w:eastAsia="仿宋" w:cs="仿宋"/>
          <w:b/>
          <w:color w:val="auto"/>
          <w:sz w:val="28"/>
          <w:szCs w:val="28"/>
          <w:highlight w:val="none"/>
        </w:rPr>
      </w:pPr>
      <w:bookmarkStart w:id="36" w:name="_Toc417386179"/>
      <w:bookmarkStart w:id="37" w:name="_Toc462068971"/>
      <w:r>
        <w:rPr>
          <w:rFonts w:hint="eastAsia" w:ascii="仿宋" w:hAnsi="仿宋" w:eastAsia="仿宋" w:cs="仿宋"/>
          <w:b/>
          <w:color w:val="auto"/>
          <w:sz w:val="28"/>
          <w:szCs w:val="28"/>
          <w:highlight w:val="none"/>
        </w:rPr>
        <w:t>七、合同鉴证</w:t>
      </w:r>
      <w:bookmarkEnd w:id="36"/>
      <w:bookmarkEnd w:id="37"/>
    </w:p>
    <w:p>
      <w:pPr>
        <w:snapToGrid w:val="0"/>
        <w:spacing w:line="360" w:lineRule="auto"/>
        <w:ind w:firstLine="480" w:firstLineChars="200"/>
        <w:jc w:val="both"/>
        <w:rPr>
          <w:rFonts w:ascii="仿宋" w:hAnsi="仿宋" w:eastAsia="仿宋" w:cs="仿宋"/>
          <w:b/>
          <w:color w:val="auto"/>
          <w:sz w:val="24"/>
          <w:highlight w:val="none"/>
        </w:rPr>
      </w:pPr>
      <w:r>
        <w:rPr>
          <w:rFonts w:hint="eastAsia" w:ascii="仿宋" w:hAnsi="仿宋" w:eastAsia="仿宋" w:cs="仿宋"/>
          <w:color w:val="auto"/>
          <w:sz w:val="24"/>
          <w:highlight w:val="none"/>
        </w:rPr>
        <w:t>招标代理机构应当在本合同上签章，以证明本合同条款与招标文件、投标文件的相关要求相符并且未对采购内容和技术参数进行实质性修改。</w:t>
      </w:r>
    </w:p>
    <w:p>
      <w:pPr>
        <w:snapToGrid w:val="0"/>
        <w:spacing w:line="360" w:lineRule="auto"/>
        <w:jc w:val="both"/>
        <w:rPr>
          <w:rFonts w:ascii="仿宋" w:hAnsi="仿宋" w:eastAsia="仿宋" w:cs="仿宋"/>
          <w:b/>
          <w:color w:val="auto"/>
          <w:sz w:val="28"/>
          <w:szCs w:val="28"/>
          <w:highlight w:val="none"/>
        </w:rPr>
      </w:pPr>
      <w:bookmarkStart w:id="38" w:name="_Toc462068972"/>
      <w:bookmarkStart w:id="39" w:name="_Toc417386180"/>
      <w:r>
        <w:rPr>
          <w:rFonts w:hint="eastAsia" w:ascii="仿宋" w:hAnsi="仿宋" w:eastAsia="仿宋" w:cs="仿宋"/>
          <w:b/>
          <w:color w:val="auto"/>
          <w:sz w:val="28"/>
          <w:szCs w:val="28"/>
          <w:highlight w:val="none"/>
        </w:rPr>
        <w:t>八、本合同的组成文件</w:t>
      </w:r>
      <w:bookmarkEnd w:id="38"/>
      <w:bookmarkEnd w:id="39"/>
    </w:p>
    <w:p>
      <w:pPr>
        <w:snapToGrid w:val="0"/>
        <w:spacing w:line="360" w:lineRule="auto"/>
        <w:ind w:left="555"/>
        <w:jc w:val="both"/>
        <w:rPr>
          <w:rFonts w:ascii="仿宋" w:hAnsi="仿宋" w:eastAsia="仿宋" w:cs="仿宋"/>
          <w:color w:val="auto"/>
          <w:sz w:val="24"/>
          <w:highlight w:val="none"/>
        </w:rPr>
      </w:pPr>
      <w:r>
        <w:rPr>
          <w:rFonts w:hint="eastAsia" w:ascii="仿宋" w:hAnsi="仿宋" w:eastAsia="仿宋" w:cs="仿宋"/>
          <w:color w:val="auto"/>
          <w:sz w:val="24"/>
          <w:highlight w:val="none"/>
        </w:rPr>
        <w:t>1.合同通用条款和专用条款；</w:t>
      </w:r>
    </w:p>
    <w:p>
      <w:pPr>
        <w:snapToGrid w:val="0"/>
        <w:spacing w:line="360" w:lineRule="auto"/>
        <w:ind w:left="555"/>
        <w:jc w:val="both"/>
        <w:rPr>
          <w:rFonts w:ascii="仿宋" w:hAnsi="仿宋" w:eastAsia="仿宋" w:cs="仿宋"/>
          <w:color w:val="auto"/>
          <w:sz w:val="24"/>
          <w:highlight w:val="none"/>
        </w:rPr>
      </w:pPr>
      <w:r>
        <w:rPr>
          <w:rFonts w:hint="eastAsia" w:ascii="仿宋" w:hAnsi="仿宋" w:eastAsia="仿宋" w:cs="仿宋"/>
          <w:color w:val="auto"/>
          <w:sz w:val="24"/>
          <w:highlight w:val="none"/>
        </w:rPr>
        <w:t>2.招标文件、乙方的投标文件和评标时的澄清函（如有）；</w:t>
      </w:r>
    </w:p>
    <w:p>
      <w:pPr>
        <w:snapToGrid w:val="0"/>
        <w:spacing w:line="360" w:lineRule="auto"/>
        <w:ind w:left="555"/>
        <w:jc w:val="both"/>
        <w:rPr>
          <w:rFonts w:ascii="仿宋" w:hAnsi="仿宋" w:eastAsia="仿宋" w:cs="仿宋"/>
          <w:color w:val="auto"/>
          <w:sz w:val="24"/>
          <w:highlight w:val="none"/>
        </w:rPr>
      </w:pPr>
      <w:r>
        <w:rPr>
          <w:rFonts w:hint="eastAsia" w:ascii="仿宋" w:hAnsi="仿宋" w:eastAsia="仿宋" w:cs="仿宋"/>
          <w:color w:val="auto"/>
          <w:sz w:val="24"/>
          <w:highlight w:val="none"/>
        </w:rPr>
        <w:t>3.中标通知书；</w:t>
      </w:r>
    </w:p>
    <w:p>
      <w:pPr>
        <w:snapToGrid w:val="0"/>
        <w:spacing w:line="360" w:lineRule="auto"/>
        <w:ind w:left="555"/>
        <w:jc w:val="both"/>
        <w:rPr>
          <w:rFonts w:ascii="仿宋" w:hAnsi="仿宋" w:eastAsia="仿宋" w:cs="仿宋"/>
          <w:color w:val="auto"/>
          <w:sz w:val="24"/>
          <w:highlight w:val="none"/>
        </w:rPr>
      </w:pPr>
      <w:r>
        <w:rPr>
          <w:rFonts w:hint="eastAsia" w:ascii="仿宋" w:hAnsi="仿宋" w:eastAsia="仿宋" w:cs="仿宋"/>
          <w:color w:val="auto"/>
          <w:sz w:val="24"/>
          <w:highlight w:val="none"/>
        </w:rPr>
        <w:t>4.甲乙双方商定的其他必要文件。</w:t>
      </w:r>
    </w:p>
    <w:p>
      <w:pPr>
        <w:snapToGrid w:val="0"/>
        <w:spacing w:line="360" w:lineRule="auto"/>
        <w:ind w:firstLine="480" w:firstLineChars="200"/>
        <w:jc w:val="both"/>
        <w:rPr>
          <w:rFonts w:ascii="仿宋" w:hAnsi="仿宋" w:eastAsia="仿宋" w:cs="仿宋"/>
          <w:bCs/>
          <w:color w:val="auto"/>
          <w:sz w:val="24"/>
          <w:highlight w:val="none"/>
        </w:rPr>
      </w:pPr>
      <w:r>
        <w:rPr>
          <w:rFonts w:hint="eastAsia" w:ascii="仿宋" w:hAnsi="仿宋" w:eastAsia="仿宋" w:cs="仿宋"/>
          <w:bCs/>
          <w:color w:val="auto"/>
          <w:sz w:val="24"/>
          <w:highlight w:val="none"/>
        </w:rPr>
        <w:t>上述合同文件内容互为补充，如有不明确，由甲方负责解释。</w:t>
      </w:r>
    </w:p>
    <w:p>
      <w:pPr>
        <w:snapToGrid w:val="0"/>
        <w:spacing w:line="360" w:lineRule="auto"/>
        <w:jc w:val="both"/>
        <w:rPr>
          <w:rFonts w:ascii="仿宋" w:hAnsi="仿宋" w:eastAsia="仿宋" w:cs="仿宋"/>
          <w:b/>
          <w:color w:val="auto"/>
          <w:sz w:val="28"/>
          <w:szCs w:val="28"/>
          <w:highlight w:val="none"/>
        </w:rPr>
      </w:pPr>
      <w:bookmarkStart w:id="40" w:name="_Toc462068973"/>
      <w:bookmarkStart w:id="41" w:name="_Toc417386181"/>
      <w:r>
        <w:rPr>
          <w:rFonts w:hint="eastAsia" w:ascii="仿宋" w:hAnsi="仿宋" w:eastAsia="仿宋" w:cs="仿宋"/>
          <w:b/>
          <w:color w:val="auto"/>
          <w:sz w:val="28"/>
          <w:szCs w:val="28"/>
          <w:highlight w:val="none"/>
        </w:rPr>
        <w:t>九、合同备案</w:t>
      </w:r>
      <w:bookmarkEnd w:id="40"/>
      <w:bookmarkEnd w:id="41"/>
    </w:p>
    <w:p>
      <w:pPr>
        <w:snapToGrid w:val="0"/>
        <w:spacing w:line="360" w:lineRule="auto"/>
        <w:ind w:firstLine="480" w:firstLineChars="200"/>
        <w:jc w:val="both"/>
        <w:rPr>
          <w:rFonts w:ascii="仿宋" w:hAnsi="仿宋" w:eastAsia="仿宋" w:cs="仿宋"/>
          <w:color w:val="auto"/>
          <w:sz w:val="24"/>
          <w:highlight w:val="none"/>
        </w:rPr>
      </w:pPr>
      <w:r>
        <w:rPr>
          <w:rFonts w:hint="eastAsia" w:ascii="仿宋" w:hAnsi="仿宋" w:eastAsia="仿宋" w:cs="仿宋"/>
          <w:bCs/>
          <w:color w:val="auto"/>
          <w:sz w:val="24"/>
          <w:highlight w:val="none"/>
        </w:rPr>
        <w:t>本合同一式陆份，中文书写。甲方执叁份，乙方执贰份，招标代理机构执壹份。</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jc w:val="both"/>
        <w:rPr>
          <w:rFonts w:ascii="仿宋" w:hAnsi="仿宋" w:eastAsia="仿宋" w:cs="仿宋"/>
          <w:color w:val="auto"/>
          <w:sz w:val="24"/>
          <w:highlight w:val="none"/>
        </w:rPr>
      </w:pPr>
      <w:r>
        <w:rPr>
          <w:rFonts w:hint="eastAsia" w:ascii="仿宋" w:hAnsi="仿宋" w:eastAsia="仿宋" w:cs="仿宋"/>
          <w:b/>
          <w:color w:val="auto"/>
          <w:sz w:val="24"/>
          <w:highlight w:val="none"/>
        </w:rPr>
        <w:t>甲方：</w:t>
      </w:r>
      <w:r>
        <w:rPr>
          <w:rFonts w:hint="eastAsia" w:ascii="仿宋" w:hAnsi="仿宋" w:eastAsia="仿宋" w:cs="仿宋"/>
          <w:b/>
          <w:color w:val="auto"/>
          <w:sz w:val="24"/>
          <w:highlight w:val="none"/>
          <w:u w:val="single"/>
        </w:rPr>
        <w:t xml:space="preserve">                   （盖章）</w:t>
      </w:r>
      <w:r>
        <w:rPr>
          <w:rFonts w:hint="eastAsia" w:ascii="仿宋" w:hAnsi="仿宋" w:eastAsia="仿宋" w:cs="仿宋"/>
          <w:b/>
          <w:color w:val="auto"/>
          <w:sz w:val="24"/>
          <w:highlight w:val="none"/>
        </w:rPr>
        <w:t xml:space="preserve">      乙方：</w:t>
      </w:r>
      <w:r>
        <w:rPr>
          <w:rFonts w:hint="eastAsia" w:ascii="仿宋" w:hAnsi="仿宋" w:eastAsia="仿宋" w:cs="仿宋"/>
          <w:b/>
          <w:color w:val="auto"/>
          <w:sz w:val="24"/>
          <w:highlight w:val="none"/>
          <w:u w:val="single"/>
        </w:rPr>
        <w:t xml:space="preserve">                  （盖章）</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jc w:val="both"/>
        <w:rPr>
          <w:rFonts w:ascii="仿宋" w:hAnsi="仿宋" w:eastAsia="仿宋" w:cs="仿宋"/>
          <w:color w:val="auto"/>
          <w:sz w:val="24"/>
          <w:highlight w:val="none"/>
          <w:u w:val="single"/>
        </w:rPr>
      </w:pPr>
      <w:r>
        <w:rPr>
          <w:rFonts w:hint="eastAsia" w:ascii="仿宋" w:hAnsi="仿宋" w:eastAsia="仿宋" w:cs="仿宋"/>
          <w:color w:val="auto"/>
          <w:sz w:val="24"/>
          <w:highlight w:val="none"/>
        </w:rPr>
        <w:t>地址：      地址：</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jc w:val="both"/>
        <w:rPr>
          <w:rFonts w:ascii="仿宋" w:hAnsi="仿宋" w:eastAsia="仿宋" w:cs="仿宋"/>
          <w:color w:val="auto"/>
          <w:sz w:val="24"/>
          <w:highlight w:val="none"/>
          <w:u w:val="single"/>
        </w:rPr>
      </w:pPr>
      <w:r>
        <w:rPr>
          <w:rFonts w:hint="eastAsia" w:ascii="仿宋" w:hAnsi="仿宋" w:eastAsia="仿宋" w:cs="仿宋"/>
          <w:color w:val="auto"/>
          <w:sz w:val="24"/>
          <w:highlight w:val="none"/>
        </w:rPr>
        <w:t>法定（或授权）代表人：     法定（或授权）代表人：</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jc w:val="both"/>
        <w:rPr>
          <w:rFonts w:ascii="仿宋" w:hAnsi="仿宋" w:eastAsia="仿宋" w:cs="仿宋"/>
          <w:color w:val="auto"/>
          <w:sz w:val="24"/>
          <w:highlight w:val="none"/>
          <w:u w:val="single"/>
        </w:rPr>
      </w:pPr>
      <w:r>
        <w:rPr>
          <w:rFonts w:hint="eastAsia" w:ascii="仿宋" w:hAnsi="仿宋" w:eastAsia="仿宋" w:cs="仿宋"/>
          <w:color w:val="auto"/>
          <w:sz w:val="24"/>
          <w:highlight w:val="none"/>
        </w:rPr>
        <w:t>开户行：     开户行：</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jc w:val="both"/>
        <w:rPr>
          <w:rFonts w:ascii="仿宋" w:hAnsi="仿宋" w:eastAsia="仿宋" w:cs="仿宋"/>
          <w:color w:val="auto"/>
          <w:sz w:val="24"/>
          <w:highlight w:val="none"/>
        </w:rPr>
      </w:pPr>
      <w:r>
        <w:rPr>
          <w:rFonts w:hint="eastAsia" w:ascii="仿宋" w:hAnsi="仿宋" w:eastAsia="仿宋" w:cs="仿宋"/>
          <w:color w:val="auto"/>
          <w:sz w:val="24"/>
          <w:highlight w:val="none"/>
        </w:rPr>
        <w:t>户名：     户名：</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jc w:val="both"/>
        <w:rPr>
          <w:rFonts w:ascii="仿宋" w:hAnsi="仿宋" w:eastAsia="仿宋" w:cs="仿宋"/>
          <w:color w:val="auto"/>
          <w:sz w:val="24"/>
          <w:highlight w:val="none"/>
        </w:rPr>
      </w:pPr>
      <w:r>
        <w:rPr>
          <w:rFonts w:hint="eastAsia" w:ascii="仿宋" w:hAnsi="仿宋" w:eastAsia="仿宋" w:cs="仿宋"/>
          <w:color w:val="auto"/>
          <w:sz w:val="24"/>
          <w:highlight w:val="none"/>
        </w:rPr>
        <w:t>帐号：     帐号：</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jc w:val="both"/>
        <w:rPr>
          <w:rFonts w:ascii="仿宋" w:hAnsi="仿宋" w:eastAsia="仿宋" w:cs="仿宋"/>
          <w:b/>
          <w:color w:val="auto"/>
          <w:sz w:val="24"/>
          <w:highlight w:val="none"/>
        </w:rPr>
      </w:pPr>
      <w:r>
        <w:rPr>
          <w:rFonts w:hint="eastAsia" w:ascii="仿宋" w:hAnsi="仿宋" w:eastAsia="仿宋" w:cs="仿宋"/>
          <w:color w:val="auto"/>
          <w:sz w:val="24"/>
          <w:highlight w:val="none"/>
        </w:rPr>
        <w:t>年月日                   年月日</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72" w:firstLineChars="196"/>
        <w:jc w:val="both"/>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招标代理机构声明：本合同标的经海南政辉招投标代理有限公司依法定程序采购，合同主要条款内容与招投标文件的内容一致。</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both"/>
        <w:rPr>
          <w:rFonts w:ascii="仿宋" w:hAnsi="仿宋" w:eastAsia="仿宋" w:cs="仿宋"/>
          <w:b/>
          <w:color w:val="auto"/>
          <w:sz w:val="24"/>
          <w:szCs w:val="24"/>
          <w:highlight w:val="none"/>
          <w:u w:val="single"/>
        </w:rPr>
      </w:pPr>
      <w:r>
        <w:rPr>
          <w:rFonts w:hint="eastAsia" w:ascii="仿宋" w:hAnsi="仿宋" w:eastAsia="仿宋" w:cs="仿宋"/>
          <w:b/>
          <w:color w:val="auto"/>
          <w:sz w:val="24"/>
          <w:szCs w:val="24"/>
          <w:highlight w:val="none"/>
        </w:rPr>
        <w:t>招标代理机构：</w:t>
      </w:r>
      <w:r>
        <w:rPr>
          <w:rFonts w:hint="eastAsia" w:ascii="仿宋" w:hAnsi="仿宋" w:eastAsia="仿宋" w:cs="仿宋"/>
          <w:b/>
          <w:color w:val="auto"/>
          <w:sz w:val="24"/>
          <w:szCs w:val="24"/>
          <w:highlight w:val="none"/>
          <w:u w:val="single"/>
        </w:rPr>
        <w:t>海南政辉招投标代理有限公司（盖章）</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both"/>
        <w:rPr>
          <w:rFonts w:ascii="仿宋" w:hAnsi="仿宋" w:eastAsia="仿宋" w:cs="仿宋"/>
          <w:b/>
          <w:color w:val="auto"/>
          <w:sz w:val="44"/>
          <w:szCs w:val="44"/>
          <w:highlight w:val="none"/>
        </w:rPr>
      </w:pPr>
      <w:r>
        <w:rPr>
          <w:rFonts w:hint="eastAsia" w:ascii="仿宋" w:hAnsi="仿宋" w:eastAsia="仿宋" w:cs="仿宋"/>
          <w:color w:val="auto"/>
          <w:sz w:val="24"/>
          <w:szCs w:val="24"/>
          <w:highlight w:val="none"/>
        </w:rPr>
        <w:t>经办人：年月日</w:t>
      </w:r>
      <w:bookmarkStart w:id="42" w:name="_Toc264213366"/>
    </w:p>
    <w:p>
      <w:pPr>
        <w:snapToGrid w:val="0"/>
        <w:spacing w:line="360" w:lineRule="auto"/>
        <w:jc w:val="center"/>
        <w:outlineLvl w:val="0"/>
        <w:rPr>
          <w:rFonts w:ascii="仿宋" w:hAnsi="仿宋" w:eastAsia="仿宋" w:cs="仿宋"/>
          <w:b/>
          <w:color w:val="auto"/>
          <w:sz w:val="44"/>
          <w:szCs w:val="44"/>
          <w:highlight w:val="none"/>
        </w:rPr>
        <w:sectPr>
          <w:footerReference r:id="rId6" w:type="first"/>
          <w:footerReference r:id="rId5" w:type="default"/>
          <w:pgSz w:w="11906" w:h="16838"/>
          <w:pgMar w:top="1440" w:right="1365" w:bottom="1440" w:left="1501" w:header="851" w:footer="992" w:gutter="0"/>
          <w:pgBorders w:offsetFrom="page">
            <w:top w:val="single" w:color="auto" w:sz="4" w:space="24"/>
            <w:left w:val="single" w:color="auto" w:sz="4" w:space="24"/>
            <w:bottom w:val="single" w:color="auto" w:sz="4" w:space="24"/>
            <w:right w:val="single" w:color="auto" w:sz="4" w:space="24"/>
          </w:pgBorders>
          <w:pgNumType w:start="1"/>
          <w:cols w:space="720" w:num="1"/>
          <w:titlePg/>
          <w:docGrid w:linePitch="312" w:charSpace="0"/>
        </w:sectPr>
      </w:pPr>
    </w:p>
    <w:p>
      <w:pPr>
        <w:snapToGrid w:val="0"/>
        <w:spacing w:line="360" w:lineRule="auto"/>
        <w:jc w:val="center"/>
        <w:outlineLvl w:val="0"/>
        <w:rPr>
          <w:rFonts w:ascii="仿宋" w:hAnsi="仿宋" w:eastAsia="仿宋" w:cs="仿宋"/>
          <w:b/>
          <w:color w:val="auto"/>
          <w:sz w:val="44"/>
          <w:szCs w:val="44"/>
          <w:highlight w:val="none"/>
        </w:rPr>
      </w:pPr>
      <w:bookmarkStart w:id="43" w:name="_Toc17892"/>
      <w:r>
        <w:rPr>
          <w:rFonts w:hint="eastAsia" w:ascii="仿宋" w:hAnsi="仿宋" w:eastAsia="仿宋" w:cs="仿宋"/>
          <w:b/>
          <w:color w:val="auto"/>
          <w:sz w:val="44"/>
          <w:szCs w:val="44"/>
          <w:highlight w:val="none"/>
        </w:rPr>
        <w:t xml:space="preserve">第五章 </w:t>
      </w:r>
      <w:bookmarkEnd w:id="42"/>
      <w:r>
        <w:rPr>
          <w:rFonts w:hint="eastAsia" w:ascii="仿宋" w:hAnsi="仿宋" w:eastAsia="仿宋" w:cs="仿宋"/>
          <w:b/>
          <w:color w:val="auto"/>
          <w:sz w:val="44"/>
          <w:szCs w:val="44"/>
          <w:highlight w:val="none"/>
        </w:rPr>
        <w:t>投标文件和格式（参考）</w:t>
      </w:r>
      <w:bookmarkEnd w:id="43"/>
    </w:p>
    <w:p>
      <w:pPr>
        <w:pStyle w:val="12"/>
        <w:spacing w:line="360" w:lineRule="auto"/>
        <w:ind w:right="482"/>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1、价格部分</w:t>
      </w:r>
    </w:p>
    <w:p>
      <w:pPr>
        <w:pStyle w:val="12"/>
        <w:spacing w:line="360" w:lineRule="auto"/>
        <w:ind w:right="482"/>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1.1、开标一览表</w:t>
      </w:r>
    </w:p>
    <w:p>
      <w:pPr>
        <w:pStyle w:val="12"/>
        <w:spacing w:line="360" w:lineRule="auto"/>
        <w:ind w:right="482"/>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1.2、报价明细表</w:t>
      </w:r>
    </w:p>
    <w:p>
      <w:pPr>
        <w:pStyle w:val="12"/>
        <w:spacing w:line="360" w:lineRule="auto"/>
        <w:ind w:right="482"/>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2、资格性文件</w:t>
      </w:r>
    </w:p>
    <w:p>
      <w:pPr>
        <w:pStyle w:val="12"/>
        <w:spacing w:line="360" w:lineRule="auto"/>
        <w:ind w:right="482"/>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2.1、符合“第一章投标人资格要求”</w:t>
      </w:r>
    </w:p>
    <w:p>
      <w:pPr>
        <w:pStyle w:val="12"/>
        <w:spacing w:line="360" w:lineRule="auto"/>
        <w:ind w:right="482"/>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3、符合性文件</w:t>
      </w:r>
    </w:p>
    <w:p>
      <w:pPr>
        <w:snapToGrid w:val="0"/>
        <w:spacing w:line="360" w:lineRule="auto"/>
        <w:ind w:firstLine="403"/>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3.1、法定代表人身份证明书</w:t>
      </w:r>
    </w:p>
    <w:p>
      <w:pPr>
        <w:snapToGrid w:val="0"/>
        <w:spacing w:line="360" w:lineRule="auto"/>
        <w:ind w:firstLine="403"/>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3.2、法定代表人授权书</w:t>
      </w:r>
    </w:p>
    <w:p>
      <w:pPr>
        <w:snapToGrid w:val="0"/>
        <w:spacing w:line="360" w:lineRule="auto"/>
        <w:ind w:firstLine="403"/>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3.3、提供投标保证金交纳凭证复印件</w:t>
      </w:r>
    </w:p>
    <w:p>
      <w:pPr>
        <w:snapToGrid w:val="0"/>
        <w:spacing w:line="360" w:lineRule="auto"/>
        <w:ind w:firstLine="403"/>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3.4、投标人认为需要提供的其他符合性文件（如有）</w:t>
      </w:r>
    </w:p>
    <w:p>
      <w:pPr>
        <w:pStyle w:val="12"/>
        <w:spacing w:line="360" w:lineRule="auto"/>
        <w:ind w:right="482"/>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4、技术部分</w:t>
      </w:r>
    </w:p>
    <w:p>
      <w:pPr>
        <w:pStyle w:val="12"/>
        <w:spacing w:line="360" w:lineRule="auto"/>
        <w:ind w:right="482"/>
        <w:rPr>
          <w:rFonts w:ascii="仿宋" w:hAnsi="仿宋" w:eastAsia="仿宋" w:cs="仿宋"/>
          <w:color w:val="auto"/>
          <w:sz w:val="24"/>
          <w:highlight w:val="none"/>
        </w:rPr>
      </w:pPr>
      <w:r>
        <w:rPr>
          <w:rFonts w:hint="eastAsia" w:ascii="仿宋" w:hAnsi="仿宋" w:eastAsia="仿宋" w:cs="仿宋"/>
          <w:color w:val="auto"/>
          <w:sz w:val="24"/>
          <w:highlight w:val="none"/>
        </w:rPr>
        <w:t>4.1技术要求响应表</w:t>
      </w:r>
    </w:p>
    <w:p>
      <w:pPr>
        <w:pStyle w:val="12"/>
        <w:spacing w:line="360" w:lineRule="auto"/>
        <w:ind w:right="482"/>
        <w:rPr>
          <w:rFonts w:ascii="仿宋" w:hAnsi="仿宋" w:eastAsia="仿宋" w:cs="仿宋"/>
          <w:color w:val="auto"/>
          <w:sz w:val="24"/>
          <w:highlight w:val="none"/>
        </w:rPr>
      </w:pPr>
      <w:r>
        <w:rPr>
          <w:rFonts w:hint="eastAsia" w:ascii="仿宋" w:hAnsi="仿宋" w:eastAsia="仿宋" w:cs="仿宋"/>
          <w:color w:val="auto"/>
          <w:sz w:val="24"/>
          <w:highlight w:val="none"/>
        </w:rPr>
        <w:t>4.2其他技术证明材料</w:t>
      </w:r>
    </w:p>
    <w:p>
      <w:pPr>
        <w:pStyle w:val="12"/>
        <w:numPr>
          <w:ilvl w:val="0"/>
          <w:numId w:val="5"/>
        </w:numPr>
        <w:spacing w:line="360" w:lineRule="auto"/>
        <w:ind w:right="482"/>
        <w:rPr>
          <w:rFonts w:ascii="仿宋" w:hAnsi="仿宋" w:eastAsia="仿宋" w:cs="仿宋"/>
          <w:b/>
          <w:bCs/>
          <w:color w:val="auto"/>
          <w:sz w:val="24"/>
          <w:highlight w:val="none"/>
        </w:rPr>
      </w:pPr>
      <w:r>
        <w:rPr>
          <w:rFonts w:hint="eastAsia" w:ascii="仿宋" w:hAnsi="仿宋" w:eastAsia="仿宋" w:cs="仿宋"/>
          <w:b/>
          <w:bCs/>
          <w:color w:val="auto"/>
          <w:sz w:val="24"/>
          <w:highlight w:val="none"/>
        </w:rPr>
        <w:t>其他部分（选择提供）</w:t>
      </w:r>
    </w:p>
    <w:p>
      <w:pPr>
        <w:snapToGrid w:val="0"/>
        <w:spacing w:line="360" w:lineRule="auto"/>
        <w:ind w:firstLine="403"/>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5.1、中小企业（监狱企业）声明函（如有）</w:t>
      </w:r>
    </w:p>
    <w:p>
      <w:pPr>
        <w:snapToGrid w:val="0"/>
        <w:spacing w:line="360" w:lineRule="auto"/>
        <w:ind w:firstLine="403"/>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5.2、残疾人福利性单位声明函（如有）</w:t>
      </w:r>
    </w:p>
    <w:p>
      <w:pPr>
        <w:snapToGrid w:val="0"/>
        <w:spacing w:line="360" w:lineRule="auto"/>
        <w:ind w:firstLine="403"/>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5.3、其他资料（如有）</w:t>
      </w:r>
    </w:p>
    <w:p>
      <w:pPr>
        <w:pStyle w:val="12"/>
        <w:ind w:right="482"/>
        <w:jc w:val="center"/>
        <w:rPr>
          <w:rFonts w:ascii="仿宋" w:hAnsi="仿宋" w:eastAsia="仿宋" w:cs="仿宋"/>
          <w:b/>
          <w:color w:val="auto"/>
          <w:sz w:val="48"/>
          <w:szCs w:val="48"/>
          <w:highlight w:val="none"/>
        </w:rPr>
      </w:pPr>
      <w:r>
        <w:rPr>
          <w:rFonts w:hint="eastAsia" w:ascii="仿宋" w:hAnsi="仿宋" w:eastAsia="仿宋" w:cs="仿宋"/>
          <w:color w:val="auto"/>
          <w:sz w:val="24"/>
          <w:highlight w:val="none"/>
        </w:rPr>
        <w:br w:type="page"/>
      </w:r>
      <w:bookmarkStart w:id="44" w:name="_Toc264213368"/>
      <w:bookmarkStart w:id="45" w:name="_Toc171325099"/>
      <w:bookmarkStart w:id="46" w:name="_Toc264213369"/>
      <w:r>
        <w:rPr>
          <w:rFonts w:hint="eastAsia" w:ascii="仿宋" w:hAnsi="仿宋" w:eastAsia="仿宋" w:cs="仿宋"/>
          <w:b/>
          <w:color w:val="auto"/>
          <w:sz w:val="32"/>
          <w:szCs w:val="32"/>
          <w:highlight w:val="none"/>
        </w:rPr>
        <w:t>1、开标一览表</w:t>
      </w:r>
    </w:p>
    <w:p>
      <w:pPr>
        <w:pStyle w:val="12"/>
        <w:spacing w:line="440" w:lineRule="exact"/>
        <w:ind w:firstLine="240" w:firstLineChars="1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项目名称：</w:t>
      </w:r>
    </w:p>
    <w:p>
      <w:pPr>
        <w:rPr>
          <w:rFonts w:ascii="仿宋" w:hAnsi="仿宋" w:eastAsia="仿宋" w:cs="仿宋"/>
          <w:color w:val="auto"/>
          <w:sz w:val="24"/>
          <w:highlight w:val="none"/>
        </w:rPr>
      </w:pPr>
      <w:r>
        <w:rPr>
          <w:rFonts w:hint="eastAsia" w:ascii="仿宋" w:hAnsi="仿宋" w:eastAsia="仿宋" w:cs="仿宋"/>
          <w:color w:val="auto"/>
          <w:sz w:val="24"/>
          <w:highlight w:val="none"/>
        </w:rPr>
        <w:t>招标编号：</w:t>
      </w:r>
    </w:p>
    <w:p>
      <w:pPr>
        <w:jc w:val="right"/>
        <w:rPr>
          <w:rFonts w:ascii="仿宋" w:hAnsi="仿宋" w:eastAsia="仿宋" w:cs="仿宋"/>
          <w:color w:val="auto"/>
          <w:sz w:val="24"/>
          <w:highlight w:val="none"/>
        </w:rPr>
      </w:pPr>
      <w:r>
        <w:rPr>
          <w:rFonts w:hint="eastAsia" w:ascii="仿宋" w:hAnsi="仿宋" w:eastAsia="仿宋" w:cs="仿宋"/>
          <w:color w:val="auto"/>
          <w:sz w:val="24"/>
          <w:highlight w:val="none"/>
        </w:rPr>
        <w:t xml:space="preserve"> 金额单位：元</w:t>
      </w:r>
    </w:p>
    <w:p>
      <w:pPr>
        <w:jc w:val="right"/>
        <w:rPr>
          <w:rFonts w:ascii="仿宋" w:hAnsi="仿宋" w:eastAsia="仿宋" w:cs="仿宋"/>
          <w:color w:val="auto"/>
          <w:sz w:val="24"/>
          <w:highlight w:val="none"/>
        </w:rPr>
      </w:pPr>
    </w:p>
    <w:tbl>
      <w:tblPr>
        <w:tblStyle w:val="43"/>
        <w:tblW w:w="0" w:type="auto"/>
        <w:jc w:val="center"/>
        <w:tblLayout w:type="fixed"/>
        <w:tblCellMar>
          <w:top w:w="0" w:type="dxa"/>
          <w:left w:w="30" w:type="dxa"/>
          <w:bottom w:w="0" w:type="dxa"/>
          <w:right w:w="30" w:type="dxa"/>
        </w:tblCellMar>
      </w:tblPr>
      <w:tblGrid>
        <w:gridCol w:w="804"/>
        <w:gridCol w:w="3546"/>
        <w:gridCol w:w="2160"/>
        <w:gridCol w:w="1440"/>
        <w:gridCol w:w="722"/>
      </w:tblGrid>
      <w:tr>
        <w:tblPrEx>
          <w:tblCellMar>
            <w:top w:w="0" w:type="dxa"/>
            <w:left w:w="30" w:type="dxa"/>
            <w:bottom w:w="0" w:type="dxa"/>
            <w:right w:w="30" w:type="dxa"/>
          </w:tblCellMar>
        </w:tblPrEx>
        <w:trPr>
          <w:trHeight w:val="788" w:hRule="exact"/>
          <w:jc w:val="center"/>
        </w:trPr>
        <w:tc>
          <w:tcPr>
            <w:tcW w:w="80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仿宋"/>
                <w:b/>
                <w:color w:val="auto"/>
                <w:sz w:val="24"/>
                <w:szCs w:val="21"/>
                <w:highlight w:val="none"/>
              </w:rPr>
            </w:pPr>
            <w:r>
              <w:rPr>
                <w:rFonts w:hint="eastAsia" w:ascii="仿宋" w:hAnsi="仿宋" w:eastAsia="仿宋" w:cs="仿宋"/>
                <w:b/>
                <w:color w:val="auto"/>
                <w:sz w:val="24"/>
                <w:szCs w:val="21"/>
                <w:highlight w:val="none"/>
              </w:rPr>
              <w:t>序号</w:t>
            </w:r>
          </w:p>
        </w:tc>
        <w:tc>
          <w:tcPr>
            <w:tcW w:w="3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仿宋"/>
                <w:b/>
                <w:color w:val="auto"/>
                <w:sz w:val="24"/>
                <w:szCs w:val="21"/>
                <w:highlight w:val="none"/>
              </w:rPr>
            </w:pPr>
            <w:r>
              <w:rPr>
                <w:rFonts w:hint="eastAsia" w:ascii="仿宋" w:hAnsi="仿宋" w:eastAsia="仿宋" w:cs="仿宋"/>
                <w:b/>
                <w:color w:val="auto"/>
                <w:sz w:val="24"/>
                <w:szCs w:val="21"/>
                <w:highlight w:val="none"/>
              </w:rPr>
              <w:t>内容</w:t>
            </w:r>
          </w:p>
        </w:tc>
        <w:tc>
          <w:tcPr>
            <w:tcW w:w="21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仿宋"/>
                <w:b/>
                <w:color w:val="auto"/>
                <w:sz w:val="24"/>
                <w:szCs w:val="21"/>
                <w:highlight w:val="none"/>
              </w:rPr>
            </w:pPr>
            <w:r>
              <w:rPr>
                <w:rFonts w:hint="eastAsia" w:ascii="仿宋" w:hAnsi="仿宋" w:eastAsia="仿宋" w:cs="仿宋"/>
                <w:b/>
                <w:color w:val="auto"/>
                <w:sz w:val="24"/>
                <w:szCs w:val="21"/>
                <w:highlight w:val="none"/>
              </w:rPr>
              <w:t>合计价格</w:t>
            </w:r>
          </w:p>
          <w:p>
            <w:pPr>
              <w:autoSpaceDE w:val="0"/>
              <w:autoSpaceDN w:val="0"/>
              <w:adjustRightInd w:val="0"/>
              <w:jc w:val="center"/>
              <w:rPr>
                <w:rFonts w:ascii="仿宋" w:hAnsi="仿宋" w:eastAsia="仿宋" w:cs="仿宋"/>
                <w:b/>
                <w:color w:val="auto"/>
                <w:sz w:val="24"/>
                <w:szCs w:val="21"/>
                <w:highlight w:val="none"/>
              </w:rPr>
            </w:pPr>
            <w:r>
              <w:rPr>
                <w:rFonts w:hint="eastAsia" w:ascii="仿宋" w:hAnsi="仿宋" w:eastAsia="仿宋" w:cs="仿宋"/>
                <w:color w:val="auto"/>
                <w:sz w:val="24"/>
                <w:szCs w:val="21"/>
                <w:highlight w:val="none"/>
              </w:rPr>
              <w:t>（金额单位：元）</w:t>
            </w:r>
          </w:p>
        </w:tc>
        <w:tc>
          <w:tcPr>
            <w:tcW w:w="14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仿宋"/>
                <w:b/>
                <w:color w:val="auto"/>
                <w:sz w:val="24"/>
                <w:szCs w:val="21"/>
                <w:highlight w:val="none"/>
              </w:rPr>
            </w:pPr>
            <w:r>
              <w:rPr>
                <w:rFonts w:hint="eastAsia" w:ascii="仿宋" w:hAnsi="仿宋" w:eastAsia="仿宋" w:cs="仿宋"/>
                <w:b/>
                <w:color w:val="auto"/>
                <w:sz w:val="24"/>
                <w:szCs w:val="21"/>
                <w:highlight w:val="none"/>
              </w:rPr>
              <w:t>交货期</w:t>
            </w:r>
          </w:p>
        </w:tc>
        <w:tc>
          <w:tcPr>
            <w:tcW w:w="7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仿宋"/>
                <w:b/>
                <w:color w:val="auto"/>
                <w:sz w:val="24"/>
                <w:szCs w:val="21"/>
                <w:highlight w:val="none"/>
              </w:rPr>
            </w:pPr>
            <w:r>
              <w:rPr>
                <w:rFonts w:hint="eastAsia" w:ascii="仿宋" w:hAnsi="仿宋" w:eastAsia="仿宋" w:cs="仿宋"/>
                <w:b/>
                <w:color w:val="auto"/>
                <w:sz w:val="24"/>
                <w:szCs w:val="21"/>
                <w:highlight w:val="none"/>
              </w:rPr>
              <w:t>备注</w:t>
            </w:r>
          </w:p>
        </w:tc>
      </w:tr>
      <w:tr>
        <w:tblPrEx>
          <w:tblCellMar>
            <w:top w:w="0" w:type="dxa"/>
            <w:left w:w="30" w:type="dxa"/>
            <w:bottom w:w="0" w:type="dxa"/>
            <w:right w:w="30" w:type="dxa"/>
          </w:tblCellMar>
        </w:tblPrEx>
        <w:trPr>
          <w:trHeight w:val="506" w:hRule="exact"/>
          <w:jc w:val="center"/>
        </w:trPr>
        <w:tc>
          <w:tcPr>
            <w:tcW w:w="80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仿宋"/>
                <w:color w:val="auto"/>
                <w:sz w:val="24"/>
                <w:szCs w:val="21"/>
                <w:highlight w:val="none"/>
              </w:rPr>
            </w:pPr>
            <w:r>
              <w:rPr>
                <w:rFonts w:hint="eastAsia" w:ascii="仿宋" w:hAnsi="仿宋" w:eastAsia="仿宋" w:cs="仿宋"/>
                <w:color w:val="auto"/>
                <w:sz w:val="24"/>
                <w:szCs w:val="21"/>
                <w:highlight w:val="none"/>
              </w:rPr>
              <w:t>1</w:t>
            </w:r>
          </w:p>
        </w:tc>
        <w:tc>
          <w:tcPr>
            <w:tcW w:w="3546"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szCs w:val="21"/>
                <w:highlight w:val="none"/>
              </w:rPr>
              <w:t>……</w:t>
            </w:r>
          </w:p>
        </w:tc>
        <w:tc>
          <w:tcPr>
            <w:tcW w:w="21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仿宋"/>
                <w:color w:val="auto"/>
                <w:sz w:val="24"/>
                <w:szCs w:val="21"/>
                <w:highlight w:val="none"/>
              </w:rPr>
            </w:pPr>
          </w:p>
        </w:tc>
        <w:tc>
          <w:tcPr>
            <w:tcW w:w="144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color w:val="auto"/>
                <w:sz w:val="24"/>
                <w:szCs w:val="21"/>
                <w:highlight w:val="none"/>
              </w:rPr>
            </w:pPr>
          </w:p>
        </w:tc>
        <w:tc>
          <w:tcPr>
            <w:tcW w:w="722"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color w:val="auto"/>
                <w:sz w:val="24"/>
                <w:szCs w:val="21"/>
                <w:highlight w:val="none"/>
              </w:rPr>
            </w:pPr>
          </w:p>
        </w:tc>
      </w:tr>
      <w:tr>
        <w:tblPrEx>
          <w:tblCellMar>
            <w:top w:w="0" w:type="dxa"/>
            <w:left w:w="30" w:type="dxa"/>
            <w:bottom w:w="0" w:type="dxa"/>
            <w:right w:w="30" w:type="dxa"/>
          </w:tblCellMar>
        </w:tblPrEx>
        <w:trPr>
          <w:trHeight w:val="735" w:hRule="exact"/>
          <w:jc w:val="center"/>
        </w:trPr>
        <w:tc>
          <w:tcPr>
            <w:tcW w:w="80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仿宋"/>
                <w:color w:val="auto"/>
                <w:sz w:val="24"/>
                <w:szCs w:val="21"/>
                <w:highlight w:val="none"/>
              </w:rPr>
            </w:pPr>
            <w:r>
              <w:rPr>
                <w:rFonts w:hint="eastAsia" w:ascii="仿宋" w:hAnsi="仿宋" w:eastAsia="仿宋" w:cs="仿宋"/>
                <w:color w:val="auto"/>
                <w:sz w:val="24"/>
                <w:szCs w:val="21"/>
                <w:highlight w:val="none"/>
              </w:rPr>
              <w:t>2</w:t>
            </w:r>
          </w:p>
        </w:tc>
        <w:tc>
          <w:tcPr>
            <w:tcW w:w="3546"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color w:val="auto"/>
                <w:sz w:val="24"/>
                <w:szCs w:val="21"/>
                <w:highlight w:val="none"/>
              </w:rPr>
            </w:pPr>
            <w:r>
              <w:rPr>
                <w:rFonts w:hint="eastAsia" w:ascii="仿宋" w:hAnsi="仿宋" w:eastAsia="仿宋" w:cs="仿宋"/>
                <w:color w:val="auto"/>
                <w:sz w:val="24"/>
                <w:highlight w:val="none"/>
              </w:rPr>
              <w:t>……</w:t>
            </w:r>
          </w:p>
        </w:tc>
        <w:tc>
          <w:tcPr>
            <w:tcW w:w="21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仿宋"/>
                <w:color w:val="auto"/>
                <w:sz w:val="24"/>
                <w:szCs w:val="21"/>
                <w:highlight w:val="none"/>
              </w:rPr>
            </w:pPr>
          </w:p>
        </w:tc>
        <w:tc>
          <w:tcPr>
            <w:tcW w:w="144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color w:val="auto"/>
                <w:sz w:val="24"/>
                <w:szCs w:val="21"/>
                <w:highlight w:val="none"/>
              </w:rPr>
            </w:pPr>
          </w:p>
        </w:tc>
        <w:tc>
          <w:tcPr>
            <w:tcW w:w="722"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color w:val="auto"/>
                <w:sz w:val="24"/>
                <w:szCs w:val="21"/>
                <w:highlight w:val="none"/>
              </w:rPr>
            </w:pPr>
          </w:p>
        </w:tc>
      </w:tr>
      <w:tr>
        <w:tblPrEx>
          <w:tblCellMar>
            <w:top w:w="0" w:type="dxa"/>
            <w:left w:w="30" w:type="dxa"/>
            <w:bottom w:w="0" w:type="dxa"/>
            <w:right w:w="30" w:type="dxa"/>
          </w:tblCellMar>
        </w:tblPrEx>
        <w:trPr>
          <w:trHeight w:val="735" w:hRule="exact"/>
          <w:jc w:val="center"/>
        </w:trPr>
        <w:tc>
          <w:tcPr>
            <w:tcW w:w="80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仿宋"/>
                <w:color w:val="auto"/>
                <w:sz w:val="24"/>
                <w:szCs w:val="21"/>
                <w:highlight w:val="none"/>
              </w:rPr>
            </w:pPr>
            <w:r>
              <w:rPr>
                <w:rFonts w:hint="eastAsia" w:ascii="仿宋" w:hAnsi="仿宋" w:eastAsia="仿宋" w:cs="仿宋"/>
                <w:color w:val="auto"/>
                <w:sz w:val="24"/>
                <w:szCs w:val="21"/>
                <w:highlight w:val="none"/>
              </w:rPr>
              <w:t>3</w:t>
            </w:r>
          </w:p>
        </w:tc>
        <w:tc>
          <w:tcPr>
            <w:tcW w:w="3546" w:type="dxa"/>
            <w:tcBorders>
              <w:top w:val="single" w:color="auto" w:sz="6" w:space="0"/>
              <w:left w:val="single" w:color="auto" w:sz="6" w:space="0"/>
              <w:bottom w:val="single" w:color="auto" w:sz="6" w:space="0"/>
              <w:right w:val="single" w:color="auto" w:sz="6" w:space="0"/>
            </w:tcBorders>
            <w:vAlign w:val="center"/>
          </w:tcPr>
          <w:p>
            <w:pPr>
              <w:widowControl w:val="0"/>
              <w:spacing w:line="30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w:t>
            </w:r>
          </w:p>
        </w:tc>
        <w:tc>
          <w:tcPr>
            <w:tcW w:w="21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仿宋"/>
                <w:color w:val="auto"/>
                <w:sz w:val="24"/>
                <w:szCs w:val="21"/>
                <w:highlight w:val="none"/>
              </w:rPr>
            </w:pPr>
          </w:p>
        </w:tc>
        <w:tc>
          <w:tcPr>
            <w:tcW w:w="144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color w:val="auto"/>
                <w:sz w:val="24"/>
                <w:szCs w:val="21"/>
                <w:highlight w:val="none"/>
              </w:rPr>
            </w:pPr>
          </w:p>
        </w:tc>
        <w:tc>
          <w:tcPr>
            <w:tcW w:w="722"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color w:val="auto"/>
                <w:sz w:val="24"/>
                <w:szCs w:val="21"/>
                <w:highlight w:val="none"/>
              </w:rPr>
            </w:pPr>
          </w:p>
        </w:tc>
      </w:tr>
      <w:tr>
        <w:tblPrEx>
          <w:tblCellMar>
            <w:top w:w="0" w:type="dxa"/>
            <w:left w:w="30" w:type="dxa"/>
            <w:bottom w:w="0" w:type="dxa"/>
            <w:right w:w="30" w:type="dxa"/>
          </w:tblCellMar>
        </w:tblPrEx>
        <w:trPr>
          <w:trHeight w:val="474" w:hRule="exact"/>
          <w:jc w:val="center"/>
        </w:trPr>
        <w:tc>
          <w:tcPr>
            <w:tcW w:w="80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仿宋"/>
                <w:color w:val="auto"/>
                <w:sz w:val="24"/>
                <w:szCs w:val="21"/>
                <w:highlight w:val="none"/>
              </w:rPr>
            </w:pPr>
          </w:p>
        </w:tc>
        <w:tc>
          <w:tcPr>
            <w:tcW w:w="3546" w:type="dxa"/>
            <w:tcBorders>
              <w:top w:val="single" w:color="auto" w:sz="6" w:space="0"/>
              <w:left w:val="single" w:color="auto" w:sz="6" w:space="0"/>
              <w:bottom w:val="single" w:color="auto" w:sz="6" w:space="0"/>
              <w:right w:val="single" w:color="auto" w:sz="6" w:space="0"/>
            </w:tcBorders>
            <w:vAlign w:val="center"/>
          </w:tcPr>
          <w:p>
            <w:pPr>
              <w:widowControl w:val="0"/>
              <w:spacing w:line="300" w:lineRule="auto"/>
              <w:jc w:val="center"/>
              <w:rPr>
                <w:rFonts w:ascii="仿宋" w:hAnsi="仿宋" w:eastAsia="仿宋" w:cs="仿宋"/>
                <w:color w:val="auto"/>
                <w:sz w:val="24"/>
                <w:highlight w:val="none"/>
              </w:rPr>
            </w:pPr>
          </w:p>
        </w:tc>
        <w:tc>
          <w:tcPr>
            <w:tcW w:w="2160"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jc w:val="center"/>
              <w:rPr>
                <w:rFonts w:ascii="仿宋" w:hAnsi="仿宋" w:eastAsia="仿宋" w:cs="仿宋"/>
                <w:color w:val="auto"/>
                <w:sz w:val="24"/>
                <w:szCs w:val="21"/>
                <w:highlight w:val="none"/>
              </w:rPr>
            </w:pPr>
          </w:p>
        </w:tc>
        <w:tc>
          <w:tcPr>
            <w:tcW w:w="1440" w:type="dxa"/>
            <w:tcBorders>
              <w:top w:val="single" w:color="auto" w:sz="6" w:space="0"/>
              <w:left w:val="single" w:color="auto" w:sz="6" w:space="0"/>
              <w:bottom w:val="single" w:color="auto" w:sz="4" w:space="0"/>
              <w:right w:val="single" w:color="auto" w:sz="6" w:space="0"/>
            </w:tcBorders>
            <w:vAlign w:val="center"/>
          </w:tcPr>
          <w:p>
            <w:pPr>
              <w:jc w:val="center"/>
              <w:rPr>
                <w:rFonts w:ascii="仿宋" w:hAnsi="仿宋" w:eastAsia="仿宋" w:cs="仿宋"/>
                <w:color w:val="auto"/>
                <w:sz w:val="24"/>
                <w:szCs w:val="21"/>
                <w:highlight w:val="none"/>
              </w:rPr>
            </w:pPr>
          </w:p>
        </w:tc>
        <w:tc>
          <w:tcPr>
            <w:tcW w:w="722"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jc w:val="center"/>
              <w:rPr>
                <w:rFonts w:ascii="仿宋" w:hAnsi="仿宋" w:eastAsia="仿宋" w:cs="仿宋"/>
                <w:color w:val="auto"/>
                <w:sz w:val="24"/>
                <w:szCs w:val="21"/>
                <w:highlight w:val="none"/>
              </w:rPr>
            </w:pPr>
          </w:p>
        </w:tc>
      </w:tr>
      <w:tr>
        <w:tblPrEx>
          <w:tblCellMar>
            <w:top w:w="0" w:type="dxa"/>
            <w:left w:w="30" w:type="dxa"/>
            <w:bottom w:w="0" w:type="dxa"/>
            <w:right w:w="30" w:type="dxa"/>
          </w:tblCellMar>
        </w:tblPrEx>
        <w:trPr>
          <w:cantSplit/>
          <w:trHeight w:val="540" w:hRule="exact"/>
          <w:jc w:val="center"/>
        </w:trPr>
        <w:tc>
          <w:tcPr>
            <w:tcW w:w="4350" w:type="dxa"/>
            <w:gridSpan w:val="2"/>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 w:hAnsi="仿宋" w:eastAsia="仿宋" w:cs="仿宋"/>
                <w:color w:val="auto"/>
                <w:sz w:val="24"/>
                <w:szCs w:val="21"/>
                <w:highlight w:val="none"/>
              </w:rPr>
            </w:pPr>
            <w:r>
              <w:rPr>
                <w:rFonts w:hint="eastAsia" w:ascii="仿宋" w:hAnsi="仿宋" w:eastAsia="仿宋" w:cs="仿宋"/>
                <w:b/>
                <w:color w:val="auto"/>
                <w:sz w:val="24"/>
                <w:szCs w:val="21"/>
                <w:highlight w:val="none"/>
              </w:rPr>
              <w:t>本项目投标总报价（大小写一致）</w:t>
            </w:r>
          </w:p>
        </w:tc>
        <w:tc>
          <w:tcPr>
            <w:tcW w:w="4322" w:type="dxa"/>
            <w:gridSpan w:val="3"/>
            <w:tcBorders>
              <w:top w:val="single" w:color="auto" w:sz="6" w:space="0"/>
              <w:left w:val="single" w:color="auto" w:sz="6" w:space="0"/>
              <w:bottom w:val="single" w:color="auto" w:sz="6" w:space="0"/>
              <w:right w:val="single" w:color="auto" w:sz="6" w:space="0"/>
            </w:tcBorders>
            <w:vAlign w:val="center"/>
          </w:tcPr>
          <w:p>
            <w:pPr>
              <w:jc w:val="both"/>
              <w:rPr>
                <w:rFonts w:ascii="仿宋" w:hAnsi="仿宋" w:eastAsia="仿宋" w:cs="仿宋"/>
                <w:color w:val="auto"/>
                <w:sz w:val="24"/>
                <w:szCs w:val="21"/>
                <w:highlight w:val="none"/>
              </w:rPr>
            </w:pPr>
            <w:r>
              <w:rPr>
                <w:rFonts w:hint="eastAsia" w:ascii="仿宋" w:hAnsi="仿宋" w:eastAsia="仿宋" w:cs="仿宋"/>
                <w:b/>
                <w:color w:val="auto"/>
                <w:sz w:val="24"/>
                <w:szCs w:val="21"/>
                <w:highlight w:val="none"/>
              </w:rPr>
              <w:t>（小写）：</w:t>
            </w:r>
          </w:p>
        </w:tc>
      </w:tr>
      <w:tr>
        <w:tblPrEx>
          <w:tblCellMar>
            <w:top w:w="0" w:type="dxa"/>
            <w:left w:w="30" w:type="dxa"/>
            <w:bottom w:w="0" w:type="dxa"/>
            <w:right w:w="30" w:type="dxa"/>
          </w:tblCellMar>
        </w:tblPrEx>
        <w:trPr>
          <w:cantSplit/>
          <w:trHeight w:val="615" w:hRule="exact"/>
          <w:jc w:val="center"/>
        </w:trPr>
        <w:tc>
          <w:tcPr>
            <w:tcW w:w="4350" w:type="dxa"/>
            <w:gridSpan w:val="2"/>
            <w:vMerge w:val="continue"/>
            <w:tcBorders>
              <w:left w:val="single" w:color="auto" w:sz="6" w:space="0"/>
              <w:bottom w:val="single" w:color="auto" w:sz="4" w:space="0"/>
              <w:right w:val="single" w:color="auto" w:sz="6" w:space="0"/>
            </w:tcBorders>
            <w:vAlign w:val="center"/>
          </w:tcPr>
          <w:p>
            <w:pPr>
              <w:autoSpaceDE w:val="0"/>
              <w:autoSpaceDN w:val="0"/>
              <w:adjustRightInd w:val="0"/>
              <w:jc w:val="center"/>
              <w:rPr>
                <w:rFonts w:ascii="仿宋" w:hAnsi="仿宋" w:eastAsia="仿宋" w:cs="仿宋"/>
                <w:color w:val="auto"/>
                <w:sz w:val="24"/>
                <w:szCs w:val="21"/>
                <w:highlight w:val="none"/>
              </w:rPr>
            </w:pPr>
          </w:p>
        </w:tc>
        <w:tc>
          <w:tcPr>
            <w:tcW w:w="4322" w:type="dxa"/>
            <w:gridSpan w:val="3"/>
            <w:tcBorders>
              <w:top w:val="single" w:color="auto" w:sz="6" w:space="0"/>
              <w:left w:val="single" w:color="auto" w:sz="6" w:space="0"/>
              <w:bottom w:val="single" w:color="auto" w:sz="6" w:space="0"/>
              <w:right w:val="single" w:color="auto" w:sz="6" w:space="0"/>
            </w:tcBorders>
            <w:vAlign w:val="center"/>
          </w:tcPr>
          <w:p>
            <w:pPr>
              <w:jc w:val="both"/>
              <w:rPr>
                <w:rFonts w:ascii="仿宋" w:hAnsi="仿宋" w:eastAsia="仿宋" w:cs="仿宋"/>
                <w:color w:val="auto"/>
                <w:sz w:val="24"/>
                <w:szCs w:val="21"/>
                <w:highlight w:val="none"/>
              </w:rPr>
            </w:pPr>
            <w:r>
              <w:rPr>
                <w:rFonts w:hint="eastAsia" w:ascii="仿宋" w:hAnsi="仿宋" w:eastAsia="仿宋" w:cs="仿宋"/>
                <w:b/>
                <w:color w:val="auto"/>
                <w:sz w:val="24"/>
                <w:szCs w:val="21"/>
                <w:highlight w:val="none"/>
              </w:rPr>
              <w:t>（大写）：</w:t>
            </w:r>
          </w:p>
        </w:tc>
      </w:tr>
      <w:tr>
        <w:tblPrEx>
          <w:tblCellMar>
            <w:top w:w="0" w:type="dxa"/>
            <w:left w:w="30" w:type="dxa"/>
            <w:bottom w:w="0" w:type="dxa"/>
            <w:right w:w="30" w:type="dxa"/>
          </w:tblCellMar>
        </w:tblPrEx>
        <w:trPr>
          <w:cantSplit/>
          <w:trHeight w:val="898" w:hRule="exact"/>
          <w:jc w:val="center"/>
        </w:trPr>
        <w:tc>
          <w:tcPr>
            <w:tcW w:w="4350" w:type="dxa"/>
            <w:gridSpan w:val="2"/>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仿宋"/>
                <w:color w:val="auto"/>
                <w:sz w:val="24"/>
                <w:szCs w:val="21"/>
                <w:highlight w:val="none"/>
              </w:rPr>
            </w:pPr>
            <w:r>
              <w:rPr>
                <w:rFonts w:hint="eastAsia" w:ascii="仿宋" w:hAnsi="仿宋" w:eastAsia="仿宋" w:cs="仿宋"/>
                <w:color w:val="auto"/>
                <w:sz w:val="24"/>
                <w:szCs w:val="21"/>
                <w:highlight w:val="none"/>
              </w:rPr>
              <w:t>交货期</w:t>
            </w:r>
          </w:p>
        </w:tc>
        <w:tc>
          <w:tcPr>
            <w:tcW w:w="4322" w:type="dxa"/>
            <w:gridSpan w:val="3"/>
            <w:tcBorders>
              <w:top w:val="single" w:color="auto" w:sz="6" w:space="0"/>
              <w:left w:val="single" w:color="auto" w:sz="6" w:space="0"/>
              <w:bottom w:val="single" w:color="auto" w:sz="6" w:space="0"/>
              <w:right w:val="single" w:color="auto" w:sz="6" w:space="0"/>
            </w:tcBorders>
            <w:vAlign w:val="center"/>
          </w:tcPr>
          <w:p>
            <w:pPr>
              <w:jc w:val="both"/>
              <w:rPr>
                <w:rFonts w:ascii="仿宋" w:hAnsi="仿宋" w:eastAsia="仿宋" w:cs="仿宋"/>
                <w:b/>
                <w:color w:val="auto"/>
                <w:sz w:val="24"/>
                <w:szCs w:val="21"/>
                <w:highlight w:val="none"/>
              </w:rPr>
            </w:pPr>
          </w:p>
        </w:tc>
      </w:tr>
    </w:tbl>
    <w:p>
      <w:pPr>
        <w:spacing w:before="19" w:line="360" w:lineRule="auto"/>
        <w:rPr>
          <w:rFonts w:ascii="仿宋" w:hAnsi="仿宋" w:eastAsia="仿宋" w:cs="仿宋"/>
          <w:color w:val="auto"/>
          <w:sz w:val="28"/>
          <w:szCs w:val="28"/>
          <w:highlight w:val="none"/>
        </w:rPr>
      </w:pPr>
    </w:p>
    <w:p>
      <w:pPr>
        <w:spacing w:before="19"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报价人全称：（盖章）       被授权代表（签字）：</w:t>
      </w:r>
    </w:p>
    <w:p>
      <w:pPr>
        <w:spacing w:before="19"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日期：</w:t>
      </w:r>
    </w:p>
    <w:p>
      <w:pPr>
        <w:tabs>
          <w:tab w:val="left" w:pos="360"/>
        </w:tabs>
        <w:spacing w:before="67" w:line="360" w:lineRule="auto"/>
        <w:ind w:left="-15" w:leftChars="-7" w:right="-119"/>
        <w:rPr>
          <w:rFonts w:ascii="仿宋" w:hAnsi="仿宋" w:eastAsia="仿宋" w:cs="仿宋"/>
          <w:b/>
          <w:color w:val="auto"/>
          <w:sz w:val="24"/>
          <w:highlight w:val="none"/>
          <w:u w:val="single"/>
        </w:rPr>
      </w:pPr>
      <w:r>
        <w:rPr>
          <w:rFonts w:hint="eastAsia" w:ascii="仿宋" w:hAnsi="仿宋" w:eastAsia="仿宋" w:cs="仿宋"/>
          <w:b/>
          <w:color w:val="auto"/>
          <w:sz w:val="24"/>
          <w:highlight w:val="none"/>
        </w:rPr>
        <w:t xml:space="preserve">注: </w:t>
      </w:r>
      <w:r>
        <w:rPr>
          <w:rFonts w:hint="eastAsia" w:ascii="仿宋" w:hAnsi="仿宋" w:eastAsia="仿宋" w:cs="仿宋"/>
          <w:b/>
          <w:color w:val="auto"/>
          <w:sz w:val="24"/>
          <w:highlight w:val="none"/>
          <w:u w:val="single"/>
        </w:rPr>
        <w:t>1、投标总金额包括本招标书中要求的所有服务的费用</w:t>
      </w:r>
    </w:p>
    <w:p>
      <w:pPr>
        <w:snapToGrid w:val="0"/>
        <w:spacing w:line="360" w:lineRule="auto"/>
        <w:ind w:firstLine="472" w:firstLineChars="196"/>
        <w:rPr>
          <w:rFonts w:ascii="仿宋" w:hAnsi="仿宋" w:eastAsia="仿宋" w:cs="仿宋"/>
          <w:b/>
          <w:color w:val="auto"/>
          <w:sz w:val="24"/>
          <w:highlight w:val="none"/>
        </w:rPr>
      </w:pPr>
      <w:r>
        <w:rPr>
          <w:rFonts w:hint="eastAsia" w:ascii="仿宋" w:hAnsi="仿宋" w:eastAsia="仿宋" w:cs="仿宋"/>
          <w:b/>
          <w:color w:val="auto"/>
          <w:sz w:val="24"/>
          <w:highlight w:val="none"/>
        </w:rPr>
        <w:t>2、</w:t>
      </w:r>
      <w:r>
        <w:rPr>
          <w:rFonts w:hint="eastAsia" w:ascii="仿宋" w:hAnsi="仿宋" w:eastAsia="仿宋" w:cs="仿宋"/>
          <w:b/>
          <w:color w:val="auto"/>
          <w:sz w:val="24"/>
          <w:highlight w:val="none"/>
          <w:u w:val="single"/>
        </w:rPr>
        <w:t>报价一览表格式不得自行改动</w:t>
      </w:r>
      <w:r>
        <w:rPr>
          <w:rFonts w:hint="eastAsia" w:ascii="仿宋" w:hAnsi="仿宋" w:eastAsia="仿宋" w:cs="仿宋"/>
          <w:b/>
          <w:color w:val="auto"/>
          <w:sz w:val="24"/>
          <w:highlight w:val="none"/>
        </w:rPr>
        <w:t>。</w:t>
      </w:r>
      <w:bookmarkStart w:id="47" w:name="_Toc171325100"/>
    </w:p>
    <w:p>
      <w:pPr>
        <w:snapToGrid w:val="0"/>
        <w:spacing w:line="360" w:lineRule="auto"/>
        <w:ind w:firstLine="472" w:firstLineChars="196"/>
        <w:jc w:val="center"/>
        <w:rPr>
          <w:rFonts w:ascii="仿宋" w:hAnsi="仿宋" w:eastAsia="仿宋" w:cs="仿宋"/>
          <w:b/>
          <w:color w:val="auto"/>
          <w:sz w:val="32"/>
          <w:szCs w:val="32"/>
          <w:highlight w:val="none"/>
        </w:rPr>
      </w:pPr>
      <w:r>
        <w:rPr>
          <w:rFonts w:hint="eastAsia" w:ascii="仿宋" w:hAnsi="仿宋" w:eastAsia="仿宋" w:cs="仿宋"/>
          <w:b/>
          <w:color w:val="auto"/>
          <w:sz w:val="24"/>
          <w:highlight w:val="none"/>
        </w:rPr>
        <w:t>3、</w:t>
      </w:r>
      <w:r>
        <w:rPr>
          <w:rFonts w:hint="eastAsia" w:ascii="仿宋" w:hAnsi="仿宋" w:eastAsia="仿宋" w:cs="仿宋"/>
          <w:b/>
          <w:bCs/>
          <w:color w:val="auto"/>
          <w:sz w:val="24"/>
          <w:szCs w:val="24"/>
          <w:highlight w:val="none"/>
        </w:rPr>
        <w:t>投标总报价超过该包采购预算的将视为无效投标</w:t>
      </w:r>
      <w:r>
        <w:rPr>
          <w:rFonts w:hint="eastAsia" w:ascii="仿宋" w:hAnsi="仿宋" w:eastAsia="仿宋" w:cs="仿宋"/>
          <w:b/>
          <w:color w:val="auto"/>
          <w:sz w:val="24"/>
          <w:highlight w:val="none"/>
        </w:rPr>
        <w:t>。</w:t>
      </w:r>
      <w:r>
        <w:rPr>
          <w:rFonts w:hint="eastAsia" w:ascii="仿宋" w:hAnsi="仿宋" w:eastAsia="仿宋" w:cs="仿宋"/>
          <w:b/>
          <w:color w:val="auto"/>
          <w:sz w:val="32"/>
          <w:szCs w:val="32"/>
          <w:highlight w:val="none"/>
        </w:rPr>
        <w:br w:type="page"/>
      </w:r>
      <w:r>
        <w:rPr>
          <w:rFonts w:hint="eastAsia" w:ascii="仿宋" w:hAnsi="仿宋" w:eastAsia="仿宋" w:cs="仿宋"/>
          <w:b/>
          <w:color w:val="auto"/>
          <w:sz w:val="32"/>
          <w:szCs w:val="32"/>
          <w:highlight w:val="none"/>
        </w:rPr>
        <w:t>2、报价明细表</w:t>
      </w:r>
      <w:bookmarkEnd w:id="47"/>
    </w:p>
    <w:p>
      <w:pPr>
        <w:pStyle w:val="12"/>
        <w:spacing w:line="440" w:lineRule="exact"/>
        <w:ind w:firstLine="240" w:firstLineChars="1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项目名称：</w:t>
      </w:r>
    </w:p>
    <w:p>
      <w:pPr>
        <w:rPr>
          <w:rFonts w:ascii="仿宋" w:hAnsi="仿宋" w:eastAsia="仿宋" w:cs="仿宋"/>
          <w:color w:val="auto"/>
          <w:sz w:val="24"/>
          <w:highlight w:val="none"/>
        </w:rPr>
      </w:pPr>
      <w:r>
        <w:rPr>
          <w:rFonts w:hint="eastAsia" w:ascii="仿宋" w:hAnsi="仿宋" w:eastAsia="仿宋" w:cs="仿宋"/>
          <w:color w:val="auto"/>
          <w:sz w:val="24"/>
          <w:highlight w:val="none"/>
        </w:rPr>
        <w:t>招标编号：</w:t>
      </w:r>
    </w:p>
    <w:p>
      <w:pPr>
        <w:jc w:val="right"/>
        <w:rPr>
          <w:rFonts w:ascii="仿宋" w:hAnsi="仿宋" w:eastAsia="仿宋" w:cs="仿宋"/>
          <w:b/>
          <w:color w:val="auto"/>
          <w:sz w:val="24"/>
          <w:highlight w:val="none"/>
        </w:rPr>
      </w:pPr>
      <w:r>
        <w:rPr>
          <w:rFonts w:hint="eastAsia" w:ascii="仿宋" w:hAnsi="仿宋" w:eastAsia="仿宋" w:cs="仿宋"/>
          <w:color w:val="auto"/>
          <w:sz w:val="24"/>
          <w:highlight w:val="none"/>
        </w:rPr>
        <w:t>金额单位：元</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0"/>
        <w:gridCol w:w="1398"/>
        <w:gridCol w:w="1935"/>
        <w:gridCol w:w="1167"/>
        <w:gridCol w:w="850"/>
        <w:gridCol w:w="639"/>
        <w:gridCol w:w="668"/>
        <w:gridCol w:w="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8" w:hRule="atLeast"/>
          <w:jc w:val="center"/>
        </w:trPr>
        <w:tc>
          <w:tcPr>
            <w:tcW w:w="1640" w:type="dxa"/>
            <w:vAlign w:val="center"/>
          </w:tcPr>
          <w:p>
            <w:pPr>
              <w:tabs>
                <w:tab w:val="left" w:pos="360"/>
              </w:tabs>
              <w:spacing w:before="67" w:line="0" w:lineRule="atLeast"/>
              <w:ind w:right="-357"/>
              <w:rPr>
                <w:rFonts w:ascii="仿宋" w:hAnsi="仿宋" w:eastAsia="仿宋" w:cs="仿宋"/>
                <w:color w:val="auto"/>
                <w:szCs w:val="21"/>
                <w:highlight w:val="none"/>
              </w:rPr>
            </w:pPr>
            <w:r>
              <w:rPr>
                <w:rFonts w:hint="eastAsia" w:ascii="仿宋" w:hAnsi="仿宋" w:eastAsia="仿宋" w:cs="仿宋"/>
                <w:color w:val="auto"/>
                <w:szCs w:val="21"/>
                <w:highlight w:val="none"/>
              </w:rPr>
              <w:t>序号</w:t>
            </w:r>
          </w:p>
        </w:tc>
        <w:tc>
          <w:tcPr>
            <w:tcW w:w="1398" w:type="dxa"/>
            <w:vAlign w:val="center"/>
          </w:tcPr>
          <w:p>
            <w:pPr>
              <w:tabs>
                <w:tab w:val="left" w:pos="360"/>
              </w:tabs>
              <w:spacing w:before="67" w:line="0" w:lineRule="atLeast"/>
              <w:ind w:right="-357" w:firstLine="420" w:firstLineChars="200"/>
              <w:jc w:val="both"/>
              <w:rPr>
                <w:rFonts w:ascii="仿宋" w:hAnsi="仿宋" w:eastAsia="仿宋" w:cs="仿宋"/>
                <w:color w:val="auto"/>
                <w:szCs w:val="21"/>
                <w:highlight w:val="none"/>
              </w:rPr>
            </w:pPr>
            <w:r>
              <w:rPr>
                <w:rFonts w:hint="eastAsia" w:ascii="仿宋" w:hAnsi="仿宋" w:eastAsia="仿宋" w:cs="仿宋"/>
                <w:color w:val="auto"/>
                <w:szCs w:val="21"/>
                <w:highlight w:val="none"/>
              </w:rPr>
              <w:t>名称</w:t>
            </w:r>
          </w:p>
        </w:tc>
        <w:tc>
          <w:tcPr>
            <w:tcW w:w="1935" w:type="dxa"/>
            <w:vAlign w:val="center"/>
          </w:tcPr>
          <w:p>
            <w:pPr>
              <w:tabs>
                <w:tab w:val="left" w:pos="360"/>
              </w:tabs>
              <w:spacing w:before="67" w:line="0" w:lineRule="atLeast"/>
              <w:ind w:right="-357"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品牌/型号</w:t>
            </w:r>
          </w:p>
        </w:tc>
        <w:tc>
          <w:tcPr>
            <w:tcW w:w="1167" w:type="dxa"/>
            <w:vAlign w:val="center"/>
          </w:tcPr>
          <w:p>
            <w:pPr>
              <w:tabs>
                <w:tab w:val="left" w:pos="360"/>
              </w:tabs>
              <w:spacing w:before="67" w:line="0" w:lineRule="atLeast"/>
              <w:ind w:right="-357" w:firstLine="210" w:firstLineChars="100"/>
              <w:rPr>
                <w:rFonts w:ascii="仿宋" w:hAnsi="仿宋" w:eastAsia="仿宋" w:cs="仿宋"/>
                <w:color w:val="auto"/>
                <w:szCs w:val="21"/>
                <w:highlight w:val="none"/>
              </w:rPr>
            </w:pPr>
            <w:r>
              <w:rPr>
                <w:rFonts w:hint="eastAsia" w:ascii="仿宋" w:hAnsi="仿宋" w:eastAsia="仿宋" w:cs="仿宋"/>
                <w:color w:val="auto"/>
                <w:szCs w:val="21"/>
                <w:highlight w:val="none"/>
              </w:rPr>
              <w:t>单位</w:t>
            </w:r>
          </w:p>
        </w:tc>
        <w:tc>
          <w:tcPr>
            <w:tcW w:w="850" w:type="dxa"/>
            <w:vAlign w:val="center"/>
          </w:tcPr>
          <w:p>
            <w:pPr>
              <w:tabs>
                <w:tab w:val="left" w:pos="360"/>
              </w:tabs>
              <w:spacing w:before="67" w:line="0" w:lineRule="atLeast"/>
              <w:ind w:right="-357"/>
              <w:rPr>
                <w:rFonts w:ascii="仿宋" w:hAnsi="仿宋" w:eastAsia="仿宋" w:cs="仿宋"/>
                <w:color w:val="auto"/>
                <w:szCs w:val="21"/>
                <w:highlight w:val="none"/>
              </w:rPr>
            </w:pPr>
            <w:r>
              <w:rPr>
                <w:rFonts w:hint="eastAsia" w:ascii="仿宋" w:hAnsi="仿宋" w:eastAsia="仿宋" w:cs="仿宋"/>
                <w:color w:val="auto"/>
                <w:szCs w:val="21"/>
                <w:highlight w:val="none"/>
              </w:rPr>
              <w:t>数量</w:t>
            </w:r>
          </w:p>
        </w:tc>
        <w:tc>
          <w:tcPr>
            <w:tcW w:w="639" w:type="dxa"/>
            <w:vAlign w:val="center"/>
          </w:tcPr>
          <w:p>
            <w:pPr>
              <w:tabs>
                <w:tab w:val="left" w:pos="360"/>
              </w:tabs>
              <w:spacing w:before="67" w:line="0" w:lineRule="atLeast"/>
              <w:ind w:right="-357"/>
              <w:rPr>
                <w:rFonts w:ascii="仿宋" w:hAnsi="仿宋" w:eastAsia="仿宋" w:cs="仿宋"/>
                <w:color w:val="auto"/>
                <w:szCs w:val="21"/>
                <w:highlight w:val="none"/>
              </w:rPr>
            </w:pPr>
            <w:r>
              <w:rPr>
                <w:rFonts w:hint="eastAsia" w:ascii="仿宋" w:hAnsi="仿宋" w:eastAsia="仿宋" w:cs="仿宋"/>
                <w:color w:val="auto"/>
                <w:szCs w:val="21"/>
                <w:highlight w:val="none"/>
              </w:rPr>
              <w:t>单价</w:t>
            </w:r>
          </w:p>
        </w:tc>
        <w:tc>
          <w:tcPr>
            <w:tcW w:w="668" w:type="dxa"/>
            <w:vAlign w:val="center"/>
          </w:tcPr>
          <w:p>
            <w:pPr>
              <w:tabs>
                <w:tab w:val="left" w:pos="360"/>
              </w:tabs>
              <w:spacing w:before="67" w:line="0" w:lineRule="atLeast"/>
              <w:ind w:right="-357"/>
              <w:rPr>
                <w:rFonts w:ascii="仿宋" w:hAnsi="仿宋" w:eastAsia="仿宋" w:cs="仿宋"/>
                <w:color w:val="auto"/>
                <w:szCs w:val="21"/>
                <w:highlight w:val="none"/>
              </w:rPr>
            </w:pPr>
            <w:r>
              <w:rPr>
                <w:rFonts w:hint="eastAsia" w:ascii="仿宋" w:hAnsi="仿宋" w:eastAsia="仿宋" w:cs="仿宋"/>
                <w:color w:val="auto"/>
                <w:szCs w:val="21"/>
                <w:highlight w:val="none"/>
              </w:rPr>
              <w:t>总价</w:t>
            </w:r>
          </w:p>
        </w:tc>
        <w:tc>
          <w:tcPr>
            <w:tcW w:w="959" w:type="dxa"/>
            <w:vAlign w:val="center"/>
          </w:tcPr>
          <w:p>
            <w:pPr>
              <w:tabs>
                <w:tab w:val="left" w:pos="360"/>
              </w:tabs>
              <w:spacing w:before="67" w:line="0" w:lineRule="atLeast"/>
              <w:ind w:right="-357"/>
              <w:rPr>
                <w:rFonts w:ascii="仿宋" w:hAnsi="仿宋" w:eastAsia="仿宋" w:cs="仿宋"/>
                <w:color w:val="auto"/>
                <w:szCs w:val="21"/>
                <w:highlight w:val="none"/>
              </w:rPr>
            </w:pPr>
            <w:r>
              <w:rPr>
                <w:rFonts w:hint="eastAsia" w:ascii="仿宋" w:hAnsi="仿宋" w:eastAsia="仿宋" w:cs="仿宋"/>
                <w:color w:val="auto"/>
                <w:szCs w:val="21"/>
                <w:highlight w:val="none"/>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0" w:type="dxa"/>
            <w:vAlign w:val="center"/>
          </w:tcPr>
          <w:p>
            <w:pPr>
              <w:tabs>
                <w:tab w:val="left" w:pos="360"/>
              </w:tabs>
              <w:spacing w:before="67" w:line="0" w:lineRule="atLeast"/>
              <w:ind w:right="-357"/>
              <w:rPr>
                <w:rFonts w:ascii="仿宋" w:hAnsi="仿宋" w:eastAsia="仿宋" w:cs="仿宋"/>
                <w:color w:val="auto"/>
                <w:sz w:val="24"/>
                <w:highlight w:val="none"/>
              </w:rPr>
            </w:pPr>
            <w:r>
              <w:rPr>
                <w:rFonts w:hint="eastAsia" w:ascii="仿宋" w:hAnsi="仿宋" w:eastAsia="仿宋" w:cs="仿宋"/>
                <w:color w:val="auto"/>
                <w:sz w:val="24"/>
                <w:highlight w:val="none"/>
              </w:rPr>
              <w:t>1</w:t>
            </w:r>
          </w:p>
        </w:tc>
        <w:tc>
          <w:tcPr>
            <w:tcW w:w="1398" w:type="dxa"/>
            <w:vAlign w:val="center"/>
          </w:tcPr>
          <w:p>
            <w:pPr>
              <w:jc w:val="center"/>
              <w:rPr>
                <w:rFonts w:ascii="仿宋" w:hAnsi="仿宋" w:eastAsia="仿宋" w:cs="仿宋"/>
                <w:color w:val="auto"/>
                <w:sz w:val="24"/>
                <w:highlight w:val="none"/>
              </w:rPr>
            </w:pPr>
          </w:p>
        </w:tc>
        <w:tc>
          <w:tcPr>
            <w:tcW w:w="1935" w:type="dxa"/>
            <w:vAlign w:val="center"/>
          </w:tcPr>
          <w:p>
            <w:pPr>
              <w:tabs>
                <w:tab w:val="left" w:pos="360"/>
              </w:tabs>
              <w:spacing w:before="67" w:line="0" w:lineRule="atLeast"/>
              <w:ind w:right="-357" w:firstLine="200"/>
              <w:jc w:val="center"/>
              <w:rPr>
                <w:rFonts w:ascii="仿宋" w:hAnsi="仿宋" w:eastAsia="仿宋" w:cs="仿宋"/>
                <w:color w:val="auto"/>
                <w:sz w:val="24"/>
                <w:highlight w:val="none"/>
              </w:rPr>
            </w:pPr>
          </w:p>
        </w:tc>
        <w:tc>
          <w:tcPr>
            <w:tcW w:w="1167" w:type="dxa"/>
            <w:vAlign w:val="center"/>
          </w:tcPr>
          <w:p>
            <w:pPr>
              <w:tabs>
                <w:tab w:val="left" w:pos="360"/>
              </w:tabs>
              <w:spacing w:before="67" w:line="0" w:lineRule="atLeast"/>
              <w:ind w:right="-357"/>
              <w:jc w:val="center"/>
              <w:rPr>
                <w:rFonts w:ascii="仿宋" w:hAnsi="仿宋" w:eastAsia="仿宋" w:cs="仿宋"/>
                <w:color w:val="auto"/>
                <w:sz w:val="24"/>
                <w:highlight w:val="none"/>
              </w:rPr>
            </w:pPr>
          </w:p>
        </w:tc>
        <w:tc>
          <w:tcPr>
            <w:tcW w:w="850" w:type="dxa"/>
            <w:vAlign w:val="center"/>
          </w:tcPr>
          <w:p>
            <w:pPr>
              <w:tabs>
                <w:tab w:val="left" w:pos="360"/>
              </w:tabs>
              <w:spacing w:before="67" w:line="0" w:lineRule="atLeast"/>
              <w:ind w:right="-357" w:firstLine="120"/>
              <w:jc w:val="center"/>
              <w:rPr>
                <w:rFonts w:ascii="仿宋" w:hAnsi="仿宋" w:eastAsia="仿宋" w:cs="仿宋"/>
                <w:color w:val="auto"/>
                <w:sz w:val="24"/>
                <w:highlight w:val="none"/>
              </w:rPr>
            </w:pPr>
          </w:p>
        </w:tc>
        <w:tc>
          <w:tcPr>
            <w:tcW w:w="639" w:type="dxa"/>
            <w:vAlign w:val="center"/>
          </w:tcPr>
          <w:p>
            <w:pPr>
              <w:tabs>
                <w:tab w:val="left" w:pos="360"/>
              </w:tabs>
              <w:spacing w:before="67" w:line="0" w:lineRule="atLeast"/>
              <w:ind w:right="-357" w:firstLine="240"/>
              <w:jc w:val="center"/>
              <w:rPr>
                <w:rFonts w:ascii="仿宋" w:hAnsi="仿宋" w:eastAsia="仿宋" w:cs="仿宋"/>
                <w:color w:val="auto"/>
                <w:sz w:val="24"/>
                <w:highlight w:val="none"/>
              </w:rPr>
            </w:pPr>
          </w:p>
        </w:tc>
        <w:tc>
          <w:tcPr>
            <w:tcW w:w="668" w:type="dxa"/>
            <w:vAlign w:val="center"/>
          </w:tcPr>
          <w:p>
            <w:pPr>
              <w:tabs>
                <w:tab w:val="left" w:pos="360"/>
              </w:tabs>
              <w:spacing w:before="67" w:line="0" w:lineRule="atLeast"/>
              <w:ind w:right="-357" w:firstLine="240"/>
              <w:jc w:val="center"/>
              <w:rPr>
                <w:rFonts w:ascii="仿宋" w:hAnsi="仿宋" w:eastAsia="仿宋" w:cs="仿宋"/>
                <w:color w:val="auto"/>
                <w:sz w:val="24"/>
                <w:highlight w:val="none"/>
              </w:rPr>
            </w:pPr>
          </w:p>
        </w:tc>
        <w:tc>
          <w:tcPr>
            <w:tcW w:w="959" w:type="dxa"/>
            <w:vAlign w:val="center"/>
          </w:tcPr>
          <w:p>
            <w:pPr>
              <w:tabs>
                <w:tab w:val="left" w:pos="360"/>
              </w:tabs>
              <w:spacing w:before="67" w:line="0" w:lineRule="atLeast"/>
              <w:ind w:right="-357" w:firstLine="240"/>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0" w:type="dxa"/>
            <w:vAlign w:val="center"/>
          </w:tcPr>
          <w:p>
            <w:pPr>
              <w:tabs>
                <w:tab w:val="left" w:pos="360"/>
              </w:tabs>
              <w:spacing w:before="67" w:line="0" w:lineRule="atLeast"/>
              <w:ind w:right="-357"/>
              <w:rPr>
                <w:rFonts w:ascii="仿宋" w:hAnsi="仿宋" w:eastAsia="仿宋" w:cs="仿宋"/>
                <w:color w:val="auto"/>
                <w:sz w:val="24"/>
                <w:highlight w:val="none"/>
              </w:rPr>
            </w:pPr>
            <w:r>
              <w:rPr>
                <w:rFonts w:hint="eastAsia" w:ascii="仿宋" w:hAnsi="仿宋" w:eastAsia="仿宋" w:cs="仿宋"/>
                <w:color w:val="auto"/>
                <w:sz w:val="24"/>
                <w:highlight w:val="none"/>
              </w:rPr>
              <w:t>2</w:t>
            </w:r>
          </w:p>
        </w:tc>
        <w:tc>
          <w:tcPr>
            <w:tcW w:w="1398" w:type="dxa"/>
            <w:vAlign w:val="center"/>
          </w:tcPr>
          <w:p>
            <w:pPr>
              <w:jc w:val="center"/>
              <w:rPr>
                <w:rFonts w:ascii="仿宋" w:hAnsi="仿宋" w:eastAsia="仿宋" w:cs="仿宋"/>
                <w:color w:val="auto"/>
                <w:sz w:val="24"/>
                <w:highlight w:val="none"/>
              </w:rPr>
            </w:pPr>
          </w:p>
        </w:tc>
        <w:tc>
          <w:tcPr>
            <w:tcW w:w="1935" w:type="dxa"/>
            <w:vAlign w:val="center"/>
          </w:tcPr>
          <w:p>
            <w:pPr>
              <w:tabs>
                <w:tab w:val="left" w:pos="360"/>
              </w:tabs>
              <w:spacing w:before="67" w:line="0" w:lineRule="atLeast"/>
              <w:ind w:right="-357" w:firstLine="200"/>
              <w:jc w:val="center"/>
              <w:rPr>
                <w:rFonts w:ascii="仿宋" w:hAnsi="仿宋" w:eastAsia="仿宋" w:cs="仿宋"/>
                <w:color w:val="auto"/>
                <w:sz w:val="24"/>
                <w:highlight w:val="none"/>
              </w:rPr>
            </w:pPr>
          </w:p>
        </w:tc>
        <w:tc>
          <w:tcPr>
            <w:tcW w:w="1167" w:type="dxa"/>
            <w:vAlign w:val="center"/>
          </w:tcPr>
          <w:p>
            <w:pPr>
              <w:jc w:val="center"/>
              <w:rPr>
                <w:rFonts w:ascii="仿宋" w:hAnsi="仿宋" w:eastAsia="仿宋" w:cs="仿宋"/>
                <w:color w:val="auto"/>
                <w:sz w:val="24"/>
                <w:highlight w:val="none"/>
              </w:rPr>
            </w:pPr>
          </w:p>
        </w:tc>
        <w:tc>
          <w:tcPr>
            <w:tcW w:w="850" w:type="dxa"/>
            <w:vAlign w:val="center"/>
          </w:tcPr>
          <w:p>
            <w:pPr>
              <w:tabs>
                <w:tab w:val="left" w:pos="360"/>
              </w:tabs>
              <w:spacing w:before="67" w:line="0" w:lineRule="atLeast"/>
              <w:ind w:right="-357" w:firstLine="120"/>
              <w:jc w:val="center"/>
              <w:rPr>
                <w:rFonts w:ascii="仿宋" w:hAnsi="仿宋" w:eastAsia="仿宋" w:cs="仿宋"/>
                <w:color w:val="auto"/>
                <w:sz w:val="24"/>
                <w:highlight w:val="none"/>
              </w:rPr>
            </w:pPr>
          </w:p>
        </w:tc>
        <w:tc>
          <w:tcPr>
            <w:tcW w:w="639" w:type="dxa"/>
            <w:vAlign w:val="center"/>
          </w:tcPr>
          <w:p>
            <w:pPr>
              <w:tabs>
                <w:tab w:val="left" w:pos="360"/>
              </w:tabs>
              <w:spacing w:before="67" w:line="0" w:lineRule="atLeast"/>
              <w:ind w:right="-357" w:firstLine="240"/>
              <w:jc w:val="center"/>
              <w:rPr>
                <w:rFonts w:ascii="仿宋" w:hAnsi="仿宋" w:eastAsia="仿宋" w:cs="仿宋"/>
                <w:color w:val="auto"/>
                <w:sz w:val="24"/>
                <w:highlight w:val="none"/>
              </w:rPr>
            </w:pPr>
          </w:p>
        </w:tc>
        <w:tc>
          <w:tcPr>
            <w:tcW w:w="668" w:type="dxa"/>
            <w:vAlign w:val="center"/>
          </w:tcPr>
          <w:p>
            <w:pPr>
              <w:tabs>
                <w:tab w:val="left" w:pos="360"/>
              </w:tabs>
              <w:spacing w:before="67" w:line="0" w:lineRule="atLeast"/>
              <w:ind w:right="-357" w:firstLine="240"/>
              <w:jc w:val="center"/>
              <w:rPr>
                <w:rFonts w:ascii="仿宋" w:hAnsi="仿宋" w:eastAsia="仿宋" w:cs="仿宋"/>
                <w:color w:val="auto"/>
                <w:sz w:val="24"/>
                <w:highlight w:val="none"/>
              </w:rPr>
            </w:pPr>
          </w:p>
        </w:tc>
        <w:tc>
          <w:tcPr>
            <w:tcW w:w="959" w:type="dxa"/>
            <w:vAlign w:val="center"/>
          </w:tcPr>
          <w:p>
            <w:pPr>
              <w:tabs>
                <w:tab w:val="left" w:pos="360"/>
              </w:tabs>
              <w:spacing w:before="67" w:line="0" w:lineRule="atLeast"/>
              <w:ind w:right="-357" w:firstLine="240"/>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0" w:type="dxa"/>
            <w:vAlign w:val="center"/>
          </w:tcPr>
          <w:p>
            <w:pPr>
              <w:tabs>
                <w:tab w:val="left" w:pos="360"/>
              </w:tabs>
              <w:spacing w:before="67" w:line="0" w:lineRule="atLeast"/>
              <w:ind w:right="-357"/>
              <w:rPr>
                <w:rFonts w:ascii="仿宋" w:hAnsi="仿宋" w:eastAsia="仿宋" w:cs="仿宋"/>
                <w:color w:val="auto"/>
                <w:sz w:val="24"/>
                <w:highlight w:val="none"/>
              </w:rPr>
            </w:pPr>
            <w:r>
              <w:rPr>
                <w:rFonts w:hint="eastAsia" w:ascii="仿宋" w:hAnsi="仿宋" w:eastAsia="仿宋" w:cs="仿宋"/>
                <w:color w:val="auto"/>
                <w:sz w:val="24"/>
                <w:highlight w:val="none"/>
              </w:rPr>
              <w:t>3</w:t>
            </w:r>
          </w:p>
        </w:tc>
        <w:tc>
          <w:tcPr>
            <w:tcW w:w="1398" w:type="dxa"/>
            <w:vAlign w:val="center"/>
          </w:tcPr>
          <w:p>
            <w:pPr>
              <w:jc w:val="center"/>
              <w:rPr>
                <w:rFonts w:ascii="仿宋" w:hAnsi="仿宋" w:eastAsia="仿宋" w:cs="仿宋"/>
                <w:color w:val="auto"/>
                <w:sz w:val="24"/>
                <w:highlight w:val="none"/>
              </w:rPr>
            </w:pPr>
          </w:p>
        </w:tc>
        <w:tc>
          <w:tcPr>
            <w:tcW w:w="1935" w:type="dxa"/>
            <w:vAlign w:val="center"/>
          </w:tcPr>
          <w:p>
            <w:pPr>
              <w:tabs>
                <w:tab w:val="left" w:pos="360"/>
              </w:tabs>
              <w:spacing w:before="67" w:line="0" w:lineRule="atLeast"/>
              <w:ind w:right="-357" w:firstLine="200"/>
              <w:jc w:val="center"/>
              <w:rPr>
                <w:rFonts w:ascii="仿宋" w:hAnsi="仿宋" w:eastAsia="仿宋" w:cs="仿宋"/>
                <w:color w:val="auto"/>
                <w:sz w:val="24"/>
                <w:highlight w:val="none"/>
              </w:rPr>
            </w:pPr>
          </w:p>
        </w:tc>
        <w:tc>
          <w:tcPr>
            <w:tcW w:w="1167" w:type="dxa"/>
            <w:vAlign w:val="center"/>
          </w:tcPr>
          <w:p>
            <w:pPr>
              <w:jc w:val="center"/>
              <w:rPr>
                <w:rFonts w:ascii="仿宋" w:hAnsi="仿宋" w:eastAsia="仿宋" w:cs="仿宋"/>
                <w:color w:val="auto"/>
                <w:sz w:val="24"/>
                <w:highlight w:val="none"/>
              </w:rPr>
            </w:pPr>
          </w:p>
        </w:tc>
        <w:tc>
          <w:tcPr>
            <w:tcW w:w="850" w:type="dxa"/>
            <w:vAlign w:val="center"/>
          </w:tcPr>
          <w:p>
            <w:pPr>
              <w:tabs>
                <w:tab w:val="left" w:pos="360"/>
              </w:tabs>
              <w:spacing w:before="67" w:line="0" w:lineRule="atLeast"/>
              <w:ind w:right="-357" w:firstLine="120"/>
              <w:jc w:val="center"/>
              <w:rPr>
                <w:rFonts w:ascii="仿宋" w:hAnsi="仿宋" w:eastAsia="仿宋" w:cs="仿宋"/>
                <w:color w:val="auto"/>
                <w:sz w:val="24"/>
                <w:highlight w:val="none"/>
              </w:rPr>
            </w:pPr>
          </w:p>
        </w:tc>
        <w:tc>
          <w:tcPr>
            <w:tcW w:w="639" w:type="dxa"/>
            <w:vAlign w:val="center"/>
          </w:tcPr>
          <w:p>
            <w:pPr>
              <w:tabs>
                <w:tab w:val="left" w:pos="360"/>
              </w:tabs>
              <w:spacing w:before="67" w:line="0" w:lineRule="atLeast"/>
              <w:ind w:right="-357" w:firstLine="240"/>
              <w:jc w:val="center"/>
              <w:rPr>
                <w:rFonts w:ascii="仿宋" w:hAnsi="仿宋" w:eastAsia="仿宋" w:cs="仿宋"/>
                <w:color w:val="auto"/>
                <w:sz w:val="24"/>
                <w:highlight w:val="none"/>
              </w:rPr>
            </w:pPr>
          </w:p>
        </w:tc>
        <w:tc>
          <w:tcPr>
            <w:tcW w:w="668" w:type="dxa"/>
            <w:vAlign w:val="center"/>
          </w:tcPr>
          <w:p>
            <w:pPr>
              <w:tabs>
                <w:tab w:val="left" w:pos="360"/>
              </w:tabs>
              <w:spacing w:before="67" w:line="0" w:lineRule="atLeast"/>
              <w:ind w:right="-357" w:firstLine="240"/>
              <w:jc w:val="center"/>
              <w:rPr>
                <w:rFonts w:ascii="仿宋" w:hAnsi="仿宋" w:eastAsia="仿宋" w:cs="仿宋"/>
                <w:color w:val="auto"/>
                <w:sz w:val="24"/>
                <w:highlight w:val="none"/>
              </w:rPr>
            </w:pPr>
          </w:p>
        </w:tc>
        <w:tc>
          <w:tcPr>
            <w:tcW w:w="959" w:type="dxa"/>
            <w:vAlign w:val="center"/>
          </w:tcPr>
          <w:p>
            <w:pPr>
              <w:tabs>
                <w:tab w:val="left" w:pos="360"/>
              </w:tabs>
              <w:spacing w:before="67" w:line="0" w:lineRule="atLeast"/>
              <w:ind w:right="-357" w:firstLine="240"/>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0" w:type="dxa"/>
            <w:vAlign w:val="center"/>
          </w:tcPr>
          <w:p>
            <w:pPr>
              <w:tabs>
                <w:tab w:val="left" w:pos="360"/>
              </w:tabs>
              <w:spacing w:before="67" w:line="0" w:lineRule="atLeast"/>
              <w:ind w:right="-357"/>
              <w:rPr>
                <w:rFonts w:ascii="仿宋" w:hAnsi="仿宋" w:eastAsia="仿宋" w:cs="仿宋"/>
                <w:color w:val="auto"/>
                <w:sz w:val="24"/>
                <w:highlight w:val="none"/>
              </w:rPr>
            </w:pPr>
          </w:p>
        </w:tc>
        <w:tc>
          <w:tcPr>
            <w:tcW w:w="1398" w:type="dxa"/>
            <w:vAlign w:val="center"/>
          </w:tcPr>
          <w:p>
            <w:pPr>
              <w:jc w:val="center"/>
              <w:rPr>
                <w:rFonts w:ascii="仿宋" w:hAnsi="仿宋" w:eastAsia="仿宋" w:cs="仿宋"/>
                <w:color w:val="auto"/>
                <w:sz w:val="24"/>
                <w:highlight w:val="none"/>
              </w:rPr>
            </w:pPr>
          </w:p>
        </w:tc>
        <w:tc>
          <w:tcPr>
            <w:tcW w:w="1935" w:type="dxa"/>
            <w:vAlign w:val="center"/>
          </w:tcPr>
          <w:p>
            <w:pPr>
              <w:tabs>
                <w:tab w:val="left" w:pos="360"/>
              </w:tabs>
              <w:spacing w:before="67" w:line="0" w:lineRule="atLeast"/>
              <w:ind w:right="-357" w:firstLine="200"/>
              <w:jc w:val="center"/>
              <w:rPr>
                <w:rFonts w:ascii="仿宋" w:hAnsi="仿宋" w:eastAsia="仿宋" w:cs="仿宋"/>
                <w:color w:val="auto"/>
                <w:sz w:val="24"/>
                <w:highlight w:val="none"/>
              </w:rPr>
            </w:pPr>
          </w:p>
        </w:tc>
        <w:tc>
          <w:tcPr>
            <w:tcW w:w="1167" w:type="dxa"/>
            <w:vAlign w:val="center"/>
          </w:tcPr>
          <w:p>
            <w:pPr>
              <w:jc w:val="center"/>
              <w:rPr>
                <w:rFonts w:ascii="仿宋" w:hAnsi="仿宋" w:eastAsia="仿宋" w:cs="仿宋"/>
                <w:color w:val="auto"/>
                <w:sz w:val="24"/>
                <w:highlight w:val="none"/>
              </w:rPr>
            </w:pPr>
          </w:p>
        </w:tc>
        <w:tc>
          <w:tcPr>
            <w:tcW w:w="850" w:type="dxa"/>
            <w:vAlign w:val="center"/>
          </w:tcPr>
          <w:p>
            <w:pPr>
              <w:tabs>
                <w:tab w:val="left" w:pos="360"/>
              </w:tabs>
              <w:spacing w:before="67" w:line="0" w:lineRule="atLeast"/>
              <w:ind w:right="-357" w:firstLine="120"/>
              <w:jc w:val="center"/>
              <w:rPr>
                <w:rFonts w:ascii="仿宋" w:hAnsi="仿宋" w:eastAsia="仿宋" w:cs="仿宋"/>
                <w:color w:val="auto"/>
                <w:sz w:val="24"/>
                <w:highlight w:val="none"/>
              </w:rPr>
            </w:pPr>
          </w:p>
        </w:tc>
        <w:tc>
          <w:tcPr>
            <w:tcW w:w="639" w:type="dxa"/>
            <w:vAlign w:val="center"/>
          </w:tcPr>
          <w:p>
            <w:pPr>
              <w:tabs>
                <w:tab w:val="left" w:pos="360"/>
              </w:tabs>
              <w:spacing w:before="67" w:line="0" w:lineRule="atLeast"/>
              <w:ind w:right="-357" w:firstLine="240"/>
              <w:jc w:val="center"/>
              <w:rPr>
                <w:rFonts w:ascii="仿宋" w:hAnsi="仿宋" w:eastAsia="仿宋" w:cs="仿宋"/>
                <w:color w:val="auto"/>
                <w:sz w:val="24"/>
                <w:highlight w:val="none"/>
              </w:rPr>
            </w:pPr>
          </w:p>
        </w:tc>
        <w:tc>
          <w:tcPr>
            <w:tcW w:w="668" w:type="dxa"/>
            <w:vAlign w:val="center"/>
          </w:tcPr>
          <w:p>
            <w:pPr>
              <w:tabs>
                <w:tab w:val="left" w:pos="360"/>
              </w:tabs>
              <w:spacing w:before="67" w:line="0" w:lineRule="atLeast"/>
              <w:ind w:right="-357" w:firstLine="240"/>
              <w:jc w:val="center"/>
              <w:rPr>
                <w:rFonts w:ascii="仿宋" w:hAnsi="仿宋" w:eastAsia="仿宋" w:cs="仿宋"/>
                <w:color w:val="auto"/>
                <w:sz w:val="24"/>
                <w:highlight w:val="none"/>
              </w:rPr>
            </w:pPr>
          </w:p>
        </w:tc>
        <w:tc>
          <w:tcPr>
            <w:tcW w:w="959" w:type="dxa"/>
            <w:vAlign w:val="center"/>
          </w:tcPr>
          <w:p>
            <w:pPr>
              <w:tabs>
                <w:tab w:val="left" w:pos="360"/>
              </w:tabs>
              <w:spacing w:before="67" w:line="0" w:lineRule="atLeast"/>
              <w:ind w:right="-357" w:firstLine="240"/>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0" w:type="dxa"/>
            <w:vAlign w:val="center"/>
          </w:tcPr>
          <w:p>
            <w:pPr>
              <w:tabs>
                <w:tab w:val="left" w:pos="360"/>
              </w:tabs>
              <w:spacing w:before="67" w:line="0" w:lineRule="atLeast"/>
              <w:ind w:right="-357"/>
              <w:rPr>
                <w:rFonts w:ascii="仿宋" w:hAnsi="仿宋" w:eastAsia="仿宋" w:cs="仿宋"/>
                <w:color w:val="auto"/>
                <w:sz w:val="24"/>
                <w:highlight w:val="none"/>
              </w:rPr>
            </w:pPr>
          </w:p>
        </w:tc>
        <w:tc>
          <w:tcPr>
            <w:tcW w:w="1398" w:type="dxa"/>
            <w:vAlign w:val="center"/>
          </w:tcPr>
          <w:p>
            <w:pPr>
              <w:jc w:val="center"/>
              <w:rPr>
                <w:rFonts w:ascii="仿宋" w:hAnsi="仿宋" w:eastAsia="仿宋" w:cs="仿宋"/>
                <w:color w:val="auto"/>
                <w:sz w:val="24"/>
                <w:highlight w:val="none"/>
              </w:rPr>
            </w:pPr>
          </w:p>
        </w:tc>
        <w:tc>
          <w:tcPr>
            <w:tcW w:w="1935" w:type="dxa"/>
            <w:vAlign w:val="center"/>
          </w:tcPr>
          <w:p>
            <w:pPr>
              <w:tabs>
                <w:tab w:val="left" w:pos="360"/>
              </w:tabs>
              <w:spacing w:before="67" w:line="0" w:lineRule="atLeast"/>
              <w:ind w:right="-357" w:firstLine="200"/>
              <w:jc w:val="center"/>
              <w:rPr>
                <w:rFonts w:ascii="仿宋" w:hAnsi="仿宋" w:eastAsia="仿宋" w:cs="仿宋"/>
                <w:color w:val="auto"/>
                <w:sz w:val="24"/>
                <w:highlight w:val="none"/>
              </w:rPr>
            </w:pPr>
          </w:p>
        </w:tc>
        <w:tc>
          <w:tcPr>
            <w:tcW w:w="1167" w:type="dxa"/>
            <w:vAlign w:val="center"/>
          </w:tcPr>
          <w:p>
            <w:pPr>
              <w:jc w:val="center"/>
              <w:rPr>
                <w:rFonts w:ascii="仿宋" w:hAnsi="仿宋" w:eastAsia="仿宋" w:cs="仿宋"/>
                <w:color w:val="auto"/>
                <w:sz w:val="24"/>
                <w:highlight w:val="none"/>
              </w:rPr>
            </w:pPr>
          </w:p>
        </w:tc>
        <w:tc>
          <w:tcPr>
            <w:tcW w:w="850" w:type="dxa"/>
            <w:vAlign w:val="center"/>
          </w:tcPr>
          <w:p>
            <w:pPr>
              <w:tabs>
                <w:tab w:val="left" w:pos="360"/>
              </w:tabs>
              <w:spacing w:before="67" w:line="0" w:lineRule="atLeast"/>
              <w:ind w:right="-357" w:firstLine="120"/>
              <w:jc w:val="center"/>
              <w:rPr>
                <w:rFonts w:ascii="仿宋" w:hAnsi="仿宋" w:eastAsia="仿宋" w:cs="仿宋"/>
                <w:color w:val="auto"/>
                <w:sz w:val="24"/>
                <w:highlight w:val="none"/>
              </w:rPr>
            </w:pPr>
          </w:p>
        </w:tc>
        <w:tc>
          <w:tcPr>
            <w:tcW w:w="639" w:type="dxa"/>
            <w:vAlign w:val="center"/>
          </w:tcPr>
          <w:p>
            <w:pPr>
              <w:tabs>
                <w:tab w:val="left" w:pos="360"/>
              </w:tabs>
              <w:spacing w:before="67" w:line="0" w:lineRule="atLeast"/>
              <w:ind w:right="-357" w:firstLine="240"/>
              <w:jc w:val="center"/>
              <w:rPr>
                <w:rFonts w:ascii="仿宋" w:hAnsi="仿宋" w:eastAsia="仿宋" w:cs="仿宋"/>
                <w:color w:val="auto"/>
                <w:sz w:val="24"/>
                <w:highlight w:val="none"/>
              </w:rPr>
            </w:pPr>
          </w:p>
        </w:tc>
        <w:tc>
          <w:tcPr>
            <w:tcW w:w="668" w:type="dxa"/>
            <w:vAlign w:val="center"/>
          </w:tcPr>
          <w:p>
            <w:pPr>
              <w:tabs>
                <w:tab w:val="left" w:pos="360"/>
              </w:tabs>
              <w:spacing w:before="67" w:line="0" w:lineRule="atLeast"/>
              <w:ind w:right="-357" w:firstLine="240"/>
              <w:jc w:val="center"/>
              <w:rPr>
                <w:rFonts w:ascii="仿宋" w:hAnsi="仿宋" w:eastAsia="仿宋" w:cs="仿宋"/>
                <w:color w:val="auto"/>
                <w:sz w:val="24"/>
                <w:highlight w:val="none"/>
              </w:rPr>
            </w:pPr>
          </w:p>
        </w:tc>
        <w:tc>
          <w:tcPr>
            <w:tcW w:w="959" w:type="dxa"/>
            <w:vAlign w:val="center"/>
          </w:tcPr>
          <w:p>
            <w:pPr>
              <w:tabs>
                <w:tab w:val="left" w:pos="360"/>
              </w:tabs>
              <w:spacing w:before="67" w:line="0" w:lineRule="atLeast"/>
              <w:ind w:right="-357" w:firstLine="240"/>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0" w:type="dxa"/>
            <w:vAlign w:val="center"/>
          </w:tcPr>
          <w:p>
            <w:pPr>
              <w:tabs>
                <w:tab w:val="left" w:pos="360"/>
              </w:tabs>
              <w:spacing w:before="67" w:line="0" w:lineRule="atLeast"/>
              <w:ind w:right="-357"/>
              <w:jc w:val="center"/>
              <w:rPr>
                <w:rFonts w:ascii="仿宋" w:hAnsi="仿宋" w:eastAsia="仿宋" w:cs="仿宋"/>
                <w:color w:val="auto"/>
                <w:sz w:val="24"/>
                <w:highlight w:val="none"/>
              </w:rPr>
            </w:pPr>
          </w:p>
        </w:tc>
        <w:tc>
          <w:tcPr>
            <w:tcW w:w="1398" w:type="dxa"/>
            <w:vAlign w:val="center"/>
          </w:tcPr>
          <w:p>
            <w:pPr>
              <w:jc w:val="center"/>
              <w:rPr>
                <w:rFonts w:ascii="仿宋" w:hAnsi="仿宋" w:eastAsia="仿宋" w:cs="仿宋"/>
                <w:color w:val="auto"/>
                <w:sz w:val="24"/>
                <w:highlight w:val="none"/>
              </w:rPr>
            </w:pPr>
          </w:p>
        </w:tc>
        <w:tc>
          <w:tcPr>
            <w:tcW w:w="1935" w:type="dxa"/>
            <w:vAlign w:val="center"/>
          </w:tcPr>
          <w:p>
            <w:pPr>
              <w:tabs>
                <w:tab w:val="left" w:pos="360"/>
              </w:tabs>
              <w:spacing w:before="67" w:line="0" w:lineRule="atLeast"/>
              <w:ind w:right="-357" w:firstLine="200"/>
              <w:jc w:val="center"/>
              <w:rPr>
                <w:rFonts w:ascii="仿宋" w:hAnsi="仿宋" w:eastAsia="仿宋" w:cs="仿宋"/>
                <w:color w:val="auto"/>
                <w:sz w:val="24"/>
                <w:highlight w:val="none"/>
              </w:rPr>
            </w:pPr>
          </w:p>
        </w:tc>
        <w:tc>
          <w:tcPr>
            <w:tcW w:w="1167" w:type="dxa"/>
            <w:vAlign w:val="center"/>
          </w:tcPr>
          <w:p>
            <w:pPr>
              <w:jc w:val="center"/>
              <w:rPr>
                <w:rFonts w:ascii="仿宋" w:hAnsi="仿宋" w:eastAsia="仿宋" w:cs="仿宋"/>
                <w:color w:val="auto"/>
                <w:sz w:val="24"/>
                <w:highlight w:val="none"/>
              </w:rPr>
            </w:pPr>
          </w:p>
        </w:tc>
        <w:tc>
          <w:tcPr>
            <w:tcW w:w="850" w:type="dxa"/>
            <w:vAlign w:val="center"/>
          </w:tcPr>
          <w:p>
            <w:pPr>
              <w:tabs>
                <w:tab w:val="left" w:pos="360"/>
              </w:tabs>
              <w:spacing w:before="67" w:line="0" w:lineRule="atLeast"/>
              <w:ind w:right="-357" w:firstLine="120"/>
              <w:jc w:val="center"/>
              <w:rPr>
                <w:rFonts w:ascii="仿宋" w:hAnsi="仿宋" w:eastAsia="仿宋" w:cs="仿宋"/>
                <w:color w:val="auto"/>
                <w:sz w:val="24"/>
                <w:highlight w:val="none"/>
              </w:rPr>
            </w:pPr>
          </w:p>
        </w:tc>
        <w:tc>
          <w:tcPr>
            <w:tcW w:w="639" w:type="dxa"/>
            <w:vAlign w:val="center"/>
          </w:tcPr>
          <w:p>
            <w:pPr>
              <w:tabs>
                <w:tab w:val="left" w:pos="360"/>
              </w:tabs>
              <w:spacing w:before="67" w:line="0" w:lineRule="atLeast"/>
              <w:ind w:right="-357" w:firstLine="240"/>
              <w:jc w:val="center"/>
              <w:rPr>
                <w:rFonts w:ascii="仿宋" w:hAnsi="仿宋" w:eastAsia="仿宋" w:cs="仿宋"/>
                <w:color w:val="auto"/>
                <w:sz w:val="24"/>
                <w:highlight w:val="none"/>
              </w:rPr>
            </w:pPr>
          </w:p>
        </w:tc>
        <w:tc>
          <w:tcPr>
            <w:tcW w:w="668" w:type="dxa"/>
            <w:vAlign w:val="center"/>
          </w:tcPr>
          <w:p>
            <w:pPr>
              <w:tabs>
                <w:tab w:val="left" w:pos="360"/>
              </w:tabs>
              <w:spacing w:before="67" w:line="0" w:lineRule="atLeast"/>
              <w:ind w:right="-357" w:firstLine="240"/>
              <w:jc w:val="center"/>
              <w:rPr>
                <w:rFonts w:ascii="仿宋" w:hAnsi="仿宋" w:eastAsia="仿宋" w:cs="仿宋"/>
                <w:color w:val="auto"/>
                <w:sz w:val="24"/>
                <w:highlight w:val="none"/>
              </w:rPr>
            </w:pPr>
          </w:p>
        </w:tc>
        <w:tc>
          <w:tcPr>
            <w:tcW w:w="959" w:type="dxa"/>
            <w:vAlign w:val="center"/>
          </w:tcPr>
          <w:p>
            <w:pPr>
              <w:tabs>
                <w:tab w:val="left" w:pos="360"/>
              </w:tabs>
              <w:spacing w:before="67" w:line="0" w:lineRule="atLeast"/>
              <w:ind w:right="-357" w:firstLine="240"/>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0" w:type="dxa"/>
            <w:vAlign w:val="center"/>
          </w:tcPr>
          <w:p>
            <w:pPr>
              <w:tabs>
                <w:tab w:val="left" w:pos="360"/>
              </w:tabs>
              <w:spacing w:before="67" w:line="0" w:lineRule="atLeast"/>
              <w:ind w:right="-357"/>
              <w:jc w:val="center"/>
              <w:rPr>
                <w:rFonts w:ascii="仿宋" w:hAnsi="仿宋" w:eastAsia="仿宋" w:cs="仿宋"/>
                <w:color w:val="auto"/>
                <w:sz w:val="24"/>
                <w:highlight w:val="none"/>
              </w:rPr>
            </w:pPr>
          </w:p>
        </w:tc>
        <w:tc>
          <w:tcPr>
            <w:tcW w:w="1398" w:type="dxa"/>
            <w:vAlign w:val="center"/>
          </w:tcPr>
          <w:p>
            <w:pPr>
              <w:jc w:val="center"/>
              <w:rPr>
                <w:rFonts w:ascii="仿宋" w:hAnsi="仿宋" w:eastAsia="仿宋" w:cs="仿宋"/>
                <w:color w:val="auto"/>
                <w:sz w:val="24"/>
                <w:highlight w:val="none"/>
              </w:rPr>
            </w:pPr>
          </w:p>
        </w:tc>
        <w:tc>
          <w:tcPr>
            <w:tcW w:w="1935" w:type="dxa"/>
            <w:vAlign w:val="center"/>
          </w:tcPr>
          <w:p>
            <w:pPr>
              <w:tabs>
                <w:tab w:val="left" w:pos="360"/>
              </w:tabs>
              <w:spacing w:before="67" w:line="0" w:lineRule="atLeast"/>
              <w:ind w:right="-357" w:firstLine="200"/>
              <w:jc w:val="center"/>
              <w:rPr>
                <w:rFonts w:ascii="仿宋" w:hAnsi="仿宋" w:eastAsia="仿宋" w:cs="仿宋"/>
                <w:color w:val="auto"/>
                <w:sz w:val="24"/>
                <w:highlight w:val="none"/>
              </w:rPr>
            </w:pPr>
          </w:p>
        </w:tc>
        <w:tc>
          <w:tcPr>
            <w:tcW w:w="1167" w:type="dxa"/>
            <w:vAlign w:val="center"/>
          </w:tcPr>
          <w:p>
            <w:pPr>
              <w:jc w:val="center"/>
              <w:rPr>
                <w:rFonts w:ascii="仿宋" w:hAnsi="仿宋" w:eastAsia="仿宋" w:cs="仿宋"/>
                <w:color w:val="auto"/>
                <w:sz w:val="24"/>
                <w:highlight w:val="none"/>
              </w:rPr>
            </w:pPr>
          </w:p>
        </w:tc>
        <w:tc>
          <w:tcPr>
            <w:tcW w:w="850" w:type="dxa"/>
            <w:vAlign w:val="center"/>
          </w:tcPr>
          <w:p>
            <w:pPr>
              <w:tabs>
                <w:tab w:val="left" w:pos="360"/>
              </w:tabs>
              <w:spacing w:before="67" w:line="0" w:lineRule="atLeast"/>
              <w:ind w:right="-357" w:firstLine="120"/>
              <w:jc w:val="center"/>
              <w:rPr>
                <w:rFonts w:ascii="仿宋" w:hAnsi="仿宋" w:eastAsia="仿宋" w:cs="仿宋"/>
                <w:color w:val="auto"/>
                <w:sz w:val="24"/>
                <w:highlight w:val="none"/>
              </w:rPr>
            </w:pPr>
          </w:p>
        </w:tc>
        <w:tc>
          <w:tcPr>
            <w:tcW w:w="639" w:type="dxa"/>
            <w:vAlign w:val="center"/>
          </w:tcPr>
          <w:p>
            <w:pPr>
              <w:tabs>
                <w:tab w:val="left" w:pos="360"/>
              </w:tabs>
              <w:spacing w:before="67" w:line="0" w:lineRule="atLeast"/>
              <w:ind w:right="-357" w:firstLine="240"/>
              <w:jc w:val="center"/>
              <w:rPr>
                <w:rFonts w:ascii="仿宋" w:hAnsi="仿宋" w:eastAsia="仿宋" w:cs="仿宋"/>
                <w:color w:val="auto"/>
                <w:sz w:val="24"/>
                <w:highlight w:val="none"/>
              </w:rPr>
            </w:pPr>
          </w:p>
        </w:tc>
        <w:tc>
          <w:tcPr>
            <w:tcW w:w="668" w:type="dxa"/>
            <w:vAlign w:val="center"/>
          </w:tcPr>
          <w:p>
            <w:pPr>
              <w:tabs>
                <w:tab w:val="left" w:pos="360"/>
              </w:tabs>
              <w:spacing w:before="67" w:line="0" w:lineRule="atLeast"/>
              <w:ind w:right="-357" w:firstLine="240"/>
              <w:jc w:val="center"/>
              <w:rPr>
                <w:rFonts w:ascii="仿宋" w:hAnsi="仿宋" w:eastAsia="仿宋" w:cs="仿宋"/>
                <w:color w:val="auto"/>
                <w:sz w:val="24"/>
                <w:highlight w:val="none"/>
              </w:rPr>
            </w:pPr>
          </w:p>
        </w:tc>
        <w:tc>
          <w:tcPr>
            <w:tcW w:w="959" w:type="dxa"/>
            <w:vAlign w:val="center"/>
          </w:tcPr>
          <w:p>
            <w:pPr>
              <w:tabs>
                <w:tab w:val="left" w:pos="360"/>
              </w:tabs>
              <w:spacing w:before="67" w:line="0" w:lineRule="atLeast"/>
              <w:ind w:right="-357" w:firstLine="240"/>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0" w:type="dxa"/>
            <w:vAlign w:val="center"/>
          </w:tcPr>
          <w:p>
            <w:pPr>
              <w:tabs>
                <w:tab w:val="left" w:pos="360"/>
              </w:tabs>
              <w:spacing w:before="67" w:line="0" w:lineRule="atLeast"/>
              <w:ind w:right="-357"/>
              <w:jc w:val="center"/>
              <w:rPr>
                <w:rFonts w:ascii="仿宋" w:hAnsi="仿宋" w:eastAsia="仿宋" w:cs="仿宋"/>
                <w:color w:val="auto"/>
                <w:sz w:val="24"/>
                <w:highlight w:val="none"/>
              </w:rPr>
            </w:pPr>
          </w:p>
        </w:tc>
        <w:tc>
          <w:tcPr>
            <w:tcW w:w="1398" w:type="dxa"/>
            <w:vAlign w:val="center"/>
          </w:tcPr>
          <w:p>
            <w:pPr>
              <w:jc w:val="center"/>
              <w:rPr>
                <w:rFonts w:ascii="仿宋" w:hAnsi="仿宋" w:eastAsia="仿宋" w:cs="仿宋"/>
                <w:color w:val="auto"/>
                <w:sz w:val="24"/>
                <w:highlight w:val="none"/>
              </w:rPr>
            </w:pPr>
          </w:p>
        </w:tc>
        <w:tc>
          <w:tcPr>
            <w:tcW w:w="1935" w:type="dxa"/>
            <w:vAlign w:val="center"/>
          </w:tcPr>
          <w:p>
            <w:pPr>
              <w:tabs>
                <w:tab w:val="left" w:pos="360"/>
              </w:tabs>
              <w:spacing w:before="67" w:line="0" w:lineRule="atLeast"/>
              <w:ind w:right="-357" w:firstLine="200"/>
              <w:jc w:val="center"/>
              <w:rPr>
                <w:rFonts w:ascii="仿宋" w:hAnsi="仿宋" w:eastAsia="仿宋" w:cs="仿宋"/>
                <w:color w:val="auto"/>
                <w:sz w:val="24"/>
                <w:highlight w:val="none"/>
              </w:rPr>
            </w:pPr>
          </w:p>
        </w:tc>
        <w:tc>
          <w:tcPr>
            <w:tcW w:w="1167" w:type="dxa"/>
            <w:vAlign w:val="center"/>
          </w:tcPr>
          <w:p>
            <w:pPr>
              <w:jc w:val="center"/>
              <w:rPr>
                <w:rFonts w:ascii="仿宋" w:hAnsi="仿宋" w:eastAsia="仿宋" w:cs="仿宋"/>
                <w:color w:val="auto"/>
                <w:sz w:val="24"/>
                <w:highlight w:val="none"/>
              </w:rPr>
            </w:pPr>
          </w:p>
        </w:tc>
        <w:tc>
          <w:tcPr>
            <w:tcW w:w="850" w:type="dxa"/>
            <w:vAlign w:val="center"/>
          </w:tcPr>
          <w:p>
            <w:pPr>
              <w:tabs>
                <w:tab w:val="left" w:pos="360"/>
              </w:tabs>
              <w:spacing w:before="67" w:line="0" w:lineRule="atLeast"/>
              <w:ind w:right="-357" w:firstLine="120"/>
              <w:jc w:val="center"/>
              <w:rPr>
                <w:rFonts w:ascii="仿宋" w:hAnsi="仿宋" w:eastAsia="仿宋" w:cs="仿宋"/>
                <w:color w:val="auto"/>
                <w:sz w:val="24"/>
                <w:highlight w:val="none"/>
              </w:rPr>
            </w:pPr>
          </w:p>
        </w:tc>
        <w:tc>
          <w:tcPr>
            <w:tcW w:w="639" w:type="dxa"/>
            <w:vAlign w:val="center"/>
          </w:tcPr>
          <w:p>
            <w:pPr>
              <w:tabs>
                <w:tab w:val="left" w:pos="360"/>
              </w:tabs>
              <w:spacing w:before="67" w:line="0" w:lineRule="atLeast"/>
              <w:ind w:right="-357" w:firstLine="240"/>
              <w:jc w:val="center"/>
              <w:rPr>
                <w:rFonts w:ascii="仿宋" w:hAnsi="仿宋" w:eastAsia="仿宋" w:cs="仿宋"/>
                <w:color w:val="auto"/>
                <w:sz w:val="24"/>
                <w:highlight w:val="none"/>
              </w:rPr>
            </w:pPr>
          </w:p>
        </w:tc>
        <w:tc>
          <w:tcPr>
            <w:tcW w:w="668" w:type="dxa"/>
            <w:vAlign w:val="center"/>
          </w:tcPr>
          <w:p>
            <w:pPr>
              <w:tabs>
                <w:tab w:val="left" w:pos="360"/>
              </w:tabs>
              <w:spacing w:before="67" w:line="0" w:lineRule="atLeast"/>
              <w:ind w:right="-357" w:firstLine="240"/>
              <w:jc w:val="center"/>
              <w:rPr>
                <w:rFonts w:ascii="仿宋" w:hAnsi="仿宋" w:eastAsia="仿宋" w:cs="仿宋"/>
                <w:color w:val="auto"/>
                <w:sz w:val="24"/>
                <w:highlight w:val="none"/>
              </w:rPr>
            </w:pPr>
          </w:p>
        </w:tc>
        <w:tc>
          <w:tcPr>
            <w:tcW w:w="959" w:type="dxa"/>
            <w:vAlign w:val="center"/>
          </w:tcPr>
          <w:p>
            <w:pPr>
              <w:tabs>
                <w:tab w:val="left" w:pos="360"/>
              </w:tabs>
              <w:spacing w:before="67" w:line="0" w:lineRule="atLeast"/>
              <w:ind w:right="-357" w:firstLine="240"/>
              <w:jc w:val="center"/>
              <w:rPr>
                <w:rFonts w:ascii="仿宋" w:hAnsi="仿宋" w:eastAsia="仿宋" w:cs="仿宋"/>
                <w:color w:val="auto"/>
                <w:sz w:val="24"/>
                <w:highlight w:val="none"/>
              </w:rPr>
            </w:pPr>
          </w:p>
        </w:tc>
      </w:tr>
    </w:tbl>
    <w:p>
      <w:pPr>
        <w:snapToGrid w:val="0"/>
        <w:spacing w:line="0" w:lineRule="atLeast"/>
        <w:rPr>
          <w:rFonts w:ascii="仿宋" w:hAnsi="仿宋" w:eastAsia="仿宋" w:cs="仿宋"/>
          <w:color w:val="auto"/>
          <w:sz w:val="24"/>
          <w:highlight w:val="none"/>
        </w:rPr>
      </w:pPr>
    </w:p>
    <w:p>
      <w:pPr>
        <w:snapToGrid w:val="0"/>
        <w:spacing w:line="0" w:lineRule="atLeast"/>
        <w:rPr>
          <w:rFonts w:ascii="仿宋" w:hAnsi="仿宋" w:eastAsia="仿宋" w:cs="仿宋"/>
          <w:color w:val="auto"/>
          <w:sz w:val="24"/>
          <w:highlight w:val="none"/>
        </w:rPr>
      </w:pPr>
      <w:r>
        <w:rPr>
          <w:rFonts w:hint="eastAsia" w:ascii="仿宋" w:hAnsi="仿宋" w:eastAsia="仿宋" w:cs="仿宋"/>
          <w:color w:val="auto"/>
          <w:sz w:val="24"/>
          <w:highlight w:val="none"/>
        </w:rPr>
        <w:t>注：</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bCs/>
          <w:color w:val="auto"/>
          <w:sz w:val="24"/>
          <w:highlight w:val="none"/>
        </w:rPr>
        <w:t>此表为表样，行数可自行添加，但表式不变；</w:t>
      </w:r>
    </w:p>
    <w:p>
      <w:pPr>
        <w:snapToGrid w:val="0"/>
        <w:spacing w:line="360" w:lineRule="auto"/>
        <w:ind w:firstLine="432" w:firstLineChars="180"/>
        <w:rPr>
          <w:rFonts w:ascii="仿宋" w:hAnsi="仿宋" w:eastAsia="仿宋" w:cs="仿宋"/>
          <w:color w:val="auto"/>
          <w:sz w:val="24"/>
          <w:highlight w:val="none"/>
        </w:rPr>
      </w:pPr>
      <w:r>
        <w:rPr>
          <w:rFonts w:hint="eastAsia" w:ascii="仿宋" w:hAnsi="仿宋" w:eastAsia="仿宋" w:cs="仿宋"/>
          <w:color w:val="auto"/>
          <w:sz w:val="24"/>
          <w:highlight w:val="none"/>
        </w:rPr>
        <w:t>(2)相关设备运输、安装调试费用、后续服务及其他所有费用由投标人自行计算填列；</w:t>
      </w:r>
    </w:p>
    <w:p>
      <w:pPr>
        <w:snapToGrid w:val="0"/>
        <w:spacing w:line="360" w:lineRule="auto"/>
        <w:ind w:firstLine="420" w:firstLineChars="175"/>
        <w:rPr>
          <w:rFonts w:ascii="仿宋" w:hAnsi="仿宋" w:eastAsia="仿宋" w:cs="仿宋"/>
          <w:color w:val="auto"/>
          <w:sz w:val="24"/>
          <w:highlight w:val="none"/>
        </w:rPr>
      </w:pPr>
      <w:r>
        <w:rPr>
          <w:rFonts w:hint="eastAsia" w:ascii="仿宋" w:hAnsi="仿宋" w:eastAsia="仿宋" w:cs="仿宋"/>
          <w:color w:val="auto"/>
          <w:sz w:val="24"/>
          <w:highlight w:val="none"/>
        </w:rPr>
        <w:t>(3)总价=单价*数量，数量由投标人自行计算并填列；</w:t>
      </w:r>
    </w:p>
    <w:p>
      <w:pPr>
        <w:tabs>
          <w:tab w:val="left" w:pos="360"/>
        </w:tabs>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(4)本表中“报价总计”数应当等于“开标一览表”中“投标总计”数。</w:t>
      </w:r>
    </w:p>
    <w:p>
      <w:pPr>
        <w:spacing w:line="0" w:lineRule="atLeast"/>
        <w:ind w:firstLine="600"/>
        <w:rPr>
          <w:rFonts w:ascii="仿宋" w:hAnsi="仿宋" w:eastAsia="仿宋" w:cs="仿宋"/>
          <w:color w:val="auto"/>
          <w:sz w:val="24"/>
          <w:highlight w:val="none"/>
        </w:rPr>
      </w:pPr>
    </w:p>
    <w:p>
      <w:pPr>
        <w:rPr>
          <w:rFonts w:ascii="仿宋" w:hAnsi="仿宋" w:eastAsia="仿宋" w:cs="仿宋"/>
          <w:color w:val="auto"/>
          <w:sz w:val="24"/>
          <w:highlight w:val="none"/>
        </w:rPr>
      </w:pPr>
      <w:r>
        <w:rPr>
          <w:rFonts w:hint="eastAsia" w:ascii="仿宋" w:hAnsi="仿宋" w:eastAsia="仿宋" w:cs="仿宋"/>
          <w:color w:val="auto"/>
          <w:sz w:val="24"/>
          <w:highlight w:val="none"/>
        </w:rPr>
        <w:t>投标人全称：（盖章）                被授权代表签字</w:t>
      </w:r>
    </w:p>
    <w:p>
      <w:pPr>
        <w:jc w:val="right"/>
        <w:rPr>
          <w:rFonts w:ascii="仿宋" w:hAnsi="仿宋" w:eastAsia="仿宋" w:cs="仿宋"/>
          <w:color w:val="auto"/>
          <w:sz w:val="24"/>
          <w:highlight w:val="none"/>
          <w:u w:val="single"/>
        </w:rPr>
      </w:pPr>
    </w:p>
    <w:p>
      <w:pPr>
        <w:pStyle w:val="12"/>
        <w:spacing w:line="440" w:lineRule="exact"/>
        <w:ind w:firstLine="0"/>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　　　　　　　　　　　　　　　</w:t>
      </w:r>
      <w:bookmarkEnd w:id="44"/>
      <w:bookmarkEnd w:id="45"/>
      <w:bookmarkStart w:id="48" w:name="_Toc264213367"/>
    </w:p>
    <w:p>
      <w:pPr>
        <w:pStyle w:val="12"/>
        <w:spacing w:line="440" w:lineRule="exact"/>
        <w:ind w:firstLine="0"/>
        <w:rPr>
          <w:rFonts w:ascii="仿宋" w:hAnsi="仿宋" w:eastAsia="仿宋" w:cs="仿宋"/>
          <w:bCs/>
          <w:color w:val="auto"/>
          <w:sz w:val="24"/>
          <w:szCs w:val="24"/>
          <w:highlight w:val="none"/>
        </w:rPr>
      </w:pPr>
    </w:p>
    <w:p>
      <w:pPr>
        <w:pStyle w:val="12"/>
        <w:spacing w:line="440" w:lineRule="exact"/>
        <w:ind w:firstLine="0"/>
        <w:rPr>
          <w:rFonts w:ascii="仿宋" w:hAnsi="仿宋" w:eastAsia="仿宋" w:cs="仿宋"/>
          <w:bCs/>
          <w:color w:val="auto"/>
          <w:sz w:val="24"/>
          <w:szCs w:val="24"/>
          <w:highlight w:val="none"/>
        </w:rPr>
      </w:pPr>
    </w:p>
    <w:p>
      <w:pPr>
        <w:pStyle w:val="12"/>
        <w:spacing w:line="440" w:lineRule="exact"/>
        <w:ind w:firstLine="0"/>
        <w:jc w:val="center"/>
        <w:rPr>
          <w:rFonts w:ascii="仿宋" w:hAnsi="仿宋" w:eastAsia="仿宋" w:cs="仿宋"/>
          <w:b/>
          <w:color w:val="auto"/>
          <w:sz w:val="32"/>
          <w:highlight w:val="none"/>
        </w:rPr>
      </w:pPr>
    </w:p>
    <w:p>
      <w:pPr>
        <w:pStyle w:val="12"/>
        <w:spacing w:line="440" w:lineRule="exact"/>
        <w:ind w:firstLine="0"/>
        <w:jc w:val="center"/>
        <w:rPr>
          <w:rFonts w:ascii="仿宋" w:hAnsi="仿宋" w:eastAsia="仿宋" w:cs="仿宋"/>
          <w:b/>
          <w:color w:val="auto"/>
          <w:sz w:val="32"/>
          <w:highlight w:val="none"/>
        </w:rPr>
      </w:pPr>
    </w:p>
    <w:p>
      <w:pPr>
        <w:pStyle w:val="12"/>
        <w:spacing w:line="440" w:lineRule="exact"/>
        <w:ind w:firstLine="0"/>
        <w:jc w:val="center"/>
        <w:rPr>
          <w:rFonts w:ascii="仿宋" w:hAnsi="仿宋" w:eastAsia="仿宋" w:cs="仿宋"/>
          <w:b/>
          <w:color w:val="auto"/>
          <w:sz w:val="32"/>
          <w:highlight w:val="none"/>
        </w:rPr>
      </w:pPr>
    </w:p>
    <w:p>
      <w:pPr>
        <w:pStyle w:val="12"/>
        <w:spacing w:line="440" w:lineRule="exact"/>
        <w:ind w:firstLine="0"/>
        <w:jc w:val="center"/>
        <w:rPr>
          <w:rFonts w:ascii="仿宋" w:hAnsi="仿宋" w:eastAsia="仿宋" w:cs="仿宋"/>
          <w:b/>
          <w:color w:val="auto"/>
          <w:sz w:val="32"/>
          <w:highlight w:val="none"/>
        </w:rPr>
      </w:pPr>
    </w:p>
    <w:p>
      <w:pPr>
        <w:pStyle w:val="12"/>
        <w:spacing w:line="440" w:lineRule="exact"/>
        <w:ind w:firstLine="0"/>
        <w:jc w:val="center"/>
        <w:rPr>
          <w:rFonts w:ascii="仿宋" w:hAnsi="仿宋" w:eastAsia="仿宋" w:cs="仿宋"/>
          <w:b/>
          <w:color w:val="auto"/>
          <w:sz w:val="32"/>
          <w:highlight w:val="none"/>
        </w:rPr>
      </w:pPr>
    </w:p>
    <w:p>
      <w:pPr>
        <w:pStyle w:val="12"/>
        <w:spacing w:line="440" w:lineRule="exact"/>
        <w:ind w:firstLine="0"/>
        <w:jc w:val="center"/>
        <w:rPr>
          <w:rFonts w:ascii="仿宋" w:hAnsi="仿宋" w:eastAsia="仿宋" w:cs="仿宋"/>
          <w:b/>
          <w:color w:val="auto"/>
          <w:sz w:val="32"/>
          <w:highlight w:val="none"/>
        </w:rPr>
      </w:pPr>
      <w:r>
        <w:rPr>
          <w:rFonts w:hint="eastAsia" w:ascii="仿宋" w:hAnsi="仿宋" w:eastAsia="仿宋" w:cs="仿宋"/>
          <w:b/>
          <w:color w:val="auto"/>
          <w:sz w:val="32"/>
          <w:highlight w:val="none"/>
        </w:rPr>
        <w:t>3、技术要求响应表</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项目名称：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招标编号： </w:t>
      </w:r>
    </w:p>
    <w:p>
      <w:pPr>
        <w:snapToGrid w:val="0"/>
        <w:spacing w:line="360" w:lineRule="auto"/>
        <w:ind w:firstLine="480" w:firstLineChars="200"/>
        <w:rPr>
          <w:rFonts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说明：投标人必须仔细阅读招标文件中所有“用户需求书”中的技术规范条款和相关功能要求，并对所有技术规范和功能偏离的条目列入下表，未列入下表的视作投标人不响应。</w:t>
      </w:r>
      <w:r>
        <w:rPr>
          <w:rFonts w:hint="eastAsia" w:ascii="仿宋" w:hAnsi="仿宋" w:eastAsia="仿宋" w:cs="仿宋"/>
          <w:b/>
          <w:color w:val="auto"/>
          <w:sz w:val="24"/>
          <w:szCs w:val="24"/>
          <w:highlight w:val="none"/>
          <w:u w:val="single"/>
        </w:rPr>
        <w:t>投标人必须根据所投产品的实际情况如实填写，招标方有权要求投标方在投标后进行产品测试，评委会如发现有虚假描述的，该投标文件作废标处理，并没收投标保证金。</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895"/>
        <w:gridCol w:w="2446"/>
        <w:gridCol w:w="2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blHeader/>
        </w:trPr>
        <w:tc>
          <w:tcPr>
            <w:tcW w:w="1217" w:type="dxa"/>
            <w:tcBorders>
              <w:bottom w:val="single" w:color="auto" w:sz="4" w:space="0"/>
            </w:tcBorders>
            <w:shd w:val="clear" w:color="auto" w:fill="D9D9D9"/>
            <w:vAlign w:val="center"/>
          </w:tcPr>
          <w:p>
            <w:pPr>
              <w:snapToGrid w:val="0"/>
              <w:jc w:val="center"/>
              <w:rPr>
                <w:rFonts w:ascii="仿宋" w:hAnsi="仿宋" w:eastAsia="仿宋" w:cs="仿宋"/>
                <w:color w:val="auto"/>
                <w:szCs w:val="21"/>
                <w:highlight w:val="none"/>
              </w:rPr>
            </w:pPr>
            <w:r>
              <w:rPr>
                <w:rFonts w:hint="eastAsia" w:ascii="仿宋" w:hAnsi="仿宋" w:eastAsia="仿宋" w:cs="仿宋"/>
                <w:color w:val="auto"/>
                <w:szCs w:val="21"/>
                <w:highlight w:val="none"/>
              </w:rPr>
              <w:t>序号</w:t>
            </w:r>
          </w:p>
        </w:tc>
        <w:tc>
          <w:tcPr>
            <w:tcW w:w="2895" w:type="dxa"/>
            <w:tcBorders>
              <w:bottom w:val="single" w:color="auto" w:sz="4" w:space="0"/>
            </w:tcBorders>
            <w:shd w:val="clear" w:color="auto" w:fill="D9D9D9"/>
            <w:vAlign w:val="center"/>
          </w:tcPr>
          <w:p>
            <w:pPr>
              <w:snapToGrid w:val="0"/>
              <w:jc w:val="center"/>
              <w:rPr>
                <w:rFonts w:ascii="仿宋" w:hAnsi="仿宋" w:eastAsia="仿宋" w:cs="仿宋"/>
                <w:color w:val="auto"/>
                <w:szCs w:val="21"/>
                <w:highlight w:val="none"/>
              </w:rPr>
            </w:pPr>
            <w:r>
              <w:rPr>
                <w:rFonts w:hint="eastAsia" w:ascii="仿宋" w:hAnsi="仿宋" w:eastAsia="仿宋" w:cs="仿宋"/>
                <w:color w:val="auto"/>
                <w:szCs w:val="21"/>
                <w:highlight w:val="none"/>
              </w:rPr>
              <w:t>原技术规范主要条款描述</w:t>
            </w:r>
          </w:p>
        </w:tc>
        <w:tc>
          <w:tcPr>
            <w:tcW w:w="2446" w:type="dxa"/>
            <w:tcBorders>
              <w:bottom w:val="single" w:color="auto" w:sz="4" w:space="0"/>
            </w:tcBorders>
            <w:shd w:val="clear" w:color="auto" w:fill="D9D9D9"/>
            <w:vAlign w:val="center"/>
          </w:tcPr>
          <w:p>
            <w:pPr>
              <w:snapToGrid w:val="0"/>
              <w:jc w:val="center"/>
              <w:rPr>
                <w:rFonts w:ascii="仿宋" w:hAnsi="仿宋" w:eastAsia="仿宋" w:cs="仿宋"/>
                <w:color w:val="auto"/>
                <w:szCs w:val="21"/>
                <w:highlight w:val="none"/>
              </w:rPr>
            </w:pPr>
            <w:r>
              <w:rPr>
                <w:rFonts w:hint="eastAsia" w:ascii="仿宋" w:hAnsi="仿宋" w:eastAsia="仿宋" w:cs="仿宋"/>
                <w:color w:val="auto"/>
                <w:szCs w:val="21"/>
                <w:highlight w:val="none"/>
              </w:rPr>
              <w:t>投标人技术规范描述</w:t>
            </w:r>
          </w:p>
        </w:tc>
        <w:tc>
          <w:tcPr>
            <w:tcW w:w="2502" w:type="dxa"/>
            <w:tcBorders>
              <w:bottom w:val="single" w:color="auto" w:sz="4" w:space="0"/>
            </w:tcBorders>
            <w:shd w:val="clear" w:color="auto" w:fill="D9D9D9"/>
            <w:vAlign w:val="center"/>
          </w:tcPr>
          <w:p>
            <w:pPr>
              <w:snapToGrid w:val="0"/>
              <w:jc w:val="center"/>
              <w:rPr>
                <w:rFonts w:ascii="仿宋" w:hAnsi="仿宋" w:eastAsia="仿宋" w:cs="仿宋"/>
                <w:color w:val="auto"/>
                <w:szCs w:val="21"/>
                <w:highlight w:val="none"/>
              </w:rPr>
            </w:pPr>
            <w:r>
              <w:rPr>
                <w:rFonts w:hint="eastAsia" w:ascii="仿宋" w:hAnsi="仿宋" w:eastAsia="仿宋" w:cs="仿宋"/>
                <w:color w:val="auto"/>
                <w:szCs w:val="21"/>
                <w:highlight w:val="none"/>
              </w:rPr>
              <w:t>偏离情况说明</w:t>
            </w:r>
          </w:p>
          <w:p>
            <w:pPr>
              <w:snapToGrid w:val="0"/>
              <w:jc w:val="center"/>
              <w:rPr>
                <w:rFonts w:ascii="仿宋" w:hAnsi="仿宋" w:eastAsia="仿宋" w:cs="仿宋"/>
                <w:color w:val="auto"/>
                <w:szCs w:val="21"/>
                <w:highlight w:val="none"/>
              </w:rPr>
            </w:pPr>
            <w:r>
              <w:rPr>
                <w:rFonts w:hint="eastAsia" w:ascii="仿宋" w:hAnsi="仿宋" w:eastAsia="仿宋" w:cs="仿宋"/>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blHeader/>
        </w:trPr>
        <w:tc>
          <w:tcPr>
            <w:tcW w:w="1217"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1</w:t>
            </w:r>
          </w:p>
        </w:tc>
        <w:tc>
          <w:tcPr>
            <w:tcW w:w="2895" w:type="dxa"/>
            <w:vAlign w:val="center"/>
          </w:tcPr>
          <w:p>
            <w:pPr>
              <w:snapToGrid w:val="0"/>
              <w:jc w:val="center"/>
              <w:rPr>
                <w:rFonts w:ascii="仿宋" w:hAnsi="仿宋" w:eastAsia="仿宋" w:cs="仿宋"/>
                <w:color w:val="auto"/>
                <w:szCs w:val="21"/>
                <w:highlight w:val="none"/>
              </w:rPr>
            </w:pPr>
          </w:p>
        </w:tc>
        <w:tc>
          <w:tcPr>
            <w:tcW w:w="2446" w:type="dxa"/>
            <w:vAlign w:val="center"/>
          </w:tcPr>
          <w:p>
            <w:pPr>
              <w:snapToGrid w:val="0"/>
              <w:jc w:val="center"/>
              <w:rPr>
                <w:rFonts w:ascii="仿宋" w:hAnsi="仿宋" w:eastAsia="仿宋" w:cs="仿宋"/>
                <w:color w:val="auto"/>
                <w:szCs w:val="21"/>
                <w:highlight w:val="none"/>
              </w:rPr>
            </w:pPr>
          </w:p>
        </w:tc>
        <w:tc>
          <w:tcPr>
            <w:tcW w:w="2502" w:type="dxa"/>
            <w:vAlign w:val="center"/>
          </w:tcPr>
          <w:p>
            <w:pPr>
              <w:snapToGrid w:val="0"/>
              <w:jc w:val="center"/>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blHeader/>
        </w:trPr>
        <w:tc>
          <w:tcPr>
            <w:tcW w:w="1217"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2</w:t>
            </w:r>
          </w:p>
        </w:tc>
        <w:tc>
          <w:tcPr>
            <w:tcW w:w="2895" w:type="dxa"/>
            <w:vAlign w:val="center"/>
          </w:tcPr>
          <w:p>
            <w:pPr>
              <w:snapToGrid w:val="0"/>
              <w:jc w:val="center"/>
              <w:rPr>
                <w:rFonts w:ascii="仿宋" w:hAnsi="仿宋" w:eastAsia="仿宋" w:cs="仿宋"/>
                <w:color w:val="auto"/>
                <w:szCs w:val="21"/>
                <w:highlight w:val="none"/>
              </w:rPr>
            </w:pPr>
          </w:p>
        </w:tc>
        <w:tc>
          <w:tcPr>
            <w:tcW w:w="2446" w:type="dxa"/>
            <w:vAlign w:val="center"/>
          </w:tcPr>
          <w:p>
            <w:pPr>
              <w:snapToGrid w:val="0"/>
              <w:jc w:val="center"/>
              <w:rPr>
                <w:rFonts w:ascii="仿宋" w:hAnsi="仿宋" w:eastAsia="仿宋" w:cs="仿宋"/>
                <w:color w:val="auto"/>
                <w:szCs w:val="21"/>
                <w:highlight w:val="none"/>
              </w:rPr>
            </w:pPr>
          </w:p>
        </w:tc>
        <w:tc>
          <w:tcPr>
            <w:tcW w:w="2502" w:type="dxa"/>
            <w:vAlign w:val="center"/>
          </w:tcPr>
          <w:p>
            <w:pPr>
              <w:snapToGrid w:val="0"/>
              <w:jc w:val="center"/>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blHeader/>
        </w:trPr>
        <w:tc>
          <w:tcPr>
            <w:tcW w:w="1217" w:type="dxa"/>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rPr>
              <w:t xml:space="preserve">    3</w:t>
            </w:r>
          </w:p>
        </w:tc>
        <w:tc>
          <w:tcPr>
            <w:tcW w:w="2895" w:type="dxa"/>
            <w:vAlign w:val="center"/>
          </w:tcPr>
          <w:p>
            <w:pPr>
              <w:snapToGrid w:val="0"/>
              <w:jc w:val="center"/>
              <w:rPr>
                <w:rFonts w:ascii="仿宋" w:hAnsi="仿宋" w:eastAsia="仿宋" w:cs="仿宋"/>
                <w:color w:val="auto"/>
                <w:szCs w:val="21"/>
                <w:highlight w:val="none"/>
              </w:rPr>
            </w:pPr>
          </w:p>
        </w:tc>
        <w:tc>
          <w:tcPr>
            <w:tcW w:w="2446" w:type="dxa"/>
            <w:vAlign w:val="center"/>
          </w:tcPr>
          <w:p>
            <w:pPr>
              <w:snapToGrid w:val="0"/>
              <w:jc w:val="center"/>
              <w:rPr>
                <w:rFonts w:ascii="仿宋" w:hAnsi="仿宋" w:eastAsia="仿宋" w:cs="仿宋"/>
                <w:color w:val="auto"/>
                <w:szCs w:val="21"/>
                <w:highlight w:val="none"/>
              </w:rPr>
            </w:pPr>
          </w:p>
        </w:tc>
        <w:tc>
          <w:tcPr>
            <w:tcW w:w="2502" w:type="dxa"/>
            <w:vAlign w:val="center"/>
          </w:tcPr>
          <w:p>
            <w:pPr>
              <w:snapToGrid w:val="0"/>
              <w:jc w:val="center"/>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blHeader/>
        </w:trPr>
        <w:tc>
          <w:tcPr>
            <w:tcW w:w="1217" w:type="dxa"/>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rPr>
              <w:t xml:space="preserve">    4</w:t>
            </w:r>
          </w:p>
        </w:tc>
        <w:tc>
          <w:tcPr>
            <w:tcW w:w="2895" w:type="dxa"/>
            <w:vAlign w:val="center"/>
          </w:tcPr>
          <w:p>
            <w:pPr>
              <w:snapToGrid w:val="0"/>
              <w:jc w:val="center"/>
              <w:rPr>
                <w:rFonts w:ascii="仿宋" w:hAnsi="仿宋" w:eastAsia="仿宋" w:cs="仿宋"/>
                <w:color w:val="auto"/>
                <w:szCs w:val="21"/>
                <w:highlight w:val="none"/>
              </w:rPr>
            </w:pPr>
          </w:p>
        </w:tc>
        <w:tc>
          <w:tcPr>
            <w:tcW w:w="2446" w:type="dxa"/>
            <w:vAlign w:val="center"/>
          </w:tcPr>
          <w:p>
            <w:pPr>
              <w:snapToGrid w:val="0"/>
              <w:jc w:val="center"/>
              <w:rPr>
                <w:rFonts w:ascii="仿宋" w:hAnsi="仿宋" w:eastAsia="仿宋" w:cs="仿宋"/>
                <w:color w:val="auto"/>
                <w:szCs w:val="21"/>
                <w:highlight w:val="none"/>
              </w:rPr>
            </w:pPr>
          </w:p>
        </w:tc>
        <w:tc>
          <w:tcPr>
            <w:tcW w:w="2502" w:type="dxa"/>
            <w:vAlign w:val="center"/>
          </w:tcPr>
          <w:p>
            <w:pPr>
              <w:snapToGrid w:val="0"/>
              <w:jc w:val="center"/>
              <w:rPr>
                <w:rFonts w:ascii="仿宋" w:hAnsi="仿宋" w:eastAsia="仿宋" w:cs="仿宋"/>
                <w:color w:val="auto"/>
                <w:szCs w:val="21"/>
                <w:highlight w:val="none"/>
              </w:rPr>
            </w:pPr>
          </w:p>
        </w:tc>
      </w:tr>
    </w:tbl>
    <w:p>
      <w:pPr>
        <w:snapToGrid w:val="0"/>
        <w:spacing w:line="360" w:lineRule="auto"/>
        <w:rPr>
          <w:rFonts w:ascii="仿宋" w:hAnsi="仿宋" w:eastAsia="仿宋" w:cs="仿宋"/>
          <w:color w:val="auto"/>
          <w:sz w:val="24"/>
          <w:highlight w:val="none"/>
        </w:rPr>
      </w:pP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投标人全称（公章）：            被授权代表（签字）：</w:t>
      </w:r>
    </w:p>
    <w:p>
      <w:pPr>
        <w:tabs>
          <w:tab w:val="left" w:pos="11130"/>
        </w:tabs>
        <w:snapToGrid w:val="0"/>
        <w:spacing w:line="360" w:lineRule="auto"/>
        <w:ind w:firstLine="120" w:firstLineChars="50"/>
        <w:rPr>
          <w:rFonts w:ascii="仿宋" w:hAnsi="仿宋" w:eastAsia="仿宋" w:cs="仿宋"/>
          <w:color w:val="auto"/>
          <w:sz w:val="24"/>
          <w:highlight w:val="none"/>
        </w:rPr>
      </w:pPr>
      <w:r>
        <w:rPr>
          <w:rFonts w:hint="eastAsia" w:ascii="仿宋" w:hAnsi="仿宋" w:eastAsia="仿宋" w:cs="仿宋"/>
          <w:color w:val="auto"/>
          <w:sz w:val="24"/>
          <w:highlight w:val="none"/>
        </w:rPr>
        <w:t>日   期：</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注：1、此表为表样，行数可自行添加，但表式不变。</w:t>
      </w:r>
      <w:r>
        <w:rPr>
          <w:rFonts w:hint="eastAsia" w:ascii="仿宋" w:hAnsi="仿宋" w:eastAsia="仿宋" w:cs="仿宋"/>
          <w:color w:val="auto"/>
          <w:sz w:val="24"/>
          <w:highlight w:val="none"/>
        </w:rPr>
        <w:tab/>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2、投标人根据系统方案添加的设备、材料等也请列出。</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3、请在“用户需求书” 中列出所投设备的详细技术参数情况。</w:t>
      </w:r>
    </w:p>
    <w:p>
      <w:pPr>
        <w:snapToGrid w:val="0"/>
        <w:spacing w:line="360" w:lineRule="auto"/>
        <w:jc w:val="center"/>
        <w:rPr>
          <w:rFonts w:ascii="仿宋" w:hAnsi="仿宋" w:eastAsia="仿宋" w:cs="仿宋"/>
          <w:color w:val="auto"/>
          <w:highlight w:val="none"/>
        </w:rPr>
      </w:pPr>
      <w:r>
        <w:rPr>
          <w:rFonts w:hint="eastAsia" w:ascii="仿宋" w:hAnsi="仿宋" w:eastAsia="仿宋" w:cs="仿宋"/>
          <w:color w:val="auto"/>
          <w:sz w:val="24"/>
          <w:highlight w:val="none"/>
        </w:rPr>
        <w:t>4、是否偏离用符号“+、=、-”分别表示正偏离、完全响应、负偏离，必须逐次对应响应。</w:t>
      </w:r>
      <w:r>
        <w:rPr>
          <w:rFonts w:hint="eastAsia" w:ascii="仿宋" w:hAnsi="仿宋" w:eastAsia="仿宋" w:cs="仿宋"/>
          <w:b/>
          <w:color w:val="auto"/>
          <w:sz w:val="32"/>
          <w:szCs w:val="32"/>
          <w:highlight w:val="none"/>
        </w:rPr>
        <w:br w:type="page"/>
      </w:r>
      <w:r>
        <w:rPr>
          <w:rFonts w:hint="eastAsia" w:ascii="仿宋" w:hAnsi="仿宋" w:eastAsia="仿宋" w:cs="仿宋"/>
          <w:b/>
          <w:color w:val="auto"/>
          <w:sz w:val="32"/>
          <w:szCs w:val="32"/>
          <w:highlight w:val="none"/>
        </w:rPr>
        <w:t>4、投标函</w:t>
      </w:r>
      <w:bookmarkEnd w:id="48"/>
    </w:p>
    <w:p>
      <w:pPr>
        <w:snapToGrid w:val="0"/>
        <w:spacing w:before="19" w:line="480" w:lineRule="exact"/>
        <w:rPr>
          <w:rFonts w:ascii="仿宋" w:hAnsi="仿宋" w:eastAsia="仿宋" w:cs="仿宋"/>
          <w:color w:val="auto"/>
          <w:sz w:val="24"/>
          <w:highlight w:val="none"/>
        </w:rPr>
      </w:pPr>
      <w:r>
        <w:rPr>
          <w:rFonts w:hint="eastAsia" w:ascii="仿宋" w:hAnsi="仿宋" w:eastAsia="仿宋" w:cs="仿宋"/>
          <w:color w:val="auto"/>
          <w:sz w:val="28"/>
          <w:highlight w:val="none"/>
        </w:rPr>
        <w:t>致：海南政辉招投标代理有限公司：</w:t>
      </w:r>
    </w:p>
    <w:p>
      <w:pPr>
        <w:spacing w:before="19"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根据贵司  </w:t>
      </w:r>
      <w:r>
        <w:rPr>
          <w:rFonts w:hint="eastAsia" w:ascii="仿宋" w:hAnsi="仿宋" w:eastAsia="仿宋" w:cs="仿宋"/>
          <w:color w:val="auto"/>
          <w:sz w:val="24"/>
          <w:highlight w:val="none"/>
          <w:u w:val="single"/>
        </w:rPr>
        <w:t xml:space="preserve">           项目（招标编号：       ）</w:t>
      </w:r>
      <w:r>
        <w:rPr>
          <w:rFonts w:hint="eastAsia" w:ascii="仿宋" w:hAnsi="仿宋" w:eastAsia="仿宋" w:cs="仿宋"/>
          <w:color w:val="auto"/>
          <w:sz w:val="24"/>
          <w:highlight w:val="none"/>
        </w:rPr>
        <w:t>的投标邀请函，正式授权下述签字人（姓名和职务）代表投标人（投标单位名称），提交投标书正本一式壹份，副本肆份。</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根据此函，我们宣布同意如下：</w:t>
      </w:r>
    </w:p>
    <w:p>
      <w:pPr>
        <w:numPr>
          <w:ilvl w:val="1"/>
          <w:numId w:val="6"/>
        </w:num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我方接受招标文件的所有的条款和规定。</w:t>
      </w:r>
    </w:p>
    <w:p>
      <w:pPr>
        <w:numPr>
          <w:ilvl w:val="1"/>
          <w:numId w:val="6"/>
        </w:num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我方同意按照招标文件第二章“投标人须知”的规定，本投标文件的有效期为从投标截止日期起计算的</w:t>
      </w:r>
      <w:r>
        <w:rPr>
          <w:rFonts w:hint="eastAsia" w:ascii="仿宋" w:hAnsi="仿宋" w:eastAsia="仿宋" w:cs="仿宋"/>
          <w:color w:val="auto"/>
          <w:sz w:val="24"/>
          <w:highlight w:val="none"/>
          <w:u w:val="single"/>
        </w:rPr>
        <w:t xml:space="preserve">    天</w:t>
      </w:r>
      <w:r>
        <w:rPr>
          <w:rFonts w:hint="eastAsia" w:ascii="仿宋" w:hAnsi="仿宋" w:eastAsia="仿宋" w:cs="仿宋"/>
          <w:color w:val="auto"/>
          <w:sz w:val="24"/>
          <w:highlight w:val="none"/>
        </w:rPr>
        <w:t>，在此期间，本投标文件将始终对我方具有约束力，并可随时被接受。</w:t>
      </w:r>
    </w:p>
    <w:p>
      <w:pPr>
        <w:numPr>
          <w:ilvl w:val="1"/>
          <w:numId w:val="6"/>
        </w:num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如果在开标后规定的投标有效期内撤回投标，我方的投标保证金可被贵方没收。</w:t>
      </w:r>
    </w:p>
    <w:p>
      <w:pPr>
        <w:numPr>
          <w:ilvl w:val="1"/>
          <w:numId w:val="6"/>
        </w:num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我方完全理解贵方不一定要接受最低价的投标。</w:t>
      </w:r>
    </w:p>
    <w:p>
      <w:pPr>
        <w:numPr>
          <w:ilvl w:val="1"/>
          <w:numId w:val="6"/>
        </w:num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我们同意提供贵单位要求的有关本次投标的所有资料或证据。</w:t>
      </w:r>
    </w:p>
    <w:p>
      <w:pPr>
        <w:numPr>
          <w:ilvl w:val="1"/>
          <w:numId w:val="6"/>
        </w:num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如果我方中标，我们将根据招标文件的规定严格履行自己的责任和义务。</w:t>
      </w:r>
    </w:p>
    <w:p>
      <w:pPr>
        <w:numPr>
          <w:ilvl w:val="1"/>
          <w:numId w:val="6"/>
        </w:num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如果我方中标，我方将支付本次招标的服务费。</w:t>
      </w:r>
    </w:p>
    <w:p>
      <w:pPr>
        <w:snapToGrid w:val="0"/>
        <w:spacing w:line="480" w:lineRule="exact"/>
        <w:ind w:firstLine="570"/>
        <w:rPr>
          <w:rFonts w:ascii="仿宋" w:hAnsi="仿宋" w:eastAsia="仿宋" w:cs="仿宋"/>
          <w:color w:val="auto"/>
          <w:sz w:val="24"/>
          <w:highlight w:val="none"/>
        </w:rPr>
      </w:pPr>
    </w:p>
    <w:p>
      <w:pPr>
        <w:snapToGrid w:val="0"/>
        <w:spacing w:line="48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        投标人名称：</w:t>
      </w:r>
      <w:r>
        <w:rPr>
          <w:rFonts w:hint="eastAsia" w:ascii="仿宋" w:hAnsi="仿宋" w:eastAsia="仿宋" w:cs="仿宋"/>
          <w:color w:val="auto"/>
          <w:sz w:val="24"/>
          <w:highlight w:val="none"/>
          <w:u w:val="single"/>
        </w:rPr>
        <w:t xml:space="preserve">              （公章）</w:t>
      </w:r>
    </w:p>
    <w:p>
      <w:pPr>
        <w:snapToGrid w:val="0"/>
        <w:spacing w:line="48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 xml:space="preserve">        地址：邮编：</w:t>
      </w:r>
    </w:p>
    <w:p>
      <w:pPr>
        <w:snapToGrid w:val="0"/>
        <w:spacing w:line="48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 xml:space="preserve">        电话：传真：</w:t>
      </w:r>
    </w:p>
    <w:p>
      <w:pPr>
        <w:snapToGrid w:val="0"/>
        <w:spacing w:line="48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 xml:space="preserve">        开户名：</w:t>
      </w:r>
    </w:p>
    <w:p>
      <w:pPr>
        <w:snapToGrid w:val="0"/>
        <w:spacing w:line="48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 xml:space="preserve">        开户行： </w:t>
      </w:r>
    </w:p>
    <w:p>
      <w:pPr>
        <w:snapToGrid w:val="0"/>
        <w:spacing w:line="48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 xml:space="preserve">        账  户：</w:t>
      </w:r>
    </w:p>
    <w:p>
      <w:pPr>
        <w:snapToGrid w:val="0"/>
        <w:spacing w:line="48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 xml:space="preserve">        被授权代表签字：   职务：</w:t>
      </w:r>
    </w:p>
    <w:p>
      <w:pPr>
        <w:snapToGrid w:val="0"/>
        <w:spacing w:line="360" w:lineRule="auto"/>
        <w:rPr>
          <w:rFonts w:ascii="仿宋" w:hAnsi="仿宋" w:eastAsia="仿宋" w:cs="仿宋"/>
          <w:b/>
          <w:color w:val="auto"/>
          <w:sz w:val="32"/>
          <w:highlight w:val="none"/>
        </w:rPr>
      </w:pPr>
      <w:r>
        <w:rPr>
          <w:rFonts w:hint="eastAsia" w:ascii="仿宋" w:hAnsi="仿宋" w:eastAsia="仿宋" w:cs="仿宋"/>
          <w:color w:val="auto"/>
          <w:sz w:val="24"/>
          <w:highlight w:val="none"/>
        </w:rPr>
        <w:t xml:space="preserve">                                     日期：</w:t>
      </w:r>
    </w:p>
    <w:p>
      <w:pPr>
        <w:snapToGrid w:val="0"/>
        <w:spacing w:line="360" w:lineRule="auto"/>
        <w:jc w:val="center"/>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br w:type="page"/>
      </w:r>
      <w:r>
        <w:rPr>
          <w:rFonts w:hint="eastAsia" w:ascii="仿宋" w:hAnsi="仿宋" w:eastAsia="仿宋" w:cs="仿宋"/>
          <w:b/>
          <w:color w:val="auto"/>
          <w:sz w:val="32"/>
          <w:szCs w:val="32"/>
          <w:highlight w:val="none"/>
        </w:rPr>
        <w:t>5、法定代表人证明书</w:t>
      </w:r>
    </w:p>
    <w:p>
      <w:pPr>
        <w:spacing w:line="360" w:lineRule="auto"/>
        <w:ind w:firstLine="480" w:firstLineChars="200"/>
        <w:rPr>
          <w:rFonts w:ascii="仿宋" w:hAnsi="仿宋" w:eastAsia="仿宋" w:cs="仿宋"/>
          <w:color w:val="auto"/>
          <w:sz w:val="24"/>
          <w:szCs w:val="24"/>
          <w:highlight w:val="none"/>
        </w:rPr>
      </w:pPr>
    </w:p>
    <w:p>
      <w:pPr>
        <w:spacing w:line="360" w:lineRule="auto"/>
        <w:ind w:firstLine="480" w:firstLineChars="200"/>
        <w:rPr>
          <w:rFonts w:ascii="仿宋" w:hAnsi="仿宋" w:eastAsia="仿宋" w:cs="仿宋"/>
          <w:color w:val="auto"/>
          <w:sz w:val="24"/>
          <w:szCs w:val="24"/>
          <w:highlight w:val="none"/>
        </w:rPr>
      </w:pPr>
    </w:p>
    <w:p>
      <w:p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投标人名称：</w:t>
      </w:r>
    </w:p>
    <w:p>
      <w:p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单位性质：</w:t>
      </w:r>
    </w:p>
    <w:p>
      <w:p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地址：</w:t>
      </w:r>
    </w:p>
    <w:p>
      <w:p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成立时间：年月日</w:t>
      </w:r>
    </w:p>
    <w:p>
      <w:p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经营期限：</w:t>
      </w:r>
    </w:p>
    <w:p>
      <w:p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姓名：性别：年龄： 职务：</w:t>
      </w:r>
    </w:p>
    <w:p>
      <w:p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系（投标人名称）的法定代表人。</w:t>
      </w:r>
    </w:p>
    <w:p>
      <w:pPr>
        <w:spacing w:line="360" w:lineRule="auto"/>
        <w:ind w:firstLine="960" w:firstLineChars="4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特此证明。</w:t>
      </w:r>
    </w:p>
    <w:p>
      <w:pPr>
        <w:spacing w:line="360" w:lineRule="auto"/>
        <w:ind w:firstLine="480" w:firstLineChars="200"/>
        <w:rPr>
          <w:rFonts w:ascii="仿宋" w:hAnsi="仿宋" w:eastAsia="仿宋" w:cs="仿宋"/>
          <w:color w:val="auto"/>
          <w:sz w:val="24"/>
          <w:szCs w:val="24"/>
          <w:highlight w:val="none"/>
        </w:rPr>
      </w:pPr>
    </w:p>
    <w:p>
      <w:p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附：法定代表人身份证复印件</w:t>
      </w:r>
    </w:p>
    <w:p>
      <w:pPr>
        <w:spacing w:line="360" w:lineRule="auto"/>
        <w:ind w:firstLine="480" w:firstLineChars="200"/>
        <w:rPr>
          <w:rFonts w:ascii="仿宋" w:hAnsi="仿宋" w:eastAsia="仿宋" w:cs="仿宋"/>
          <w:color w:val="auto"/>
          <w:sz w:val="24"/>
          <w:szCs w:val="24"/>
          <w:highlight w:val="none"/>
        </w:rPr>
      </w:pPr>
    </w:p>
    <w:p>
      <w:pPr>
        <w:spacing w:line="360" w:lineRule="auto"/>
        <w:ind w:firstLine="2640" w:firstLineChars="11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w:t>
      </w:r>
      <w:r>
        <w:rPr>
          <w:rFonts w:hint="eastAsia" w:ascii="仿宋" w:hAnsi="仿宋" w:eastAsia="仿宋" w:cs="仿宋"/>
          <w:color w:val="auto"/>
          <w:sz w:val="24"/>
          <w:highlight w:val="none"/>
        </w:rPr>
        <w:t>签名或盖章</w:t>
      </w:r>
      <w:r>
        <w:rPr>
          <w:rFonts w:hint="eastAsia" w:ascii="仿宋" w:hAnsi="仿宋" w:eastAsia="仿宋" w:cs="仿宋"/>
          <w:color w:val="auto"/>
          <w:sz w:val="24"/>
          <w:szCs w:val="24"/>
          <w:highlight w:val="none"/>
        </w:rPr>
        <w:t>）</w:t>
      </w:r>
    </w:p>
    <w:p>
      <w:pPr>
        <w:spacing w:line="360" w:lineRule="auto"/>
        <w:ind w:firstLine="2640" w:firstLineChars="11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投标人：（盖单位章）</w:t>
      </w:r>
    </w:p>
    <w:p>
      <w:pPr>
        <w:spacing w:line="360" w:lineRule="auto"/>
        <w:ind w:firstLine="5160" w:firstLineChars="2150"/>
        <w:rPr>
          <w:rFonts w:ascii="仿宋" w:hAnsi="仿宋" w:eastAsia="仿宋" w:cs="仿宋"/>
          <w:color w:val="auto"/>
          <w:sz w:val="24"/>
          <w:szCs w:val="24"/>
          <w:highlight w:val="none"/>
          <w:u w:val="single"/>
        </w:rPr>
      </w:pPr>
    </w:p>
    <w:p>
      <w:pPr>
        <w:spacing w:line="360" w:lineRule="auto"/>
        <w:ind w:firstLine="5160" w:firstLineChars="215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年月日</w:t>
      </w:r>
    </w:p>
    <w:p>
      <w:pPr>
        <w:spacing w:line="360" w:lineRule="auto"/>
        <w:rPr>
          <w:rFonts w:ascii="仿宋" w:hAnsi="仿宋" w:eastAsia="仿宋" w:cs="仿宋"/>
          <w:b/>
          <w:color w:val="auto"/>
          <w:sz w:val="28"/>
          <w:highlight w:val="none"/>
        </w:rPr>
      </w:pPr>
    </w:p>
    <w:p>
      <w:pPr>
        <w:spacing w:line="360" w:lineRule="auto"/>
        <w:rPr>
          <w:rFonts w:ascii="仿宋" w:hAnsi="仿宋" w:eastAsia="仿宋" w:cs="仿宋"/>
          <w:b/>
          <w:color w:val="auto"/>
          <w:sz w:val="28"/>
          <w:highlight w:val="none"/>
        </w:rPr>
      </w:pPr>
    </w:p>
    <w:p>
      <w:pPr>
        <w:spacing w:line="360" w:lineRule="auto"/>
        <w:rPr>
          <w:rFonts w:ascii="仿宋" w:hAnsi="仿宋" w:eastAsia="仿宋" w:cs="仿宋"/>
          <w:b/>
          <w:color w:val="auto"/>
          <w:sz w:val="28"/>
          <w:highlight w:val="none"/>
        </w:rPr>
      </w:pPr>
    </w:p>
    <w:p>
      <w:pPr>
        <w:spacing w:line="360" w:lineRule="auto"/>
        <w:rPr>
          <w:rFonts w:ascii="仿宋" w:hAnsi="仿宋" w:eastAsia="仿宋" w:cs="仿宋"/>
          <w:b/>
          <w:color w:val="auto"/>
          <w:sz w:val="28"/>
          <w:highlight w:val="none"/>
        </w:rPr>
      </w:pPr>
    </w:p>
    <w:p>
      <w:pPr>
        <w:spacing w:line="360" w:lineRule="auto"/>
        <w:rPr>
          <w:rFonts w:ascii="仿宋" w:hAnsi="仿宋" w:eastAsia="仿宋" w:cs="仿宋"/>
          <w:b/>
          <w:color w:val="auto"/>
          <w:sz w:val="28"/>
          <w:highlight w:val="none"/>
        </w:rPr>
      </w:pPr>
    </w:p>
    <w:p>
      <w:pPr>
        <w:pStyle w:val="2"/>
        <w:rPr>
          <w:rFonts w:ascii="仿宋" w:hAnsi="仿宋" w:eastAsia="仿宋" w:cs="仿宋"/>
          <w:color w:val="auto"/>
          <w:highlight w:val="none"/>
        </w:rPr>
      </w:pPr>
    </w:p>
    <w:p>
      <w:pPr>
        <w:rPr>
          <w:rFonts w:ascii="仿宋" w:hAnsi="仿宋" w:eastAsia="仿宋" w:cs="仿宋"/>
          <w:color w:val="auto"/>
          <w:highlight w:val="none"/>
        </w:rPr>
      </w:pPr>
    </w:p>
    <w:p>
      <w:pPr>
        <w:rPr>
          <w:rFonts w:ascii="仿宋" w:hAnsi="仿宋" w:eastAsia="仿宋" w:cs="仿宋"/>
          <w:color w:val="auto"/>
          <w:highlight w:val="none"/>
        </w:rPr>
      </w:pPr>
    </w:p>
    <w:p>
      <w:pPr>
        <w:rPr>
          <w:rFonts w:ascii="仿宋" w:hAnsi="仿宋" w:eastAsia="仿宋" w:cs="仿宋"/>
          <w:color w:val="auto"/>
          <w:highlight w:val="none"/>
        </w:rPr>
      </w:pPr>
    </w:p>
    <w:p>
      <w:pPr>
        <w:spacing w:line="360" w:lineRule="auto"/>
        <w:rPr>
          <w:rFonts w:ascii="仿宋" w:hAnsi="仿宋" w:eastAsia="仿宋" w:cs="仿宋"/>
          <w:b/>
          <w:color w:val="auto"/>
          <w:sz w:val="28"/>
          <w:highlight w:val="none"/>
        </w:rPr>
      </w:pPr>
    </w:p>
    <w:p>
      <w:pPr>
        <w:snapToGrid w:val="0"/>
        <w:spacing w:line="360" w:lineRule="auto"/>
        <w:jc w:val="center"/>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6、授权委托书</w:t>
      </w:r>
    </w:p>
    <w:p>
      <w:pPr>
        <w:spacing w:line="360" w:lineRule="auto"/>
        <w:rPr>
          <w:rFonts w:ascii="仿宋" w:hAnsi="仿宋" w:eastAsia="仿宋" w:cs="仿宋"/>
          <w:b/>
          <w:color w:val="auto"/>
          <w:sz w:val="28"/>
          <w:highlight w:val="none"/>
        </w:rPr>
      </w:pPr>
    </w:p>
    <w:p>
      <w:pPr>
        <w:spacing w:line="360" w:lineRule="auto"/>
        <w:rPr>
          <w:rFonts w:ascii="仿宋" w:hAnsi="仿宋" w:eastAsia="仿宋" w:cs="仿宋"/>
          <w:b/>
          <w:color w:val="auto"/>
          <w:sz w:val="28"/>
          <w:highlight w:val="none"/>
        </w:rPr>
      </w:pPr>
      <w:r>
        <w:rPr>
          <w:rFonts w:hint="eastAsia" w:ascii="仿宋" w:hAnsi="仿宋" w:eastAsia="仿宋" w:cs="仿宋"/>
          <w:b/>
          <w:color w:val="auto"/>
          <w:sz w:val="28"/>
          <w:highlight w:val="none"/>
        </w:rPr>
        <w:t>致：海南政辉招投标代理有限公司：</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    本授权书声明：</w:t>
      </w:r>
    </w:p>
    <w:p>
      <w:pPr>
        <w:snapToGrid w:val="0"/>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委托人：</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地  址： 法定代表人：</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受托人：姓名 性别： 出生日期：年月日</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所在单位：职务：</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身 份 证：联系方式:</w:t>
      </w:r>
    </w:p>
    <w:p>
      <w:pPr>
        <w:snapToGrid w:val="0"/>
        <w:spacing w:line="360" w:lineRule="auto"/>
        <w:ind w:firstLine="480" w:firstLineChars="200"/>
        <w:rPr>
          <w:rFonts w:ascii="仿宋" w:hAnsi="仿宋" w:eastAsia="仿宋" w:cs="仿宋"/>
          <w:color w:val="auto"/>
          <w:sz w:val="24"/>
          <w:highlight w:val="none"/>
          <w:u w:val="single"/>
        </w:rPr>
      </w:pPr>
      <w:r>
        <w:rPr>
          <w:rFonts w:hint="eastAsia" w:ascii="仿宋" w:hAnsi="仿宋" w:eastAsia="仿宋" w:cs="仿宋"/>
          <w:color w:val="auto"/>
          <w:sz w:val="24"/>
          <w:highlight w:val="none"/>
        </w:rPr>
        <w:t xml:space="preserve">兹委托受托人代表我方参加海南政辉招投标代理有限公司组织的 </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项目（招标编号：     ）的政府采购活动，并授权其全权办理以下事宜：</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1、参加投标活动；</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2、出席开标评标会议；</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3、签订与中标事宜有关的合同；</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4、负责合同的履行、服务以及在合同履行过程中有关事宜的洽谈和处理。</w:t>
      </w:r>
    </w:p>
    <w:p>
      <w:pPr>
        <w:snapToGrid w:val="0"/>
        <w:spacing w:line="360" w:lineRule="auto"/>
        <w:ind w:left="480" w:hanging="480" w:hanging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    受托人在办理上述事宜过程中以其自己的名义所签署的所有文件我方均予以承认。受托人无转委托权。</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委托期限：至上述事宜处理完毕止。</w:t>
      </w:r>
    </w:p>
    <w:p>
      <w:pPr>
        <w:snapToGrid w:val="0"/>
        <w:spacing w:line="360" w:lineRule="auto"/>
        <w:rPr>
          <w:rFonts w:ascii="仿宋" w:hAnsi="仿宋" w:eastAsia="仿宋" w:cs="仿宋"/>
          <w:color w:val="auto"/>
          <w:sz w:val="24"/>
          <w:highlight w:val="none"/>
        </w:rPr>
      </w:pPr>
    </w:p>
    <w:p>
      <w:pPr>
        <w:snapToGrid w:val="0"/>
        <w:spacing w:line="360" w:lineRule="auto"/>
        <w:rPr>
          <w:rFonts w:ascii="仿宋" w:hAnsi="仿宋" w:eastAsia="仿宋" w:cs="仿宋"/>
          <w:color w:val="auto"/>
          <w:sz w:val="24"/>
          <w:highlight w:val="none"/>
        </w:rPr>
      </w:pP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附：受托人身份证复印件</w:t>
      </w:r>
    </w:p>
    <w:p>
      <w:pPr>
        <w:snapToGrid w:val="0"/>
        <w:spacing w:line="360" w:lineRule="auto"/>
        <w:ind w:firstLine="3840" w:firstLineChars="1600"/>
        <w:rPr>
          <w:rFonts w:ascii="仿宋" w:hAnsi="仿宋" w:eastAsia="仿宋" w:cs="仿宋"/>
          <w:color w:val="auto"/>
          <w:sz w:val="24"/>
          <w:highlight w:val="none"/>
        </w:rPr>
      </w:pPr>
    </w:p>
    <w:p>
      <w:pPr>
        <w:snapToGrid w:val="0"/>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 xml:space="preserve">                                法定代表人 </w:t>
      </w:r>
      <w:r>
        <w:rPr>
          <w:rFonts w:hint="eastAsia" w:ascii="仿宋" w:hAnsi="仿宋" w:eastAsia="仿宋" w:cs="仿宋"/>
          <w:color w:val="auto"/>
          <w:sz w:val="24"/>
          <w:highlight w:val="none"/>
          <w:u w:val="single"/>
        </w:rPr>
        <w:t xml:space="preserve"> （签名或盖章）          </w:t>
      </w:r>
    </w:p>
    <w:p>
      <w:pPr>
        <w:snapToGrid w:val="0"/>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 xml:space="preserve">                                受托人 </w:t>
      </w:r>
      <w:r>
        <w:rPr>
          <w:rFonts w:hint="eastAsia" w:ascii="仿宋" w:hAnsi="仿宋" w:eastAsia="仿宋" w:cs="仿宋"/>
          <w:color w:val="auto"/>
          <w:sz w:val="24"/>
          <w:highlight w:val="none"/>
          <w:u w:val="single"/>
        </w:rPr>
        <w:t xml:space="preserve"> （签名）          </w:t>
      </w:r>
    </w:p>
    <w:p>
      <w:pPr>
        <w:snapToGrid w:val="0"/>
        <w:spacing w:line="360" w:lineRule="auto"/>
        <w:ind w:firstLine="3840" w:firstLineChars="1600"/>
        <w:rPr>
          <w:rFonts w:ascii="仿宋" w:hAnsi="仿宋" w:eastAsia="仿宋" w:cs="仿宋"/>
          <w:color w:val="auto"/>
          <w:sz w:val="24"/>
          <w:highlight w:val="none"/>
          <w:u w:val="single"/>
        </w:rPr>
      </w:pPr>
      <w:r>
        <w:rPr>
          <w:rFonts w:hint="eastAsia" w:ascii="仿宋" w:hAnsi="仿宋" w:eastAsia="仿宋" w:cs="仿宋"/>
          <w:color w:val="auto"/>
          <w:sz w:val="24"/>
          <w:highlight w:val="none"/>
        </w:rPr>
        <w:t xml:space="preserve">委托单位   </w:t>
      </w:r>
      <w:r>
        <w:rPr>
          <w:rFonts w:hint="eastAsia" w:ascii="仿宋" w:hAnsi="仿宋" w:eastAsia="仿宋" w:cs="仿宋"/>
          <w:color w:val="auto"/>
          <w:sz w:val="24"/>
          <w:highlight w:val="none"/>
          <w:u w:val="single"/>
        </w:rPr>
        <w:t xml:space="preserve"> （公章）          </w:t>
      </w:r>
    </w:p>
    <w:p>
      <w:pPr>
        <w:snapToGrid w:val="0"/>
        <w:spacing w:line="360" w:lineRule="auto"/>
        <w:ind w:firstLine="352" w:firstLineChars="147"/>
        <w:jc w:val="right"/>
        <w:rPr>
          <w:rFonts w:ascii="仿宋" w:hAnsi="仿宋" w:eastAsia="仿宋" w:cs="仿宋"/>
          <w:color w:val="auto"/>
          <w:sz w:val="24"/>
          <w:highlight w:val="none"/>
        </w:rPr>
      </w:pPr>
      <w:r>
        <w:rPr>
          <w:rFonts w:hint="eastAsia" w:ascii="仿宋" w:hAnsi="仿宋" w:eastAsia="仿宋" w:cs="仿宋"/>
          <w:color w:val="auto"/>
          <w:sz w:val="24"/>
          <w:highlight w:val="none"/>
        </w:rPr>
        <w:t>年月日</w:t>
      </w:r>
    </w:p>
    <w:p>
      <w:pPr>
        <w:spacing w:line="375" w:lineRule="atLeast"/>
        <w:rPr>
          <w:rFonts w:ascii="仿宋" w:hAnsi="仿宋" w:eastAsia="仿宋" w:cs="仿宋"/>
          <w:color w:val="auto"/>
          <w:sz w:val="24"/>
          <w:highlight w:val="none"/>
        </w:rPr>
      </w:pPr>
    </w:p>
    <w:p>
      <w:pPr>
        <w:spacing w:line="375" w:lineRule="atLeast"/>
        <w:ind w:firstLine="480" w:firstLineChars="200"/>
        <w:rPr>
          <w:rFonts w:ascii="仿宋" w:hAnsi="仿宋" w:eastAsia="仿宋" w:cs="仿宋"/>
          <w:color w:val="auto"/>
          <w:sz w:val="24"/>
          <w:highlight w:val="none"/>
        </w:rPr>
      </w:pPr>
    </w:p>
    <w:p>
      <w:pPr>
        <w:pStyle w:val="12"/>
        <w:ind w:right="482" w:firstLine="0"/>
        <w:jc w:val="center"/>
        <w:rPr>
          <w:rFonts w:ascii="仿宋" w:hAnsi="仿宋" w:eastAsia="仿宋" w:cs="仿宋"/>
          <w:color w:val="auto"/>
          <w:sz w:val="30"/>
          <w:highlight w:val="none"/>
        </w:rPr>
      </w:pPr>
      <w:r>
        <w:rPr>
          <w:rFonts w:hint="eastAsia" w:ascii="仿宋" w:hAnsi="仿宋" w:eastAsia="仿宋" w:cs="仿宋"/>
          <w:b/>
          <w:color w:val="auto"/>
          <w:sz w:val="36"/>
          <w:szCs w:val="36"/>
          <w:highlight w:val="none"/>
        </w:rPr>
        <w:br w:type="page"/>
      </w:r>
      <w:bookmarkEnd w:id="46"/>
      <w:bookmarkStart w:id="49" w:name="_Toc19635"/>
      <w:bookmarkStart w:id="50" w:name="_Toc13835"/>
      <w:bookmarkStart w:id="51" w:name="_Toc18619"/>
      <w:bookmarkStart w:id="52" w:name="_Toc264213370"/>
      <w:r>
        <w:rPr>
          <w:rFonts w:hint="eastAsia" w:ascii="仿宋" w:hAnsi="仿宋" w:eastAsia="仿宋" w:cs="仿宋"/>
          <w:b/>
          <w:bCs/>
          <w:color w:val="auto"/>
          <w:sz w:val="30"/>
          <w:highlight w:val="none"/>
        </w:rPr>
        <w:t>7、中小企业（监狱企业）声明函</w:t>
      </w:r>
      <w:bookmarkEnd w:id="49"/>
      <w:bookmarkEnd w:id="50"/>
      <w:bookmarkEnd w:id="51"/>
    </w:p>
    <w:p>
      <w:pPr>
        <w:snapToGrid w:val="0"/>
        <w:spacing w:line="360" w:lineRule="atLeast"/>
        <w:jc w:val="center"/>
        <w:rPr>
          <w:rFonts w:ascii="仿宋" w:hAnsi="仿宋" w:eastAsia="仿宋" w:cs="仿宋"/>
          <w:b/>
          <w:color w:val="auto"/>
          <w:sz w:val="32"/>
          <w:highlight w:val="none"/>
        </w:rPr>
      </w:pPr>
    </w:p>
    <w:p>
      <w:pPr>
        <w:snapToGrid w:val="0"/>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本公司郑重声明，根据《政府采购促进中小企业发展暂行办法》（财库〔2011〕181号）或《政府采购支持监狱企业发展有关问题的通知》（财库〔2014〕68号）的规定，本公司为______（请填写：中型、小型、微型或监狱）企业。即，本公司同时满足以下条件：</w:t>
      </w:r>
      <w:r>
        <w:rPr>
          <w:rFonts w:hint="eastAsia" w:ascii="仿宋" w:hAnsi="仿宋" w:eastAsia="仿宋" w:cs="仿宋"/>
          <w:color w:val="auto"/>
          <w:sz w:val="24"/>
          <w:highlight w:val="none"/>
        </w:rPr>
        <w:br w:type="textWrapping"/>
      </w:r>
      <w:r>
        <w:rPr>
          <w:rFonts w:hint="eastAsia" w:ascii="仿宋" w:hAnsi="仿宋" w:eastAsia="仿宋" w:cs="仿宋"/>
          <w:color w:val="auto"/>
          <w:sz w:val="24"/>
          <w:highlight w:val="none"/>
        </w:rPr>
        <w:t>　　1.根据《工业和信息化部、国家统计局、国家发展和改革委员会、财政部关于印发中小企业划型标准规定的通知》（工信部联企业〔2011〕300号）或《政府采购支持监狱企业发展有关问题的通知》（财库〔2014〕68号）规定的划分标准，本公司为______（请填写：中型、小型、微型或监狱）企业。</w:t>
      </w:r>
      <w:r>
        <w:rPr>
          <w:rFonts w:hint="eastAsia" w:ascii="仿宋" w:hAnsi="仿宋" w:eastAsia="仿宋" w:cs="仿宋"/>
          <w:color w:val="auto"/>
          <w:sz w:val="24"/>
          <w:highlight w:val="none"/>
        </w:rPr>
        <w:br w:type="textWrapping"/>
      </w:r>
      <w:r>
        <w:rPr>
          <w:rFonts w:hint="eastAsia" w:ascii="仿宋" w:hAnsi="仿宋" w:eastAsia="仿宋" w:cs="仿宋"/>
          <w:color w:val="auto"/>
          <w:sz w:val="24"/>
          <w:highlight w:val="none"/>
        </w:rPr>
        <w:t>　　2.本公司参加______单位的______项目采购活动提供本企业制造的货物及服务，由本企业承担工程、提供服务，或者提供其他______（请填写：中型、小型、微型或监狱）企业制造的货物。本条所称货物不包括使用大型企业注册商标的货物。</w:t>
      </w:r>
      <w:r>
        <w:rPr>
          <w:rFonts w:hint="eastAsia" w:ascii="仿宋" w:hAnsi="仿宋" w:eastAsia="仿宋" w:cs="仿宋"/>
          <w:color w:val="auto"/>
          <w:sz w:val="24"/>
          <w:highlight w:val="none"/>
        </w:rPr>
        <w:br w:type="textWrapping"/>
      </w:r>
      <w:r>
        <w:rPr>
          <w:rFonts w:hint="eastAsia" w:ascii="仿宋" w:hAnsi="仿宋" w:eastAsia="仿宋" w:cs="仿宋"/>
          <w:color w:val="auto"/>
          <w:sz w:val="24"/>
          <w:highlight w:val="none"/>
        </w:rPr>
        <w:t>　　本公司对上述声明的真实性负责。如有虚假，将依法承担相应责任。</w:t>
      </w:r>
    </w:p>
    <w:p>
      <w:pPr>
        <w:snapToGrid w:val="0"/>
        <w:spacing w:line="360" w:lineRule="auto"/>
        <w:ind w:firstLine="480"/>
        <w:rPr>
          <w:rFonts w:ascii="仿宋" w:hAnsi="仿宋" w:eastAsia="仿宋" w:cs="仿宋"/>
          <w:color w:val="auto"/>
          <w:sz w:val="24"/>
          <w:highlight w:val="none"/>
        </w:rPr>
      </w:pPr>
    </w:p>
    <w:p>
      <w:pPr>
        <w:snapToGrid w:val="0"/>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企业名称（盖章）：</w:t>
      </w:r>
    </w:p>
    <w:p>
      <w:pPr>
        <w:snapToGrid w:val="0"/>
        <w:spacing w:line="360" w:lineRule="auto"/>
        <w:rPr>
          <w:rFonts w:ascii="仿宋" w:hAnsi="仿宋" w:eastAsia="仿宋" w:cs="仿宋"/>
          <w:b/>
          <w:color w:val="auto"/>
          <w:sz w:val="24"/>
          <w:highlight w:val="none"/>
        </w:rPr>
      </w:pPr>
    </w:p>
    <w:p>
      <w:pPr>
        <w:snapToGrid w:val="0"/>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日   期：</w:t>
      </w:r>
    </w:p>
    <w:p>
      <w:pPr>
        <w:snapToGrid w:val="0"/>
        <w:spacing w:line="360" w:lineRule="auto"/>
        <w:rPr>
          <w:rFonts w:ascii="仿宋" w:hAnsi="仿宋" w:eastAsia="仿宋" w:cs="仿宋"/>
          <w:color w:val="auto"/>
          <w:sz w:val="24"/>
          <w:highlight w:val="none"/>
        </w:rPr>
      </w:pP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注：</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1、投标人符合《工业和信息化部、国家统计局、国家发展和改革委员会、财政部关于印发中小企业划型标准规定的通知》（工信部联企业〔2011〕300号）或《政府采购支持监狱企业发展有关问题的通知》（财库〔2014〕68号）规定的划分标准为中小型企业或监狱企业适用。</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2、在政府采购活动中，监狱企业视同小型、微型企业，享受预留份额、评审中价格扣除等政府采购促进中小企业发展的政府采购政策。（监狱企业参加政府采购活动时，还应当提供由省级以上监狱管理局、戒毒管理局(含新疆生产建设兵团)出具的属于监狱企业的证明文件。）</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3、投标人为非企业单位的，可不提供此声明。</w:t>
      </w:r>
    </w:p>
    <w:p>
      <w:pPr>
        <w:snapToGrid w:val="0"/>
        <w:jc w:val="center"/>
        <w:rPr>
          <w:rFonts w:ascii="仿宋" w:hAnsi="仿宋" w:eastAsia="仿宋" w:cs="仿宋"/>
          <w:b/>
          <w:color w:val="auto"/>
          <w:sz w:val="32"/>
          <w:highlight w:val="none"/>
        </w:rPr>
      </w:pPr>
      <w:bookmarkStart w:id="53" w:name="OLE_LINK13"/>
    </w:p>
    <w:p>
      <w:pPr>
        <w:keepNext/>
        <w:keepLines/>
        <w:tabs>
          <w:tab w:val="left" w:pos="900"/>
        </w:tabs>
        <w:snapToGrid w:val="0"/>
        <w:spacing w:before="260" w:after="260" w:line="360" w:lineRule="auto"/>
        <w:ind w:left="540"/>
        <w:jc w:val="center"/>
        <w:rPr>
          <w:rFonts w:ascii="仿宋" w:hAnsi="仿宋" w:eastAsia="仿宋" w:cs="仿宋"/>
          <w:color w:val="auto"/>
          <w:sz w:val="30"/>
          <w:highlight w:val="none"/>
        </w:rPr>
      </w:pPr>
      <w:r>
        <w:rPr>
          <w:rFonts w:hint="eastAsia" w:ascii="仿宋" w:hAnsi="仿宋" w:eastAsia="仿宋" w:cs="仿宋"/>
          <w:color w:val="auto"/>
          <w:highlight w:val="none"/>
        </w:rPr>
        <w:br w:type="page"/>
      </w:r>
      <w:r>
        <w:rPr>
          <w:rFonts w:hint="eastAsia" w:ascii="仿宋" w:hAnsi="仿宋" w:eastAsia="仿宋" w:cs="仿宋"/>
          <w:b/>
          <w:color w:val="auto"/>
          <w:sz w:val="32"/>
          <w:szCs w:val="32"/>
          <w:highlight w:val="none"/>
        </w:rPr>
        <w:t>8、残疾人福利性单位声明函</w:t>
      </w:r>
    </w:p>
    <w:p>
      <w:pPr>
        <w:snapToGrid w:val="0"/>
        <w:spacing w:line="588" w:lineRule="exact"/>
        <w:rPr>
          <w:rFonts w:ascii="仿宋" w:hAnsi="仿宋" w:eastAsia="仿宋" w:cs="仿宋"/>
          <w:b/>
          <w:color w:val="auto"/>
          <w:spacing w:val="6"/>
          <w:sz w:val="24"/>
          <w:highlight w:val="none"/>
        </w:rPr>
      </w:pPr>
    </w:p>
    <w:p>
      <w:pPr>
        <w:snapToGrid w:val="0"/>
        <w:spacing w:line="588" w:lineRule="exact"/>
        <w:ind w:firstLine="504"/>
        <w:rPr>
          <w:rFonts w:ascii="仿宋" w:hAnsi="仿宋" w:eastAsia="仿宋" w:cs="仿宋"/>
          <w:color w:val="auto"/>
          <w:spacing w:val="6"/>
          <w:sz w:val="24"/>
          <w:highlight w:val="none"/>
        </w:rPr>
      </w:pPr>
      <w:r>
        <w:rPr>
          <w:rFonts w:hint="eastAsia" w:ascii="仿宋" w:hAnsi="仿宋" w:eastAsia="仿宋" w:cs="仿宋"/>
          <w:color w:val="auto"/>
          <w:spacing w:val="6"/>
          <w:sz w:val="24"/>
          <w:highlight w:val="none"/>
        </w:rPr>
        <w:t>本单位郑重声明，根据《财政部 民政部 中国残疾人联合会关于促进残疾人就业政府采购政策的通知》（财库</w:t>
      </w:r>
      <w:r>
        <w:rPr>
          <w:rFonts w:hint="eastAsia" w:ascii="仿宋" w:hAnsi="仿宋" w:eastAsia="仿宋" w:cs="仿宋"/>
          <w:color w:val="auto"/>
          <w:sz w:val="24"/>
          <w:highlight w:val="none"/>
        </w:rPr>
        <w:t>〔2017〕 141</w:t>
      </w:r>
      <w:r>
        <w:rPr>
          <w:rFonts w:hint="eastAsia" w:ascii="仿宋" w:hAnsi="仿宋" w:eastAsia="仿宋" w:cs="仿宋"/>
          <w:color w:val="auto"/>
          <w:spacing w:val="6"/>
          <w:sz w:val="24"/>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588" w:lineRule="exact"/>
        <w:ind w:firstLine="504"/>
        <w:rPr>
          <w:rFonts w:ascii="仿宋" w:hAnsi="仿宋" w:eastAsia="仿宋" w:cs="仿宋"/>
          <w:color w:val="auto"/>
          <w:spacing w:val="6"/>
          <w:sz w:val="24"/>
          <w:highlight w:val="none"/>
        </w:rPr>
      </w:pPr>
      <w:r>
        <w:rPr>
          <w:rFonts w:hint="eastAsia" w:ascii="仿宋" w:hAnsi="仿宋" w:eastAsia="仿宋" w:cs="仿宋"/>
          <w:color w:val="auto"/>
          <w:spacing w:val="6"/>
          <w:sz w:val="24"/>
          <w:highlight w:val="none"/>
        </w:rPr>
        <w:t>本单位对上述声明的真实性负责。如有虚假，将依法承担相应责任。</w:t>
      </w:r>
    </w:p>
    <w:p>
      <w:pPr>
        <w:snapToGrid w:val="0"/>
        <w:spacing w:line="588" w:lineRule="exact"/>
        <w:rPr>
          <w:rFonts w:ascii="仿宋" w:hAnsi="仿宋" w:eastAsia="仿宋" w:cs="仿宋"/>
          <w:color w:val="auto"/>
          <w:spacing w:val="6"/>
          <w:sz w:val="24"/>
          <w:highlight w:val="none"/>
        </w:rPr>
      </w:pPr>
    </w:p>
    <w:p>
      <w:pPr>
        <w:snapToGrid w:val="0"/>
        <w:spacing w:line="588" w:lineRule="exact"/>
        <w:rPr>
          <w:rFonts w:ascii="仿宋" w:hAnsi="仿宋" w:eastAsia="仿宋" w:cs="仿宋"/>
          <w:color w:val="auto"/>
          <w:spacing w:val="6"/>
          <w:sz w:val="24"/>
          <w:highlight w:val="none"/>
        </w:rPr>
      </w:pPr>
    </w:p>
    <w:p>
      <w:pPr>
        <w:tabs>
          <w:tab w:val="left" w:pos="4860"/>
        </w:tabs>
        <w:snapToGrid w:val="0"/>
        <w:spacing w:line="588" w:lineRule="exact"/>
        <w:ind w:right="1560"/>
        <w:rPr>
          <w:rFonts w:ascii="仿宋" w:hAnsi="仿宋" w:eastAsia="仿宋" w:cs="仿宋"/>
          <w:b/>
          <w:color w:val="auto"/>
          <w:spacing w:val="6"/>
          <w:sz w:val="24"/>
          <w:highlight w:val="none"/>
        </w:rPr>
      </w:pPr>
      <w:r>
        <w:rPr>
          <w:rFonts w:hint="eastAsia" w:ascii="仿宋" w:hAnsi="仿宋" w:eastAsia="仿宋" w:cs="仿宋"/>
          <w:b/>
          <w:color w:val="auto"/>
          <w:spacing w:val="6"/>
          <w:sz w:val="24"/>
          <w:highlight w:val="none"/>
        </w:rPr>
        <w:t>单位名称（盖章）：</w:t>
      </w:r>
    </w:p>
    <w:p>
      <w:pPr>
        <w:snapToGrid w:val="0"/>
        <w:rPr>
          <w:rFonts w:ascii="仿宋" w:hAnsi="仿宋" w:eastAsia="仿宋" w:cs="仿宋"/>
          <w:b/>
          <w:color w:val="auto"/>
          <w:spacing w:val="6"/>
          <w:sz w:val="24"/>
          <w:highlight w:val="none"/>
        </w:rPr>
      </w:pPr>
    </w:p>
    <w:p>
      <w:pPr>
        <w:snapToGrid w:val="0"/>
        <w:rPr>
          <w:rFonts w:ascii="仿宋" w:hAnsi="仿宋" w:eastAsia="仿宋" w:cs="仿宋"/>
          <w:b/>
          <w:color w:val="auto"/>
          <w:spacing w:val="6"/>
          <w:sz w:val="24"/>
          <w:highlight w:val="none"/>
        </w:rPr>
      </w:pPr>
      <w:r>
        <w:rPr>
          <w:rFonts w:hint="eastAsia" w:ascii="仿宋" w:hAnsi="仿宋" w:eastAsia="仿宋" w:cs="仿宋"/>
          <w:b/>
          <w:color w:val="auto"/>
          <w:spacing w:val="6"/>
          <w:sz w:val="24"/>
          <w:highlight w:val="none"/>
        </w:rPr>
        <w:t>日  期：</w:t>
      </w:r>
    </w:p>
    <w:p>
      <w:pPr>
        <w:snapToGrid w:val="0"/>
        <w:spacing w:line="360" w:lineRule="auto"/>
        <w:rPr>
          <w:rFonts w:ascii="仿宋" w:hAnsi="仿宋" w:eastAsia="仿宋" w:cs="仿宋"/>
          <w:color w:val="auto"/>
          <w:sz w:val="24"/>
          <w:highlight w:val="none"/>
        </w:rPr>
      </w:pPr>
    </w:p>
    <w:p>
      <w:pPr>
        <w:snapToGrid w:val="0"/>
        <w:spacing w:line="360" w:lineRule="auto"/>
        <w:rPr>
          <w:rFonts w:ascii="仿宋" w:hAnsi="仿宋" w:eastAsia="仿宋" w:cs="仿宋"/>
          <w:color w:val="auto"/>
          <w:sz w:val="24"/>
          <w:highlight w:val="none"/>
        </w:rPr>
      </w:pP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注：</w:t>
      </w:r>
    </w:p>
    <w:p>
      <w:pPr>
        <w:numPr>
          <w:ilvl w:val="0"/>
          <w:numId w:val="7"/>
        </w:num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残疾人福利性单位视同小型、微型企业，享受预留份额、评审中价格扣除等促进中小企业发展的政府采购政策。残疾人福利性单位属于小型、微型企业的，不重复享受政策。</w:t>
      </w:r>
    </w:p>
    <w:p>
      <w:pPr>
        <w:numPr>
          <w:ilvl w:val="0"/>
          <w:numId w:val="7"/>
        </w:num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投标人为非残疾人福利性单位的，可不提供此声明。</w:t>
      </w:r>
    </w:p>
    <w:p>
      <w:pPr>
        <w:snapToGrid w:val="0"/>
        <w:spacing w:line="360" w:lineRule="auto"/>
        <w:rPr>
          <w:rFonts w:ascii="仿宋" w:hAnsi="仿宋" w:eastAsia="仿宋" w:cs="仿宋"/>
          <w:b/>
          <w:color w:val="auto"/>
          <w:sz w:val="32"/>
          <w:highlight w:val="none"/>
        </w:rPr>
      </w:pPr>
    </w:p>
    <w:p>
      <w:pPr>
        <w:snapToGrid w:val="0"/>
        <w:spacing w:line="360" w:lineRule="auto"/>
        <w:rPr>
          <w:rFonts w:ascii="仿宋" w:hAnsi="仿宋" w:eastAsia="仿宋" w:cs="仿宋"/>
          <w:b/>
          <w:color w:val="auto"/>
          <w:sz w:val="32"/>
          <w:highlight w:val="none"/>
        </w:rPr>
      </w:pPr>
    </w:p>
    <w:p>
      <w:pPr>
        <w:snapToGrid w:val="0"/>
        <w:spacing w:line="360" w:lineRule="auto"/>
        <w:rPr>
          <w:rFonts w:ascii="仿宋" w:hAnsi="仿宋" w:eastAsia="仿宋" w:cs="仿宋"/>
          <w:b/>
          <w:color w:val="auto"/>
          <w:sz w:val="32"/>
          <w:highlight w:val="none"/>
        </w:rPr>
      </w:pPr>
    </w:p>
    <w:p>
      <w:pPr>
        <w:snapToGrid w:val="0"/>
        <w:spacing w:line="360" w:lineRule="auto"/>
        <w:rPr>
          <w:rFonts w:ascii="仿宋" w:hAnsi="仿宋" w:eastAsia="仿宋" w:cs="仿宋"/>
          <w:b/>
          <w:color w:val="auto"/>
          <w:sz w:val="32"/>
          <w:highlight w:val="none"/>
        </w:rPr>
      </w:pPr>
    </w:p>
    <w:p>
      <w:pPr>
        <w:keepNext/>
        <w:keepLines/>
        <w:tabs>
          <w:tab w:val="left" w:pos="900"/>
        </w:tabs>
        <w:snapToGrid w:val="0"/>
        <w:spacing w:before="260" w:after="260" w:line="360" w:lineRule="auto"/>
        <w:ind w:left="540"/>
        <w:jc w:val="center"/>
        <w:rPr>
          <w:rFonts w:ascii="仿宋" w:hAnsi="仿宋" w:eastAsia="仿宋" w:cs="仿宋"/>
          <w:color w:val="auto"/>
          <w:sz w:val="30"/>
          <w:highlight w:val="none"/>
        </w:rPr>
      </w:pPr>
      <w:r>
        <w:rPr>
          <w:rFonts w:hint="eastAsia" w:ascii="仿宋" w:hAnsi="仿宋" w:eastAsia="仿宋" w:cs="仿宋"/>
          <w:color w:val="auto"/>
          <w:highlight w:val="none"/>
        </w:rPr>
        <w:br w:type="page"/>
      </w:r>
      <w:r>
        <w:rPr>
          <w:rFonts w:hint="eastAsia" w:ascii="仿宋" w:hAnsi="仿宋" w:eastAsia="仿宋" w:cs="仿宋"/>
          <w:b/>
          <w:color w:val="auto"/>
          <w:sz w:val="32"/>
          <w:szCs w:val="32"/>
          <w:highlight w:val="none"/>
        </w:rPr>
        <w:t>9、其他资料</w:t>
      </w:r>
    </w:p>
    <w:p>
      <w:pPr>
        <w:snapToGrid w:val="0"/>
        <w:spacing w:line="360" w:lineRule="auto"/>
        <w:jc w:val="center"/>
        <w:rPr>
          <w:rFonts w:ascii="仿宋" w:hAnsi="仿宋" w:eastAsia="仿宋" w:cs="仿宋"/>
          <w:b/>
          <w:color w:val="auto"/>
          <w:sz w:val="32"/>
          <w:highlight w:val="none"/>
        </w:rPr>
      </w:pPr>
      <w:r>
        <w:rPr>
          <w:rFonts w:hint="eastAsia" w:ascii="仿宋" w:hAnsi="仿宋" w:eastAsia="仿宋" w:cs="仿宋"/>
          <w:b/>
          <w:color w:val="auto"/>
          <w:sz w:val="32"/>
          <w:highlight w:val="none"/>
        </w:rPr>
        <w:t>（格式自拟）</w:t>
      </w:r>
    </w:p>
    <w:bookmarkEnd w:id="53"/>
    <w:p>
      <w:pPr>
        <w:snapToGrid w:val="0"/>
        <w:spacing w:line="500" w:lineRule="exact"/>
        <w:jc w:val="center"/>
        <w:outlineLvl w:val="0"/>
        <w:rPr>
          <w:rFonts w:ascii="仿宋" w:hAnsi="仿宋" w:eastAsia="仿宋" w:cs="仿宋"/>
          <w:b/>
          <w:color w:val="auto"/>
          <w:sz w:val="36"/>
          <w:szCs w:val="36"/>
          <w:highlight w:val="none"/>
        </w:rPr>
      </w:pPr>
    </w:p>
    <w:p>
      <w:pPr>
        <w:snapToGrid w:val="0"/>
        <w:spacing w:line="500" w:lineRule="exact"/>
        <w:jc w:val="center"/>
        <w:outlineLvl w:val="0"/>
        <w:rPr>
          <w:rFonts w:ascii="仿宋" w:hAnsi="仿宋" w:eastAsia="仿宋" w:cs="仿宋"/>
          <w:b/>
          <w:color w:val="auto"/>
          <w:sz w:val="36"/>
          <w:szCs w:val="36"/>
          <w:highlight w:val="none"/>
        </w:rPr>
      </w:pPr>
    </w:p>
    <w:p>
      <w:pPr>
        <w:snapToGrid w:val="0"/>
        <w:spacing w:line="500" w:lineRule="exact"/>
        <w:jc w:val="center"/>
        <w:outlineLvl w:val="0"/>
        <w:rPr>
          <w:rFonts w:ascii="仿宋" w:hAnsi="仿宋" w:eastAsia="仿宋" w:cs="仿宋"/>
          <w:b/>
          <w:color w:val="auto"/>
          <w:sz w:val="36"/>
          <w:szCs w:val="36"/>
          <w:highlight w:val="none"/>
        </w:rPr>
      </w:pPr>
    </w:p>
    <w:p>
      <w:pPr>
        <w:snapToGrid w:val="0"/>
        <w:spacing w:line="500" w:lineRule="exact"/>
        <w:jc w:val="center"/>
        <w:outlineLvl w:val="0"/>
        <w:rPr>
          <w:rFonts w:ascii="仿宋" w:hAnsi="仿宋" w:eastAsia="仿宋" w:cs="仿宋"/>
          <w:b/>
          <w:color w:val="auto"/>
          <w:sz w:val="36"/>
          <w:szCs w:val="36"/>
          <w:highlight w:val="none"/>
        </w:rPr>
      </w:pPr>
    </w:p>
    <w:p>
      <w:pPr>
        <w:snapToGrid w:val="0"/>
        <w:spacing w:line="500" w:lineRule="exact"/>
        <w:jc w:val="center"/>
        <w:outlineLvl w:val="0"/>
        <w:rPr>
          <w:rFonts w:ascii="仿宋" w:hAnsi="仿宋" w:eastAsia="仿宋" w:cs="仿宋"/>
          <w:b/>
          <w:color w:val="auto"/>
          <w:sz w:val="36"/>
          <w:szCs w:val="36"/>
          <w:highlight w:val="none"/>
        </w:rPr>
      </w:pPr>
    </w:p>
    <w:p>
      <w:pPr>
        <w:snapToGrid w:val="0"/>
        <w:spacing w:line="500" w:lineRule="exact"/>
        <w:jc w:val="center"/>
        <w:outlineLvl w:val="0"/>
        <w:rPr>
          <w:rFonts w:ascii="仿宋" w:hAnsi="仿宋" w:eastAsia="仿宋" w:cs="仿宋"/>
          <w:b/>
          <w:color w:val="auto"/>
          <w:sz w:val="36"/>
          <w:szCs w:val="36"/>
          <w:highlight w:val="none"/>
        </w:rPr>
      </w:pPr>
    </w:p>
    <w:p>
      <w:pPr>
        <w:snapToGrid w:val="0"/>
        <w:spacing w:line="500" w:lineRule="exact"/>
        <w:jc w:val="center"/>
        <w:outlineLvl w:val="0"/>
        <w:rPr>
          <w:rFonts w:ascii="仿宋" w:hAnsi="仿宋" w:eastAsia="仿宋" w:cs="仿宋"/>
          <w:b/>
          <w:color w:val="auto"/>
          <w:sz w:val="36"/>
          <w:szCs w:val="36"/>
          <w:highlight w:val="none"/>
        </w:rPr>
      </w:pPr>
    </w:p>
    <w:p>
      <w:pPr>
        <w:snapToGrid w:val="0"/>
        <w:spacing w:line="500" w:lineRule="exact"/>
        <w:jc w:val="center"/>
        <w:outlineLvl w:val="0"/>
        <w:rPr>
          <w:rFonts w:ascii="仿宋" w:hAnsi="仿宋" w:eastAsia="仿宋" w:cs="仿宋"/>
          <w:b/>
          <w:color w:val="auto"/>
          <w:sz w:val="36"/>
          <w:szCs w:val="36"/>
          <w:highlight w:val="none"/>
        </w:rPr>
      </w:pPr>
    </w:p>
    <w:p>
      <w:pPr>
        <w:snapToGrid w:val="0"/>
        <w:spacing w:line="500" w:lineRule="exact"/>
        <w:jc w:val="center"/>
        <w:outlineLvl w:val="0"/>
        <w:rPr>
          <w:rFonts w:ascii="仿宋" w:hAnsi="仿宋" w:eastAsia="仿宋" w:cs="仿宋"/>
          <w:b/>
          <w:color w:val="auto"/>
          <w:sz w:val="36"/>
          <w:szCs w:val="36"/>
          <w:highlight w:val="none"/>
        </w:rPr>
      </w:pPr>
    </w:p>
    <w:p>
      <w:pPr>
        <w:snapToGrid w:val="0"/>
        <w:spacing w:line="500" w:lineRule="exact"/>
        <w:jc w:val="center"/>
        <w:outlineLvl w:val="0"/>
        <w:rPr>
          <w:rFonts w:ascii="仿宋" w:hAnsi="仿宋" w:eastAsia="仿宋" w:cs="仿宋"/>
          <w:b/>
          <w:color w:val="auto"/>
          <w:sz w:val="36"/>
          <w:szCs w:val="36"/>
          <w:highlight w:val="none"/>
        </w:rPr>
      </w:pPr>
    </w:p>
    <w:p>
      <w:pPr>
        <w:snapToGrid w:val="0"/>
        <w:spacing w:line="500" w:lineRule="exact"/>
        <w:jc w:val="center"/>
        <w:outlineLvl w:val="0"/>
        <w:rPr>
          <w:rFonts w:ascii="仿宋" w:hAnsi="仿宋" w:eastAsia="仿宋" w:cs="仿宋"/>
          <w:b/>
          <w:color w:val="auto"/>
          <w:sz w:val="36"/>
          <w:szCs w:val="36"/>
          <w:highlight w:val="none"/>
        </w:rPr>
      </w:pPr>
    </w:p>
    <w:p>
      <w:pPr>
        <w:snapToGrid w:val="0"/>
        <w:spacing w:line="500" w:lineRule="exact"/>
        <w:jc w:val="center"/>
        <w:outlineLvl w:val="0"/>
        <w:rPr>
          <w:rFonts w:ascii="仿宋" w:hAnsi="仿宋" w:eastAsia="仿宋" w:cs="仿宋"/>
          <w:b/>
          <w:color w:val="auto"/>
          <w:sz w:val="36"/>
          <w:szCs w:val="36"/>
          <w:highlight w:val="none"/>
        </w:rPr>
      </w:pPr>
    </w:p>
    <w:p>
      <w:pPr>
        <w:snapToGrid w:val="0"/>
        <w:spacing w:line="500" w:lineRule="exact"/>
        <w:jc w:val="center"/>
        <w:outlineLvl w:val="0"/>
        <w:rPr>
          <w:rFonts w:ascii="仿宋" w:hAnsi="仿宋" w:eastAsia="仿宋" w:cs="仿宋"/>
          <w:b/>
          <w:color w:val="auto"/>
          <w:sz w:val="36"/>
          <w:szCs w:val="36"/>
          <w:highlight w:val="none"/>
        </w:rPr>
      </w:pPr>
    </w:p>
    <w:p>
      <w:pPr>
        <w:snapToGrid w:val="0"/>
        <w:spacing w:line="500" w:lineRule="exact"/>
        <w:jc w:val="center"/>
        <w:outlineLvl w:val="0"/>
        <w:rPr>
          <w:rFonts w:ascii="仿宋" w:hAnsi="仿宋" w:eastAsia="仿宋" w:cs="仿宋"/>
          <w:b/>
          <w:color w:val="auto"/>
          <w:sz w:val="36"/>
          <w:szCs w:val="36"/>
          <w:highlight w:val="none"/>
        </w:rPr>
      </w:pPr>
    </w:p>
    <w:p>
      <w:pPr>
        <w:snapToGrid w:val="0"/>
        <w:spacing w:line="500" w:lineRule="exact"/>
        <w:jc w:val="center"/>
        <w:outlineLvl w:val="0"/>
        <w:rPr>
          <w:rFonts w:ascii="仿宋" w:hAnsi="仿宋" w:eastAsia="仿宋" w:cs="仿宋"/>
          <w:b/>
          <w:color w:val="auto"/>
          <w:sz w:val="36"/>
          <w:szCs w:val="36"/>
          <w:highlight w:val="none"/>
        </w:rPr>
      </w:pPr>
    </w:p>
    <w:p>
      <w:pPr>
        <w:snapToGrid w:val="0"/>
        <w:spacing w:line="500" w:lineRule="exact"/>
        <w:jc w:val="center"/>
        <w:outlineLvl w:val="0"/>
        <w:rPr>
          <w:rFonts w:ascii="仿宋" w:hAnsi="仿宋" w:eastAsia="仿宋" w:cs="仿宋"/>
          <w:b/>
          <w:color w:val="auto"/>
          <w:sz w:val="36"/>
          <w:szCs w:val="36"/>
          <w:highlight w:val="none"/>
        </w:rPr>
      </w:pPr>
    </w:p>
    <w:p>
      <w:pPr>
        <w:snapToGrid w:val="0"/>
        <w:spacing w:line="500" w:lineRule="exact"/>
        <w:jc w:val="center"/>
        <w:outlineLvl w:val="0"/>
        <w:rPr>
          <w:rFonts w:ascii="仿宋" w:hAnsi="仿宋" w:eastAsia="仿宋" w:cs="仿宋"/>
          <w:b/>
          <w:color w:val="auto"/>
          <w:sz w:val="36"/>
          <w:szCs w:val="36"/>
          <w:highlight w:val="none"/>
        </w:rPr>
      </w:pPr>
    </w:p>
    <w:p>
      <w:pPr>
        <w:snapToGrid w:val="0"/>
        <w:spacing w:line="500" w:lineRule="exact"/>
        <w:jc w:val="center"/>
        <w:outlineLvl w:val="0"/>
        <w:rPr>
          <w:rFonts w:ascii="仿宋" w:hAnsi="仿宋" w:eastAsia="仿宋" w:cs="仿宋"/>
          <w:b/>
          <w:color w:val="auto"/>
          <w:sz w:val="36"/>
          <w:szCs w:val="36"/>
          <w:highlight w:val="none"/>
        </w:rPr>
      </w:pPr>
    </w:p>
    <w:p>
      <w:pPr>
        <w:snapToGrid w:val="0"/>
        <w:spacing w:line="500" w:lineRule="exact"/>
        <w:jc w:val="center"/>
        <w:outlineLvl w:val="0"/>
        <w:rPr>
          <w:rFonts w:ascii="仿宋" w:hAnsi="仿宋" w:eastAsia="仿宋" w:cs="仿宋"/>
          <w:b/>
          <w:color w:val="auto"/>
          <w:sz w:val="36"/>
          <w:szCs w:val="36"/>
          <w:highlight w:val="none"/>
        </w:rPr>
      </w:pPr>
    </w:p>
    <w:p>
      <w:pPr>
        <w:snapToGrid w:val="0"/>
        <w:spacing w:line="500" w:lineRule="exact"/>
        <w:jc w:val="center"/>
        <w:outlineLvl w:val="0"/>
        <w:rPr>
          <w:rFonts w:ascii="仿宋" w:hAnsi="仿宋" w:eastAsia="仿宋" w:cs="仿宋"/>
          <w:b/>
          <w:color w:val="auto"/>
          <w:sz w:val="36"/>
          <w:szCs w:val="36"/>
          <w:highlight w:val="none"/>
        </w:rPr>
      </w:pPr>
    </w:p>
    <w:p>
      <w:pPr>
        <w:snapToGrid w:val="0"/>
        <w:spacing w:line="500" w:lineRule="exact"/>
        <w:jc w:val="center"/>
        <w:outlineLvl w:val="0"/>
        <w:rPr>
          <w:rFonts w:ascii="仿宋" w:hAnsi="仿宋" w:eastAsia="仿宋" w:cs="仿宋"/>
          <w:b/>
          <w:color w:val="auto"/>
          <w:sz w:val="36"/>
          <w:szCs w:val="36"/>
          <w:highlight w:val="none"/>
        </w:rPr>
      </w:pPr>
    </w:p>
    <w:p>
      <w:pPr>
        <w:snapToGrid w:val="0"/>
        <w:spacing w:line="500" w:lineRule="exact"/>
        <w:jc w:val="center"/>
        <w:outlineLvl w:val="0"/>
        <w:rPr>
          <w:rFonts w:ascii="仿宋" w:hAnsi="仿宋" w:eastAsia="仿宋" w:cs="仿宋"/>
          <w:b/>
          <w:color w:val="auto"/>
          <w:sz w:val="36"/>
          <w:szCs w:val="36"/>
          <w:highlight w:val="none"/>
        </w:rPr>
      </w:pPr>
    </w:p>
    <w:p>
      <w:pPr>
        <w:snapToGrid w:val="0"/>
        <w:spacing w:line="500" w:lineRule="exact"/>
        <w:jc w:val="center"/>
        <w:outlineLvl w:val="0"/>
        <w:rPr>
          <w:rFonts w:ascii="仿宋" w:hAnsi="仿宋" w:eastAsia="仿宋" w:cs="仿宋"/>
          <w:b/>
          <w:color w:val="auto"/>
          <w:sz w:val="36"/>
          <w:szCs w:val="36"/>
          <w:highlight w:val="none"/>
        </w:rPr>
      </w:pPr>
    </w:p>
    <w:p>
      <w:pPr>
        <w:snapToGrid w:val="0"/>
        <w:spacing w:line="500" w:lineRule="exact"/>
        <w:jc w:val="center"/>
        <w:outlineLvl w:val="0"/>
        <w:rPr>
          <w:rFonts w:ascii="仿宋" w:hAnsi="仿宋" w:eastAsia="仿宋" w:cs="仿宋"/>
          <w:b/>
          <w:color w:val="auto"/>
          <w:sz w:val="36"/>
          <w:szCs w:val="36"/>
          <w:highlight w:val="none"/>
        </w:rPr>
      </w:pPr>
    </w:p>
    <w:p>
      <w:pPr>
        <w:snapToGrid w:val="0"/>
        <w:spacing w:line="500" w:lineRule="exact"/>
        <w:jc w:val="center"/>
        <w:outlineLvl w:val="0"/>
        <w:rPr>
          <w:rFonts w:ascii="仿宋" w:hAnsi="仿宋" w:eastAsia="仿宋" w:cs="仿宋"/>
          <w:b/>
          <w:color w:val="auto"/>
          <w:sz w:val="36"/>
          <w:szCs w:val="36"/>
          <w:highlight w:val="none"/>
        </w:rPr>
      </w:pPr>
    </w:p>
    <w:p>
      <w:pPr>
        <w:snapToGrid w:val="0"/>
        <w:spacing w:line="500" w:lineRule="exact"/>
        <w:jc w:val="center"/>
        <w:outlineLvl w:val="0"/>
        <w:rPr>
          <w:rFonts w:ascii="仿宋" w:hAnsi="仿宋" w:eastAsia="仿宋" w:cs="仿宋"/>
          <w:b/>
          <w:color w:val="auto"/>
          <w:spacing w:val="10"/>
          <w:sz w:val="36"/>
          <w:szCs w:val="36"/>
          <w:highlight w:val="none"/>
        </w:rPr>
      </w:pPr>
      <w:bookmarkStart w:id="54" w:name="_Toc31553"/>
      <w:r>
        <w:rPr>
          <w:rFonts w:hint="eastAsia" w:ascii="仿宋" w:hAnsi="仿宋" w:eastAsia="仿宋" w:cs="仿宋"/>
          <w:b/>
          <w:color w:val="auto"/>
          <w:spacing w:val="10"/>
          <w:sz w:val="36"/>
          <w:szCs w:val="36"/>
          <w:highlight w:val="none"/>
        </w:rPr>
        <w:t>第六章  评审办法和程序</w:t>
      </w:r>
      <w:bookmarkEnd w:id="54"/>
    </w:p>
    <w:p>
      <w:pPr>
        <w:snapToGrid w:val="0"/>
        <w:jc w:val="center"/>
        <w:rPr>
          <w:rFonts w:ascii="仿宋" w:hAnsi="仿宋" w:eastAsia="仿宋" w:cs="仿宋"/>
          <w:b/>
          <w:color w:val="auto"/>
          <w:spacing w:val="10"/>
          <w:sz w:val="32"/>
          <w:szCs w:val="32"/>
          <w:highlight w:val="none"/>
        </w:rPr>
      </w:pPr>
    </w:p>
    <w:p>
      <w:pPr>
        <w:rPr>
          <w:rFonts w:ascii="仿宋" w:hAnsi="仿宋" w:eastAsia="仿宋" w:cs="仿宋"/>
          <w:b/>
          <w:color w:val="auto"/>
          <w:sz w:val="24"/>
          <w:szCs w:val="24"/>
          <w:highlight w:val="none"/>
        </w:rPr>
      </w:pPr>
      <w:bookmarkStart w:id="55" w:name="_Toc12675"/>
      <w:r>
        <w:rPr>
          <w:rFonts w:hint="eastAsia" w:ascii="仿宋" w:hAnsi="仿宋" w:eastAsia="仿宋" w:cs="仿宋"/>
          <w:b/>
          <w:color w:val="auto"/>
          <w:sz w:val="24"/>
          <w:szCs w:val="24"/>
          <w:highlight w:val="none"/>
        </w:rPr>
        <w:t>一.总则</w:t>
      </w:r>
      <w:bookmarkEnd w:id="55"/>
    </w:p>
    <w:p>
      <w:pPr>
        <w:spacing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1.1 根据《中华人民共和国政府采购法》和《财政部第87号令》等法律规章，结合采购项目特点制定本评标办法。</w:t>
      </w:r>
    </w:p>
    <w:p>
      <w:pPr>
        <w:spacing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1.2 </w:t>
      </w:r>
      <w:r>
        <w:rPr>
          <w:rFonts w:hint="eastAsia" w:ascii="仿宋" w:hAnsi="仿宋" w:eastAsia="仿宋" w:cs="仿宋"/>
          <w:bCs/>
          <w:color w:val="auto"/>
          <w:sz w:val="24"/>
          <w:highlight w:val="none"/>
        </w:rPr>
        <w:t>评标工作由</w:t>
      </w:r>
      <w:r>
        <w:rPr>
          <w:rFonts w:hint="eastAsia" w:ascii="仿宋" w:hAnsi="仿宋" w:eastAsia="仿宋" w:cs="仿宋"/>
          <w:color w:val="auto"/>
          <w:sz w:val="24"/>
          <w:highlight w:val="none"/>
        </w:rPr>
        <w:t>招标代理机构</w:t>
      </w:r>
      <w:r>
        <w:rPr>
          <w:rFonts w:hint="eastAsia" w:ascii="仿宋" w:hAnsi="仿宋" w:eastAsia="仿宋" w:cs="仿宋"/>
          <w:bCs/>
          <w:color w:val="auto"/>
          <w:sz w:val="24"/>
          <w:highlight w:val="none"/>
        </w:rPr>
        <w:t>负责组织，具体评标事务由</w:t>
      </w:r>
      <w:r>
        <w:rPr>
          <w:rFonts w:hint="eastAsia" w:ascii="仿宋" w:hAnsi="仿宋" w:eastAsia="仿宋" w:cs="仿宋"/>
          <w:color w:val="auto"/>
          <w:sz w:val="24"/>
          <w:highlight w:val="none"/>
        </w:rPr>
        <w:t>招标代理机构</w:t>
      </w:r>
      <w:r>
        <w:rPr>
          <w:rFonts w:hint="eastAsia" w:ascii="仿宋" w:hAnsi="仿宋" w:eastAsia="仿宋" w:cs="仿宋"/>
          <w:bCs/>
          <w:color w:val="auto"/>
          <w:sz w:val="24"/>
          <w:highlight w:val="none"/>
        </w:rPr>
        <w:t>依法组建的评标委员会负责。评标委员会由有关技术、经济等方面的专家组成。</w:t>
      </w:r>
    </w:p>
    <w:p>
      <w:pPr>
        <w:spacing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1.3 评标工作应遵循公平、公正、科学及择优的原则，并以相同的评标程序和标准对待所有的投标人。</w:t>
      </w:r>
    </w:p>
    <w:p>
      <w:pPr>
        <w:spacing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1.4 评标委员会按照招标文件规定的评标方法和标准进行评标，并独立履行下列职责：</w:t>
      </w:r>
    </w:p>
    <w:p>
      <w:pPr>
        <w:spacing w:line="400" w:lineRule="exact"/>
        <w:ind w:firstLine="480"/>
        <w:rPr>
          <w:rFonts w:ascii="仿宋" w:hAnsi="仿宋" w:eastAsia="仿宋" w:cs="仿宋"/>
          <w:color w:val="auto"/>
          <w:sz w:val="24"/>
          <w:highlight w:val="none"/>
        </w:rPr>
      </w:pPr>
      <w:r>
        <w:rPr>
          <w:rFonts w:hint="eastAsia" w:ascii="仿宋" w:hAnsi="仿宋" w:eastAsia="仿宋" w:cs="仿宋"/>
          <w:color w:val="auto"/>
          <w:sz w:val="24"/>
          <w:highlight w:val="none"/>
        </w:rPr>
        <w:t>（1）审查投标文件是否符合招标文件要求，并作出评价；</w:t>
      </w:r>
    </w:p>
    <w:p>
      <w:pPr>
        <w:spacing w:line="400" w:lineRule="exact"/>
        <w:ind w:firstLine="480"/>
        <w:rPr>
          <w:rFonts w:ascii="仿宋" w:hAnsi="仿宋" w:eastAsia="仿宋" w:cs="仿宋"/>
          <w:color w:val="auto"/>
          <w:sz w:val="24"/>
          <w:highlight w:val="none"/>
        </w:rPr>
      </w:pPr>
      <w:r>
        <w:rPr>
          <w:rFonts w:hint="eastAsia" w:ascii="仿宋" w:hAnsi="仿宋" w:eastAsia="仿宋" w:cs="仿宋"/>
          <w:color w:val="auto"/>
          <w:sz w:val="24"/>
          <w:highlight w:val="none"/>
        </w:rPr>
        <w:t>（2）要求投标供应商对投标文件有关事项作出解释或者澄清；</w:t>
      </w:r>
    </w:p>
    <w:p>
      <w:pPr>
        <w:spacing w:line="400" w:lineRule="exact"/>
        <w:ind w:firstLine="480"/>
        <w:rPr>
          <w:rFonts w:ascii="仿宋" w:hAnsi="仿宋" w:eastAsia="仿宋" w:cs="仿宋"/>
          <w:color w:val="auto"/>
          <w:sz w:val="24"/>
          <w:highlight w:val="none"/>
        </w:rPr>
      </w:pPr>
      <w:r>
        <w:rPr>
          <w:rFonts w:hint="eastAsia" w:ascii="仿宋" w:hAnsi="仿宋" w:eastAsia="仿宋" w:cs="仿宋"/>
          <w:color w:val="auto"/>
          <w:sz w:val="24"/>
          <w:highlight w:val="none"/>
        </w:rPr>
        <w:t>（3）推荐中标候选供应商名单，或者受采购人委托按照事先确定的办法直接确定中标供应商；</w:t>
      </w:r>
    </w:p>
    <w:p>
      <w:pPr>
        <w:spacing w:line="400" w:lineRule="exact"/>
        <w:ind w:firstLine="480"/>
        <w:rPr>
          <w:rFonts w:ascii="仿宋" w:hAnsi="仿宋" w:eastAsia="仿宋" w:cs="仿宋"/>
          <w:color w:val="auto"/>
          <w:highlight w:val="none"/>
        </w:rPr>
      </w:pPr>
      <w:r>
        <w:rPr>
          <w:rFonts w:hint="eastAsia" w:ascii="仿宋" w:hAnsi="仿宋" w:eastAsia="仿宋" w:cs="仿宋"/>
          <w:color w:val="auto"/>
          <w:sz w:val="24"/>
          <w:szCs w:val="24"/>
          <w:highlight w:val="none"/>
        </w:rPr>
        <w:t>（4）向招标采购单位或者有关部门报告非法干预评标工作的行为。</w:t>
      </w:r>
      <w:bookmarkStart w:id="56" w:name="_Toc217446098"/>
    </w:p>
    <w:p>
      <w:pPr>
        <w:rPr>
          <w:rFonts w:ascii="仿宋" w:hAnsi="仿宋" w:eastAsia="仿宋" w:cs="仿宋"/>
          <w:b/>
          <w:color w:val="auto"/>
          <w:sz w:val="24"/>
          <w:szCs w:val="24"/>
          <w:highlight w:val="none"/>
        </w:rPr>
      </w:pPr>
      <w:bookmarkStart w:id="57" w:name="_Toc310958766"/>
      <w:bookmarkStart w:id="58" w:name="_Toc16113"/>
      <w:r>
        <w:rPr>
          <w:rFonts w:hint="eastAsia" w:ascii="仿宋" w:hAnsi="仿宋" w:eastAsia="仿宋" w:cs="仿宋"/>
          <w:b/>
          <w:color w:val="auto"/>
          <w:sz w:val="24"/>
          <w:szCs w:val="24"/>
          <w:highlight w:val="none"/>
        </w:rPr>
        <w:t>二. 评标程序</w:t>
      </w:r>
      <w:bookmarkEnd w:id="56"/>
      <w:bookmarkEnd w:id="57"/>
      <w:bookmarkEnd w:id="58"/>
    </w:p>
    <w:p>
      <w:pPr>
        <w:spacing w:line="360" w:lineRule="auto"/>
        <w:ind w:firstLine="482" w:firstLineChars="200"/>
        <w:rPr>
          <w:rFonts w:ascii="仿宋" w:hAnsi="仿宋" w:eastAsia="仿宋" w:cs="仿宋"/>
          <w:color w:val="auto"/>
          <w:sz w:val="24"/>
          <w:szCs w:val="24"/>
          <w:highlight w:val="none"/>
        </w:rPr>
      </w:pPr>
      <w:r>
        <w:rPr>
          <w:rFonts w:hint="eastAsia" w:ascii="仿宋" w:hAnsi="仿宋" w:eastAsia="仿宋" w:cs="仿宋"/>
          <w:b/>
          <w:color w:val="auto"/>
          <w:sz w:val="24"/>
          <w:szCs w:val="24"/>
          <w:highlight w:val="none"/>
        </w:rPr>
        <w:t xml:space="preserve">1. </w:t>
      </w:r>
      <w:r>
        <w:rPr>
          <w:rFonts w:hint="eastAsia" w:ascii="仿宋" w:hAnsi="仿宋" w:eastAsia="仿宋" w:cs="仿宋"/>
          <w:color w:val="auto"/>
          <w:sz w:val="24"/>
          <w:szCs w:val="24"/>
          <w:highlight w:val="none"/>
        </w:rPr>
        <w:t>根据《政府采购货物和服务招标投标管理办法》的规定，评标按照下列工作程序进行：</w:t>
      </w:r>
    </w:p>
    <w:p>
      <w:pPr>
        <w:spacing w:line="360" w:lineRule="auto"/>
        <w:ind w:firstLine="495"/>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（1）投标文件初审（资格性评审表和符合性评审表）；</w:t>
      </w:r>
    </w:p>
    <w:p>
      <w:pPr>
        <w:spacing w:line="360" w:lineRule="auto"/>
        <w:ind w:firstLine="495"/>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（2）澄清有关问题；</w:t>
      </w:r>
    </w:p>
    <w:p>
      <w:pPr>
        <w:spacing w:line="360" w:lineRule="auto"/>
        <w:ind w:firstLine="495"/>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（3）比较与评价（综合评分表）；</w:t>
      </w:r>
    </w:p>
    <w:p>
      <w:pPr>
        <w:spacing w:line="360" w:lineRule="auto"/>
        <w:ind w:firstLine="495"/>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（4）推荐中标候选人名单；</w:t>
      </w:r>
    </w:p>
    <w:p>
      <w:pPr>
        <w:spacing w:line="360" w:lineRule="auto"/>
        <w:ind w:firstLine="495"/>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（5）编写评标报告。</w:t>
      </w:r>
    </w:p>
    <w:p>
      <w:pPr>
        <w:spacing w:line="360" w:lineRule="auto"/>
        <w:ind w:firstLine="482" w:firstLineChars="200"/>
        <w:rPr>
          <w:rFonts w:ascii="仿宋" w:hAnsi="仿宋" w:eastAsia="仿宋" w:cs="仿宋"/>
          <w:color w:val="auto"/>
          <w:sz w:val="24"/>
          <w:szCs w:val="24"/>
          <w:highlight w:val="none"/>
        </w:rPr>
      </w:pPr>
      <w:bookmarkStart w:id="59" w:name="_Toc217446103"/>
      <w:bookmarkStart w:id="60" w:name="_Toc310958769"/>
      <w:r>
        <w:rPr>
          <w:rFonts w:hint="eastAsia" w:ascii="仿宋" w:hAnsi="仿宋" w:eastAsia="仿宋" w:cs="仿宋"/>
          <w:b/>
          <w:color w:val="auto"/>
          <w:sz w:val="24"/>
          <w:szCs w:val="24"/>
          <w:highlight w:val="none"/>
        </w:rPr>
        <w:t>2.评标细则及标准</w:t>
      </w:r>
      <w:r>
        <w:rPr>
          <w:rFonts w:hint="eastAsia" w:ascii="仿宋" w:hAnsi="仿宋" w:eastAsia="仿宋" w:cs="仿宋"/>
          <w:color w:val="auto"/>
          <w:sz w:val="24"/>
          <w:szCs w:val="24"/>
          <w:highlight w:val="none"/>
        </w:rPr>
        <w:t>（详见合评分表）</w:t>
      </w:r>
      <w:bookmarkEnd w:id="59"/>
      <w:bookmarkEnd w:id="60"/>
    </w:p>
    <w:p>
      <w:p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（1）本次综合评分的主要因素是：价格、技术、服务、对招标文件的响应程度以及环保、节能、自主创新产品。</w:t>
      </w:r>
    </w:p>
    <w:p>
      <w:p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（2）除价格因素外，评委会成员应依据投标文件规定的评分标准和方法独立对其他因素进行比较打分，全部评委打分的算术平均值即为该投标人的得分。</w:t>
      </w:r>
    </w:p>
    <w:p>
      <w:p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 在评标过程中，投标文件响应招标文件出现的偏离，分为实质性偏离和非实质性偏离。</w:t>
      </w:r>
    </w:p>
    <w:p>
      <w:p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（4）实质性偏离是指投标文件未能响应招标文件的要求。</w:t>
      </w:r>
    </w:p>
    <w:p>
      <w:pPr>
        <w:spacing w:line="360" w:lineRule="auto"/>
        <w:ind w:firstLine="482" w:firstLineChars="200"/>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投标文件有上述情形之一的，在评标时视为：对招标文件要求有实质性偏离处理。</w:t>
      </w:r>
    </w:p>
    <w:p>
      <w:p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非实质性偏离是指投标文件在实质上响应招标文件的要求，但在个别地方存在一些不规则、不一致、不完整的内容，并且澄清、说明或者补正这些内容不会改变投标文件的实质性内容。以下情况属于非实质性偏离：</w:t>
      </w:r>
    </w:p>
    <w:p>
      <w:pPr>
        <w:spacing w:line="360" w:lineRule="auto"/>
        <w:ind w:left="420" w:leftChars="200" w:firstLine="120" w:firstLineChars="5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 文字表述的内容含义不明确；</w:t>
      </w:r>
    </w:p>
    <w:p>
      <w:pPr>
        <w:spacing w:line="360" w:lineRule="auto"/>
        <w:ind w:left="420" w:leftChars="200" w:firstLine="120" w:firstLineChars="5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 同类问题表述不一致；</w:t>
      </w:r>
    </w:p>
    <w:p>
      <w:pPr>
        <w:spacing w:line="360" w:lineRule="auto"/>
        <w:ind w:left="420" w:leftChars="200" w:firstLine="120" w:firstLineChars="5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 有明显文字和计算错误；</w:t>
      </w:r>
    </w:p>
    <w:p>
      <w:pPr>
        <w:spacing w:line="360" w:lineRule="auto"/>
        <w:ind w:left="420" w:leftChars="200" w:firstLine="120" w:firstLineChars="5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 提供的技术信息和数据资料不完整；</w:t>
      </w:r>
    </w:p>
    <w:p>
      <w:pPr>
        <w:spacing w:line="360" w:lineRule="auto"/>
        <w:ind w:left="420" w:leftChars="200" w:firstLine="120" w:firstLineChars="5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 投标文件未按招标文件要求进行装订或未编制目录、页码；</w:t>
      </w:r>
    </w:p>
    <w:p>
      <w:pPr>
        <w:spacing w:line="360" w:lineRule="auto"/>
        <w:ind w:left="420" w:leftChars="200" w:firstLine="120" w:firstLineChars="5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6） 评标委员会认定的其他非实质性偏离。</w:t>
      </w:r>
    </w:p>
    <w:p>
      <w:p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投标文件有上述（1~4）情形之一的，评标委员会应当书面要求投标人在规定的时间内予以澄清、说明或补正。投标人拒不或在规定的时间内没有进行澄清、说明或补正或澄清、说明、补正的内容也不能说明问题的，视为投标文件制作不规范，按每一项非实质性偏离进行扣分处理，直至该项分值扣完为止。评标委员会不接受投标人主动提出的澄清、说明或补正。</w:t>
      </w:r>
    </w:p>
    <w:p>
      <w:p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（6）在投标文件初审过程中，如果出现评标委员会成员意见不一致的情况，按照少数服从多数的原则确定。</w:t>
      </w:r>
    </w:p>
    <w:p>
      <w:pPr>
        <w:spacing w:line="360" w:lineRule="auto"/>
        <w:ind w:firstLine="482" w:firstLineChars="200"/>
        <w:rPr>
          <w:rFonts w:ascii="仿宋" w:hAnsi="仿宋" w:eastAsia="仿宋" w:cs="仿宋"/>
          <w:b/>
          <w:color w:val="auto"/>
          <w:sz w:val="24"/>
          <w:szCs w:val="24"/>
          <w:highlight w:val="none"/>
        </w:rPr>
      </w:pPr>
      <w:bookmarkStart w:id="61" w:name="_Toc183582287"/>
      <w:bookmarkStart w:id="62" w:name="_Toc183682422"/>
      <w:bookmarkStart w:id="63" w:name="_Toc217446104"/>
      <w:bookmarkStart w:id="64" w:name="_Toc310958770"/>
      <w:r>
        <w:rPr>
          <w:rFonts w:hint="eastAsia" w:ascii="仿宋" w:hAnsi="仿宋" w:eastAsia="仿宋" w:cs="仿宋"/>
          <w:b/>
          <w:color w:val="auto"/>
          <w:sz w:val="24"/>
          <w:szCs w:val="24"/>
          <w:highlight w:val="none"/>
        </w:rPr>
        <w:t>3.计算错误的修改</w:t>
      </w:r>
      <w:bookmarkEnd w:id="61"/>
      <w:bookmarkEnd w:id="62"/>
      <w:bookmarkEnd w:id="63"/>
      <w:bookmarkEnd w:id="64"/>
    </w:p>
    <w:p>
      <w:p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投标文件中如果出现计算上或累加上的算术错误，可按以下原则进行修改：</w:t>
      </w:r>
    </w:p>
    <w:p>
      <w:p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（1）用数字表示的金额和用文字表示的金额不一致，应以文字表示的金额为准。</w:t>
      </w:r>
    </w:p>
    <w:p>
      <w:p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（2）单价和数量的乘积与总价不一致时，以单价为准，并修正总价。</w:t>
      </w:r>
    </w:p>
    <w:p>
      <w:p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（3）单价金额小数点有明显错误的，以总价为准，修正单价。</w:t>
      </w:r>
    </w:p>
    <w:p>
      <w:p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（4）按上述修正错误的方法调整的投标报价应对投标人具有约束力。如果投标人不接受修正后的价格，其投标将被拒绝。</w:t>
      </w:r>
    </w:p>
    <w:p>
      <w:pPr>
        <w:spacing w:line="360" w:lineRule="auto"/>
        <w:ind w:firstLine="482" w:firstLineChars="200"/>
        <w:rPr>
          <w:rFonts w:ascii="仿宋" w:hAnsi="仿宋" w:eastAsia="仿宋" w:cs="仿宋"/>
          <w:b/>
          <w:bCs/>
          <w:color w:val="auto"/>
          <w:spacing w:val="-20"/>
          <w:sz w:val="30"/>
          <w:szCs w:val="30"/>
          <w:highlight w:val="none"/>
        </w:rPr>
      </w:pPr>
      <w:bookmarkStart w:id="65" w:name="_Toc310958771"/>
      <w:r>
        <w:rPr>
          <w:rFonts w:hint="eastAsia" w:ascii="仿宋" w:hAnsi="仿宋" w:eastAsia="仿宋" w:cs="仿宋"/>
          <w:b/>
          <w:color w:val="auto"/>
          <w:sz w:val="24"/>
          <w:szCs w:val="24"/>
          <w:highlight w:val="none"/>
        </w:rPr>
        <w:t>4.</w:t>
      </w:r>
      <w:r>
        <w:rPr>
          <w:rFonts w:hint="eastAsia" w:ascii="仿宋" w:hAnsi="仿宋" w:eastAsia="仿宋" w:cs="仿宋"/>
          <w:color w:val="auto"/>
          <w:sz w:val="24"/>
          <w:szCs w:val="24"/>
          <w:highlight w:val="none"/>
        </w:rPr>
        <w:t>评标专家在政府采购活动中须遵纪守法，客观、公正、廉洁地履行职责。</w:t>
      </w:r>
      <w:bookmarkEnd w:id="65"/>
    </w:p>
    <w:p>
      <w:pPr>
        <w:pStyle w:val="28"/>
        <w:spacing w:line="360" w:lineRule="auto"/>
        <w:ind w:firstLine="482" w:firstLineChars="200"/>
        <w:rPr>
          <w:rFonts w:ascii="仿宋" w:hAnsi="仿宋" w:eastAsia="仿宋" w:cs="仿宋"/>
          <w:b w:val="0"/>
          <w:color w:val="auto"/>
          <w:sz w:val="24"/>
          <w:highlight w:val="none"/>
        </w:rPr>
      </w:pPr>
      <w:r>
        <w:rPr>
          <w:rFonts w:hint="eastAsia" w:ascii="仿宋" w:hAnsi="仿宋" w:eastAsia="仿宋" w:cs="仿宋"/>
          <w:color w:val="auto"/>
          <w:sz w:val="24"/>
          <w:highlight w:val="none"/>
        </w:rPr>
        <w:t>5、综合评分统计及排名</w:t>
      </w:r>
      <w:r>
        <w:rPr>
          <w:rFonts w:hint="eastAsia" w:ascii="仿宋" w:hAnsi="仿宋" w:eastAsia="仿宋" w:cs="仿宋"/>
          <w:b w:val="0"/>
          <w:color w:val="auto"/>
          <w:sz w:val="24"/>
          <w:highlight w:val="none"/>
        </w:rPr>
        <w:t>：</w:t>
      </w:r>
    </w:p>
    <w:p>
      <w:pPr>
        <w:rPr>
          <w:rFonts w:ascii="仿宋" w:hAnsi="仿宋" w:eastAsia="仿宋" w:cs="仿宋"/>
          <w:color w:val="auto"/>
          <w:highlight w:val="none"/>
        </w:rPr>
      </w:pPr>
    </w:p>
    <w:p>
      <w:pPr>
        <w:rPr>
          <w:rFonts w:ascii="仿宋" w:hAnsi="仿宋" w:eastAsia="仿宋" w:cs="仿宋"/>
          <w:color w:val="auto"/>
          <w:highlight w:val="none"/>
        </w:rPr>
      </w:pPr>
    </w:p>
    <w:p>
      <w:pPr>
        <w:rPr>
          <w:rFonts w:ascii="仿宋" w:hAnsi="仿宋" w:eastAsia="仿宋" w:cs="仿宋"/>
          <w:color w:val="auto"/>
          <w:highlight w:val="none"/>
        </w:rPr>
      </w:pP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3079"/>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1800" w:type="dxa"/>
            <w:vAlign w:val="center"/>
          </w:tcPr>
          <w:p>
            <w:pPr>
              <w:snapToGrid w:val="0"/>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评估因素</w:t>
            </w:r>
          </w:p>
        </w:tc>
        <w:tc>
          <w:tcPr>
            <w:tcW w:w="3079" w:type="dxa"/>
            <w:vAlign w:val="center"/>
          </w:tcPr>
          <w:p>
            <w:pPr>
              <w:snapToGrid w:val="0"/>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技术商务</w:t>
            </w:r>
          </w:p>
        </w:tc>
        <w:tc>
          <w:tcPr>
            <w:tcW w:w="1701" w:type="dxa"/>
            <w:vAlign w:val="center"/>
          </w:tcPr>
          <w:p>
            <w:pPr>
              <w:snapToGrid w:val="0"/>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1800" w:type="dxa"/>
            <w:vAlign w:val="center"/>
          </w:tcPr>
          <w:p>
            <w:pPr>
              <w:snapToGrid w:val="0"/>
              <w:spacing w:line="360" w:lineRule="auto"/>
              <w:jc w:val="center"/>
              <w:rPr>
                <w:rFonts w:ascii="仿宋" w:hAnsi="仿宋" w:eastAsia="仿宋" w:cs="仿宋"/>
                <w:b/>
                <w:color w:val="auto"/>
                <w:sz w:val="24"/>
                <w:highlight w:val="none"/>
              </w:rPr>
            </w:pPr>
            <w:r>
              <w:rPr>
                <w:rFonts w:hint="eastAsia" w:ascii="仿宋" w:hAnsi="仿宋" w:eastAsia="仿宋" w:cs="仿宋"/>
                <w:color w:val="auto"/>
                <w:sz w:val="24"/>
                <w:highlight w:val="none"/>
              </w:rPr>
              <w:t>权重</w:t>
            </w:r>
          </w:p>
        </w:tc>
        <w:tc>
          <w:tcPr>
            <w:tcW w:w="3079" w:type="dxa"/>
            <w:vAlign w:val="center"/>
          </w:tcPr>
          <w:p>
            <w:pPr>
              <w:snapToGrid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70%</w:t>
            </w:r>
          </w:p>
        </w:tc>
        <w:tc>
          <w:tcPr>
            <w:tcW w:w="1701" w:type="dxa"/>
            <w:vAlign w:val="center"/>
          </w:tcPr>
          <w:p>
            <w:pPr>
              <w:snapToGrid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30%</w:t>
            </w:r>
          </w:p>
        </w:tc>
      </w:tr>
    </w:tbl>
    <w:p>
      <w:pPr>
        <w:pStyle w:val="28"/>
        <w:spacing w:line="360" w:lineRule="auto"/>
        <w:ind w:firstLine="480" w:firstLineChars="200"/>
        <w:rPr>
          <w:rFonts w:ascii="仿宋" w:hAnsi="仿宋" w:eastAsia="仿宋" w:cs="仿宋"/>
          <w:b w:val="0"/>
          <w:color w:val="auto"/>
          <w:sz w:val="24"/>
          <w:highlight w:val="none"/>
        </w:rPr>
      </w:pPr>
      <w:r>
        <w:rPr>
          <w:rFonts w:hint="eastAsia" w:ascii="仿宋" w:hAnsi="仿宋" w:eastAsia="仿宋" w:cs="仿宋"/>
          <w:b w:val="0"/>
          <w:color w:val="auto"/>
          <w:sz w:val="24"/>
          <w:highlight w:val="none"/>
        </w:rPr>
        <w:t>（1）技术商务分统计：按照评标程序、评分标准以及分值分配的规定，评标委员会成员分别就各个投标人的技术、商务状况，其对招标文件要求的响应情况进行评议和比较，评出各投标人的技术商务总分，全部评委的评分的算术平均值即为该投标人的技术商务最终得分。</w:t>
      </w:r>
    </w:p>
    <w:p>
      <w:pPr>
        <w:pStyle w:val="28"/>
        <w:spacing w:line="360" w:lineRule="auto"/>
        <w:ind w:firstLine="480" w:firstLineChars="200"/>
        <w:rPr>
          <w:rFonts w:ascii="仿宋" w:hAnsi="仿宋" w:eastAsia="仿宋" w:cs="仿宋"/>
          <w:b w:val="0"/>
          <w:color w:val="auto"/>
          <w:sz w:val="24"/>
          <w:highlight w:val="none"/>
        </w:rPr>
      </w:pPr>
      <w:r>
        <w:rPr>
          <w:rFonts w:hint="eastAsia" w:ascii="仿宋" w:hAnsi="仿宋" w:eastAsia="仿宋" w:cs="仿宋"/>
          <w:b w:val="0"/>
          <w:color w:val="auto"/>
          <w:sz w:val="24"/>
          <w:highlight w:val="none"/>
        </w:rPr>
        <w:t>（2）综合得分：技术商务最终得分与投标报价得分相加得出综合得分。</w:t>
      </w:r>
    </w:p>
    <w:p>
      <w:pPr>
        <w:pStyle w:val="28"/>
        <w:spacing w:line="360" w:lineRule="auto"/>
        <w:ind w:firstLine="482" w:firstLineChars="200"/>
        <w:rPr>
          <w:rFonts w:ascii="仿宋" w:hAnsi="仿宋" w:eastAsia="仿宋" w:cs="仿宋"/>
          <w:color w:val="auto"/>
          <w:sz w:val="24"/>
          <w:highlight w:val="none"/>
        </w:rPr>
      </w:pPr>
      <w:r>
        <w:rPr>
          <w:rFonts w:hint="eastAsia" w:ascii="仿宋" w:hAnsi="仿宋" w:eastAsia="仿宋" w:cs="仿宋"/>
          <w:color w:val="auto"/>
          <w:sz w:val="24"/>
          <w:highlight w:val="none"/>
        </w:rPr>
        <w:t>6、推荐中标候选人</w:t>
      </w:r>
    </w:p>
    <w:p>
      <w:pPr>
        <w:pStyle w:val="28"/>
        <w:spacing w:line="360" w:lineRule="auto"/>
        <w:ind w:firstLine="480" w:firstLineChars="200"/>
        <w:rPr>
          <w:rFonts w:ascii="仿宋" w:hAnsi="仿宋" w:eastAsia="仿宋" w:cs="仿宋"/>
          <w:b w:val="0"/>
          <w:color w:val="auto"/>
          <w:sz w:val="24"/>
          <w:highlight w:val="none"/>
        </w:rPr>
      </w:pPr>
      <w:r>
        <w:rPr>
          <w:rFonts w:hint="eastAsia" w:ascii="仿宋" w:hAnsi="仿宋" w:eastAsia="仿宋" w:cs="仿宋"/>
          <w:b w:val="0"/>
          <w:color w:val="auto"/>
          <w:sz w:val="24"/>
          <w:highlight w:val="none"/>
        </w:rPr>
        <w:t>评标委员会将严格按照招标文件的要求和条件进行评标,根据投标人综合得分由高到底进行排序，综合得分最高的投标人为第一中标候选人，综合得分次高的投标人为第二中标候选人，以此类推，评标委员会推荐出一至三名中标候选人，并标明排列顺序。综合得分相同的，按投标报价由低到高顺序排列。综合得分和投标报价均相同的，按技术指标（方案）由优至劣顺序排列。</w:t>
      </w:r>
    </w:p>
    <w:p>
      <w:pPr>
        <w:rPr>
          <w:rFonts w:ascii="仿宋" w:hAnsi="仿宋" w:eastAsia="仿宋" w:cs="仿宋"/>
          <w:b/>
          <w:color w:val="auto"/>
          <w:sz w:val="24"/>
          <w:highlight w:val="none"/>
        </w:rPr>
      </w:pPr>
    </w:p>
    <w:p>
      <w:pPr>
        <w:pStyle w:val="2"/>
        <w:rPr>
          <w:rFonts w:ascii="仿宋" w:hAnsi="仿宋" w:eastAsia="仿宋" w:cs="仿宋"/>
          <w:b w:val="0"/>
          <w:color w:val="auto"/>
          <w:sz w:val="24"/>
          <w:highlight w:val="none"/>
        </w:rPr>
      </w:pPr>
    </w:p>
    <w:p>
      <w:pPr>
        <w:rPr>
          <w:rFonts w:ascii="仿宋" w:hAnsi="仿宋" w:eastAsia="仿宋" w:cs="仿宋"/>
          <w:b/>
          <w:color w:val="auto"/>
          <w:sz w:val="24"/>
          <w:highlight w:val="none"/>
        </w:rPr>
      </w:pPr>
    </w:p>
    <w:p>
      <w:pPr>
        <w:pStyle w:val="2"/>
        <w:rPr>
          <w:rFonts w:ascii="仿宋" w:hAnsi="仿宋" w:eastAsia="仿宋" w:cs="仿宋"/>
          <w:b w:val="0"/>
          <w:color w:val="auto"/>
          <w:sz w:val="24"/>
          <w:highlight w:val="none"/>
        </w:rPr>
      </w:pPr>
    </w:p>
    <w:p>
      <w:pPr>
        <w:rPr>
          <w:rFonts w:ascii="仿宋" w:hAnsi="仿宋" w:eastAsia="仿宋" w:cs="仿宋"/>
          <w:b/>
          <w:color w:val="auto"/>
          <w:sz w:val="24"/>
          <w:highlight w:val="none"/>
        </w:rPr>
      </w:pPr>
    </w:p>
    <w:p>
      <w:pPr>
        <w:pStyle w:val="2"/>
        <w:rPr>
          <w:rFonts w:ascii="仿宋" w:hAnsi="仿宋" w:eastAsia="仿宋" w:cs="仿宋"/>
          <w:b w:val="0"/>
          <w:color w:val="auto"/>
          <w:sz w:val="24"/>
          <w:highlight w:val="none"/>
        </w:rPr>
      </w:pPr>
    </w:p>
    <w:p>
      <w:pPr>
        <w:rPr>
          <w:rFonts w:ascii="仿宋" w:hAnsi="仿宋" w:eastAsia="仿宋" w:cs="仿宋"/>
          <w:b/>
          <w:color w:val="auto"/>
          <w:sz w:val="24"/>
          <w:highlight w:val="none"/>
        </w:rPr>
      </w:pPr>
    </w:p>
    <w:p>
      <w:pPr>
        <w:pStyle w:val="2"/>
        <w:rPr>
          <w:rFonts w:ascii="仿宋" w:hAnsi="仿宋" w:eastAsia="仿宋" w:cs="仿宋"/>
          <w:b w:val="0"/>
          <w:color w:val="auto"/>
          <w:sz w:val="24"/>
          <w:highlight w:val="none"/>
        </w:rPr>
      </w:pPr>
    </w:p>
    <w:p>
      <w:pPr>
        <w:jc w:val="center"/>
        <w:rPr>
          <w:rFonts w:ascii="仿宋" w:hAnsi="仿宋" w:eastAsia="仿宋" w:cs="仿宋"/>
          <w:b/>
          <w:color w:val="auto"/>
          <w:sz w:val="30"/>
          <w:szCs w:val="30"/>
          <w:highlight w:val="none"/>
        </w:rPr>
      </w:pPr>
    </w:p>
    <w:p>
      <w:pPr>
        <w:jc w:val="center"/>
        <w:rPr>
          <w:rFonts w:ascii="仿宋" w:hAnsi="仿宋" w:eastAsia="仿宋" w:cs="仿宋"/>
          <w:b/>
          <w:color w:val="auto"/>
          <w:sz w:val="30"/>
          <w:szCs w:val="30"/>
          <w:highlight w:val="none"/>
        </w:rPr>
      </w:pPr>
    </w:p>
    <w:p>
      <w:pPr>
        <w:jc w:val="center"/>
        <w:rPr>
          <w:rFonts w:ascii="仿宋" w:hAnsi="仿宋" w:eastAsia="仿宋" w:cs="仿宋"/>
          <w:b/>
          <w:color w:val="auto"/>
          <w:sz w:val="30"/>
          <w:szCs w:val="30"/>
          <w:highlight w:val="none"/>
        </w:rPr>
      </w:pPr>
    </w:p>
    <w:p>
      <w:pPr>
        <w:jc w:val="center"/>
        <w:rPr>
          <w:rFonts w:ascii="仿宋" w:hAnsi="仿宋" w:eastAsia="仿宋" w:cs="仿宋"/>
          <w:b/>
          <w:color w:val="auto"/>
          <w:sz w:val="30"/>
          <w:szCs w:val="30"/>
          <w:highlight w:val="none"/>
        </w:rPr>
      </w:pPr>
    </w:p>
    <w:p>
      <w:pPr>
        <w:jc w:val="center"/>
        <w:rPr>
          <w:rFonts w:ascii="仿宋" w:hAnsi="仿宋" w:eastAsia="仿宋" w:cs="仿宋"/>
          <w:b/>
          <w:color w:val="auto"/>
          <w:sz w:val="30"/>
          <w:szCs w:val="30"/>
          <w:highlight w:val="none"/>
        </w:rPr>
      </w:pPr>
      <w:r>
        <w:rPr>
          <w:rFonts w:hint="eastAsia" w:ascii="仿宋" w:hAnsi="仿宋" w:eastAsia="仿宋" w:cs="仿宋"/>
          <w:b/>
          <w:color w:val="auto"/>
          <w:sz w:val="30"/>
          <w:szCs w:val="30"/>
          <w:highlight w:val="none"/>
        </w:rPr>
        <w:t>附表1资格性审查表</w:t>
      </w:r>
    </w:p>
    <w:p>
      <w:pPr>
        <w:rPr>
          <w:rFonts w:ascii="仿宋" w:hAnsi="仿宋" w:eastAsia="仿宋" w:cs="仿宋"/>
          <w:color w:val="auto"/>
          <w:sz w:val="24"/>
          <w:highlight w:val="none"/>
        </w:rPr>
      </w:pPr>
      <w:bookmarkStart w:id="66" w:name="_Toc322336016"/>
      <w:r>
        <w:rPr>
          <w:rFonts w:hint="eastAsia" w:ascii="仿宋" w:hAnsi="仿宋" w:eastAsia="仿宋" w:cs="仿宋"/>
          <w:color w:val="auto"/>
          <w:sz w:val="24"/>
          <w:highlight w:val="none"/>
        </w:rPr>
        <w:t>项目名称：                                        招标编号：</w:t>
      </w:r>
      <w:bookmarkEnd w:id="66"/>
      <w:bookmarkStart w:id="67" w:name="_Toc322336017"/>
    </w:p>
    <w:p>
      <w:pPr>
        <w:rPr>
          <w:rFonts w:ascii="仿宋" w:hAnsi="仿宋" w:eastAsia="仿宋" w:cs="仿宋"/>
          <w:b/>
          <w:color w:val="auto"/>
          <w:sz w:val="32"/>
          <w:szCs w:val="32"/>
          <w:highlight w:val="none"/>
        </w:rPr>
      </w:pPr>
      <w:r>
        <w:rPr>
          <w:rFonts w:hint="eastAsia" w:ascii="仿宋" w:hAnsi="仿宋" w:eastAsia="仿宋" w:cs="仿宋"/>
          <w:color w:val="auto"/>
          <w:sz w:val="24"/>
          <w:highlight w:val="none"/>
        </w:rPr>
        <w:t>项目单位：                                        日  期：2020年  月  日</w:t>
      </w:r>
      <w:bookmarkEnd w:id="67"/>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1614"/>
        <w:gridCol w:w="3527"/>
        <w:gridCol w:w="1009"/>
        <w:gridCol w:w="99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42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
                <w:color w:val="auto"/>
                <w:szCs w:val="21"/>
                <w:highlight w:val="none"/>
              </w:rPr>
            </w:pPr>
            <w:r>
              <w:rPr>
                <w:rFonts w:hint="eastAsia" w:ascii="仿宋" w:hAnsi="仿宋" w:eastAsia="仿宋" w:cs="仿宋"/>
                <w:b/>
                <w:color w:val="auto"/>
                <w:szCs w:val="21"/>
                <w:highlight w:val="none"/>
              </w:rPr>
              <w:t>序号</w:t>
            </w:r>
          </w:p>
        </w:tc>
        <w:tc>
          <w:tcPr>
            <w:tcW w:w="161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
                <w:color w:val="auto"/>
                <w:szCs w:val="21"/>
                <w:highlight w:val="none"/>
              </w:rPr>
            </w:pPr>
            <w:r>
              <w:rPr>
                <w:rFonts w:hint="eastAsia" w:ascii="仿宋" w:hAnsi="仿宋" w:eastAsia="仿宋" w:cs="仿宋"/>
                <w:b/>
                <w:color w:val="auto"/>
                <w:szCs w:val="21"/>
                <w:highlight w:val="none"/>
              </w:rPr>
              <w:t>审查项目</w:t>
            </w:r>
          </w:p>
        </w:tc>
        <w:tc>
          <w:tcPr>
            <w:tcW w:w="352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
                <w:color w:val="auto"/>
                <w:szCs w:val="21"/>
                <w:highlight w:val="none"/>
              </w:rPr>
            </w:pPr>
            <w:r>
              <w:rPr>
                <w:rFonts w:hint="eastAsia" w:ascii="仿宋" w:hAnsi="仿宋" w:eastAsia="仿宋" w:cs="仿宋"/>
                <w:b/>
                <w:color w:val="auto"/>
                <w:szCs w:val="21"/>
                <w:highlight w:val="none"/>
              </w:rPr>
              <w:t>评议内容</w:t>
            </w:r>
          </w:p>
        </w:tc>
        <w:tc>
          <w:tcPr>
            <w:tcW w:w="1009"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
                <w:color w:val="auto"/>
                <w:szCs w:val="21"/>
                <w:highlight w:val="none"/>
              </w:rPr>
            </w:pPr>
            <w:r>
              <w:rPr>
                <w:rFonts w:hint="eastAsia" w:ascii="仿宋" w:hAnsi="仿宋" w:eastAsia="仿宋" w:cs="仿宋"/>
                <w:b/>
                <w:color w:val="auto"/>
                <w:szCs w:val="21"/>
                <w:highlight w:val="none"/>
              </w:rPr>
              <w:t>投标人1</w:t>
            </w:r>
          </w:p>
        </w:tc>
        <w:tc>
          <w:tcPr>
            <w:tcW w:w="99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
                <w:color w:val="auto"/>
                <w:szCs w:val="21"/>
                <w:highlight w:val="none"/>
              </w:rPr>
            </w:pPr>
            <w:r>
              <w:rPr>
                <w:rFonts w:hint="eastAsia" w:ascii="仿宋" w:hAnsi="仿宋" w:eastAsia="仿宋" w:cs="仿宋"/>
                <w:b/>
                <w:color w:val="auto"/>
                <w:szCs w:val="21"/>
                <w:highlight w:val="none"/>
              </w:rPr>
              <w:t>投标人2</w:t>
            </w:r>
          </w:p>
        </w:tc>
        <w:tc>
          <w:tcPr>
            <w:tcW w:w="99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
                <w:color w:val="auto"/>
                <w:szCs w:val="21"/>
                <w:highlight w:val="none"/>
              </w:rPr>
            </w:pPr>
            <w:r>
              <w:rPr>
                <w:rFonts w:hint="eastAsia" w:ascii="仿宋" w:hAnsi="仿宋" w:eastAsia="仿宋" w:cs="仿宋"/>
                <w:b/>
                <w:color w:val="auto"/>
                <w:szCs w:val="21"/>
                <w:highlight w:val="none"/>
              </w:rPr>
              <w:t>投标人3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42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
                <w:color w:val="auto"/>
                <w:szCs w:val="21"/>
                <w:highlight w:val="none"/>
              </w:rPr>
            </w:pPr>
            <w:r>
              <w:rPr>
                <w:rFonts w:hint="eastAsia" w:ascii="仿宋" w:hAnsi="仿宋" w:eastAsia="仿宋" w:cs="仿宋"/>
                <w:b/>
                <w:color w:val="auto"/>
                <w:szCs w:val="21"/>
                <w:highlight w:val="none"/>
              </w:rPr>
              <w:t>1</w:t>
            </w:r>
          </w:p>
        </w:tc>
        <w:tc>
          <w:tcPr>
            <w:tcW w:w="161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
                <w:color w:val="auto"/>
                <w:szCs w:val="21"/>
                <w:highlight w:val="none"/>
              </w:rPr>
            </w:pPr>
            <w:r>
              <w:rPr>
                <w:rFonts w:hint="eastAsia" w:ascii="仿宋" w:hAnsi="仿宋" w:eastAsia="仿宋" w:cs="仿宋"/>
                <w:b/>
                <w:color w:val="auto"/>
                <w:szCs w:val="21"/>
                <w:highlight w:val="none"/>
              </w:rPr>
              <w:t>相关资格证明文件</w:t>
            </w:r>
          </w:p>
        </w:tc>
        <w:tc>
          <w:tcPr>
            <w:tcW w:w="352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
                <w:color w:val="auto"/>
                <w:szCs w:val="21"/>
                <w:highlight w:val="none"/>
              </w:rPr>
            </w:pPr>
            <w:r>
              <w:rPr>
                <w:rFonts w:hint="eastAsia" w:ascii="仿宋" w:hAnsi="仿宋" w:eastAsia="仿宋" w:cs="仿宋"/>
                <w:color w:val="auto"/>
                <w:szCs w:val="21"/>
                <w:highlight w:val="none"/>
              </w:rPr>
              <w:t>是否符合“第一章”投标人资格要求</w:t>
            </w:r>
          </w:p>
        </w:tc>
        <w:tc>
          <w:tcPr>
            <w:tcW w:w="1009"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
                <w:color w:val="auto"/>
                <w:szCs w:val="21"/>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
                <w:color w:val="auto"/>
                <w:szCs w:val="21"/>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5568" w:type="dxa"/>
            <w:gridSpan w:val="3"/>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auto"/>
                <w:szCs w:val="21"/>
                <w:highlight w:val="none"/>
              </w:rPr>
            </w:pPr>
            <w:r>
              <w:rPr>
                <w:rFonts w:hint="eastAsia" w:ascii="仿宋" w:hAnsi="仿宋" w:eastAsia="仿宋" w:cs="仿宋"/>
                <w:b/>
                <w:color w:val="auto"/>
                <w:szCs w:val="21"/>
                <w:highlight w:val="none"/>
              </w:rPr>
              <w:t>结       论</w:t>
            </w:r>
          </w:p>
        </w:tc>
        <w:tc>
          <w:tcPr>
            <w:tcW w:w="1009"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
                <w:color w:val="auto"/>
                <w:szCs w:val="21"/>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
                <w:color w:val="auto"/>
                <w:szCs w:val="21"/>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
                <w:color w:val="auto"/>
                <w:szCs w:val="21"/>
                <w:highlight w:val="none"/>
              </w:rPr>
            </w:pPr>
          </w:p>
        </w:tc>
      </w:tr>
    </w:tbl>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10" w:leftChars="100"/>
        <w:rPr>
          <w:rFonts w:ascii="仿宋" w:hAnsi="仿宋" w:eastAsia="仿宋" w:cs="仿宋"/>
          <w:color w:val="auto"/>
          <w:szCs w:val="21"/>
          <w:highlight w:val="none"/>
        </w:rPr>
      </w:pPr>
      <w:r>
        <w:rPr>
          <w:rFonts w:hint="eastAsia" w:ascii="仿宋" w:hAnsi="仿宋" w:eastAsia="仿宋" w:cs="仿宋"/>
          <w:color w:val="auto"/>
          <w:szCs w:val="21"/>
          <w:highlight w:val="none"/>
        </w:rPr>
        <w:t>1、表中只需填写“√/通过”或“×/不通过”。</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10" w:leftChars="100"/>
        <w:rPr>
          <w:rFonts w:ascii="仿宋" w:hAnsi="仿宋" w:eastAsia="仿宋" w:cs="仿宋"/>
          <w:color w:val="auto"/>
          <w:szCs w:val="21"/>
          <w:highlight w:val="none"/>
        </w:rPr>
      </w:pPr>
      <w:r>
        <w:rPr>
          <w:rFonts w:hint="eastAsia" w:ascii="仿宋" w:hAnsi="仿宋" w:eastAsia="仿宋" w:cs="仿宋"/>
          <w:color w:val="auto"/>
          <w:szCs w:val="21"/>
          <w:highlight w:val="none"/>
        </w:rPr>
        <w:t>2、在结论中按“一项否决”的原则，只有全部是√/通过的，填写“合格”；只要其中有一项是×/不通过的，填写“不合格”。</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10" w:leftChars="100"/>
        <w:rPr>
          <w:rFonts w:ascii="仿宋" w:hAnsi="仿宋" w:eastAsia="仿宋" w:cs="仿宋"/>
          <w:color w:val="auto"/>
          <w:szCs w:val="21"/>
          <w:highlight w:val="none"/>
        </w:rPr>
      </w:pPr>
      <w:r>
        <w:rPr>
          <w:rFonts w:hint="eastAsia" w:ascii="仿宋" w:hAnsi="仿宋" w:eastAsia="仿宋" w:cs="仿宋"/>
          <w:color w:val="auto"/>
          <w:szCs w:val="21"/>
          <w:highlight w:val="none"/>
        </w:rPr>
        <w:t>3、结论是合格的，才能进入下一轮；不合格的被淘汰。</w:t>
      </w:r>
    </w:p>
    <w:p>
      <w:pPr>
        <w:pStyle w:val="4"/>
        <w:spacing w:before="0" w:after="0" w:line="360" w:lineRule="auto"/>
        <w:ind w:firstLine="472" w:firstLineChars="196"/>
        <w:rPr>
          <w:rFonts w:ascii="仿宋" w:hAnsi="仿宋" w:eastAsia="仿宋" w:cs="仿宋"/>
          <w:color w:val="auto"/>
          <w:sz w:val="24"/>
          <w:szCs w:val="24"/>
          <w:highlight w:val="none"/>
        </w:rPr>
      </w:pPr>
      <w:bookmarkStart w:id="68" w:name="_Toc9696"/>
      <w:bookmarkStart w:id="69" w:name="_Toc28323"/>
      <w:bookmarkStart w:id="70" w:name="_Toc27301"/>
      <w:bookmarkStart w:id="71" w:name="_Toc58594549"/>
      <w:bookmarkStart w:id="72" w:name="_Toc22893"/>
      <w:r>
        <w:rPr>
          <w:rFonts w:hint="eastAsia" w:ascii="仿宋" w:hAnsi="仿宋" w:eastAsia="仿宋" w:cs="仿宋"/>
          <w:color w:val="auto"/>
          <w:sz w:val="24"/>
          <w:szCs w:val="24"/>
          <w:highlight w:val="none"/>
        </w:rPr>
        <w:t>代理机构/采购单位签字：</w:t>
      </w:r>
      <w:bookmarkEnd w:id="68"/>
      <w:bookmarkEnd w:id="69"/>
      <w:bookmarkEnd w:id="70"/>
      <w:bookmarkEnd w:id="71"/>
      <w:bookmarkEnd w:id="72"/>
    </w:p>
    <w:p>
      <w:pPr>
        <w:rPr>
          <w:rFonts w:ascii="仿宋" w:hAnsi="仿宋" w:eastAsia="仿宋" w:cs="仿宋"/>
          <w:color w:val="auto"/>
          <w:sz w:val="24"/>
          <w:szCs w:val="24"/>
          <w:highlight w:val="none"/>
        </w:rPr>
      </w:pPr>
    </w:p>
    <w:p>
      <w:pPr>
        <w:rPr>
          <w:rFonts w:ascii="仿宋" w:hAnsi="仿宋" w:eastAsia="仿宋" w:cs="仿宋"/>
          <w:color w:val="auto"/>
          <w:sz w:val="24"/>
          <w:szCs w:val="24"/>
          <w:highlight w:val="none"/>
        </w:rPr>
      </w:pPr>
    </w:p>
    <w:p>
      <w:pPr>
        <w:rPr>
          <w:rFonts w:ascii="仿宋" w:hAnsi="仿宋" w:eastAsia="仿宋" w:cs="仿宋"/>
          <w:color w:val="auto"/>
          <w:sz w:val="24"/>
          <w:szCs w:val="24"/>
          <w:highlight w:val="none"/>
        </w:rPr>
      </w:pPr>
    </w:p>
    <w:p>
      <w:pPr>
        <w:rPr>
          <w:rFonts w:ascii="仿宋" w:hAnsi="仿宋" w:eastAsia="仿宋" w:cs="仿宋"/>
          <w:color w:val="auto"/>
          <w:sz w:val="24"/>
          <w:szCs w:val="24"/>
          <w:highlight w:val="none"/>
        </w:rPr>
      </w:pPr>
    </w:p>
    <w:p>
      <w:pPr>
        <w:rPr>
          <w:rFonts w:ascii="仿宋" w:hAnsi="仿宋" w:eastAsia="仿宋" w:cs="仿宋"/>
          <w:color w:val="auto"/>
          <w:sz w:val="24"/>
          <w:szCs w:val="24"/>
          <w:highlight w:val="none"/>
        </w:rPr>
      </w:pPr>
    </w:p>
    <w:p>
      <w:pPr>
        <w:rPr>
          <w:rFonts w:ascii="仿宋" w:hAnsi="仿宋" w:eastAsia="仿宋" w:cs="仿宋"/>
          <w:color w:val="auto"/>
          <w:sz w:val="24"/>
          <w:szCs w:val="24"/>
          <w:highlight w:val="none"/>
        </w:rPr>
      </w:pPr>
    </w:p>
    <w:p>
      <w:pPr>
        <w:rPr>
          <w:rFonts w:ascii="仿宋" w:hAnsi="仿宋" w:eastAsia="仿宋" w:cs="仿宋"/>
          <w:color w:val="auto"/>
          <w:sz w:val="24"/>
          <w:szCs w:val="24"/>
          <w:highlight w:val="none"/>
        </w:rPr>
      </w:pPr>
    </w:p>
    <w:p>
      <w:pPr>
        <w:rPr>
          <w:rFonts w:ascii="仿宋" w:hAnsi="仿宋" w:eastAsia="仿宋" w:cs="仿宋"/>
          <w:color w:val="auto"/>
          <w:sz w:val="24"/>
          <w:szCs w:val="24"/>
          <w:highlight w:val="none"/>
        </w:rPr>
      </w:pPr>
    </w:p>
    <w:p>
      <w:pPr>
        <w:rPr>
          <w:rFonts w:ascii="仿宋" w:hAnsi="仿宋" w:eastAsia="仿宋" w:cs="仿宋"/>
          <w:color w:val="auto"/>
          <w:sz w:val="24"/>
          <w:szCs w:val="24"/>
          <w:highlight w:val="none"/>
        </w:rPr>
      </w:pPr>
    </w:p>
    <w:p>
      <w:pPr>
        <w:rPr>
          <w:rFonts w:ascii="仿宋" w:hAnsi="仿宋" w:eastAsia="仿宋" w:cs="仿宋"/>
          <w:color w:val="auto"/>
          <w:sz w:val="24"/>
          <w:szCs w:val="24"/>
          <w:highlight w:val="none"/>
        </w:rPr>
      </w:pPr>
    </w:p>
    <w:p>
      <w:pPr>
        <w:rPr>
          <w:rFonts w:ascii="仿宋" w:hAnsi="仿宋" w:eastAsia="仿宋" w:cs="仿宋"/>
          <w:color w:val="auto"/>
          <w:sz w:val="24"/>
          <w:szCs w:val="24"/>
          <w:highlight w:val="none"/>
        </w:rPr>
      </w:pPr>
    </w:p>
    <w:p>
      <w:pPr>
        <w:rPr>
          <w:rFonts w:ascii="仿宋" w:hAnsi="仿宋" w:eastAsia="仿宋" w:cs="仿宋"/>
          <w:color w:val="auto"/>
          <w:sz w:val="24"/>
          <w:szCs w:val="24"/>
          <w:highlight w:val="none"/>
        </w:rPr>
      </w:pPr>
    </w:p>
    <w:p>
      <w:pPr>
        <w:rPr>
          <w:rFonts w:ascii="仿宋" w:hAnsi="仿宋" w:eastAsia="仿宋" w:cs="仿宋"/>
          <w:color w:val="auto"/>
          <w:sz w:val="24"/>
          <w:szCs w:val="24"/>
          <w:highlight w:val="none"/>
        </w:rPr>
      </w:pPr>
    </w:p>
    <w:p>
      <w:pPr>
        <w:rPr>
          <w:rFonts w:ascii="仿宋" w:hAnsi="仿宋" w:eastAsia="仿宋" w:cs="仿宋"/>
          <w:color w:val="auto"/>
          <w:sz w:val="24"/>
          <w:szCs w:val="24"/>
          <w:highlight w:val="none"/>
        </w:rPr>
      </w:pPr>
    </w:p>
    <w:p>
      <w:pPr>
        <w:rPr>
          <w:rFonts w:ascii="仿宋" w:hAnsi="仿宋" w:eastAsia="仿宋" w:cs="仿宋"/>
          <w:color w:val="auto"/>
          <w:sz w:val="24"/>
          <w:szCs w:val="24"/>
          <w:highlight w:val="none"/>
        </w:rPr>
      </w:pPr>
    </w:p>
    <w:p>
      <w:pPr>
        <w:rPr>
          <w:rFonts w:ascii="仿宋" w:hAnsi="仿宋" w:eastAsia="仿宋" w:cs="仿宋"/>
          <w:color w:val="auto"/>
          <w:sz w:val="24"/>
          <w:szCs w:val="24"/>
          <w:highlight w:val="none"/>
        </w:rPr>
      </w:pPr>
    </w:p>
    <w:p>
      <w:pPr>
        <w:rPr>
          <w:rFonts w:ascii="仿宋" w:hAnsi="仿宋" w:eastAsia="仿宋" w:cs="仿宋"/>
          <w:color w:val="auto"/>
          <w:sz w:val="24"/>
          <w:szCs w:val="24"/>
          <w:highlight w:val="none"/>
        </w:rPr>
      </w:pPr>
    </w:p>
    <w:p>
      <w:pPr>
        <w:rPr>
          <w:rFonts w:ascii="仿宋" w:hAnsi="仿宋" w:eastAsia="仿宋" w:cs="仿宋"/>
          <w:color w:val="auto"/>
          <w:sz w:val="24"/>
          <w:szCs w:val="24"/>
          <w:highlight w:val="none"/>
        </w:rPr>
      </w:pPr>
    </w:p>
    <w:p>
      <w:pPr>
        <w:rPr>
          <w:rFonts w:ascii="仿宋" w:hAnsi="仿宋" w:eastAsia="仿宋" w:cs="仿宋"/>
          <w:color w:val="auto"/>
          <w:sz w:val="24"/>
          <w:szCs w:val="24"/>
          <w:highlight w:val="none"/>
        </w:rPr>
      </w:pPr>
    </w:p>
    <w:p>
      <w:pPr>
        <w:rPr>
          <w:rFonts w:ascii="仿宋" w:hAnsi="仿宋" w:eastAsia="仿宋" w:cs="仿宋"/>
          <w:color w:val="auto"/>
          <w:sz w:val="24"/>
          <w:szCs w:val="24"/>
          <w:highlight w:val="none"/>
        </w:rPr>
      </w:pPr>
    </w:p>
    <w:p>
      <w:pPr>
        <w:rPr>
          <w:rFonts w:ascii="仿宋" w:hAnsi="仿宋" w:eastAsia="仿宋" w:cs="仿宋"/>
          <w:color w:val="auto"/>
          <w:sz w:val="24"/>
          <w:szCs w:val="24"/>
          <w:highlight w:val="none"/>
        </w:rPr>
      </w:pPr>
    </w:p>
    <w:p>
      <w:pPr>
        <w:rPr>
          <w:rFonts w:ascii="仿宋" w:hAnsi="仿宋" w:eastAsia="仿宋" w:cs="仿宋"/>
          <w:color w:val="auto"/>
          <w:sz w:val="24"/>
          <w:szCs w:val="24"/>
          <w:highlight w:val="none"/>
        </w:rPr>
      </w:pPr>
    </w:p>
    <w:p>
      <w:pPr>
        <w:rPr>
          <w:rFonts w:ascii="仿宋" w:hAnsi="仿宋" w:eastAsia="仿宋" w:cs="仿宋"/>
          <w:color w:val="auto"/>
          <w:sz w:val="24"/>
          <w:szCs w:val="24"/>
          <w:highlight w:val="none"/>
        </w:rPr>
      </w:pPr>
    </w:p>
    <w:p>
      <w:pPr>
        <w:rPr>
          <w:rFonts w:ascii="仿宋" w:hAnsi="仿宋" w:eastAsia="仿宋" w:cs="仿宋"/>
          <w:color w:val="auto"/>
          <w:sz w:val="24"/>
          <w:szCs w:val="24"/>
          <w:highlight w:val="none"/>
        </w:rPr>
      </w:pPr>
    </w:p>
    <w:p>
      <w:pPr>
        <w:rPr>
          <w:rFonts w:ascii="仿宋" w:hAnsi="仿宋" w:eastAsia="仿宋" w:cs="仿宋"/>
          <w:color w:val="auto"/>
          <w:sz w:val="24"/>
          <w:szCs w:val="24"/>
          <w:highlight w:val="none"/>
        </w:rPr>
      </w:pPr>
    </w:p>
    <w:p>
      <w:pPr>
        <w:rPr>
          <w:rFonts w:ascii="仿宋" w:hAnsi="仿宋" w:eastAsia="仿宋" w:cs="仿宋"/>
          <w:color w:val="auto"/>
          <w:sz w:val="24"/>
          <w:szCs w:val="24"/>
          <w:highlight w:val="none"/>
        </w:rPr>
      </w:pPr>
    </w:p>
    <w:p>
      <w:pPr>
        <w:rPr>
          <w:rFonts w:ascii="仿宋" w:hAnsi="仿宋" w:eastAsia="仿宋" w:cs="仿宋"/>
          <w:color w:val="auto"/>
          <w:sz w:val="24"/>
          <w:szCs w:val="24"/>
          <w:highlight w:val="none"/>
        </w:rPr>
      </w:pPr>
    </w:p>
    <w:p>
      <w:pPr>
        <w:rPr>
          <w:rFonts w:ascii="仿宋" w:hAnsi="仿宋" w:eastAsia="仿宋" w:cs="仿宋"/>
          <w:color w:val="auto"/>
          <w:sz w:val="24"/>
          <w:szCs w:val="24"/>
          <w:highlight w:val="none"/>
        </w:rPr>
      </w:pPr>
    </w:p>
    <w:p>
      <w:pPr>
        <w:rPr>
          <w:rFonts w:ascii="仿宋" w:hAnsi="仿宋" w:eastAsia="仿宋" w:cs="仿宋"/>
          <w:color w:val="auto"/>
          <w:sz w:val="24"/>
          <w:szCs w:val="24"/>
          <w:highlight w:val="none"/>
        </w:rPr>
      </w:pPr>
    </w:p>
    <w:p>
      <w:pPr>
        <w:jc w:val="center"/>
        <w:rPr>
          <w:rFonts w:ascii="仿宋" w:hAnsi="仿宋" w:eastAsia="仿宋" w:cs="仿宋"/>
          <w:b/>
          <w:color w:val="auto"/>
          <w:sz w:val="30"/>
          <w:szCs w:val="30"/>
          <w:highlight w:val="none"/>
        </w:rPr>
      </w:pPr>
      <w:r>
        <w:rPr>
          <w:rFonts w:hint="eastAsia" w:ascii="仿宋" w:hAnsi="仿宋" w:eastAsia="仿宋" w:cs="仿宋"/>
          <w:b/>
          <w:color w:val="auto"/>
          <w:sz w:val="30"/>
          <w:szCs w:val="30"/>
          <w:highlight w:val="none"/>
        </w:rPr>
        <w:t>附表2 符合性审查表</w:t>
      </w:r>
    </w:p>
    <w:p>
      <w:pPr>
        <w:ind w:firstLine="240" w:firstLineChars="100"/>
        <w:rPr>
          <w:rFonts w:ascii="仿宋" w:hAnsi="仿宋" w:eastAsia="仿宋" w:cs="仿宋"/>
          <w:color w:val="auto"/>
          <w:sz w:val="24"/>
          <w:highlight w:val="none"/>
        </w:rPr>
      </w:pPr>
      <w:r>
        <w:rPr>
          <w:rFonts w:hint="eastAsia" w:ascii="仿宋" w:hAnsi="仿宋" w:eastAsia="仿宋" w:cs="仿宋"/>
          <w:color w:val="auto"/>
          <w:sz w:val="24"/>
          <w:highlight w:val="none"/>
        </w:rPr>
        <w:t xml:space="preserve">项目名称：                                        招标编号： </w:t>
      </w:r>
    </w:p>
    <w:p>
      <w:pPr>
        <w:jc w:val="center"/>
        <w:rPr>
          <w:rFonts w:ascii="仿宋" w:hAnsi="仿宋" w:eastAsia="仿宋" w:cs="仿宋"/>
          <w:b/>
          <w:color w:val="auto"/>
          <w:sz w:val="30"/>
          <w:szCs w:val="30"/>
          <w:highlight w:val="none"/>
        </w:rPr>
      </w:pPr>
      <w:r>
        <w:rPr>
          <w:rFonts w:hint="eastAsia" w:ascii="仿宋" w:hAnsi="仿宋" w:eastAsia="仿宋" w:cs="仿宋"/>
          <w:color w:val="auto"/>
          <w:sz w:val="24"/>
          <w:highlight w:val="none"/>
        </w:rPr>
        <w:t xml:space="preserve"> 项目单位：                                        日  期：2020年  月  日</w:t>
      </w:r>
    </w:p>
    <w:p>
      <w:pPr>
        <w:rPr>
          <w:rFonts w:ascii="仿宋" w:hAnsi="仿宋" w:eastAsia="仿宋" w:cs="仿宋"/>
          <w:color w:val="auto"/>
          <w:sz w:val="24"/>
          <w:szCs w:val="24"/>
          <w:highlight w:val="none"/>
        </w:rPr>
      </w:pP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1614"/>
        <w:gridCol w:w="3527"/>
        <w:gridCol w:w="1009"/>
        <w:gridCol w:w="99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42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
                <w:color w:val="auto"/>
                <w:szCs w:val="21"/>
                <w:highlight w:val="none"/>
              </w:rPr>
            </w:pPr>
            <w:r>
              <w:rPr>
                <w:rFonts w:hint="eastAsia" w:ascii="仿宋" w:hAnsi="仿宋" w:eastAsia="仿宋" w:cs="仿宋"/>
                <w:b/>
                <w:color w:val="auto"/>
                <w:szCs w:val="21"/>
                <w:highlight w:val="none"/>
              </w:rPr>
              <w:t>序号</w:t>
            </w:r>
          </w:p>
        </w:tc>
        <w:tc>
          <w:tcPr>
            <w:tcW w:w="161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
                <w:color w:val="auto"/>
                <w:szCs w:val="21"/>
                <w:highlight w:val="none"/>
              </w:rPr>
            </w:pPr>
            <w:r>
              <w:rPr>
                <w:rFonts w:hint="eastAsia" w:ascii="仿宋" w:hAnsi="仿宋" w:eastAsia="仿宋" w:cs="仿宋"/>
                <w:b/>
                <w:color w:val="auto"/>
                <w:szCs w:val="21"/>
                <w:highlight w:val="none"/>
              </w:rPr>
              <w:t>审查项目</w:t>
            </w:r>
          </w:p>
        </w:tc>
        <w:tc>
          <w:tcPr>
            <w:tcW w:w="352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auto"/>
                <w:szCs w:val="21"/>
                <w:highlight w:val="none"/>
              </w:rPr>
            </w:pPr>
            <w:r>
              <w:rPr>
                <w:rFonts w:hint="eastAsia" w:ascii="仿宋" w:hAnsi="仿宋" w:eastAsia="仿宋" w:cs="仿宋"/>
                <w:b/>
                <w:color w:val="auto"/>
                <w:szCs w:val="21"/>
                <w:highlight w:val="none"/>
              </w:rPr>
              <w:t>评议内容</w:t>
            </w:r>
          </w:p>
        </w:tc>
        <w:tc>
          <w:tcPr>
            <w:tcW w:w="1009"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
                <w:color w:val="auto"/>
                <w:szCs w:val="21"/>
                <w:highlight w:val="none"/>
              </w:rPr>
            </w:pPr>
            <w:r>
              <w:rPr>
                <w:rFonts w:hint="eastAsia" w:ascii="仿宋" w:hAnsi="仿宋" w:eastAsia="仿宋" w:cs="仿宋"/>
                <w:b/>
                <w:color w:val="auto"/>
                <w:szCs w:val="21"/>
                <w:highlight w:val="none"/>
              </w:rPr>
              <w:t>投标人1</w:t>
            </w:r>
          </w:p>
        </w:tc>
        <w:tc>
          <w:tcPr>
            <w:tcW w:w="99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
                <w:color w:val="auto"/>
                <w:szCs w:val="21"/>
                <w:highlight w:val="none"/>
              </w:rPr>
            </w:pPr>
            <w:r>
              <w:rPr>
                <w:rFonts w:hint="eastAsia" w:ascii="仿宋" w:hAnsi="仿宋" w:eastAsia="仿宋" w:cs="仿宋"/>
                <w:b/>
                <w:color w:val="auto"/>
                <w:szCs w:val="21"/>
                <w:highlight w:val="none"/>
              </w:rPr>
              <w:t>投标人2</w:t>
            </w:r>
          </w:p>
        </w:tc>
        <w:tc>
          <w:tcPr>
            <w:tcW w:w="99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
                <w:color w:val="auto"/>
                <w:szCs w:val="21"/>
                <w:highlight w:val="none"/>
              </w:rPr>
            </w:pPr>
            <w:r>
              <w:rPr>
                <w:rFonts w:hint="eastAsia" w:ascii="仿宋" w:hAnsi="仿宋" w:eastAsia="仿宋" w:cs="仿宋"/>
                <w:b/>
                <w:color w:val="auto"/>
                <w:szCs w:val="21"/>
                <w:highlight w:val="none"/>
              </w:rPr>
              <w:t>投标人3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42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
                <w:color w:val="auto"/>
                <w:szCs w:val="21"/>
                <w:highlight w:val="none"/>
              </w:rPr>
            </w:pPr>
            <w:r>
              <w:rPr>
                <w:rFonts w:hint="eastAsia" w:ascii="仿宋" w:hAnsi="仿宋" w:eastAsia="仿宋" w:cs="仿宋"/>
                <w:b/>
                <w:color w:val="auto"/>
                <w:szCs w:val="21"/>
                <w:highlight w:val="none"/>
              </w:rPr>
              <w:t>2</w:t>
            </w:r>
          </w:p>
        </w:tc>
        <w:tc>
          <w:tcPr>
            <w:tcW w:w="161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
                <w:color w:val="auto"/>
                <w:szCs w:val="21"/>
                <w:highlight w:val="none"/>
              </w:rPr>
            </w:pPr>
            <w:r>
              <w:rPr>
                <w:rFonts w:hint="eastAsia" w:ascii="仿宋" w:hAnsi="仿宋" w:eastAsia="仿宋" w:cs="仿宋"/>
                <w:b/>
                <w:color w:val="auto"/>
                <w:szCs w:val="21"/>
                <w:highlight w:val="none"/>
              </w:rPr>
              <w:t>投标文件递交情况</w:t>
            </w:r>
          </w:p>
        </w:tc>
        <w:tc>
          <w:tcPr>
            <w:tcW w:w="352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rPr>
              <w:t>正本和副本的数量是否符合招标文件要求</w:t>
            </w:r>
          </w:p>
        </w:tc>
        <w:tc>
          <w:tcPr>
            <w:tcW w:w="1009"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
                <w:color w:val="auto"/>
                <w:szCs w:val="21"/>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
                <w:color w:val="auto"/>
                <w:szCs w:val="21"/>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42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
                <w:color w:val="auto"/>
                <w:szCs w:val="21"/>
                <w:highlight w:val="none"/>
              </w:rPr>
            </w:pPr>
            <w:r>
              <w:rPr>
                <w:rFonts w:hint="eastAsia" w:ascii="仿宋" w:hAnsi="仿宋" w:eastAsia="仿宋" w:cs="仿宋"/>
                <w:b/>
                <w:color w:val="auto"/>
                <w:szCs w:val="21"/>
                <w:highlight w:val="none"/>
              </w:rPr>
              <w:t>3</w:t>
            </w:r>
          </w:p>
        </w:tc>
        <w:tc>
          <w:tcPr>
            <w:tcW w:w="161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
                <w:color w:val="auto"/>
                <w:szCs w:val="21"/>
                <w:highlight w:val="none"/>
              </w:rPr>
            </w:pPr>
            <w:r>
              <w:rPr>
                <w:rFonts w:hint="eastAsia" w:ascii="仿宋" w:hAnsi="仿宋" w:eastAsia="仿宋" w:cs="仿宋"/>
                <w:b/>
                <w:color w:val="auto"/>
                <w:szCs w:val="21"/>
                <w:highlight w:val="none"/>
              </w:rPr>
              <w:t>投标文件的有效性</w:t>
            </w:r>
          </w:p>
        </w:tc>
        <w:tc>
          <w:tcPr>
            <w:tcW w:w="352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rPr>
              <w:t>是否符合投标文件的式样和签署要求且内容完整无缺漏</w:t>
            </w:r>
          </w:p>
        </w:tc>
        <w:tc>
          <w:tcPr>
            <w:tcW w:w="1009"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
                <w:color w:val="auto"/>
                <w:szCs w:val="21"/>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
                <w:color w:val="auto"/>
                <w:szCs w:val="21"/>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42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
                <w:color w:val="auto"/>
                <w:szCs w:val="21"/>
                <w:highlight w:val="none"/>
              </w:rPr>
            </w:pPr>
            <w:r>
              <w:rPr>
                <w:rFonts w:hint="eastAsia" w:ascii="仿宋" w:hAnsi="仿宋" w:eastAsia="仿宋" w:cs="仿宋"/>
                <w:b/>
                <w:color w:val="auto"/>
                <w:szCs w:val="21"/>
                <w:highlight w:val="none"/>
              </w:rPr>
              <w:t>4</w:t>
            </w:r>
          </w:p>
        </w:tc>
        <w:tc>
          <w:tcPr>
            <w:tcW w:w="161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
                <w:color w:val="auto"/>
                <w:szCs w:val="21"/>
                <w:highlight w:val="none"/>
              </w:rPr>
            </w:pPr>
            <w:r>
              <w:rPr>
                <w:rFonts w:hint="eastAsia" w:ascii="仿宋" w:hAnsi="仿宋" w:eastAsia="仿宋" w:cs="仿宋"/>
                <w:b/>
                <w:color w:val="auto"/>
                <w:szCs w:val="21"/>
                <w:highlight w:val="none"/>
              </w:rPr>
              <w:t>投标保证金</w:t>
            </w:r>
          </w:p>
        </w:tc>
        <w:tc>
          <w:tcPr>
            <w:tcW w:w="352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rPr>
              <w:t>是否按要求提交投标保证金证明的</w:t>
            </w:r>
          </w:p>
        </w:tc>
        <w:tc>
          <w:tcPr>
            <w:tcW w:w="1009"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
                <w:color w:val="auto"/>
                <w:szCs w:val="21"/>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
                <w:color w:val="auto"/>
                <w:szCs w:val="21"/>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42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
                <w:color w:val="auto"/>
                <w:szCs w:val="21"/>
                <w:highlight w:val="none"/>
              </w:rPr>
            </w:pPr>
            <w:r>
              <w:rPr>
                <w:rFonts w:hint="eastAsia" w:ascii="仿宋" w:hAnsi="仿宋" w:eastAsia="仿宋" w:cs="仿宋"/>
                <w:b/>
                <w:color w:val="auto"/>
                <w:szCs w:val="21"/>
                <w:highlight w:val="none"/>
              </w:rPr>
              <w:t>5</w:t>
            </w:r>
          </w:p>
        </w:tc>
        <w:tc>
          <w:tcPr>
            <w:tcW w:w="161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
                <w:color w:val="auto"/>
                <w:szCs w:val="21"/>
                <w:highlight w:val="none"/>
              </w:rPr>
            </w:pPr>
            <w:r>
              <w:rPr>
                <w:rFonts w:hint="eastAsia" w:ascii="仿宋" w:hAnsi="仿宋" w:eastAsia="仿宋" w:cs="仿宋"/>
                <w:b/>
                <w:color w:val="auto"/>
                <w:szCs w:val="21"/>
                <w:highlight w:val="none"/>
              </w:rPr>
              <w:t>投标有效期</w:t>
            </w:r>
          </w:p>
        </w:tc>
        <w:tc>
          <w:tcPr>
            <w:tcW w:w="352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rPr>
              <w:t>投标有效期是否满足60天</w:t>
            </w:r>
          </w:p>
        </w:tc>
        <w:tc>
          <w:tcPr>
            <w:tcW w:w="1009"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
                <w:color w:val="auto"/>
                <w:szCs w:val="21"/>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
                <w:color w:val="auto"/>
                <w:szCs w:val="21"/>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42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
                <w:color w:val="auto"/>
                <w:szCs w:val="21"/>
                <w:highlight w:val="none"/>
              </w:rPr>
            </w:pPr>
            <w:r>
              <w:rPr>
                <w:rFonts w:hint="eastAsia" w:ascii="仿宋" w:hAnsi="仿宋" w:eastAsia="仿宋" w:cs="仿宋"/>
                <w:b/>
                <w:color w:val="auto"/>
                <w:szCs w:val="21"/>
                <w:highlight w:val="none"/>
              </w:rPr>
              <w:t>6</w:t>
            </w:r>
          </w:p>
        </w:tc>
        <w:tc>
          <w:tcPr>
            <w:tcW w:w="161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
                <w:color w:val="auto"/>
                <w:szCs w:val="21"/>
                <w:highlight w:val="none"/>
              </w:rPr>
            </w:pPr>
            <w:r>
              <w:rPr>
                <w:rFonts w:hint="eastAsia" w:ascii="仿宋" w:hAnsi="仿宋" w:eastAsia="仿宋" w:cs="仿宋"/>
                <w:b/>
                <w:color w:val="auto"/>
                <w:szCs w:val="21"/>
                <w:highlight w:val="none"/>
              </w:rPr>
              <w:t>项目完成时间</w:t>
            </w:r>
          </w:p>
        </w:tc>
        <w:tc>
          <w:tcPr>
            <w:tcW w:w="352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rPr>
              <w:t>是否满足招标文件要求</w:t>
            </w:r>
          </w:p>
        </w:tc>
        <w:tc>
          <w:tcPr>
            <w:tcW w:w="1009"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
                <w:color w:val="auto"/>
                <w:szCs w:val="21"/>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
                <w:color w:val="auto"/>
                <w:szCs w:val="21"/>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42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
                <w:color w:val="auto"/>
                <w:szCs w:val="21"/>
                <w:highlight w:val="none"/>
              </w:rPr>
            </w:pPr>
            <w:r>
              <w:rPr>
                <w:rFonts w:hint="eastAsia" w:ascii="仿宋" w:hAnsi="仿宋" w:eastAsia="仿宋" w:cs="仿宋"/>
                <w:b/>
                <w:color w:val="auto"/>
                <w:szCs w:val="21"/>
                <w:highlight w:val="none"/>
              </w:rPr>
              <w:t>7</w:t>
            </w:r>
          </w:p>
        </w:tc>
        <w:tc>
          <w:tcPr>
            <w:tcW w:w="161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
                <w:color w:val="auto"/>
                <w:szCs w:val="21"/>
                <w:highlight w:val="none"/>
              </w:rPr>
            </w:pPr>
            <w:r>
              <w:rPr>
                <w:rFonts w:hint="eastAsia" w:ascii="仿宋" w:hAnsi="仿宋" w:eastAsia="仿宋" w:cs="仿宋"/>
                <w:b/>
                <w:color w:val="auto"/>
                <w:szCs w:val="21"/>
                <w:highlight w:val="none"/>
              </w:rPr>
              <w:t>投标报价</w:t>
            </w:r>
          </w:p>
        </w:tc>
        <w:tc>
          <w:tcPr>
            <w:tcW w:w="352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rPr>
              <w:t>投标报价是否满足招标文件要求（报价有效、不漏项、不超过采购预算）</w:t>
            </w:r>
          </w:p>
        </w:tc>
        <w:tc>
          <w:tcPr>
            <w:tcW w:w="1009"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
                <w:color w:val="auto"/>
                <w:szCs w:val="21"/>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
                <w:color w:val="auto"/>
                <w:szCs w:val="21"/>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42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
                <w:color w:val="auto"/>
                <w:szCs w:val="21"/>
                <w:highlight w:val="none"/>
              </w:rPr>
            </w:pPr>
            <w:r>
              <w:rPr>
                <w:rFonts w:hint="eastAsia" w:ascii="仿宋" w:hAnsi="仿宋" w:eastAsia="仿宋" w:cs="仿宋"/>
                <w:b/>
                <w:color w:val="auto"/>
                <w:szCs w:val="21"/>
                <w:highlight w:val="none"/>
              </w:rPr>
              <w:t>8</w:t>
            </w:r>
          </w:p>
        </w:tc>
        <w:tc>
          <w:tcPr>
            <w:tcW w:w="161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
                <w:color w:val="auto"/>
                <w:szCs w:val="21"/>
                <w:highlight w:val="none"/>
              </w:rPr>
            </w:pPr>
            <w:r>
              <w:rPr>
                <w:rFonts w:hint="eastAsia" w:ascii="仿宋" w:hAnsi="仿宋" w:eastAsia="仿宋" w:cs="仿宋"/>
                <w:b/>
                <w:color w:val="auto"/>
                <w:szCs w:val="21"/>
                <w:highlight w:val="none"/>
              </w:rPr>
              <w:t>其它</w:t>
            </w:r>
          </w:p>
        </w:tc>
        <w:tc>
          <w:tcPr>
            <w:tcW w:w="352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rPr>
              <w:t>是否有其它无效报价认定条件</w:t>
            </w:r>
          </w:p>
        </w:tc>
        <w:tc>
          <w:tcPr>
            <w:tcW w:w="1009"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
                <w:color w:val="auto"/>
                <w:szCs w:val="21"/>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
                <w:color w:val="auto"/>
                <w:szCs w:val="21"/>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5568" w:type="dxa"/>
            <w:gridSpan w:val="3"/>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auto"/>
                <w:szCs w:val="21"/>
                <w:highlight w:val="none"/>
              </w:rPr>
            </w:pPr>
            <w:r>
              <w:rPr>
                <w:rFonts w:hint="eastAsia" w:ascii="仿宋" w:hAnsi="仿宋" w:eastAsia="仿宋" w:cs="仿宋"/>
                <w:b/>
                <w:color w:val="auto"/>
                <w:szCs w:val="21"/>
                <w:highlight w:val="none"/>
              </w:rPr>
              <w:t>结       论</w:t>
            </w:r>
          </w:p>
        </w:tc>
        <w:tc>
          <w:tcPr>
            <w:tcW w:w="1009"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
                <w:color w:val="auto"/>
                <w:szCs w:val="21"/>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
                <w:color w:val="auto"/>
                <w:szCs w:val="21"/>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
                <w:color w:val="auto"/>
                <w:szCs w:val="21"/>
                <w:highlight w:val="none"/>
              </w:rPr>
            </w:pPr>
          </w:p>
        </w:tc>
      </w:tr>
    </w:tbl>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10" w:leftChars="100"/>
        <w:rPr>
          <w:rFonts w:ascii="仿宋" w:hAnsi="仿宋" w:eastAsia="仿宋" w:cs="仿宋"/>
          <w:color w:val="auto"/>
          <w:szCs w:val="21"/>
          <w:highlight w:val="none"/>
        </w:rPr>
      </w:pPr>
      <w:r>
        <w:rPr>
          <w:rFonts w:hint="eastAsia" w:ascii="仿宋" w:hAnsi="仿宋" w:eastAsia="仿宋" w:cs="仿宋"/>
          <w:color w:val="auto"/>
          <w:szCs w:val="21"/>
          <w:highlight w:val="none"/>
        </w:rPr>
        <w:t>1、表中只需填写“√/通过”或“×/不通过”。</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10" w:leftChars="100"/>
        <w:rPr>
          <w:rFonts w:ascii="仿宋" w:hAnsi="仿宋" w:eastAsia="仿宋" w:cs="仿宋"/>
          <w:color w:val="auto"/>
          <w:szCs w:val="21"/>
          <w:highlight w:val="none"/>
        </w:rPr>
      </w:pPr>
      <w:r>
        <w:rPr>
          <w:rFonts w:hint="eastAsia" w:ascii="仿宋" w:hAnsi="仿宋" w:eastAsia="仿宋" w:cs="仿宋"/>
          <w:color w:val="auto"/>
          <w:szCs w:val="21"/>
          <w:highlight w:val="none"/>
        </w:rPr>
        <w:t>2、在结论中按“一项否决”的原则，只有全部是√/通过的，填写“合格”；只要其中有一项是×/不通过的，填写“不合格”。</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10" w:leftChars="100"/>
        <w:rPr>
          <w:rFonts w:ascii="仿宋" w:hAnsi="仿宋" w:eastAsia="仿宋" w:cs="仿宋"/>
          <w:color w:val="auto"/>
          <w:szCs w:val="21"/>
          <w:highlight w:val="none"/>
        </w:rPr>
      </w:pPr>
      <w:r>
        <w:rPr>
          <w:rFonts w:hint="eastAsia" w:ascii="仿宋" w:hAnsi="仿宋" w:eastAsia="仿宋" w:cs="仿宋"/>
          <w:color w:val="auto"/>
          <w:szCs w:val="21"/>
          <w:highlight w:val="none"/>
        </w:rPr>
        <w:t>3、结论是合格的，才能进入下一轮；不合格的被淘汰。</w:t>
      </w:r>
    </w:p>
    <w:p>
      <w:pPr>
        <w:spacing w:line="480" w:lineRule="auto"/>
        <w:rPr>
          <w:rFonts w:ascii="仿宋" w:hAnsi="仿宋" w:eastAsia="仿宋" w:cs="仿宋"/>
          <w:b/>
          <w:color w:val="auto"/>
          <w:sz w:val="30"/>
          <w:szCs w:val="30"/>
          <w:highlight w:val="none"/>
        </w:rPr>
      </w:pPr>
      <w:bookmarkStart w:id="73" w:name="_Toc11988"/>
      <w:bookmarkStart w:id="74" w:name="_Toc28682"/>
      <w:bookmarkStart w:id="75" w:name="_Toc4148"/>
      <w:r>
        <w:rPr>
          <w:rFonts w:hint="eastAsia" w:ascii="仿宋" w:hAnsi="仿宋" w:eastAsia="仿宋" w:cs="仿宋"/>
          <w:b/>
          <w:bCs/>
          <w:color w:val="auto"/>
          <w:sz w:val="24"/>
          <w:szCs w:val="22"/>
          <w:highlight w:val="none"/>
        </w:rPr>
        <w:t>评委签字：</w:t>
      </w:r>
      <w:r>
        <w:rPr>
          <w:rFonts w:hint="eastAsia" w:ascii="仿宋" w:hAnsi="仿宋" w:eastAsia="仿宋" w:cs="仿宋"/>
          <w:color w:val="auto"/>
          <w:sz w:val="28"/>
          <w:szCs w:val="28"/>
          <w:highlight w:val="none"/>
        </w:rPr>
        <w:br w:type="page"/>
      </w:r>
      <w:bookmarkEnd w:id="52"/>
      <w:bookmarkStart w:id="76" w:name="_Toc417386194"/>
      <w:r>
        <w:rPr>
          <w:rFonts w:hint="eastAsia" w:ascii="仿宋" w:hAnsi="仿宋" w:eastAsia="仿宋" w:cs="仿宋"/>
          <w:b/>
          <w:color w:val="auto"/>
          <w:sz w:val="30"/>
          <w:szCs w:val="30"/>
          <w:highlight w:val="none"/>
        </w:rPr>
        <w:t>附表3               技术、商务评分表</w:t>
      </w:r>
      <w:bookmarkEnd w:id="73"/>
      <w:bookmarkEnd w:id="74"/>
      <w:bookmarkEnd w:id="75"/>
      <w:bookmarkEnd w:id="76"/>
    </w:p>
    <w:p>
      <w:pPr>
        <w:spacing w:line="360" w:lineRule="auto"/>
        <w:jc w:val="both"/>
        <w:rPr>
          <w:rFonts w:ascii="仿宋" w:hAnsi="仿宋" w:eastAsia="仿宋" w:cs="仿宋"/>
          <w:color w:val="auto"/>
          <w:sz w:val="24"/>
          <w:highlight w:val="none"/>
          <w:u w:val="single"/>
        </w:rPr>
      </w:pPr>
      <w:r>
        <w:rPr>
          <w:rFonts w:hint="eastAsia" w:ascii="仿宋" w:hAnsi="仿宋" w:eastAsia="仿宋" w:cs="仿宋"/>
          <w:color w:val="auto"/>
          <w:sz w:val="24"/>
          <w:highlight w:val="none"/>
        </w:rPr>
        <w:t xml:space="preserve">项目名称：项目编号： </w:t>
      </w:r>
    </w:p>
    <w:tbl>
      <w:tblPr>
        <w:tblStyle w:val="43"/>
        <w:tblW w:w="9256" w:type="dxa"/>
        <w:tblInd w:w="118" w:type="dxa"/>
        <w:tblLayout w:type="fixed"/>
        <w:tblCellMar>
          <w:top w:w="0" w:type="dxa"/>
          <w:left w:w="108" w:type="dxa"/>
          <w:bottom w:w="0" w:type="dxa"/>
          <w:right w:w="108" w:type="dxa"/>
        </w:tblCellMar>
      </w:tblPr>
      <w:tblGrid>
        <w:gridCol w:w="1116"/>
        <w:gridCol w:w="1329"/>
        <w:gridCol w:w="5691"/>
        <w:gridCol w:w="1120"/>
      </w:tblGrid>
      <w:tr>
        <w:tblPrEx>
          <w:tblCellMar>
            <w:top w:w="0" w:type="dxa"/>
            <w:left w:w="108" w:type="dxa"/>
            <w:bottom w:w="0" w:type="dxa"/>
            <w:right w:w="108" w:type="dxa"/>
          </w:tblCellMar>
        </w:tblPrEx>
        <w:trPr>
          <w:trHeight w:val="312" w:hRule="atLeast"/>
        </w:trPr>
        <w:tc>
          <w:tcPr>
            <w:tcW w:w="1116" w:type="dxa"/>
            <w:vMerge w:val="restart"/>
            <w:tcBorders>
              <w:top w:val="single" w:color="auto" w:sz="8" w:space="0"/>
              <w:left w:val="single" w:color="auto" w:sz="8" w:space="0"/>
              <w:bottom w:val="single" w:color="000000" w:sz="8" w:space="0"/>
              <w:right w:val="single" w:color="auto" w:sz="8" w:space="0"/>
            </w:tcBorders>
            <w:noWrap/>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序号</w:t>
            </w:r>
          </w:p>
        </w:tc>
        <w:tc>
          <w:tcPr>
            <w:tcW w:w="1329" w:type="dxa"/>
            <w:vMerge w:val="restart"/>
            <w:tcBorders>
              <w:top w:val="single" w:color="auto" w:sz="8" w:space="0"/>
              <w:left w:val="single" w:color="auto" w:sz="8" w:space="0"/>
              <w:bottom w:val="single" w:color="000000" w:sz="8" w:space="0"/>
              <w:right w:val="single" w:color="auto" w:sz="8" w:space="0"/>
            </w:tcBorders>
            <w:noWrap/>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评比项目</w:t>
            </w:r>
          </w:p>
        </w:tc>
        <w:tc>
          <w:tcPr>
            <w:tcW w:w="5691" w:type="dxa"/>
            <w:vMerge w:val="restart"/>
            <w:tcBorders>
              <w:top w:val="single" w:color="auto" w:sz="8" w:space="0"/>
              <w:left w:val="single" w:color="auto" w:sz="8" w:space="0"/>
              <w:bottom w:val="single" w:color="000000" w:sz="8" w:space="0"/>
              <w:right w:val="single" w:color="auto" w:sz="8" w:space="0"/>
            </w:tcBorders>
            <w:noWrap/>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评价细则</w:t>
            </w:r>
          </w:p>
        </w:tc>
        <w:tc>
          <w:tcPr>
            <w:tcW w:w="1120" w:type="dxa"/>
            <w:vMerge w:val="restart"/>
            <w:tcBorders>
              <w:top w:val="single" w:color="auto" w:sz="8" w:space="0"/>
              <w:left w:val="single" w:color="auto" w:sz="8" w:space="0"/>
              <w:bottom w:val="single" w:color="000000" w:sz="8" w:space="0"/>
              <w:right w:val="single" w:color="auto" w:sz="8" w:space="0"/>
            </w:tcBorders>
            <w:noWrap/>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满分</w:t>
            </w:r>
          </w:p>
        </w:tc>
      </w:tr>
      <w:tr>
        <w:tblPrEx>
          <w:tblCellMar>
            <w:top w:w="0" w:type="dxa"/>
            <w:left w:w="108" w:type="dxa"/>
            <w:bottom w:w="0" w:type="dxa"/>
            <w:right w:w="108" w:type="dxa"/>
          </w:tblCellMar>
        </w:tblPrEx>
        <w:trPr>
          <w:trHeight w:val="312" w:hRule="atLeast"/>
        </w:trPr>
        <w:tc>
          <w:tcPr>
            <w:tcW w:w="1116" w:type="dxa"/>
            <w:vMerge w:val="continue"/>
            <w:tcBorders>
              <w:top w:val="single" w:color="auto" w:sz="8" w:space="0"/>
              <w:left w:val="single" w:color="auto" w:sz="8" w:space="0"/>
              <w:bottom w:val="single" w:color="000000" w:sz="8" w:space="0"/>
              <w:right w:val="single" w:color="auto" w:sz="8" w:space="0"/>
            </w:tcBorders>
            <w:vAlign w:val="center"/>
          </w:tcPr>
          <w:p>
            <w:pPr>
              <w:rPr>
                <w:rFonts w:ascii="仿宋" w:hAnsi="仿宋" w:eastAsia="仿宋" w:cs="仿宋"/>
                <w:b/>
                <w:bCs/>
                <w:color w:val="auto"/>
                <w:szCs w:val="21"/>
                <w:highlight w:val="none"/>
              </w:rPr>
            </w:pPr>
          </w:p>
        </w:tc>
        <w:tc>
          <w:tcPr>
            <w:tcW w:w="1329" w:type="dxa"/>
            <w:vMerge w:val="continue"/>
            <w:tcBorders>
              <w:top w:val="single" w:color="auto" w:sz="8" w:space="0"/>
              <w:left w:val="single" w:color="auto" w:sz="8" w:space="0"/>
              <w:bottom w:val="single" w:color="000000" w:sz="8" w:space="0"/>
              <w:right w:val="single" w:color="auto" w:sz="8" w:space="0"/>
            </w:tcBorders>
            <w:vAlign w:val="center"/>
          </w:tcPr>
          <w:p>
            <w:pPr>
              <w:rPr>
                <w:rFonts w:ascii="仿宋" w:hAnsi="仿宋" w:eastAsia="仿宋" w:cs="仿宋"/>
                <w:b/>
                <w:bCs/>
                <w:color w:val="auto"/>
                <w:szCs w:val="21"/>
                <w:highlight w:val="none"/>
              </w:rPr>
            </w:pPr>
          </w:p>
        </w:tc>
        <w:tc>
          <w:tcPr>
            <w:tcW w:w="5691" w:type="dxa"/>
            <w:vMerge w:val="continue"/>
            <w:tcBorders>
              <w:top w:val="single" w:color="auto" w:sz="8" w:space="0"/>
              <w:left w:val="single" w:color="auto" w:sz="8" w:space="0"/>
              <w:bottom w:val="single" w:color="000000" w:sz="8" w:space="0"/>
              <w:right w:val="single" w:color="auto" w:sz="8" w:space="0"/>
            </w:tcBorders>
            <w:vAlign w:val="center"/>
          </w:tcPr>
          <w:p>
            <w:pPr>
              <w:rPr>
                <w:rFonts w:ascii="仿宋" w:hAnsi="仿宋" w:eastAsia="仿宋" w:cs="仿宋"/>
                <w:b/>
                <w:bCs/>
                <w:color w:val="auto"/>
                <w:szCs w:val="21"/>
                <w:highlight w:val="none"/>
              </w:rPr>
            </w:pPr>
          </w:p>
        </w:tc>
        <w:tc>
          <w:tcPr>
            <w:tcW w:w="1120" w:type="dxa"/>
            <w:vMerge w:val="continue"/>
            <w:tcBorders>
              <w:top w:val="single" w:color="auto" w:sz="8" w:space="0"/>
              <w:left w:val="single" w:color="auto" w:sz="8" w:space="0"/>
              <w:bottom w:val="single" w:color="000000" w:sz="8" w:space="0"/>
              <w:right w:val="single" w:color="auto" w:sz="8" w:space="0"/>
            </w:tcBorders>
            <w:vAlign w:val="center"/>
          </w:tcPr>
          <w:p>
            <w:pPr>
              <w:rPr>
                <w:rFonts w:ascii="仿宋" w:hAnsi="仿宋" w:eastAsia="仿宋" w:cs="仿宋"/>
                <w:b/>
                <w:bCs/>
                <w:color w:val="auto"/>
                <w:szCs w:val="21"/>
                <w:highlight w:val="none"/>
              </w:rPr>
            </w:pPr>
          </w:p>
        </w:tc>
      </w:tr>
      <w:tr>
        <w:tblPrEx>
          <w:tblCellMar>
            <w:top w:w="0" w:type="dxa"/>
            <w:left w:w="108" w:type="dxa"/>
            <w:bottom w:w="0" w:type="dxa"/>
            <w:right w:w="108" w:type="dxa"/>
          </w:tblCellMar>
        </w:tblPrEx>
        <w:trPr>
          <w:trHeight w:val="1321" w:hRule="atLeast"/>
        </w:trPr>
        <w:tc>
          <w:tcPr>
            <w:tcW w:w="1116" w:type="dxa"/>
            <w:tcBorders>
              <w:top w:val="nil"/>
              <w:left w:val="single" w:color="auto" w:sz="8" w:space="0"/>
              <w:bottom w:val="single" w:color="000000" w:sz="8" w:space="0"/>
              <w:right w:val="single" w:color="auto" w:sz="8" w:space="0"/>
            </w:tcBorders>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1</w:t>
            </w:r>
          </w:p>
        </w:tc>
        <w:tc>
          <w:tcPr>
            <w:tcW w:w="1329" w:type="dxa"/>
            <w:tcBorders>
              <w:top w:val="nil"/>
              <w:left w:val="single" w:color="auto" w:sz="8" w:space="0"/>
              <w:bottom w:val="single" w:color="000000" w:sz="8" w:space="0"/>
              <w:right w:val="single" w:color="auto" w:sz="8" w:space="0"/>
            </w:tcBorders>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商务部分</w:t>
            </w:r>
          </w:p>
        </w:tc>
        <w:tc>
          <w:tcPr>
            <w:tcW w:w="5691" w:type="dxa"/>
            <w:tcBorders>
              <w:top w:val="nil"/>
              <w:left w:val="nil"/>
              <w:bottom w:val="single" w:color="auto" w:sz="8" w:space="0"/>
              <w:right w:val="single" w:color="auto" w:sz="8" w:space="0"/>
            </w:tcBorders>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rPr>
              <w:t>1、所投产品厂商具备质量管理体系认证 ISO 9001</w:t>
            </w:r>
          </w:p>
          <w:p>
            <w:pPr>
              <w:rPr>
                <w:rFonts w:ascii="仿宋" w:hAnsi="仿宋" w:eastAsia="仿宋" w:cs="仿宋"/>
                <w:color w:val="auto"/>
                <w:szCs w:val="21"/>
                <w:highlight w:val="none"/>
              </w:rPr>
            </w:pPr>
            <w:r>
              <w:rPr>
                <w:rFonts w:hint="eastAsia" w:ascii="仿宋" w:hAnsi="仿宋" w:eastAsia="仿宋" w:cs="仿宋"/>
                <w:color w:val="auto"/>
                <w:szCs w:val="21"/>
                <w:highlight w:val="none"/>
              </w:rPr>
              <w:t>2、所投产品厂商信息安全管理体系认证 ISO 27001</w:t>
            </w:r>
          </w:p>
          <w:p>
            <w:pPr>
              <w:rPr>
                <w:rFonts w:ascii="仿宋" w:hAnsi="仿宋" w:eastAsia="仿宋" w:cs="仿宋"/>
                <w:color w:val="auto"/>
                <w:szCs w:val="21"/>
                <w:highlight w:val="none"/>
              </w:rPr>
            </w:pPr>
            <w:r>
              <w:rPr>
                <w:rFonts w:hint="eastAsia" w:ascii="仿宋" w:hAnsi="仿宋" w:eastAsia="仿宋" w:cs="仿宋"/>
                <w:color w:val="auto"/>
                <w:szCs w:val="21"/>
                <w:highlight w:val="none"/>
              </w:rPr>
              <w:t>3、所投产品厂商环境管理体系认证 ISO 14001</w:t>
            </w:r>
          </w:p>
          <w:p>
            <w:pPr>
              <w:rPr>
                <w:rFonts w:ascii="仿宋" w:hAnsi="仿宋" w:eastAsia="仿宋" w:cs="仿宋"/>
                <w:color w:val="auto"/>
                <w:szCs w:val="21"/>
                <w:highlight w:val="none"/>
              </w:rPr>
            </w:pPr>
            <w:r>
              <w:rPr>
                <w:rFonts w:hint="eastAsia" w:ascii="仿宋" w:hAnsi="仿宋" w:eastAsia="仿宋" w:cs="仿宋"/>
                <w:color w:val="auto"/>
                <w:szCs w:val="21"/>
                <w:highlight w:val="none"/>
              </w:rPr>
              <w:t>4、所投产品厂商IT服务管理体系认证ISO 20000-1</w:t>
            </w:r>
          </w:p>
          <w:p>
            <w:pPr>
              <w:rPr>
                <w:rFonts w:ascii="仿宋" w:hAnsi="仿宋" w:eastAsia="仿宋" w:cs="仿宋"/>
                <w:color w:val="auto"/>
                <w:szCs w:val="21"/>
                <w:highlight w:val="none"/>
              </w:rPr>
            </w:pPr>
            <w:r>
              <w:rPr>
                <w:rFonts w:hint="eastAsia" w:ascii="仿宋" w:hAnsi="仿宋" w:eastAsia="仿宋" w:cs="仿宋"/>
                <w:color w:val="auto"/>
                <w:szCs w:val="21"/>
                <w:highlight w:val="none"/>
              </w:rPr>
              <w:t>注：提供一项得2.5分，以上认证要求提供的证明证书复印件作为评审依据，</w:t>
            </w:r>
          </w:p>
        </w:tc>
        <w:tc>
          <w:tcPr>
            <w:tcW w:w="1120" w:type="dxa"/>
            <w:tcBorders>
              <w:top w:val="nil"/>
              <w:left w:val="single" w:color="auto" w:sz="8" w:space="0"/>
              <w:bottom w:val="single" w:color="000000" w:sz="8" w:space="0"/>
              <w:right w:val="single" w:color="auto" w:sz="8" w:space="0"/>
            </w:tcBorders>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10</w:t>
            </w:r>
          </w:p>
        </w:tc>
      </w:tr>
      <w:tr>
        <w:tblPrEx>
          <w:tblCellMar>
            <w:top w:w="0" w:type="dxa"/>
            <w:left w:w="108" w:type="dxa"/>
            <w:bottom w:w="0" w:type="dxa"/>
            <w:right w:w="108" w:type="dxa"/>
          </w:tblCellMar>
        </w:tblPrEx>
        <w:trPr>
          <w:trHeight w:val="1035" w:hRule="atLeast"/>
        </w:trPr>
        <w:tc>
          <w:tcPr>
            <w:tcW w:w="1116" w:type="dxa"/>
            <w:vMerge w:val="restart"/>
            <w:tcBorders>
              <w:top w:val="nil"/>
              <w:left w:val="single" w:color="auto" w:sz="8" w:space="0"/>
              <w:right w:val="single" w:color="auto" w:sz="8" w:space="0"/>
            </w:tcBorders>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2</w:t>
            </w:r>
          </w:p>
        </w:tc>
        <w:tc>
          <w:tcPr>
            <w:tcW w:w="1329" w:type="dxa"/>
            <w:vMerge w:val="restart"/>
            <w:tcBorders>
              <w:top w:val="nil"/>
              <w:left w:val="single" w:color="auto" w:sz="8" w:space="0"/>
              <w:right w:val="single" w:color="auto" w:sz="8" w:space="0"/>
            </w:tcBorders>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技术响应</w:t>
            </w:r>
          </w:p>
        </w:tc>
        <w:tc>
          <w:tcPr>
            <w:tcW w:w="5691" w:type="dxa"/>
            <w:tcBorders>
              <w:top w:val="nil"/>
              <w:left w:val="nil"/>
              <w:bottom w:val="single" w:color="auto" w:sz="8" w:space="0"/>
              <w:right w:val="single" w:color="auto" w:sz="8" w:space="0"/>
            </w:tcBorders>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rPr>
              <w:t>投标人所投产品完全满足招标文件设备清单及参数要求的得30分，如有负偏离或不响应情况，按以下标准进行扣分：</w:t>
            </w:r>
          </w:p>
          <w:p>
            <w:pPr>
              <w:rPr>
                <w:rFonts w:ascii="仿宋" w:hAnsi="仿宋" w:eastAsia="仿宋" w:cs="仿宋"/>
                <w:color w:val="auto"/>
                <w:szCs w:val="21"/>
                <w:highlight w:val="none"/>
              </w:rPr>
            </w:pPr>
            <w:r>
              <w:rPr>
                <w:rFonts w:hint="eastAsia" w:ascii="仿宋" w:hAnsi="仿宋" w:eastAsia="仿宋" w:cs="仿宋"/>
                <w:color w:val="auto"/>
                <w:szCs w:val="21"/>
                <w:highlight w:val="none"/>
              </w:rPr>
              <w:t>1、标注“★”的参数及要求，每负偏离或不响应一项扣3分，扣完为止。</w:t>
            </w:r>
          </w:p>
          <w:p>
            <w:pPr>
              <w:rPr>
                <w:rFonts w:ascii="仿宋" w:hAnsi="仿宋" w:eastAsia="仿宋" w:cs="仿宋"/>
                <w:color w:val="auto"/>
                <w:szCs w:val="21"/>
                <w:highlight w:val="none"/>
              </w:rPr>
            </w:pPr>
            <w:r>
              <w:rPr>
                <w:rFonts w:hint="eastAsia" w:ascii="仿宋" w:hAnsi="仿宋" w:eastAsia="仿宋" w:cs="仿宋"/>
                <w:color w:val="auto"/>
                <w:szCs w:val="21"/>
                <w:highlight w:val="none"/>
              </w:rPr>
              <w:t>2、非标注“★”的参数及要求，每负偏离或不响应一项扣1分，扣完为止。</w:t>
            </w:r>
          </w:p>
          <w:p>
            <w:pPr>
              <w:rPr>
                <w:rFonts w:ascii="仿宋" w:hAnsi="仿宋" w:eastAsia="仿宋" w:cs="仿宋"/>
                <w:color w:val="auto"/>
                <w:szCs w:val="21"/>
                <w:highlight w:val="none"/>
              </w:rPr>
            </w:pPr>
            <w:r>
              <w:rPr>
                <w:rFonts w:hint="eastAsia" w:ascii="仿宋" w:hAnsi="仿宋" w:eastAsia="仿宋" w:cs="仿宋"/>
                <w:color w:val="auto"/>
                <w:szCs w:val="21"/>
                <w:highlight w:val="none"/>
              </w:rPr>
              <w:t>注：</w:t>
            </w:r>
          </w:p>
          <w:p>
            <w:pPr>
              <w:rPr>
                <w:rFonts w:ascii="仿宋" w:hAnsi="仿宋" w:eastAsia="仿宋" w:cs="仿宋"/>
                <w:b/>
                <w:color w:val="auto"/>
                <w:szCs w:val="21"/>
                <w:highlight w:val="none"/>
              </w:rPr>
            </w:pPr>
            <w:r>
              <w:rPr>
                <w:rFonts w:hint="eastAsia" w:ascii="仿宋" w:hAnsi="仿宋" w:eastAsia="仿宋" w:cs="仿宋"/>
                <w:b/>
                <w:color w:val="auto"/>
                <w:szCs w:val="21"/>
                <w:highlight w:val="none"/>
              </w:rPr>
              <w:t>（1）性能项目-智能化、性能项目-可视化指挥中有超过2项</w:t>
            </w:r>
            <w:r>
              <w:rPr>
                <w:rFonts w:hint="eastAsia" w:ascii="仿宋" w:hAnsi="仿宋" w:eastAsia="仿宋" w:cs="仿宋"/>
                <w:color w:val="auto"/>
                <w:szCs w:val="21"/>
                <w:highlight w:val="none"/>
              </w:rPr>
              <w:t xml:space="preserve"> “★”的参数负偏</w:t>
            </w:r>
            <w:r>
              <w:rPr>
                <w:rFonts w:hint="eastAsia" w:ascii="仿宋" w:hAnsi="仿宋" w:eastAsia="仿宋" w:cs="仿宋"/>
                <w:b/>
                <w:color w:val="auto"/>
                <w:szCs w:val="21"/>
                <w:highlight w:val="none"/>
              </w:rPr>
              <w:t>离或不响应，视为重大偏离，技术响应分按0分计。</w:t>
            </w:r>
          </w:p>
          <w:p>
            <w:pPr>
              <w:rPr>
                <w:rFonts w:ascii="仿宋" w:hAnsi="仿宋" w:eastAsia="仿宋" w:cs="仿宋"/>
                <w:color w:val="auto"/>
                <w:szCs w:val="21"/>
                <w:highlight w:val="none"/>
              </w:rPr>
            </w:pPr>
            <w:r>
              <w:rPr>
                <w:rFonts w:hint="eastAsia" w:ascii="仿宋" w:hAnsi="仿宋" w:eastAsia="仿宋" w:cs="仿宋"/>
                <w:b/>
                <w:color w:val="auto"/>
                <w:szCs w:val="21"/>
                <w:highlight w:val="none"/>
              </w:rPr>
              <w:t>（2）以投标响应表及投标文件中要求提供的证明材料作为评审依据。</w:t>
            </w:r>
          </w:p>
        </w:tc>
        <w:tc>
          <w:tcPr>
            <w:tcW w:w="1120" w:type="dxa"/>
            <w:tcBorders>
              <w:top w:val="nil"/>
              <w:left w:val="nil"/>
              <w:bottom w:val="single" w:color="auto" w:sz="8" w:space="0"/>
              <w:right w:val="single" w:color="auto" w:sz="8" w:space="0"/>
            </w:tcBorders>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30</w:t>
            </w:r>
          </w:p>
        </w:tc>
      </w:tr>
      <w:tr>
        <w:tblPrEx>
          <w:tblCellMar>
            <w:top w:w="0" w:type="dxa"/>
            <w:left w:w="108" w:type="dxa"/>
            <w:bottom w:w="0" w:type="dxa"/>
            <w:right w:w="108" w:type="dxa"/>
          </w:tblCellMar>
        </w:tblPrEx>
        <w:trPr>
          <w:trHeight w:val="1994" w:hRule="atLeast"/>
        </w:trPr>
        <w:tc>
          <w:tcPr>
            <w:tcW w:w="1116" w:type="dxa"/>
            <w:vMerge w:val="continue"/>
            <w:tcBorders>
              <w:left w:val="single" w:color="auto" w:sz="8" w:space="0"/>
              <w:bottom w:val="single" w:color="auto" w:sz="8" w:space="0"/>
              <w:right w:val="single" w:color="auto" w:sz="8" w:space="0"/>
            </w:tcBorders>
            <w:vAlign w:val="center"/>
          </w:tcPr>
          <w:p>
            <w:pPr>
              <w:jc w:val="center"/>
              <w:rPr>
                <w:rFonts w:ascii="仿宋" w:hAnsi="仿宋" w:eastAsia="仿宋" w:cs="仿宋"/>
                <w:color w:val="auto"/>
                <w:szCs w:val="21"/>
                <w:highlight w:val="none"/>
              </w:rPr>
            </w:pPr>
          </w:p>
        </w:tc>
        <w:tc>
          <w:tcPr>
            <w:tcW w:w="1329" w:type="dxa"/>
            <w:vMerge w:val="continue"/>
            <w:tcBorders>
              <w:left w:val="single" w:color="auto" w:sz="8" w:space="0"/>
              <w:bottom w:val="single" w:color="auto" w:sz="8" w:space="0"/>
              <w:right w:val="single" w:color="auto" w:sz="8" w:space="0"/>
            </w:tcBorders>
            <w:vAlign w:val="center"/>
          </w:tcPr>
          <w:p>
            <w:pPr>
              <w:jc w:val="center"/>
              <w:rPr>
                <w:rFonts w:ascii="仿宋" w:hAnsi="仿宋" w:eastAsia="仿宋" w:cs="仿宋"/>
                <w:color w:val="auto"/>
                <w:szCs w:val="21"/>
                <w:highlight w:val="none"/>
              </w:rPr>
            </w:pPr>
          </w:p>
        </w:tc>
        <w:tc>
          <w:tcPr>
            <w:tcW w:w="5691" w:type="dxa"/>
            <w:tcBorders>
              <w:top w:val="nil"/>
              <w:left w:val="nil"/>
              <w:bottom w:val="single" w:color="auto" w:sz="8" w:space="0"/>
              <w:right w:val="single" w:color="auto" w:sz="8" w:space="0"/>
            </w:tcBorders>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rPr>
              <w:t>执法记录仪后期需接入公安厅视频共享平台及视图库：</w:t>
            </w:r>
          </w:p>
          <w:p>
            <w:pPr>
              <w:rPr>
                <w:rFonts w:ascii="仿宋" w:hAnsi="仿宋" w:eastAsia="仿宋" w:cs="仿宋"/>
                <w:color w:val="auto"/>
                <w:szCs w:val="21"/>
                <w:highlight w:val="none"/>
              </w:rPr>
            </w:pPr>
            <w:r>
              <w:rPr>
                <w:rFonts w:hint="eastAsia" w:ascii="仿宋" w:hAnsi="仿宋" w:eastAsia="仿宋" w:cs="仿宋"/>
                <w:color w:val="auto"/>
                <w:szCs w:val="21"/>
                <w:highlight w:val="none"/>
              </w:rPr>
              <w:t>1、提供公安部一所/三所出具的符合GA/T1400.4-2017《公安视频图像信息应用系统检测报告》及检测内容复印件。提供得3分，不提供不得分。</w:t>
            </w:r>
          </w:p>
          <w:p>
            <w:pPr>
              <w:rPr>
                <w:rFonts w:ascii="仿宋" w:hAnsi="仿宋" w:eastAsia="仿宋" w:cs="仿宋"/>
                <w:color w:val="auto"/>
                <w:szCs w:val="21"/>
                <w:highlight w:val="none"/>
              </w:rPr>
            </w:pPr>
            <w:r>
              <w:rPr>
                <w:rFonts w:hint="eastAsia" w:ascii="仿宋" w:hAnsi="仿宋" w:eastAsia="仿宋" w:cs="仿宋"/>
                <w:color w:val="auto"/>
                <w:szCs w:val="21"/>
                <w:highlight w:val="none"/>
              </w:rPr>
              <w:t>2、提供公安部一所/三所单独出具的符合GB/T28181-2016《公共安全视频监控联网系统信息传输、交换、控制技术要求》标准的检测报告及检测内容复印件。提供得3分，不提供不得分。</w:t>
            </w:r>
          </w:p>
        </w:tc>
        <w:tc>
          <w:tcPr>
            <w:tcW w:w="1120" w:type="dxa"/>
            <w:tcBorders>
              <w:top w:val="nil"/>
              <w:left w:val="nil"/>
              <w:bottom w:val="single" w:color="auto" w:sz="8" w:space="0"/>
              <w:right w:val="single" w:color="auto" w:sz="8" w:space="0"/>
            </w:tcBorders>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6</w:t>
            </w:r>
          </w:p>
        </w:tc>
      </w:tr>
      <w:tr>
        <w:tblPrEx>
          <w:tblCellMar>
            <w:top w:w="0" w:type="dxa"/>
            <w:left w:w="108" w:type="dxa"/>
            <w:bottom w:w="0" w:type="dxa"/>
            <w:right w:w="108" w:type="dxa"/>
          </w:tblCellMar>
        </w:tblPrEx>
        <w:trPr>
          <w:trHeight w:val="1035" w:hRule="atLeast"/>
        </w:trPr>
        <w:tc>
          <w:tcPr>
            <w:tcW w:w="1116"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3</w:t>
            </w:r>
          </w:p>
        </w:tc>
        <w:tc>
          <w:tcPr>
            <w:tcW w:w="1329"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售后服务</w:t>
            </w:r>
          </w:p>
        </w:tc>
        <w:tc>
          <w:tcPr>
            <w:tcW w:w="5691"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rPr>
              <w:t>投标人提供详细得执法记录仪整体扩展方案详实情况和售后服务的内容、形式、含免费维修时间、问题的响应时间、解决问题时间、维修单位名称、地点及活动期间服务方案。优得15-19分，良得10-14分，一般得5-9分，差得0-4分。</w:t>
            </w:r>
          </w:p>
        </w:tc>
        <w:tc>
          <w:tcPr>
            <w:tcW w:w="1120" w:type="dxa"/>
            <w:tcBorders>
              <w:top w:val="single" w:color="auto" w:sz="8" w:space="0"/>
              <w:left w:val="single" w:color="auto" w:sz="8" w:space="0"/>
              <w:bottom w:val="single" w:color="auto" w:sz="8" w:space="0"/>
              <w:right w:val="single" w:color="auto" w:sz="4" w:space="0"/>
            </w:tcBorders>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19</w:t>
            </w:r>
          </w:p>
        </w:tc>
      </w:tr>
      <w:tr>
        <w:tblPrEx>
          <w:tblCellMar>
            <w:top w:w="0" w:type="dxa"/>
            <w:left w:w="108" w:type="dxa"/>
            <w:bottom w:w="0" w:type="dxa"/>
            <w:right w:w="108" w:type="dxa"/>
          </w:tblCellMar>
        </w:tblPrEx>
        <w:trPr>
          <w:trHeight w:val="1035" w:hRule="atLeast"/>
        </w:trPr>
        <w:tc>
          <w:tcPr>
            <w:tcW w:w="1116"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color w:val="auto"/>
                <w:szCs w:val="21"/>
                <w:highlight w:val="none"/>
              </w:rPr>
            </w:pPr>
          </w:p>
        </w:tc>
        <w:tc>
          <w:tcPr>
            <w:tcW w:w="1329"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color w:val="auto"/>
                <w:szCs w:val="21"/>
                <w:highlight w:val="none"/>
              </w:rPr>
            </w:pPr>
          </w:p>
        </w:tc>
        <w:tc>
          <w:tcPr>
            <w:tcW w:w="5691"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rPr>
              <w:t>提供执法记录仪扩展应用服务，</w:t>
            </w:r>
            <w:r>
              <w:rPr>
                <w:rFonts w:hint="eastAsia" w:ascii="仿宋" w:hAnsi="仿宋" w:eastAsia="仿宋" w:cs="仿宋"/>
                <w:color w:val="auto"/>
                <w:szCs w:val="21"/>
                <w:highlight w:val="none"/>
              </w:rPr>
              <w:t>免费</w:t>
            </w:r>
            <w:r>
              <w:rPr>
                <w:rFonts w:hint="eastAsia" w:ascii="仿宋" w:hAnsi="仿宋" w:eastAsia="仿宋" w:cs="仿宋"/>
                <w:color w:val="auto"/>
                <w:szCs w:val="21"/>
                <w:highlight w:val="none"/>
              </w:rPr>
              <w:t>接入省公安厅视频共享平台、视图库平台、岸线防护圈系统等，根据业主要求，每项工作完成不超过20个工作日。承诺提供1项得1分，提供2项得3分，提供3项得5分。</w:t>
            </w:r>
          </w:p>
        </w:tc>
        <w:tc>
          <w:tcPr>
            <w:tcW w:w="1120" w:type="dxa"/>
            <w:tcBorders>
              <w:top w:val="single" w:color="auto" w:sz="8" w:space="0"/>
              <w:left w:val="single" w:color="auto" w:sz="8" w:space="0"/>
              <w:bottom w:val="single" w:color="auto" w:sz="4" w:space="0"/>
              <w:right w:val="single" w:color="auto" w:sz="4" w:space="0"/>
            </w:tcBorders>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5</w:t>
            </w:r>
          </w:p>
        </w:tc>
      </w:tr>
      <w:tr>
        <w:tblPrEx>
          <w:tblCellMar>
            <w:top w:w="0" w:type="dxa"/>
            <w:left w:w="108" w:type="dxa"/>
            <w:bottom w:w="0" w:type="dxa"/>
            <w:right w:w="108" w:type="dxa"/>
          </w:tblCellMar>
        </w:tblPrEx>
        <w:trPr>
          <w:trHeight w:val="1035" w:hRule="atLeast"/>
        </w:trPr>
        <w:tc>
          <w:tcPr>
            <w:tcW w:w="1116"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4</w:t>
            </w:r>
          </w:p>
        </w:tc>
        <w:tc>
          <w:tcPr>
            <w:tcW w:w="1329"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价格分</w:t>
            </w:r>
          </w:p>
        </w:tc>
        <w:tc>
          <w:tcPr>
            <w:tcW w:w="5691"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rPr>
              <w:t>报价得分=评标基准价/投标报价*100*报价分值权重</w:t>
            </w:r>
          </w:p>
        </w:tc>
        <w:tc>
          <w:tcPr>
            <w:tcW w:w="1120" w:type="dxa"/>
            <w:tcBorders>
              <w:top w:val="single" w:color="auto" w:sz="4" w:space="0"/>
              <w:left w:val="single" w:color="auto" w:sz="8" w:space="0"/>
              <w:bottom w:val="single" w:color="auto" w:sz="8" w:space="0"/>
              <w:right w:val="single" w:color="auto" w:sz="8" w:space="0"/>
            </w:tcBorders>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30</w:t>
            </w:r>
          </w:p>
        </w:tc>
      </w:tr>
      <w:tr>
        <w:tblPrEx>
          <w:tblCellMar>
            <w:top w:w="0" w:type="dxa"/>
            <w:left w:w="108" w:type="dxa"/>
            <w:bottom w:w="0" w:type="dxa"/>
            <w:right w:w="108" w:type="dxa"/>
          </w:tblCellMar>
        </w:tblPrEx>
        <w:trPr>
          <w:trHeight w:val="285" w:hRule="atLeast"/>
        </w:trPr>
        <w:tc>
          <w:tcPr>
            <w:tcW w:w="1116"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color w:val="auto"/>
                <w:szCs w:val="21"/>
                <w:highlight w:val="none"/>
              </w:rPr>
            </w:pPr>
          </w:p>
        </w:tc>
        <w:tc>
          <w:tcPr>
            <w:tcW w:w="7020" w:type="dxa"/>
            <w:gridSpan w:val="2"/>
            <w:tcBorders>
              <w:top w:val="single" w:color="auto" w:sz="8" w:space="0"/>
              <w:left w:val="nil"/>
              <w:bottom w:val="single" w:color="auto" w:sz="8" w:space="0"/>
              <w:right w:val="single" w:color="000000" w:sz="8" w:space="0"/>
            </w:tcBorders>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评比总得分</w:t>
            </w:r>
          </w:p>
        </w:tc>
        <w:tc>
          <w:tcPr>
            <w:tcW w:w="1120" w:type="dxa"/>
            <w:tcBorders>
              <w:top w:val="nil"/>
              <w:left w:val="nil"/>
              <w:bottom w:val="single" w:color="auto" w:sz="8" w:space="0"/>
              <w:right w:val="single" w:color="auto" w:sz="8" w:space="0"/>
            </w:tcBorders>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100</w:t>
            </w:r>
          </w:p>
        </w:tc>
      </w:tr>
    </w:tbl>
    <w:p>
      <w:pPr>
        <w:jc w:val="both"/>
        <w:rPr>
          <w:rFonts w:ascii="仿宋" w:hAnsi="仿宋" w:eastAsia="仿宋" w:cs="仿宋"/>
          <w:b/>
          <w:bCs/>
          <w:color w:val="auto"/>
          <w:szCs w:val="24"/>
          <w:highlight w:val="none"/>
        </w:rPr>
      </w:pPr>
    </w:p>
    <w:p>
      <w:pPr>
        <w:spacing w:line="360" w:lineRule="auto"/>
        <w:ind w:right="480"/>
        <w:jc w:val="righ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【末页】                                                                    </w:t>
      </w:r>
    </w:p>
    <w:sectPr>
      <w:pgSz w:w="11906" w:h="16838"/>
      <w:pgMar w:top="1440" w:right="1365" w:bottom="1440" w:left="1501" w:header="851" w:footer="992" w:gutter="0"/>
      <w:pgBorders w:offsetFrom="page">
        <w:top w:val="single" w:color="auto" w:sz="4" w:space="24"/>
        <w:left w:val="single" w:color="auto" w:sz="4" w:space="24"/>
        <w:bottom w:val="single" w:color="auto" w:sz="4" w:space="24"/>
        <w:right w:val="single" w:color="auto" w:sz="4" w:space="24"/>
      </w:pgBorders>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等线">
    <w:altName w:val="宋体"/>
    <w:panose1 w:val="02010600030101010101"/>
    <w:charset w:val="86"/>
    <w:family w:val="auto"/>
    <w:pitch w:val="default"/>
    <w:sig w:usb0="00000000" w:usb1="00000000"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仿宋">
    <w:panose1 w:val="02010609060101010101"/>
    <w:charset w:val="86"/>
    <w:family w:val="modern"/>
    <w:pitch w:val="default"/>
    <w:sig w:usb0="800002BF" w:usb1="38CF7CFA" w:usb2="00000016" w:usb3="00000000" w:csb0="00040001" w:csb1="00000000"/>
  </w:font>
  <w:font w:name="长城仿宋">
    <w:altName w:val="宋体"/>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4935" cy="147955"/>
              <wp:effectExtent l="0" t="0" r="0" b="0"/>
              <wp:wrapNone/>
              <wp:docPr id="2" name="Text Box 1"/>
              <wp:cNvGraphicFramePr/>
              <a:graphic xmlns:a="http://schemas.openxmlformats.org/drawingml/2006/main">
                <a:graphicData uri="http://schemas.microsoft.com/office/word/2010/wordprocessingShape">
                  <wps:wsp>
                    <wps:cNvSpPr txBox="1">
                      <a:spLocks noChangeArrowheads="1"/>
                    </wps:cNvSpPr>
                    <wps:spPr bwMode="auto">
                      <a:xfrm>
                        <a:off x="0" y="0"/>
                        <a:ext cx="114935" cy="147955"/>
                      </a:xfrm>
                      <a:prstGeom prst="rect">
                        <a:avLst/>
                      </a:prstGeom>
                      <a:noFill/>
                      <a:ln>
                        <a:noFill/>
                      </a:ln>
                    </wps:spPr>
                    <wps:txbx>
                      <w:txbxContent>
                        <w:p>
                          <w:pPr>
                            <w:pStyle w:val="26"/>
                          </w:pPr>
                          <w:r>
                            <w:rPr>
                              <w:rFonts w:hint="eastAsia"/>
                            </w:rPr>
                            <w:fldChar w:fldCharType="begin"/>
                          </w:r>
                          <w:r>
                            <w:rPr>
                              <w:rFonts w:hint="eastAsia"/>
                            </w:rPr>
                            <w:instrText xml:space="preserve"> PAGE  \* MERGEFORMAT </w:instrText>
                          </w:r>
                          <w:r>
                            <w:rPr>
                              <w:rFonts w:hint="eastAsia"/>
                            </w:rPr>
                            <w:fldChar w:fldCharType="separate"/>
                          </w:r>
                          <w:r>
                            <w:t>33</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Text Box 1" o:spid="_x0000_s1026" o:spt="202" type="#_x0000_t202" style="position:absolute;left:0pt;margin-top:0pt;height:11.65pt;width:9.05pt;mso-position-horizontal:center;mso-position-horizontal-relative:margin;mso-wrap-style:none;z-index:251658240;mso-width-relative:page;mso-height-relative:page;" filled="f" stroked="f" coordsize="21600,21600" o:gfxdata="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a6W/D9EAAAADAQAADwAAAAAAAAABACAAAAAiAAAAZHJzL2Rvd25yZXYueG1sUEsBAhQA&#10;FAAAAAgAh07iQJ89yRD5AQAAAQQAAA4AAAAAAAAAAQAgAAAAIAEAAGRycy9lMm9Eb2MueG1sUEsF&#10;BgAAAAAGAAYAWQEAAIsFAAAAAA==&#10;">
              <v:fill on="f" focussize="0,0"/>
              <v:stroke on="f"/>
              <v:imagedata o:title=""/>
              <o:lock v:ext="edit" aspectratio="f"/>
              <v:textbox inset="0mm,0mm,0mm,0mm" style="mso-fit-shape-to-text:t;">
                <w:txbxContent>
                  <w:p>
                    <w:pPr>
                      <w:pStyle w:val="26"/>
                    </w:pPr>
                    <w:r>
                      <w:rPr>
                        <w:rFonts w:hint="eastAsia"/>
                      </w:rPr>
                      <w:fldChar w:fldCharType="begin"/>
                    </w:r>
                    <w:r>
                      <w:rPr>
                        <w:rFonts w:hint="eastAsia"/>
                      </w:rPr>
                      <w:instrText xml:space="preserve"> PAGE  \* MERGEFORMAT </w:instrText>
                    </w:r>
                    <w:r>
                      <w:rPr>
                        <w:rFonts w:hint="eastAsia"/>
                      </w:rPr>
                      <w:fldChar w:fldCharType="separate"/>
                    </w:r>
                    <w:r>
                      <w:t>33</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47955"/>
              <wp:effectExtent l="0" t="0" r="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114935" cy="147955"/>
                      </a:xfrm>
                      <a:prstGeom prst="rect">
                        <a:avLst/>
                      </a:prstGeom>
                      <a:noFill/>
                      <a:ln>
                        <a:noFill/>
                      </a:ln>
                    </wps:spPr>
                    <wps:txbx>
                      <w:txbxContent>
                        <w:p>
                          <w:pPr>
                            <w:pStyle w:val="26"/>
                          </w:pPr>
                          <w:r>
                            <w:rPr>
                              <w:rFonts w:hint="eastAsia"/>
                            </w:rPr>
                            <w:fldChar w:fldCharType="begin"/>
                          </w:r>
                          <w:r>
                            <w:rPr>
                              <w:rFonts w:hint="eastAsia"/>
                            </w:rPr>
                            <w:instrText xml:space="preserve"> PAGE  \* MERGEFORMAT </w:instrText>
                          </w:r>
                          <w:r>
                            <w:rPr>
                              <w:rFonts w:hint="eastAsia"/>
                            </w:rPr>
                            <w:fldChar w:fldCharType="separate"/>
                          </w:r>
                          <w:r>
                            <w:t>18</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11.65pt;width:9.05pt;mso-position-horizontal:center;mso-position-horizontal-relative:margin;mso-wrap-style:none;z-index:251659264;mso-width-relative:page;mso-height-relative:page;" filled="f" stroked="f" coordsize="21600,21600" o:gfxdata="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ulvw/RAAAAAwEAAA8AAAAAAAAAAQAgAAAAIgAAAGRycy9kb3ducmV2LnhtbFBLAQIU&#10;ABQAAAAIAIdO4kBb72Qr+gEAAAEEAAAOAAAAAAAAAAEAIAAAACABAABkcnMvZTJvRG9jLnhtbFBL&#10;BQYAAAAABgAGAFkBAACMBQAAAAA=&#10;">
              <v:fill on="f" focussize="0,0"/>
              <v:stroke on="f"/>
              <v:imagedata o:title=""/>
              <o:lock v:ext="edit" aspectratio="f"/>
              <v:textbox inset="0mm,0mm,0mm,0mm" style="mso-fit-shape-to-text:t;">
                <w:txbxContent>
                  <w:p>
                    <w:pPr>
                      <w:pStyle w:val="26"/>
                    </w:pPr>
                    <w:r>
                      <w:rPr>
                        <w:rFonts w:hint="eastAsia"/>
                      </w:rPr>
                      <w:fldChar w:fldCharType="begin"/>
                    </w:r>
                    <w:r>
                      <w:rPr>
                        <w:rFonts w:hint="eastAsia"/>
                      </w:rPr>
                      <w:instrText xml:space="preserve"> PAGE  \* MERGEFORMAT </w:instrText>
                    </w:r>
                    <w:r>
                      <w:rPr>
                        <w:rFonts w:hint="eastAsia"/>
                      </w:rPr>
                      <w:fldChar w:fldCharType="separate"/>
                    </w:r>
                    <w:r>
                      <w:t>18</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tentative="0">
      <w:start w:val="1"/>
      <w:numFmt w:val="chineseCountingThousand"/>
      <w:lvlText w:val="%1、"/>
      <w:lvlJc w:val="left"/>
      <w:pPr>
        <w:tabs>
          <w:tab w:val="left" w:pos="113"/>
        </w:tabs>
        <w:ind w:left="284" w:hanging="284"/>
      </w:pPr>
      <w:rPr>
        <w:rFonts w:hint="eastAsia"/>
      </w:rPr>
    </w:lvl>
    <w:lvl w:ilvl="1" w:tentative="0">
      <w:start w:val="1"/>
      <w:numFmt w:val="decimal"/>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decimal"/>
      <w:lvlText w:val="%6、"/>
      <w:lvlJc w:val="left"/>
      <w:pPr>
        <w:ind w:left="2460" w:hanging="360"/>
      </w:pPr>
      <w:rPr>
        <w:rFonts w:hint="default"/>
      </w:r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39"/>
    <w:multiLevelType w:val="multilevel"/>
    <w:tmpl w:val="00000039"/>
    <w:lvl w:ilvl="0" w:tentative="0">
      <w:start w:val="1"/>
      <w:numFmt w:val="decimal"/>
      <w:pStyle w:val="178"/>
      <w:lvlText w:val="%1."/>
      <w:lvlJc w:val="left"/>
      <w:pPr>
        <w:tabs>
          <w:tab w:val="left" w:pos="709"/>
        </w:tabs>
        <w:ind w:left="709" w:hanging="284"/>
      </w:pPr>
      <w:rPr>
        <w:rFonts w:hint="eastAsia"/>
      </w:rPr>
    </w:lvl>
    <w:lvl w:ilvl="1" w:tentative="0">
      <w:start w:val="1"/>
      <w:numFmt w:val="decimal"/>
      <w:lvlText w:val="%2)"/>
      <w:lvlJc w:val="left"/>
      <w:pPr>
        <w:tabs>
          <w:tab w:val="left" w:pos="1134"/>
        </w:tabs>
        <w:ind w:left="1134" w:hanging="425"/>
      </w:pPr>
      <w:rPr>
        <w:rFonts w:hint="default"/>
      </w:rPr>
    </w:lvl>
    <w:lvl w:ilvl="2" w:tentative="0">
      <w:start w:val="1"/>
      <w:numFmt w:val="lowerLetter"/>
      <w:lvlText w:val="%3)"/>
      <w:lvlJc w:val="left"/>
      <w:pPr>
        <w:tabs>
          <w:tab w:val="left" w:pos="1559"/>
        </w:tabs>
        <w:ind w:left="1559" w:hanging="425"/>
      </w:pPr>
      <w:rPr>
        <w:rFonts w:hint="eastAsia"/>
      </w:rPr>
    </w:lvl>
    <w:lvl w:ilvl="3" w:tentative="0">
      <w:start w:val="1"/>
      <w:numFmt w:val="bullet"/>
      <w:lvlText w:val=""/>
      <w:lvlJc w:val="left"/>
      <w:pPr>
        <w:tabs>
          <w:tab w:val="left" w:pos="1843"/>
        </w:tabs>
        <w:ind w:left="1843" w:hanging="284"/>
      </w:pPr>
      <w:rPr>
        <w:rFonts w:hint="default" w:ascii="Wingdings" w:hAnsi="Wingdings"/>
      </w:rPr>
    </w:lvl>
    <w:lvl w:ilvl="4" w:tentative="0">
      <w:start w:val="1"/>
      <w:numFmt w:val="lowerLetter"/>
      <w:lvlText w:val="%5)"/>
      <w:lvlJc w:val="left"/>
      <w:pPr>
        <w:tabs>
          <w:tab w:val="left" w:pos="2810"/>
        </w:tabs>
        <w:ind w:left="2810" w:hanging="420"/>
      </w:pPr>
      <w:rPr>
        <w:rFonts w:hint="eastAsia"/>
      </w:rPr>
    </w:lvl>
    <w:lvl w:ilvl="5" w:tentative="0">
      <w:start w:val="1"/>
      <w:numFmt w:val="lowerRoman"/>
      <w:lvlText w:val="%6."/>
      <w:lvlJc w:val="right"/>
      <w:pPr>
        <w:tabs>
          <w:tab w:val="left" w:pos="3230"/>
        </w:tabs>
        <w:ind w:left="3230" w:hanging="420"/>
      </w:pPr>
      <w:rPr>
        <w:rFonts w:hint="eastAsia"/>
      </w:rPr>
    </w:lvl>
    <w:lvl w:ilvl="6" w:tentative="0">
      <w:start w:val="1"/>
      <w:numFmt w:val="decimal"/>
      <w:lvlText w:val="%7."/>
      <w:lvlJc w:val="left"/>
      <w:pPr>
        <w:tabs>
          <w:tab w:val="left" w:pos="3650"/>
        </w:tabs>
        <w:ind w:left="3650" w:hanging="420"/>
      </w:pPr>
      <w:rPr>
        <w:rFonts w:hint="eastAsia"/>
      </w:rPr>
    </w:lvl>
    <w:lvl w:ilvl="7" w:tentative="0">
      <w:start w:val="1"/>
      <w:numFmt w:val="lowerLetter"/>
      <w:lvlText w:val="%8)"/>
      <w:lvlJc w:val="left"/>
      <w:pPr>
        <w:tabs>
          <w:tab w:val="left" w:pos="4070"/>
        </w:tabs>
        <w:ind w:left="4070" w:hanging="420"/>
      </w:pPr>
      <w:rPr>
        <w:rFonts w:hint="eastAsia"/>
      </w:rPr>
    </w:lvl>
    <w:lvl w:ilvl="8" w:tentative="0">
      <w:start w:val="1"/>
      <w:numFmt w:val="lowerRoman"/>
      <w:lvlText w:val="%9."/>
      <w:lvlJc w:val="right"/>
      <w:pPr>
        <w:tabs>
          <w:tab w:val="left" w:pos="4490"/>
        </w:tabs>
        <w:ind w:left="4490" w:hanging="420"/>
      </w:pPr>
      <w:rPr>
        <w:rFonts w:hint="eastAsia"/>
      </w:rPr>
    </w:lvl>
  </w:abstractNum>
  <w:abstractNum w:abstractNumId="2">
    <w:nsid w:val="0DB1CF5E"/>
    <w:multiLevelType w:val="singleLevel"/>
    <w:tmpl w:val="0DB1CF5E"/>
    <w:lvl w:ilvl="0" w:tentative="0">
      <w:start w:val="5"/>
      <w:numFmt w:val="decimal"/>
      <w:suff w:val="nothing"/>
      <w:lvlText w:val="%1、"/>
      <w:lvlJc w:val="left"/>
    </w:lvl>
  </w:abstractNum>
  <w:abstractNum w:abstractNumId="3">
    <w:nsid w:val="3A6E3BF8"/>
    <w:multiLevelType w:val="multilevel"/>
    <w:tmpl w:val="3A6E3BF8"/>
    <w:lvl w:ilvl="0" w:tentative="0">
      <w:start w:val="1"/>
      <w:numFmt w:val="bullet"/>
      <w:pStyle w:val="146"/>
      <w:lvlText w:val=""/>
      <w:lvlJc w:val="left"/>
      <w:pPr>
        <w:ind w:left="420" w:hanging="420"/>
      </w:pPr>
      <w:rPr>
        <w:rFonts w:hint="default" w:ascii="Symbol" w:hAnsi="Symbol"/>
        <w:color w:val="auto"/>
        <w:position w:val="-2"/>
        <w:sz w:val="18"/>
        <w:szCs w:val="18"/>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cs="Wingdings"/>
      </w:rPr>
    </w:lvl>
    <w:lvl w:ilvl="3" w:tentative="0">
      <w:start w:val="1"/>
      <w:numFmt w:val="bullet"/>
      <w:lvlText w:val=""/>
      <w:lvlJc w:val="left"/>
      <w:pPr>
        <w:tabs>
          <w:tab w:val="left" w:pos="1680"/>
        </w:tabs>
        <w:ind w:left="1680" w:hanging="420"/>
      </w:pPr>
      <w:rPr>
        <w:rFonts w:hint="default" w:ascii="Wingdings" w:hAnsi="Wingdings" w:cs="Wingdings"/>
      </w:rPr>
    </w:lvl>
    <w:lvl w:ilvl="4" w:tentative="0">
      <w:start w:val="1"/>
      <w:numFmt w:val="bullet"/>
      <w:lvlText w:val=""/>
      <w:lvlJc w:val="left"/>
      <w:pPr>
        <w:tabs>
          <w:tab w:val="left" w:pos="2100"/>
        </w:tabs>
        <w:ind w:left="2100" w:hanging="420"/>
      </w:pPr>
      <w:rPr>
        <w:rFonts w:hint="default" w:ascii="Wingdings" w:hAnsi="Wingdings" w:cs="Wingdings"/>
      </w:rPr>
    </w:lvl>
    <w:lvl w:ilvl="5" w:tentative="0">
      <w:start w:val="1"/>
      <w:numFmt w:val="bullet"/>
      <w:lvlText w:val=""/>
      <w:lvlJc w:val="left"/>
      <w:pPr>
        <w:tabs>
          <w:tab w:val="left" w:pos="2520"/>
        </w:tabs>
        <w:ind w:left="2520" w:hanging="420"/>
      </w:pPr>
      <w:rPr>
        <w:rFonts w:hint="default" w:ascii="Wingdings" w:hAnsi="Wingdings" w:cs="Wingdings"/>
      </w:rPr>
    </w:lvl>
    <w:lvl w:ilvl="6" w:tentative="0">
      <w:start w:val="1"/>
      <w:numFmt w:val="bullet"/>
      <w:lvlText w:val=""/>
      <w:lvlJc w:val="left"/>
      <w:pPr>
        <w:tabs>
          <w:tab w:val="left" w:pos="2940"/>
        </w:tabs>
        <w:ind w:left="2940" w:hanging="420"/>
      </w:pPr>
      <w:rPr>
        <w:rFonts w:hint="default" w:ascii="Wingdings" w:hAnsi="Wingdings" w:cs="Wingdings"/>
      </w:rPr>
    </w:lvl>
    <w:lvl w:ilvl="7" w:tentative="0">
      <w:start w:val="1"/>
      <w:numFmt w:val="bullet"/>
      <w:lvlText w:val=""/>
      <w:lvlJc w:val="left"/>
      <w:pPr>
        <w:tabs>
          <w:tab w:val="left" w:pos="3360"/>
        </w:tabs>
        <w:ind w:left="3360" w:hanging="420"/>
      </w:pPr>
      <w:rPr>
        <w:rFonts w:hint="default" w:ascii="Wingdings" w:hAnsi="Wingdings" w:cs="Wingdings"/>
      </w:rPr>
    </w:lvl>
    <w:lvl w:ilvl="8" w:tentative="0">
      <w:start w:val="1"/>
      <w:numFmt w:val="bullet"/>
      <w:lvlText w:val=""/>
      <w:lvlJc w:val="left"/>
      <w:pPr>
        <w:tabs>
          <w:tab w:val="left" w:pos="3780"/>
        </w:tabs>
        <w:ind w:left="3780" w:hanging="420"/>
      </w:pPr>
      <w:rPr>
        <w:rFonts w:hint="default" w:ascii="Wingdings" w:hAnsi="Wingdings" w:cs="Wingdings"/>
      </w:rPr>
    </w:lvl>
  </w:abstractNum>
  <w:abstractNum w:abstractNumId="4">
    <w:nsid w:val="5C946295"/>
    <w:multiLevelType w:val="singleLevel"/>
    <w:tmpl w:val="5C946295"/>
    <w:lvl w:ilvl="0" w:tentative="0">
      <w:start w:val="0"/>
      <w:numFmt w:val="none"/>
      <w:lvlText w:val=""/>
      <w:lvlJc w:val="left"/>
      <w:pPr>
        <w:tabs>
          <w:tab w:val="left" w:pos="360"/>
        </w:tabs>
      </w:pPr>
    </w:lvl>
  </w:abstractNum>
  <w:abstractNum w:abstractNumId="5">
    <w:nsid w:val="5EA79DF5"/>
    <w:multiLevelType w:val="singleLevel"/>
    <w:tmpl w:val="5EA79DF5"/>
    <w:lvl w:ilvl="0" w:tentative="0">
      <w:start w:val="1"/>
      <w:numFmt w:val="decimal"/>
      <w:suff w:val="nothing"/>
      <w:lvlText w:val="%1."/>
      <w:lvlJc w:val="left"/>
    </w:lvl>
  </w:abstractNum>
  <w:abstractNum w:abstractNumId="6">
    <w:nsid w:val="5EA8E161"/>
    <w:multiLevelType w:val="singleLevel"/>
    <w:tmpl w:val="5EA8E161"/>
    <w:lvl w:ilvl="0" w:tentative="0">
      <w:start w:val="1"/>
      <w:numFmt w:val="decimal"/>
      <w:suff w:val="nothing"/>
      <w:lvlText w:val="%1."/>
      <w:lvlJc w:val="left"/>
    </w:lvl>
  </w:abstractNum>
  <w:num w:numId="1">
    <w:abstractNumId w:val="3"/>
  </w:num>
  <w:num w:numId="2">
    <w:abstractNumId w:val="1"/>
  </w:num>
  <w:num w:numId="3">
    <w:abstractNumId w:val="5"/>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E54"/>
    <w:rsid w:val="00000A6E"/>
    <w:rsid w:val="00003333"/>
    <w:rsid w:val="0000494D"/>
    <w:rsid w:val="00005E32"/>
    <w:rsid w:val="0001191C"/>
    <w:rsid w:val="0001231B"/>
    <w:rsid w:val="00013B67"/>
    <w:rsid w:val="00014FDF"/>
    <w:rsid w:val="00017496"/>
    <w:rsid w:val="00017497"/>
    <w:rsid w:val="00017957"/>
    <w:rsid w:val="0002191C"/>
    <w:rsid w:val="00023351"/>
    <w:rsid w:val="00025FFD"/>
    <w:rsid w:val="00026548"/>
    <w:rsid w:val="00027536"/>
    <w:rsid w:val="000300AB"/>
    <w:rsid w:val="00032082"/>
    <w:rsid w:val="00035F6F"/>
    <w:rsid w:val="000369E0"/>
    <w:rsid w:val="00036A39"/>
    <w:rsid w:val="0003725F"/>
    <w:rsid w:val="00040492"/>
    <w:rsid w:val="0004092C"/>
    <w:rsid w:val="0004257D"/>
    <w:rsid w:val="000431F9"/>
    <w:rsid w:val="00043B76"/>
    <w:rsid w:val="0004644C"/>
    <w:rsid w:val="00051348"/>
    <w:rsid w:val="0005239E"/>
    <w:rsid w:val="000537A3"/>
    <w:rsid w:val="000557D1"/>
    <w:rsid w:val="00055F96"/>
    <w:rsid w:val="000560F8"/>
    <w:rsid w:val="000562EF"/>
    <w:rsid w:val="00056828"/>
    <w:rsid w:val="00060266"/>
    <w:rsid w:val="0006203B"/>
    <w:rsid w:val="00063EB8"/>
    <w:rsid w:val="000653F4"/>
    <w:rsid w:val="000675EE"/>
    <w:rsid w:val="00070654"/>
    <w:rsid w:val="00074021"/>
    <w:rsid w:val="000750A7"/>
    <w:rsid w:val="00075FA4"/>
    <w:rsid w:val="00076C15"/>
    <w:rsid w:val="0007727E"/>
    <w:rsid w:val="00080642"/>
    <w:rsid w:val="00083FBD"/>
    <w:rsid w:val="00084DCE"/>
    <w:rsid w:val="000867CF"/>
    <w:rsid w:val="00087295"/>
    <w:rsid w:val="000908E7"/>
    <w:rsid w:val="0009195B"/>
    <w:rsid w:val="00091A96"/>
    <w:rsid w:val="0009247B"/>
    <w:rsid w:val="00093F42"/>
    <w:rsid w:val="000951A4"/>
    <w:rsid w:val="000A5288"/>
    <w:rsid w:val="000B14B3"/>
    <w:rsid w:val="000B1EF6"/>
    <w:rsid w:val="000B23ED"/>
    <w:rsid w:val="000B393F"/>
    <w:rsid w:val="000B6232"/>
    <w:rsid w:val="000B7F24"/>
    <w:rsid w:val="000C08DC"/>
    <w:rsid w:val="000C2245"/>
    <w:rsid w:val="000C26C5"/>
    <w:rsid w:val="000C641C"/>
    <w:rsid w:val="000D2F50"/>
    <w:rsid w:val="000D3841"/>
    <w:rsid w:val="000D4715"/>
    <w:rsid w:val="000D6AA9"/>
    <w:rsid w:val="000D7908"/>
    <w:rsid w:val="000E2E44"/>
    <w:rsid w:val="000F0448"/>
    <w:rsid w:val="000F23ED"/>
    <w:rsid w:val="000F4276"/>
    <w:rsid w:val="000F5031"/>
    <w:rsid w:val="000F6F58"/>
    <w:rsid w:val="0010104C"/>
    <w:rsid w:val="00101B24"/>
    <w:rsid w:val="00101D73"/>
    <w:rsid w:val="00105D2F"/>
    <w:rsid w:val="00106430"/>
    <w:rsid w:val="001071D9"/>
    <w:rsid w:val="001072B8"/>
    <w:rsid w:val="00107514"/>
    <w:rsid w:val="00110CDF"/>
    <w:rsid w:val="00111219"/>
    <w:rsid w:val="00111D48"/>
    <w:rsid w:val="00112253"/>
    <w:rsid w:val="00112CE4"/>
    <w:rsid w:val="00113FD3"/>
    <w:rsid w:val="0011622B"/>
    <w:rsid w:val="001178FA"/>
    <w:rsid w:val="00120DD0"/>
    <w:rsid w:val="001221F3"/>
    <w:rsid w:val="001239EC"/>
    <w:rsid w:val="001240E5"/>
    <w:rsid w:val="001255F0"/>
    <w:rsid w:val="00127067"/>
    <w:rsid w:val="0012709F"/>
    <w:rsid w:val="00130731"/>
    <w:rsid w:val="00135027"/>
    <w:rsid w:val="001371CC"/>
    <w:rsid w:val="001375CD"/>
    <w:rsid w:val="00137A9D"/>
    <w:rsid w:val="0014027B"/>
    <w:rsid w:val="00140B8D"/>
    <w:rsid w:val="00141BDC"/>
    <w:rsid w:val="00141EAD"/>
    <w:rsid w:val="00146291"/>
    <w:rsid w:val="00146598"/>
    <w:rsid w:val="001466EF"/>
    <w:rsid w:val="00147009"/>
    <w:rsid w:val="00150F0A"/>
    <w:rsid w:val="0015189F"/>
    <w:rsid w:val="00151E43"/>
    <w:rsid w:val="00152F4E"/>
    <w:rsid w:val="00154BD9"/>
    <w:rsid w:val="001561F1"/>
    <w:rsid w:val="00162ADA"/>
    <w:rsid w:val="00162C84"/>
    <w:rsid w:val="001641BE"/>
    <w:rsid w:val="00165349"/>
    <w:rsid w:val="00165B70"/>
    <w:rsid w:val="00166D6C"/>
    <w:rsid w:val="00166D71"/>
    <w:rsid w:val="0016779F"/>
    <w:rsid w:val="001744EB"/>
    <w:rsid w:val="00174B42"/>
    <w:rsid w:val="00176ABE"/>
    <w:rsid w:val="001800A2"/>
    <w:rsid w:val="001831F6"/>
    <w:rsid w:val="00183A33"/>
    <w:rsid w:val="00186C48"/>
    <w:rsid w:val="001871A8"/>
    <w:rsid w:val="00190671"/>
    <w:rsid w:val="0019093C"/>
    <w:rsid w:val="00191F42"/>
    <w:rsid w:val="0019285B"/>
    <w:rsid w:val="001945C9"/>
    <w:rsid w:val="001949A1"/>
    <w:rsid w:val="0019516E"/>
    <w:rsid w:val="00195811"/>
    <w:rsid w:val="001A1318"/>
    <w:rsid w:val="001A2DF1"/>
    <w:rsid w:val="001A33FB"/>
    <w:rsid w:val="001A34B6"/>
    <w:rsid w:val="001A4413"/>
    <w:rsid w:val="001A4811"/>
    <w:rsid w:val="001A49A9"/>
    <w:rsid w:val="001A6517"/>
    <w:rsid w:val="001B3121"/>
    <w:rsid w:val="001B3B92"/>
    <w:rsid w:val="001B4267"/>
    <w:rsid w:val="001B6F63"/>
    <w:rsid w:val="001C3111"/>
    <w:rsid w:val="001C490F"/>
    <w:rsid w:val="001C5AE3"/>
    <w:rsid w:val="001C7037"/>
    <w:rsid w:val="001D06DD"/>
    <w:rsid w:val="001D28EA"/>
    <w:rsid w:val="001D4744"/>
    <w:rsid w:val="001D5BF9"/>
    <w:rsid w:val="001D71EA"/>
    <w:rsid w:val="001D7DD4"/>
    <w:rsid w:val="001E0714"/>
    <w:rsid w:val="001E08C9"/>
    <w:rsid w:val="001E0B7E"/>
    <w:rsid w:val="001E0DC9"/>
    <w:rsid w:val="001E1EFA"/>
    <w:rsid w:val="001E2C1D"/>
    <w:rsid w:val="001E3EEC"/>
    <w:rsid w:val="001E5284"/>
    <w:rsid w:val="001E6D39"/>
    <w:rsid w:val="001E7BBE"/>
    <w:rsid w:val="001F024D"/>
    <w:rsid w:val="001F55C3"/>
    <w:rsid w:val="001F57D6"/>
    <w:rsid w:val="001F5CA8"/>
    <w:rsid w:val="001F6F40"/>
    <w:rsid w:val="00200346"/>
    <w:rsid w:val="0020435B"/>
    <w:rsid w:val="00205042"/>
    <w:rsid w:val="002050DD"/>
    <w:rsid w:val="002065DB"/>
    <w:rsid w:val="00207006"/>
    <w:rsid w:val="00211B3A"/>
    <w:rsid w:val="00212AB3"/>
    <w:rsid w:val="00213AD6"/>
    <w:rsid w:val="00213F8F"/>
    <w:rsid w:val="00214F60"/>
    <w:rsid w:val="00215CE0"/>
    <w:rsid w:val="00217F83"/>
    <w:rsid w:val="00225D4E"/>
    <w:rsid w:val="0023055D"/>
    <w:rsid w:val="00234C72"/>
    <w:rsid w:val="002361A1"/>
    <w:rsid w:val="00236364"/>
    <w:rsid w:val="00237536"/>
    <w:rsid w:val="002442D0"/>
    <w:rsid w:val="00244686"/>
    <w:rsid w:val="002446C9"/>
    <w:rsid w:val="002449B0"/>
    <w:rsid w:val="00245098"/>
    <w:rsid w:val="002472B7"/>
    <w:rsid w:val="0024761D"/>
    <w:rsid w:val="00252552"/>
    <w:rsid w:val="00252E51"/>
    <w:rsid w:val="0025316D"/>
    <w:rsid w:val="002532AA"/>
    <w:rsid w:val="00254666"/>
    <w:rsid w:val="00256CE2"/>
    <w:rsid w:val="00261E0D"/>
    <w:rsid w:val="00262576"/>
    <w:rsid w:val="00262AD0"/>
    <w:rsid w:val="00263CBF"/>
    <w:rsid w:val="002673AC"/>
    <w:rsid w:val="00273938"/>
    <w:rsid w:val="00277123"/>
    <w:rsid w:val="002801A3"/>
    <w:rsid w:val="00280F55"/>
    <w:rsid w:val="00283023"/>
    <w:rsid w:val="002838E6"/>
    <w:rsid w:val="002840D0"/>
    <w:rsid w:val="00292431"/>
    <w:rsid w:val="00292837"/>
    <w:rsid w:val="0029292E"/>
    <w:rsid w:val="00292F6D"/>
    <w:rsid w:val="00293860"/>
    <w:rsid w:val="002953EB"/>
    <w:rsid w:val="00297EFE"/>
    <w:rsid w:val="002A02C0"/>
    <w:rsid w:val="002A5506"/>
    <w:rsid w:val="002A6409"/>
    <w:rsid w:val="002A6734"/>
    <w:rsid w:val="002A7600"/>
    <w:rsid w:val="002A7A6D"/>
    <w:rsid w:val="002B0481"/>
    <w:rsid w:val="002B1EAA"/>
    <w:rsid w:val="002B2841"/>
    <w:rsid w:val="002B51B1"/>
    <w:rsid w:val="002B5354"/>
    <w:rsid w:val="002B57A2"/>
    <w:rsid w:val="002C021B"/>
    <w:rsid w:val="002C622A"/>
    <w:rsid w:val="002C6E92"/>
    <w:rsid w:val="002C7ACC"/>
    <w:rsid w:val="002D083A"/>
    <w:rsid w:val="002D1272"/>
    <w:rsid w:val="002D19D9"/>
    <w:rsid w:val="002D2EFB"/>
    <w:rsid w:val="002D39B8"/>
    <w:rsid w:val="002D3BA2"/>
    <w:rsid w:val="002D3D10"/>
    <w:rsid w:val="002D3F2D"/>
    <w:rsid w:val="002D46B5"/>
    <w:rsid w:val="002D4A87"/>
    <w:rsid w:val="002D4DE9"/>
    <w:rsid w:val="002D6859"/>
    <w:rsid w:val="002E0B3A"/>
    <w:rsid w:val="002E171D"/>
    <w:rsid w:val="002E1AF3"/>
    <w:rsid w:val="002E3EC6"/>
    <w:rsid w:val="002E51E0"/>
    <w:rsid w:val="002E6748"/>
    <w:rsid w:val="002E7566"/>
    <w:rsid w:val="002F186B"/>
    <w:rsid w:val="002F2545"/>
    <w:rsid w:val="002F2EDD"/>
    <w:rsid w:val="002F3020"/>
    <w:rsid w:val="002F3BC8"/>
    <w:rsid w:val="002F3BE8"/>
    <w:rsid w:val="002F4AB9"/>
    <w:rsid w:val="002F4C8C"/>
    <w:rsid w:val="002F54C7"/>
    <w:rsid w:val="002F71F5"/>
    <w:rsid w:val="003000E1"/>
    <w:rsid w:val="00300EDD"/>
    <w:rsid w:val="0030449F"/>
    <w:rsid w:val="003047EE"/>
    <w:rsid w:val="003065FD"/>
    <w:rsid w:val="003105CA"/>
    <w:rsid w:val="00313373"/>
    <w:rsid w:val="003156B3"/>
    <w:rsid w:val="003170E3"/>
    <w:rsid w:val="003176ED"/>
    <w:rsid w:val="00320910"/>
    <w:rsid w:val="00322C13"/>
    <w:rsid w:val="00323C9A"/>
    <w:rsid w:val="00324647"/>
    <w:rsid w:val="00324FCD"/>
    <w:rsid w:val="00331E84"/>
    <w:rsid w:val="00333669"/>
    <w:rsid w:val="00334F9A"/>
    <w:rsid w:val="0033674F"/>
    <w:rsid w:val="003379C2"/>
    <w:rsid w:val="00337D75"/>
    <w:rsid w:val="0034088F"/>
    <w:rsid w:val="00341155"/>
    <w:rsid w:val="00341625"/>
    <w:rsid w:val="003443E1"/>
    <w:rsid w:val="003500B1"/>
    <w:rsid w:val="0035076A"/>
    <w:rsid w:val="00351222"/>
    <w:rsid w:val="003526FC"/>
    <w:rsid w:val="00362B75"/>
    <w:rsid w:val="00362CE3"/>
    <w:rsid w:val="00365467"/>
    <w:rsid w:val="00365FB2"/>
    <w:rsid w:val="003700C6"/>
    <w:rsid w:val="003700DF"/>
    <w:rsid w:val="003723BB"/>
    <w:rsid w:val="00372CD4"/>
    <w:rsid w:val="0037540B"/>
    <w:rsid w:val="00380FE9"/>
    <w:rsid w:val="00382534"/>
    <w:rsid w:val="00384B83"/>
    <w:rsid w:val="00384FC0"/>
    <w:rsid w:val="003873ED"/>
    <w:rsid w:val="003920A9"/>
    <w:rsid w:val="003922EE"/>
    <w:rsid w:val="003931F5"/>
    <w:rsid w:val="00393C4E"/>
    <w:rsid w:val="00393E7B"/>
    <w:rsid w:val="00394101"/>
    <w:rsid w:val="003A0224"/>
    <w:rsid w:val="003A4140"/>
    <w:rsid w:val="003A487B"/>
    <w:rsid w:val="003A4904"/>
    <w:rsid w:val="003A5D26"/>
    <w:rsid w:val="003A6AA4"/>
    <w:rsid w:val="003B13B1"/>
    <w:rsid w:val="003B372E"/>
    <w:rsid w:val="003B3E14"/>
    <w:rsid w:val="003B47AE"/>
    <w:rsid w:val="003B5E28"/>
    <w:rsid w:val="003B60D9"/>
    <w:rsid w:val="003B6598"/>
    <w:rsid w:val="003B7195"/>
    <w:rsid w:val="003C0276"/>
    <w:rsid w:val="003C1300"/>
    <w:rsid w:val="003C2BF5"/>
    <w:rsid w:val="003C40AA"/>
    <w:rsid w:val="003C5E3F"/>
    <w:rsid w:val="003C6CE1"/>
    <w:rsid w:val="003C7810"/>
    <w:rsid w:val="003C7CEF"/>
    <w:rsid w:val="003D138B"/>
    <w:rsid w:val="003D336C"/>
    <w:rsid w:val="003D34E5"/>
    <w:rsid w:val="003D3667"/>
    <w:rsid w:val="003D4565"/>
    <w:rsid w:val="003D73CB"/>
    <w:rsid w:val="003E1A2C"/>
    <w:rsid w:val="003E1CAC"/>
    <w:rsid w:val="003E2525"/>
    <w:rsid w:val="003E3D96"/>
    <w:rsid w:val="003E4328"/>
    <w:rsid w:val="003E4A1E"/>
    <w:rsid w:val="003E524B"/>
    <w:rsid w:val="003E5D0A"/>
    <w:rsid w:val="003E77D8"/>
    <w:rsid w:val="003E782A"/>
    <w:rsid w:val="003F1D38"/>
    <w:rsid w:val="003F2E37"/>
    <w:rsid w:val="003F30D1"/>
    <w:rsid w:val="003F385E"/>
    <w:rsid w:val="003F525B"/>
    <w:rsid w:val="003F572F"/>
    <w:rsid w:val="003F5820"/>
    <w:rsid w:val="003F7343"/>
    <w:rsid w:val="003F73DC"/>
    <w:rsid w:val="003F79A2"/>
    <w:rsid w:val="00400101"/>
    <w:rsid w:val="00401270"/>
    <w:rsid w:val="00402414"/>
    <w:rsid w:val="00404896"/>
    <w:rsid w:val="00406C7D"/>
    <w:rsid w:val="00412B77"/>
    <w:rsid w:val="0042193C"/>
    <w:rsid w:val="0042285A"/>
    <w:rsid w:val="0042290F"/>
    <w:rsid w:val="00422926"/>
    <w:rsid w:val="00423344"/>
    <w:rsid w:val="00423A39"/>
    <w:rsid w:val="00423E31"/>
    <w:rsid w:val="00425299"/>
    <w:rsid w:val="00425F6B"/>
    <w:rsid w:val="00430B35"/>
    <w:rsid w:val="0043129A"/>
    <w:rsid w:val="0043205D"/>
    <w:rsid w:val="00434D3F"/>
    <w:rsid w:val="004353A2"/>
    <w:rsid w:val="004363CD"/>
    <w:rsid w:val="0043691A"/>
    <w:rsid w:val="00436C17"/>
    <w:rsid w:val="00437AFF"/>
    <w:rsid w:val="0044181F"/>
    <w:rsid w:val="00443604"/>
    <w:rsid w:val="0044471B"/>
    <w:rsid w:val="0045054E"/>
    <w:rsid w:val="004552B1"/>
    <w:rsid w:val="00455896"/>
    <w:rsid w:val="004560A2"/>
    <w:rsid w:val="00461151"/>
    <w:rsid w:val="0046205E"/>
    <w:rsid w:val="00462FC3"/>
    <w:rsid w:val="004637A8"/>
    <w:rsid w:val="00464140"/>
    <w:rsid w:val="00464502"/>
    <w:rsid w:val="004704CE"/>
    <w:rsid w:val="00472767"/>
    <w:rsid w:val="00473BD7"/>
    <w:rsid w:val="0047536C"/>
    <w:rsid w:val="00475C7C"/>
    <w:rsid w:val="00475D01"/>
    <w:rsid w:val="0048053D"/>
    <w:rsid w:val="00480608"/>
    <w:rsid w:val="00480B94"/>
    <w:rsid w:val="004817CE"/>
    <w:rsid w:val="00483228"/>
    <w:rsid w:val="00485C0D"/>
    <w:rsid w:val="004915E8"/>
    <w:rsid w:val="0049300C"/>
    <w:rsid w:val="00494507"/>
    <w:rsid w:val="00495750"/>
    <w:rsid w:val="00495A33"/>
    <w:rsid w:val="00496035"/>
    <w:rsid w:val="004960D3"/>
    <w:rsid w:val="004962E1"/>
    <w:rsid w:val="004A22A5"/>
    <w:rsid w:val="004A2DCC"/>
    <w:rsid w:val="004A2E87"/>
    <w:rsid w:val="004A344A"/>
    <w:rsid w:val="004A3B80"/>
    <w:rsid w:val="004A3FC6"/>
    <w:rsid w:val="004A422D"/>
    <w:rsid w:val="004A47E5"/>
    <w:rsid w:val="004A6426"/>
    <w:rsid w:val="004A72E3"/>
    <w:rsid w:val="004B086F"/>
    <w:rsid w:val="004B0F7B"/>
    <w:rsid w:val="004B201B"/>
    <w:rsid w:val="004B22C9"/>
    <w:rsid w:val="004B23FD"/>
    <w:rsid w:val="004B2AD5"/>
    <w:rsid w:val="004B2F17"/>
    <w:rsid w:val="004B6D37"/>
    <w:rsid w:val="004B7A67"/>
    <w:rsid w:val="004C0088"/>
    <w:rsid w:val="004C098B"/>
    <w:rsid w:val="004C149D"/>
    <w:rsid w:val="004C20D3"/>
    <w:rsid w:val="004C5A70"/>
    <w:rsid w:val="004D10CE"/>
    <w:rsid w:val="004D1403"/>
    <w:rsid w:val="004D58DB"/>
    <w:rsid w:val="004D61DA"/>
    <w:rsid w:val="004E189B"/>
    <w:rsid w:val="004E1969"/>
    <w:rsid w:val="004E45D9"/>
    <w:rsid w:val="004E4609"/>
    <w:rsid w:val="004E5F6A"/>
    <w:rsid w:val="004E7137"/>
    <w:rsid w:val="004E7C28"/>
    <w:rsid w:val="004F09B8"/>
    <w:rsid w:val="004F24BC"/>
    <w:rsid w:val="004F6C9E"/>
    <w:rsid w:val="005029CB"/>
    <w:rsid w:val="0050549A"/>
    <w:rsid w:val="0050745E"/>
    <w:rsid w:val="005109BC"/>
    <w:rsid w:val="0051147E"/>
    <w:rsid w:val="0051284E"/>
    <w:rsid w:val="005129EA"/>
    <w:rsid w:val="005134EC"/>
    <w:rsid w:val="005135CB"/>
    <w:rsid w:val="0051460A"/>
    <w:rsid w:val="00514D7F"/>
    <w:rsid w:val="0051511F"/>
    <w:rsid w:val="005214FC"/>
    <w:rsid w:val="00523B1E"/>
    <w:rsid w:val="0052570B"/>
    <w:rsid w:val="005265C0"/>
    <w:rsid w:val="00530D9C"/>
    <w:rsid w:val="0053263C"/>
    <w:rsid w:val="00537F26"/>
    <w:rsid w:val="005446DC"/>
    <w:rsid w:val="005455C7"/>
    <w:rsid w:val="00546C4F"/>
    <w:rsid w:val="00547BCC"/>
    <w:rsid w:val="00550C41"/>
    <w:rsid w:val="00552BAE"/>
    <w:rsid w:val="005549E7"/>
    <w:rsid w:val="005554B1"/>
    <w:rsid w:val="00556453"/>
    <w:rsid w:val="005573B0"/>
    <w:rsid w:val="00561CD0"/>
    <w:rsid w:val="00562177"/>
    <w:rsid w:val="00563598"/>
    <w:rsid w:val="00564B50"/>
    <w:rsid w:val="005657F4"/>
    <w:rsid w:val="005658FD"/>
    <w:rsid w:val="00570374"/>
    <w:rsid w:val="005714C9"/>
    <w:rsid w:val="005726B3"/>
    <w:rsid w:val="005755A0"/>
    <w:rsid w:val="0057564A"/>
    <w:rsid w:val="00575E73"/>
    <w:rsid w:val="005761EE"/>
    <w:rsid w:val="005814FF"/>
    <w:rsid w:val="00581B0B"/>
    <w:rsid w:val="00582BF9"/>
    <w:rsid w:val="00583A00"/>
    <w:rsid w:val="00585149"/>
    <w:rsid w:val="00586553"/>
    <w:rsid w:val="00587494"/>
    <w:rsid w:val="0059020F"/>
    <w:rsid w:val="00590547"/>
    <w:rsid w:val="005913B8"/>
    <w:rsid w:val="00591F74"/>
    <w:rsid w:val="0059257D"/>
    <w:rsid w:val="00592F13"/>
    <w:rsid w:val="0059323C"/>
    <w:rsid w:val="005A2A3B"/>
    <w:rsid w:val="005A2B68"/>
    <w:rsid w:val="005A2CCD"/>
    <w:rsid w:val="005A4A07"/>
    <w:rsid w:val="005A5D15"/>
    <w:rsid w:val="005A6E5F"/>
    <w:rsid w:val="005B2463"/>
    <w:rsid w:val="005B5C40"/>
    <w:rsid w:val="005B62AA"/>
    <w:rsid w:val="005C0FDC"/>
    <w:rsid w:val="005C380B"/>
    <w:rsid w:val="005C5A99"/>
    <w:rsid w:val="005C67BA"/>
    <w:rsid w:val="005C7D55"/>
    <w:rsid w:val="005D0099"/>
    <w:rsid w:val="005D1874"/>
    <w:rsid w:val="005D40F1"/>
    <w:rsid w:val="005D51DA"/>
    <w:rsid w:val="005D5AA2"/>
    <w:rsid w:val="005D60DE"/>
    <w:rsid w:val="005E06EB"/>
    <w:rsid w:val="005E071B"/>
    <w:rsid w:val="005E5C74"/>
    <w:rsid w:val="005E6198"/>
    <w:rsid w:val="005E634B"/>
    <w:rsid w:val="005E7BE5"/>
    <w:rsid w:val="005F1032"/>
    <w:rsid w:val="005F1515"/>
    <w:rsid w:val="005F482D"/>
    <w:rsid w:val="005F60D4"/>
    <w:rsid w:val="005F7678"/>
    <w:rsid w:val="006011FC"/>
    <w:rsid w:val="006012D5"/>
    <w:rsid w:val="00605DC6"/>
    <w:rsid w:val="006070C9"/>
    <w:rsid w:val="006109B2"/>
    <w:rsid w:val="00610F59"/>
    <w:rsid w:val="00612CB2"/>
    <w:rsid w:val="0061481C"/>
    <w:rsid w:val="00615486"/>
    <w:rsid w:val="00615B4A"/>
    <w:rsid w:val="006167B7"/>
    <w:rsid w:val="006216A4"/>
    <w:rsid w:val="006237B2"/>
    <w:rsid w:val="00623F26"/>
    <w:rsid w:val="0062447A"/>
    <w:rsid w:val="0062477A"/>
    <w:rsid w:val="00624F06"/>
    <w:rsid w:val="00624FE5"/>
    <w:rsid w:val="00626171"/>
    <w:rsid w:val="00632DE0"/>
    <w:rsid w:val="00633251"/>
    <w:rsid w:val="0063341D"/>
    <w:rsid w:val="00635482"/>
    <w:rsid w:val="00636BE4"/>
    <w:rsid w:val="00637659"/>
    <w:rsid w:val="00637ADE"/>
    <w:rsid w:val="00640286"/>
    <w:rsid w:val="00640BD6"/>
    <w:rsid w:val="00641D33"/>
    <w:rsid w:val="006450FC"/>
    <w:rsid w:val="006470A6"/>
    <w:rsid w:val="00647AB0"/>
    <w:rsid w:val="0065217A"/>
    <w:rsid w:val="006539F9"/>
    <w:rsid w:val="0065409C"/>
    <w:rsid w:val="00657CFA"/>
    <w:rsid w:val="00660504"/>
    <w:rsid w:val="00662C7A"/>
    <w:rsid w:val="00662F0D"/>
    <w:rsid w:val="00663C5B"/>
    <w:rsid w:val="00664886"/>
    <w:rsid w:val="0066582A"/>
    <w:rsid w:val="00666EA5"/>
    <w:rsid w:val="00666F08"/>
    <w:rsid w:val="00667570"/>
    <w:rsid w:val="00672F7A"/>
    <w:rsid w:val="006730D6"/>
    <w:rsid w:val="0068037B"/>
    <w:rsid w:val="0068078F"/>
    <w:rsid w:val="00680A69"/>
    <w:rsid w:val="00680E7B"/>
    <w:rsid w:val="00681364"/>
    <w:rsid w:val="00681B0A"/>
    <w:rsid w:val="0068470B"/>
    <w:rsid w:val="00684DEB"/>
    <w:rsid w:val="00685511"/>
    <w:rsid w:val="006875F9"/>
    <w:rsid w:val="00687925"/>
    <w:rsid w:val="0069133B"/>
    <w:rsid w:val="00691AE2"/>
    <w:rsid w:val="00691E60"/>
    <w:rsid w:val="00692679"/>
    <w:rsid w:val="006933D2"/>
    <w:rsid w:val="0069481E"/>
    <w:rsid w:val="00694D89"/>
    <w:rsid w:val="00695913"/>
    <w:rsid w:val="00696B4A"/>
    <w:rsid w:val="006972F9"/>
    <w:rsid w:val="00697A0A"/>
    <w:rsid w:val="006A10E5"/>
    <w:rsid w:val="006A1B0F"/>
    <w:rsid w:val="006A323C"/>
    <w:rsid w:val="006A383F"/>
    <w:rsid w:val="006A4934"/>
    <w:rsid w:val="006A5B20"/>
    <w:rsid w:val="006A67CF"/>
    <w:rsid w:val="006A6E0D"/>
    <w:rsid w:val="006A73CF"/>
    <w:rsid w:val="006B235C"/>
    <w:rsid w:val="006B5421"/>
    <w:rsid w:val="006B6B28"/>
    <w:rsid w:val="006B6E3C"/>
    <w:rsid w:val="006B6F63"/>
    <w:rsid w:val="006C0707"/>
    <w:rsid w:val="006C0A46"/>
    <w:rsid w:val="006C0EBC"/>
    <w:rsid w:val="006C1C6B"/>
    <w:rsid w:val="006C37D7"/>
    <w:rsid w:val="006C7310"/>
    <w:rsid w:val="006D2A78"/>
    <w:rsid w:val="006D3D56"/>
    <w:rsid w:val="006D4971"/>
    <w:rsid w:val="006D5481"/>
    <w:rsid w:val="006D607D"/>
    <w:rsid w:val="006D6E94"/>
    <w:rsid w:val="006D78A7"/>
    <w:rsid w:val="006E16B8"/>
    <w:rsid w:val="006E195C"/>
    <w:rsid w:val="006E432A"/>
    <w:rsid w:val="006E5461"/>
    <w:rsid w:val="006E66EC"/>
    <w:rsid w:val="006E6977"/>
    <w:rsid w:val="006F0311"/>
    <w:rsid w:val="006F164E"/>
    <w:rsid w:val="006F4D09"/>
    <w:rsid w:val="006F5DBD"/>
    <w:rsid w:val="006F6314"/>
    <w:rsid w:val="006F6969"/>
    <w:rsid w:val="00702C0D"/>
    <w:rsid w:val="007046CA"/>
    <w:rsid w:val="00704F52"/>
    <w:rsid w:val="00705153"/>
    <w:rsid w:val="00707FB8"/>
    <w:rsid w:val="007110E0"/>
    <w:rsid w:val="00711E52"/>
    <w:rsid w:val="00714C97"/>
    <w:rsid w:val="0071588F"/>
    <w:rsid w:val="007163D1"/>
    <w:rsid w:val="00716692"/>
    <w:rsid w:val="007200E7"/>
    <w:rsid w:val="00721807"/>
    <w:rsid w:val="007226C7"/>
    <w:rsid w:val="00722746"/>
    <w:rsid w:val="00725300"/>
    <w:rsid w:val="00726FE9"/>
    <w:rsid w:val="00732D66"/>
    <w:rsid w:val="00734DA0"/>
    <w:rsid w:val="007379E7"/>
    <w:rsid w:val="00740ECD"/>
    <w:rsid w:val="007427B6"/>
    <w:rsid w:val="00742F82"/>
    <w:rsid w:val="007442AC"/>
    <w:rsid w:val="00745447"/>
    <w:rsid w:val="007510DE"/>
    <w:rsid w:val="00751589"/>
    <w:rsid w:val="00751BE1"/>
    <w:rsid w:val="00752CFF"/>
    <w:rsid w:val="00756076"/>
    <w:rsid w:val="007560ED"/>
    <w:rsid w:val="007564A0"/>
    <w:rsid w:val="007568EA"/>
    <w:rsid w:val="0075709D"/>
    <w:rsid w:val="00757297"/>
    <w:rsid w:val="00761585"/>
    <w:rsid w:val="007615DF"/>
    <w:rsid w:val="00762266"/>
    <w:rsid w:val="007644D1"/>
    <w:rsid w:val="0076571F"/>
    <w:rsid w:val="0076596F"/>
    <w:rsid w:val="007660C6"/>
    <w:rsid w:val="00766F3D"/>
    <w:rsid w:val="00770E67"/>
    <w:rsid w:val="00771149"/>
    <w:rsid w:val="0077282D"/>
    <w:rsid w:val="007754C6"/>
    <w:rsid w:val="00780D25"/>
    <w:rsid w:val="007845AF"/>
    <w:rsid w:val="0078489C"/>
    <w:rsid w:val="00784B69"/>
    <w:rsid w:val="00785F42"/>
    <w:rsid w:val="0078619E"/>
    <w:rsid w:val="00790337"/>
    <w:rsid w:val="007916A9"/>
    <w:rsid w:val="00792DA4"/>
    <w:rsid w:val="00793C4F"/>
    <w:rsid w:val="007955A1"/>
    <w:rsid w:val="007A10E2"/>
    <w:rsid w:val="007A2611"/>
    <w:rsid w:val="007A2730"/>
    <w:rsid w:val="007A278F"/>
    <w:rsid w:val="007A28FE"/>
    <w:rsid w:val="007A4FD3"/>
    <w:rsid w:val="007A5441"/>
    <w:rsid w:val="007B1116"/>
    <w:rsid w:val="007B1333"/>
    <w:rsid w:val="007B223A"/>
    <w:rsid w:val="007B2F04"/>
    <w:rsid w:val="007B3241"/>
    <w:rsid w:val="007B4A11"/>
    <w:rsid w:val="007B664E"/>
    <w:rsid w:val="007B7C29"/>
    <w:rsid w:val="007C06CB"/>
    <w:rsid w:val="007C0AAC"/>
    <w:rsid w:val="007C0D87"/>
    <w:rsid w:val="007C1C6C"/>
    <w:rsid w:val="007C3ADB"/>
    <w:rsid w:val="007C3E63"/>
    <w:rsid w:val="007C4547"/>
    <w:rsid w:val="007C4DD4"/>
    <w:rsid w:val="007C6003"/>
    <w:rsid w:val="007C65C8"/>
    <w:rsid w:val="007D2E42"/>
    <w:rsid w:val="007D2FE1"/>
    <w:rsid w:val="007D5203"/>
    <w:rsid w:val="007D5902"/>
    <w:rsid w:val="007D60C8"/>
    <w:rsid w:val="007E0A10"/>
    <w:rsid w:val="007E17B1"/>
    <w:rsid w:val="007E2A88"/>
    <w:rsid w:val="007E4B0E"/>
    <w:rsid w:val="007E7776"/>
    <w:rsid w:val="007F04C4"/>
    <w:rsid w:val="007F3D8D"/>
    <w:rsid w:val="007F5489"/>
    <w:rsid w:val="007F6889"/>
    <w:rsid w:val="007F69C7"/>
    <w:rsid w:val="00800E04"/>
    <w:rsid w:val="00800F08"/>
    <w:rsid w:val="008029BF"/>
    <w:rsid w:val="00802AA9"/>
    <w:rsid w:val="008056A0"/>
    <w:rsid w:val="00805C6F"/>
    <w:rsid w:val="0080670F"/>
    <w:rsid w:val="00811A29"/>
    <w:rsid w:val="00812B27"/>
    <w:rsid w:val="00813E26"/>
    <w:rsid w:val="00814027"/>
    <w:rsid w:val="00814A3E"/>
    <w:rsid w:val="00816064"/>
    <w:rsid w:val="0081618B"/>
    <w:rsid w:val="00816673"/>
    <w:rsid w:val="00820347"/>
    <w:rsid w:val="00821041"/>
    <w:rsid w:val="00821124"/>
    <w:rsid w:val="0082265A"/>
    <w:rsid w:val="00822BF1"/>
    <w:rsid w:val="00824C45"/>
    <w:rsid w:val="00824DCE"/>
    <w:rsid w:val="00825201"/>
    <w:rsid w:val="0082745B"/>
    <w:rsid w:val="008303B8"/>
    <w:rsid w:val="00831046"/>
    <w:rsid w:val="00835346"/>
    <w:rsid w:val="00836136"/>
    <w:rsid w:val="00836DFF"/>
    <w:rsid w:val="008430C1"/>
    <w:rsid w:val="00844CA2"/>
    <w:rsid w:val="00844F2E"/>
    <w:rsid w:val="008458AF"/>
    <w:rsid w:val="00852F01"/>
    <w:rsid w:val="008536D3"/>
    <w:rsid w:val="00853B84"/>
    <w:rsid w:val="00854F57"/>
    <w:rsid w:val="008556DB"/>
    <w:rsid w:val="0085592C"/>
    <w:rsid w:val="00860401"/>
    <w:rsid w:val="008616CB"/>
    <w:rsid w:val="008619A9"/>
    <w:rsid w:val="00861D76"/>
    <w:rsid w:val="008662D5"/>
    <w:rsid w:val="00866613"/>
    <w:rsid w:val="00866947"/>
    <w:rsid w:val="0086711C"/>
    <w:rsid w:val="008777B2"/>
    <w:rsid w:val="008812F0"/>
    <w:rsid w:val="00883329"/>
    <w:rsid w:val="0088347B"/>
    <w:rsid w:val="0088350E"/>
    <w:rsid w:val="0088536A"/>
    <w:rsid w:val="00891945"/>
    <w:rsid w:val="00891E63"/>
    <w:rsid w:val="00894AA3"/>
    <w:rsid w:val="008A076F"/>
    <w:rsid w:val="008A2F80"/>
    <w:rsid w:val="008A4E4F"/>
    <w:rsid w:val="008A5CF9"/>
    <w:rsid w:val="008A600E"/>
    <w:rsid w:val="008A6925"/>
    <w:rsid w:val="008A77A9"/>
    <w:rsid w:val="008B086E"/>
    <w:rsid w:val="008B2F9E"/>
    <w:rsid w:val="008B3061"/>
    <w:rsid w:val="008B3954"/>
    <w:rsid w:val="008B3C6E"/>
    <w:rsid w:val="008B6984"/>
    <w:rsid w:val="008B6B6F"/>
    <w:rsid w:val="008C39E4"/>
    <w:rsid w:val="008C3EB2"/>
    <w:rsid w:val="008C5265"/>
    <w:rsid w:val="008C56DF"/>
    <w:rsid w:val="008C5BC3"/>
    <w:rsid w:val="008D04E8"/>
    <w:rsid w:val="008D098C"/>
    <w:rsid w:val="008D0B0B"/>
    <w:rsid w:val="008D13CF"/>
    <w:rsid w:val="008D1B63"/>
    <w:rsid w:val="008D22C8"/>
    <w:rsid w:val="008D25C8"/>
    <w:rsid w:val="008D285E"/>
    <w:rsid w:val="008D4AB8"/>
    <w:rsid w:val="008D547E"/>
    <w:rsid w:val="008D5C5D"/>
    <w:rsid w:val="008D5DAB"/>
    <w:rsid w:val="008D7C15"/>
    <w:rsid w:val="008D7C73"/>
    <w:rsid w:val="008E1A54"/>
    <w:rsid w:val="008E2BEB"/>
    <w:rsid w:val="008E40FA"/>
    <w:rsid w:val="008E4208"/>
    <w:rsid w:val="008F0DD2"/>
    <w:rsid w:val="008F1076"/>
    <w:rsid w:val="008F123A"/>
    <w:rsid w:val="008F4677"/>
    <w:rsid w:val="008F767C"/>
    <w:rsid w:val="00900E76"/>
    <w:rsid w:val="0090288C"/>
    <w:rsid w:val="00902D70"/>
    <w:rsid w:val="00906230"/>
    <w:rsid w:val="00907FFE"/>
    <w:rsid w:val="00910732"/>
    <w:rsid w:val="009107A2"/>
    <w:rsid w:val="00913334"/>
    <w:rsid w:val="00915948"/>
    <w:rsid w:val="00915B6C"/>
    <w:rsid w:val="00920F4E"/>
    <w:rsid w:val="00921CFD"/>
    <w:rsid w:val="009225E9"/>
    <w:rsid w:val="009241B6"/>
    <w:rsid w:val="00926A31"/>
    <w:rsid w:val="00927467"/>
    <w:rsid w:val="00932850"/>
    <w:rsid w:val="009329A6"/>
    <w:rsid w:val="009341D7"/>
    <w:rsid w:val="00936979"/>
    <w:rsid w:val="0093720D"/>
    <w:rsid w:val="00937895"/>
    <w:rsid w:val="00941C14"/>
    <w:rsid w:val="00943C74"/>
    <w:rsid w:val="00943DB6"/>
    <w:rsid w:val="00943E73"/>
    <w:rsid w:val="009443F4"/>
    <w:rsid w:val="0094561D"/>
    <w:rsid w:val="00946B8A"/>
    <w:rsid w:val="00947775"/>
    <w:rsid w:val="0095464A"/>
    <w:rsid w:val="00955149"/>
    <w:rsid w:val="0095519A"/>
    <w:rsid w:val="009575C9"/>
    <w:rsid w:val="00960997"/>
    <w:rsid w:val="009645CF"/>
    <w:rsid w:val="00967D08"/>
    <w:rsid w:val="0097052F"/>
    <w:rsid w:val="00971727"/>
    <w:rsid w:val="00971E2E"/>
    <w:rsid w:val="00972024"/>
    <w:rsid w:val="00972D6E"/>
    <w:rsid w:val="00973418"/>
    <w:rsid w:val="009751AC"/>
    <w:rsid w:val="009751C7"/>
    <w:rsid w:val="0097584D"/>
    <w:rsid w:val="009814E0"/>
    <w:rsid w:val="00981CA8"/>
    <w:rsid w:val="00981ED0"/>
    <w:rsid w:val="00982C81"/>
    <w:rsid w:val="0098581E"/>
    <w:rsid w:val="009901E1"/>
    <w:rsid w:val="00990528"/>
    <w:rsid w:val="00991267"/>
    <w:rsid w:val="00992326"/>
    <w:rsid w:val="00994961"/>
    <w:rsid w:val="00995AF0"/>
    <w:rsid w:val="009968DF"/>
    <w:rsid w:val="009975C4"/>
    <w:rsid w:val="009A044E"/>
    <w:rsid w:val="009A0B15"/>
    <w:rsid w:val="009A0D61"/>
    <w:rsid w:val="009A19A7"/>
    <w:rsid w:val="009A3691"/>
    <w:rsid w:val="009A3B2C"/>
    <w:rsid w:val="009A5E71"/>
    <w:rsid w:val="009A7DD4"/>
    <w:rsid w:val="009A7E8A"/>
    <w:rsid w:val="009B089A"/>
    <w:rsid w:val="009B24E0"/>
    <w:rsid w:val="009B28F3"/>
    <w:rsid w:val="009B3052"/>
    <w:rsid w:val="009B3476"/>
    <w:rsid w:val="009B4BF2"/>
    <w:rsid w:val="009B6442"/>
    <w:rsid w:val="009B6A34"/>
    <w:rsid w:val="009C0DE9"/>
    <w:rsid w:val="009C23F3"/>
    <w:rsid w:val="009C29A1"/>
    <w:rsid w:val="009C2E9E"/>
    <w:rsid w:val="009C3371"/>
    <w:rsid w:val="009C3449"/>
    <w:rsid w:val="009C67A8"/>
    <w:rsid w:val="009C6B45"/>
    <w:rsid w:val="009D00F8"/>
    <w:rsid w:val="009D0491"/>
    <w:rsid w:val="009D1DE9"/>
    <w:rsid w:val="009D3DCC"/>
    <w:rsid w:val="009D6E7E"/>
    <w:rsid w:val="009E0531"/>
    <w:rsid w:val="009E063B"/>
    <w:rsid w:val="009E2CB2"/>
    <w:rsid w:val="009E5702"/>
    <w:rsid w:val="009E61FC"/>
    <w:rsid w:val="009E6F29"/>
    <w:rsid w:val="009F1E48"/>
    <w:rsid w:val="009F2227"/>
    <w:rsid w:val="009F24B8"/>
    <w:rsid w:val="009F2AB7"/>
    <w:rsid w:val="009F3035"/>
    <w:rsid w:val="009F454F"/>
    <w:rsid w:val="009F6BF1"/>
    <w:rsid w:val="009F6C3E"/>
    <w:rsid w:val="00A03522"/>
    <w:rsid w:val="00A03719"/>
    <w:rsid w:val="00A03727"/>
    <w:rsid w:val="00A04645"/>
    <w:rsid w:val="00A106AF"/>
    <w:rsid w:val="00A1257B"/>
    <w:rsid w:val="00A13622"/>
    <w:rsid w:val="00A137F7"/>
    <w:rsid w:val="00A15B41"/>
    <w:rsid w:val="00A16A3E"/>
    <w:rsid w:val="00A201EA"/>
    <w:rsid w:val="00A21085"/>
    <w:rsid w:val="00A21B39"/>
    <w:rsid w:val="00A2202E"/>
    <w:rsid w:val="00A22E94"/>
    <w:rsid w:val="00A23AA9"/>
    <w:rsid w:val="00A24D21"/>
    <w:rsid w:val="00A24F88"/>
    <w:rsid w:val="00A30621"/>
    <w:rsid w:val="00A32662"/>
    <w:rsid w:val="00A331D2"/>
    <w:rsid w:val="00A344DE"/>
    <w:rsid w:val="00A34E3D"/>
    <w:rsid w:val="00A35C39"/>
    <w:rsid w:val="00A36F6B"/>
    <w:rsid w:val="00A420D0"/>
    <w:rsid w:val="00A43E7B"/>
    <w:rsid w:val="00A443D0"/>
    <w:rsid w:val="00A44D30"/>
    <w:rsid w:val="00A51C20"/>
    <w:rsid w:val="00A537AC"/>
    <w:rsid w:val="00A616F4"/>
    <w:rsid w:val="00A61BFA"/>
    <w:rsid w:val="00A6335F"/>
    <w:rsid w:val="00A64E84"/>
    <w:rsid w:val="00A65A87"/>
    <w:rsid w:val="00A673BF"/>
    <w:rsid w:val="00A67677"/>
    <w:rsid w:val="00A67FA3"/>
    <w:rsid w:val="00A71750"/>
    <w:rsid w:val="00A71B6A"/>
    <w:rsid w:val="00A71FA9"/>
    <w:rsid w:val="00A73A71"/>
    <w:rsid w:val="00A74DB8"/>
    <w:rsid w:val="00A755EC"/>
    <w:rsid w:val="00A76083"/>
    <w:rsid w:val="00A77362"/>
    <w:rsid w:val="00A77A08"/>
    <w:rsid w:val="00A77D5D"/>
    <w:rsid w:val="00A811A7"/>
    <w:rsid w:val="00A8162F"/>
    <w:rsid w:val="00A824DD"/>
    <w:rsid w:val="00A84A97"/>
    <w:rsid w:val="00A8507F"/>
    <w:rsid w:val="00A851B4"/>
    <w:rsid w:val="00A87D29"/>
    <w:rsid w:val="00A93A8E"/>
    <w:rsid w:val="00A95883"/>
    <w:rsid w:val="00A95CEF"/>
    <w:rsid w:val="00A96FE7"/>
    <w:rsid w:val="00AA1B43"/>
    <w:rsid w:val="00AA2BCC"/>
    <w:rsid w:val="00AA4D5A"/>
    <w:rsid w:val="00AA7815"/>
    <w:rsid w:val="00AB05BE"/>
    <w:rsid w:val="00AB20C6"/>
    <w:rsid w:val="00AB4226"/>
    <w:rsid w:val="00AB59A0"/>
    <w:rsid w:val="00AB65F9"/>
    <w:rsid w:val="00AB6DAA"/>
    <w:rsid w:val="00AC011E"/>
    <w:rsid w:val="00AC0492"/>
    <w:rsid w:val="00AC0824"/>
    <w:rsid w:val="00AC28EE"/>
    <w:rsid w:val="00AC2EBD"/>
    <w:rsid w:val="00AC362B"/>
    <w:rsid w:val="00AC513F"/>
    <w:rsid w:val="00AC618D"/>
    <w:rsid w:val="00AD0C0B"/>
    <w:rsid w:val="00AD2531"/>
    <w:rsid w:val="00AD2BB8"/>
    <w:rsid w:val="00AD3397"/>
    <w:rsid w:val="00AD3BFA"/>
    <w:rsid w:val="00AD4B7C"/>
    <w:rsid w:val="00AD5300"/>
    <w:rsid w:val="00AD5BE7"/>
    <w:rsid w:val="00AD6AC1"/>
    <w:rsid w:val="00AD734E"/>
    <w:rsid w:val="00AE0FA8"/>
    <w:rsid w:val="00AE1DDB"/>
    <w:rsid w:val="00AE221B"/>
    <w:rsid w:val="00AE27FB"/>
    <w:rsid w:val="00AE2FD7"/>
    <w:rsid w:val="00AE3275"/>
    <w:rsid w:val="00AE34E9"/>
    <w:rsid w:val="00AE4446"/>
    <w:rsid w:val="00AE44AC"/>
    <w:rsid w:val="00AE4898"/>
    <w:rsid w:val="00AE5A56"/>
    <w:rsid w:val="00AE6D97"/>
    <w:rsid w:val="00AE70ED"/>
    <w:rsid w:val="00AF1010"/>
    <w:rsid w:val="00AF2D1D"/>
    <w:rsid w:val="00AF57F8"/>
    <w:rsid w:val="00AF5D2B"/>
    <w:rsid w:val="00B00DDD"/>
    <w:rsid w:val="00B0254E"/>
    <w:rsid w:val="00B02AEC"/>
    <w:rsid w:val="00B03A7D"/>
    <w:rsid w:val="00B04ABD"/>
    <w:rsid w:val="00B05727"/>
    <w:rsid w:val="00B0625A"/>
    <w:rsid w:val="00B07183"/>
    <w:rsid w:val="00B075D7"/>
    <w:rsid w:val="00B07B0C"/>
    <w:rsid w:val="00B10F67"/>
    <w:rsid w:val="00B12E6B"/>
    <w:rsid w:val="00B14B30"/>
    <w:rsid w:val="00B15DE3"/>
    <w:rsid w:val="00B17E24"/>
    <w:rsid w:val="00B21458"/>
    <w:rsid w:val="00B216F4"/>
    <w:rsid w:val="00B21FCC"/>
    <w:rsid w:val="00B240DA"/>
    <w:rsid w:val="00B2425B"/>
    <w:rsid w:val="00B25AE5"/>
    <w:rsid w:val="00B26978"/>
    <w:rsid w:val="00B270A0"/>
    <w:rsid w:val="00B274DE"/>
    <w:rsid w:val="00B27AE2"/>
    <w:rsid w:val="00B30761"/>
    <w:rsid w:val="00B30A55"/>
    <w:rsid w:val="00B30C65"/>
    <w:rsid w:val="00B32AA6"/>
    <w:rsid w:val="00B346CC"/>
    <w:rsid w:val="00B40507"/>
    <w:rsid w:val="00B4052A"/>
    <w:rsid w:val="00B43583"/>
    <w:rsid w:val="00B435EB"/>
    <w:rsid w:val="00B439D3"/>
    <w:rsid w:val="00B44375"/>
    <w:rsid w:val="00B44A7F"/>
    <w:rsid w:val="00B44ACE"/>
    <w:rsid w:val="00B45E41"/>
    <w:rsid w:val="00B52BB9"/>
    <w:rsid w:val="00B552E2"/>
    <w:rsid w:val="00B55463"/>
    <w:rsid w:val="00B556E3"/>
    <w:rsid w:val="00B569C9"/>
    <w:rsid w:val="00B67021"/>
    <w:rsid w:val="00B6721F"/>
    <w:rsid w:val="00B72153"/>
    <w:rsid w:val="00B72EA6"/>
    <w:rsid w:val="00B73A57"/>
    <w:rsid w:val="00B73FFC"/>
    <w:rsid w:val="00B740D5"/>
    <w:rsid w:val="00B75D0D"/>
    <w:rsid w:val="00B7678A"/>
    <w:rsid w:val="00B77703"/>
    <w:rsid w:val="00B77AD4"/>
    <w:rsid w:val="00B77B60"/>
    <w:rsid w:val="00B81DD8"/>
    <w:rsid w:val="00B820D9"/>
    <w:rsid w:val="00B83DB0"/>
    <w:rsid w:val="00B85A52"/>
    <w:rsid w:val="00B86A90"/>
    <w:rsid w:val="00B879D5"/>
    <w:rsid w:val="00B907C5"/>
    <w:rsid w:val="00B9083D"/>
    <w:rsid w:val="00B91D57"/>
    <w:rsid w:val="00B94AA5"/>
    <w:rsid w:val="00B952CD"/>
    <w:rsid w:val="00B9587D"/>
    <w:rsid w:val="00B97375"/>
    <w:rsid w:val="00BA45FF"/>
    <w:rsid w:val="00BA485B"/>
    <w:rsid w:val="00BA522E"/>
    <w:rsid w:val="00BA6500"/>
    <w:rsid w:val="00BB2285"/>
    <w:rsid w:val="00BB38C4"/>
    <w:rsid w:val="00BB418C"/>
    <w:rsid w:val="00BB51A0"/>
    <w:rsid w:val="00BB5B0D"/>
    <w:rsid w:val="00BB6E03"/>
    <w:rsid w:val="00BB6ED7"/>
    <w:rsid w:val="00BC0CBF"/>
    <w:rsid w:val="00BC1027"/>
    <w:rsid w:val="00BC13F2"/>
    <w:rsid w:val="00BC2DA1"/>
    <w:rsid w:val="00BC3292"/>
    <w:rsid w:val="00BC365B"/>
    <w:rsid w:val="00BC6861"/>
    <w:rsid w:val="00BC7DE9"/>
    <w:rsid w:val="00BD33B8"/>
    <w:rsid w:val="00BD3774"/>
    <w:rsid w:val="00BD59D8"/>
    <w:rsid w:val="00BD5C26"/>
    <w:rsid w:val="00BD629D"/>
    <w:rsid w:val="00BD63EF"/>
    <w:rsid w:val="00BD6589"/>
    <w:rsid w:val="00BD6DFC"/>
    <w:rsid w:val="00BE0D74"/>
    <w:rsid w:val="00BE1BE8"/>
    <w:rsid w:val="00BE4097"/>
    <w:rsid w:val="00BE419C"/>
    <w:rsid w:val="00BE424A"/>
    <w:rsid w:val="00BE704A"/>
    <w:rsid w:val="00BE7233"/>
    <w:rsid w:val="00BE789F"/>
    <w:rsid w:val="00BF0448"/>
    <w:rsid w:val="00C06209"/>
    <w:rsid w:val="00C0640F"/>
    <w:rsid w:val="00C0718D"/>
    <w:rsid w:val="00C13097"/>
    <w:rsid w:val="00C1366F"/>
    <w:rsid w:val="00C13694"/>
    <w:rsid w:val="00C15D16"/>
    <w:rsid w:val="00C21F7B"/>
    <w:rsid w:val="00C24BAF"/>
    <w:rsid w:val="00C26484"/>
    <w:rsid w:val="00C271A4"/>
    <w:rsid w:val="00C308AC"/>
    <w:rsid w:val="00C31847"/>
    <w:rsid w:val="00C32B40"/>
    <w:rsid w:val="00C3434D"/>
    <w:rsid w:val="00C36436"/>
    <w:rsid w:val="00C46B39"/>
    <w:rsid w:val="00C4730B"/>
    <w:rsid w:val="00C50CAA"/>
    <w:rsid w:val="00C510D3"/>
    <w:rsid w:val="00C52F43"/>
    <w:rsid w:val="00C55DC7"/>
    <w:rsid w:val="00C63D1E"/>
    <w:rsid w:val="00C64419"/>
    <w:rsid w:val="00C6642B"/>
    <w:rsid w:val="00C676FC"/>
    <w:rsid w:val="00C728A7"/>
    <w:rsid w:val="00C72E48"/>
    <w:rsid w:val="00C75520"/>
    <w:rsid w:val="00C76926"/>
    <w:rsid w:val="00C82ECE"/>
    <w:rsid w:val="00C8311C"/>
    <w:rsid w:val="00C834A6"/>
    <w:rsid w:val="00C83D04"/>
    <w:rsid w:val="00C8560C"/>
    <w:rsid w:val="00C8677A"/>
    <w:rsid w:val="00C9056F"/>
    <w:rsid w:val="00C923D8"/>
    <w:rsid w:val="00C96767"/>
    <w:rsid w:val="00CA1122"/>
    <w:rsid w:val="00CA2A46"/>
    <w:rsid w:val="00CA31F7"/>
    <w:rsid w:val="00CA5D9F"/>
    <w:rsid w:val="00CA639D"/>
    <w:rsid w:val="00CA63E4"/>
    <w:rsid w:val="00CA7B4F"/>
    <w:rsid w:val="00CA7FC1"/>
    <w:rsid w:val="00CB38FC"/>
    <w:rsid w:val="00CB3E6B"/>
    <w:rsid w:val="00CB4FB6"/>
    <w:rsid w:val="00CB5DD3"/>
    <w:rsid w:val="00CB680C"/>
    <w:rsid w:val="00CC2314"/>
    <w:rsid w:val="00CC29F6"/>
    <w:rsid w:val="00CD69A2"/>
    <w:rsid w:val="00CE099F"/>
    <w:rsid w:val="00CE0E53"/>
    <w:rsid w:val="00CE1DF2"/>
    <w:rsid w:val="00CE2210"/>
    <w:rsid w:val="00CE556E"/>
    <w:rsid w:val="00CE7EB7"/>
    <w:rsid w:val="00CF18AE"/>
    <w:rsid w:val="00CF199E"/>
    <w:rsid w:val="00CF1CFB"/>
    <w:rsid w:val="00CF23A0"/>
    <w:rsid w:val="00CF2FCB"/>
    <w:rsid w:val="00CF3E2A"/>
    <w:rsid w:val="00CF4BD2"/>
    <w:rsid w:val="00CF4CD7"/>
    <w:rsid w:val="00CF6AA1"/>
    <w:rsid w:val="00D00CAE"/>
    <w:rsid w:val="00D0222B"/>
    <w:rsid w:val="00D0325D"/>
    <w:rsid w:val="00D0358B"/>
    <w:rsid w:val="00D047C2"/>
    <w:rsid w:val="00D10567"/>
    <w:rsid w:val="00D11965"/>
    <w:rsid w:val="00D12383"/>
    <w:rsid w:val="00D12A97"/>
    <w:rsid w:val="00D12D10"/>
    <w:rsid w:val="00D14AA1"/>
    <w:rsid w:val="00D152A9"/>
    <w:rsid w:val="00D15933"/>
    <w:rsid w:val="00D20273"/>
    <w:rsid w:val="00D20C34"/>
    <w:rsid w:val="00D2205C"/>
    <w:rsid w:val="00D25EC6"/>
    <w:rsid w:val="00D275D0"/>
    <w:rsid w:val="00D2794C"/>
    <w:rsid w:val="00D3085E"/>
    <w:rsid w:val="00D31002"/>
    <w:rsid w:val="00D31908"/>
    <w:rsid w:val="00D31946"/>
    <w:rsid w:val="00D34011"/>
    <w:rsid w:val="00D34134"/>
    <w:rsid w:val="00D34F32"/>
    <w:rsid w:val="00D35ECB"/>
    <w:rsid w:val="00D3611B"/>
    <w:rsid w:val="00D37304"/>
    <w:rsid w:val="00D378A1"/>
    <w:rsid w:val="00D40AC9"/>
    <w:rsid w:val="00D43A42"/>
    <w:rsid w:val="00D455AF"/>
    <w:rsid w:val="00D46AA3"/>
    <w:rsid w:val="00D46E58"/>
    <w:rsid w:val="00D517B4"/>
    <w:rsid w:val="00D53424"/>
    <w:rsid w:val="00D54669"/>
    <w:rsid w:val="00D558E2"/>
    <w:rsid w:val="00D56C53"/>
    <w:rsid w:val="00D57235"/>
    <w:rsid w:val="00D57707"/>
    <w:rsid w:val="00D57D42"/>
    <w:rsid w:val="00D600D8"/>
    <w:rsid w:val="00D61B63"/>
    <w:rsid w:val="00D62DF3"/>
    <w:rsid w:val="00D6466F"/>
    <w:rsid w:val="00D64F92"/>
    <w:rsid w:val="00D650F7"/>
    <w:rsid w:val="00D66165"/>
    <w:rsid w:val="00D71225"/>
    <w:rsid w:val="00D73615"/>
    <w:rsid w:val="00D73F7F"/>
    <w:rsid w:val="00D75E6C"/>
    <w:rsid w:val="00D75F10"/>
    <w:rsid w:val="00D75F23"/>
    <w:rsid w:val="00D7716A"/>
    <w:rsid w:val="00D800D6"/>
    <w:rsid w:val="00D820AB"/>
    <w:rsid w:val="00D8253A"/>
    <w:rsid w:val="00D84331"/>
    <w:rsid w:val="00D84BCB"/>
    <w:rsid w:val="00D85987"/>
    <w:rsid w:val="00D8613F"/>
    <w:rsid w:val="00D9109D"/>
    <w:rsid w:val="00D927B8"/>
    <w:rsid w:val="00D92F48"/>
    <w:rsid w:val="00D92FC2"/>
    <w:rsid w:val="00D93B16"/>
    <w:rsid w:val="00D943F3"/>
    <w:rsid w:val="00D94769"/>
    <w:rsid w:val="00D94A4C"/>
    <w:rsid w:val="00DA2629"/>
    <w:rsid w:val="00DA423F"/>
    <w:rsid w:val="00DB101A"/>
    <w:rsid w:val="00DB153B"/>
    <w:rsid w:val="00DB34E1"/>
    <w:rsid w:val="00DB38A5"/>
    <w:rsid w:val="00DB7F58"/>
    <w:rsid w:val="00DC0FBA"/>
    <w:rsid w:val="00DC517F"/>
    <w:rsid w:val="00DC596C"/>
    <w:rsid w:val="00DD08D2"/>
    <w:rsid w:val="00DD1D6C"/>
    <w:rsid w:val="00DD20A0"/>
    <w:rsid w:val="00DD2E23"/>
    <w:rsid w:val="00DD631C"/>
    <w:rsid w:val="00DD6605"/>
    <w:rsid w:val="00DD66E8"/>
    <w:rsid w:val="00DD7F7F"/>
    <w:rsid w:val="00DE2F99"/>
    <w:rsid w:val="00DE3023"/>
    <w:rsid w:val="00DE589C"/>
    <w:rsid w:val="00DE58E1"/>
    <w:rsid w:val="00DE6B2C"/>
    <w:rsid w:val="00DE6EB1"/>
    <w:rsid w:val="00DE6F7F"/>
    <w:rsid w:val="00DE79AE"/>
    <w:rsid w:val="00DE7FAF"/>
    <w:rsid w:val="00DF27B8"/>
    <w:rsid w:val="00DF2856"/>
    <w:rsid w:val="00DF2B62"/>
    <w:rsid w:val="00DF3409"/>
    <w:rsid w:val="00DF3F00"/>
    <w:rsid w:val="00DF5C1B"/>
    <w:rsid w:val="00DF5FAB"/>
    <w:rsid w:val="00DF6266"/>
    <w:rsid w:val="00DF640B"/>
    <w:rsid w:val="00DF7478"/>
    <w:rsid w:val="00DF795B"/>
    <w:rsid w:val="00E00B78"/>
    <w:rsid w:val="00E00F1F"/>
    <w:rsid w:val="00E01D3D"/>
    <w:rsid w:val="00E04FC0"/>
    <w:rsid w:val="00E05EAD"/>
    <w:rsid w:val="00E079FC"/>
    <w:rsid w:val="00E137F8"/>
    <w:rsid w:val="00E13ECF"/>
    <w:rsid w:val="00E14796"/>
    <w:rsid w:val="00E152F8"/>
    <w:rsid w:val="00E155EB"/>
    <w:rsid w:val="00E1768D"/>
    <w:rsid w:val="00E233DE"/>
    <w:rsid w:val="00E244A3"/>
    <w:rsid w:val="00E30295"/>
    <w:rsid w:val="00E3258C"/>
    <w:rsid w:val="00E329D8"/>
    <w:rsid w:val="00E33E5A"/>
    <w:rsid w:val="00E34DB7"/>
    <w:rsid w:val="00E36164"/>
    <w:rsid w:val="00E421E4"/>
    <w:rsid w:val="00E43F28"/>
    <w:rsid w:val="00E4532E"/>
    <w:rsid w:val="00E501CF"/>
    <w:rsid w:val="00E52A00"/>
    <w:rsid w:val="00E52AFE"/>
    <w:rsid w:val="00E56E54"/>
    <w:rsid w:val="00E61DBA"/>
    <w:rsid w:val="00E65688"/>
    <w:rsid w:val="00E719C4"/>
    <w:rsid w:val="00E71C36"/>
    <w:rsid w:val="00E722D3"/>
    <w:rsid w:val="00E723A8"/>
    <w:rsid w:val="00E72A5C"/>
    <w:rsid w:val="00E74887"/>
    <w:rsid w:val="00E83FAB"/>
    <w:rsid w:val="00E84E71"/>
    <w:rsid w:val="00E855A7"/>
    <w:rsid w:val="00E8582E"/>
    <w:rsid w:val="00E90C3C"/>
    <w:rsid w:val="00E90C62"/>
    <w:rsid w:val="00E93411"/>
    <w:rsid w:val="00E950EE"/>
    <w:rsid w:val="00E96666"/>
    <w:rsid w:val="00E97049"/>
    <w:rsid w:val="00EA2FC5"/>
    <w:rsid w:val="00EA3B46"/>
    <w:rsid w:val="00EB0C16"/>
    <w:rsid w:val="00EB0F79"/>
    <w:rsid w:val="00EB2A85"/>
    <w:rsid w:val="00EB379D"/>
    <w:rsid w:val="00EB6A3E"/>
    <w:rsid w:val="00EB6C71"/>
    <w:rsid w:val="00EB7647"/>
    <w:rsid w:val="00EC2B94"/>
    <w:rsid w:val="00EC41CB"/>
    <w:rsid w:val="00EC533E"/>
    <w:rsid w:val="00ED0C0C"/>
    <w:rsid w:val="00ED3118"/>
    <w:rsid w:val="00ED3D10"/>
    <w:rsid w:val="00ED56BC"/>
    <w:rsid w:val="00ED58AB"/>
    <w:rsid w:val="00ED6030"/>
    <w:rsid w:val="00ED6941"/>
    <w:rsid w:val="00EE0886"/>
    <w:rsid w:val="00EE27B2"/>
    <w:rsid w:val="00EE285C"/>
    <w:rsid w:val="00EE487F"/>
    <w:rsid w:val="00EE5DB2"/>
    <w:rsid w:val="00EE65DC"/>
    <w:rsid w:val="00EE7F53"/>
    <w:rsid w:val="00EF00A8"/>
    <w:rsid w:val="00EF1D94"/>
    <w:rsid w:val="00EF4977"/>
    <w:rsid w:val="00EF5CFA"/>
    <w:rsid w:val="00F0350B"/>
    <w:rsid w:val="00F04AB1"/>
    <w:rsid w:val="00F04E65"/>
    <w:rsid w:val="00F054BD"/>
    <w:rsid w:val="00F06EBB"/>
    <w:rsid w:val="00F06EE8"/>
    <w:rsid w:val="00F10A1D"/>
    <w:rsid w:val="00F11321"/>
    <w:rsid w:val="00F15736"/>
    <w:rsid w:val="00F1746C"/>
    <w:rsid w:val="00F178A0"/>
    <w:rsid w:val="00F17D01"/>
    <w:rsid w:val="00F2007A"/>
    <w:rsid w:val="00F21581"/>
    <w:rsid w:val="00F2236E"/>
    <w:rsid w:val="00F24889"/>
    <w:rsid w:val="00F26B01"/>
    <w:rsid w:val="00F27611"/>
    <w:rsid w:val="00F27737"/>
    <w:rsid w:val="00F2798E"/>
    <w:rsid w:val="00F27D7A"/>
    <w:rsid w:val="00F30230"/>
    <w:rsid w:val="00F3121B"/>
    <w:rsid w:val="00F31E88"/>
    <w:rsid w:val="00F33514"/>
    <w:rsid w:val="00F3391E"/>
    <w:rsid w:val="00F35BCD"/>
    <w:rsid w:val="00F35C24"/>
    <w:rsid w:val="00F41E99"/>
    <w:rsid w:val="00F42B05"/>
    <w:rsid w:val="00F42D64"/>
    <w:rsid w:val="00F43FCD"/>
    <w:rsid w:val="00F462AC"/>
    <w:rsid w:val="00F46433"/>
    <w:rsid w:val="00F60046"/>
    <w:rsid w:val="00F60CF1"/>
    <w:rsid w:val="00F64B05"/>
    <w:rsid w:val="00F664FE"/>
    <w:rsid w:val="00F672F6"/>
    <w:rsid w:val="00F67915"/>
    <w:rsid w:val="00F70BEF"/>
    <w:rsid w:val="00F726AB"/>
    <w:rsid w:val="00F7359D"/>
    <w:rsid w:val="00F75AC7"/>
    <w:rsid w:val="00F814CE"/>
    <w:rsid w:val="00F8333F"/>
    <w:rsid w:val="00F850A5"/>
    <w:rsid w:val="00F85D88"/>
    <w:rsid w:val="00F85F57"/>
    <w:rsid w:val="00F8774E"/>
    <w:rsid w:val="00F87F49"/>
    <w:rsid w:val="00F915BA"/>
    <w:rsid w:val="00F9258B"/>
    <w:rsid w:val="00F9414D"/>
    <w:rsid w:val="00F96C1F"/>
    <w:rsid w:val="00FA02CA"/>
    <w:rsid w:val="00FA4888"/>
    <w:rsid w:val="00FA4E06"/>
    <w:rsid w:val="00FA7109"/>
    <w:rsid w:val="00FA71BC"/>
    <w:rsid w:val="00FB26EC"/>
    <w:rsid w:val="00FB373D"/>
    <w:rsid w:val="00FB4268"/>
    <w:rsid w:val="00FB4375"/>
    <w:rsid w:val="00FB4E10"/>
    <w:rsid w:val="00FB5524"/>
    <w:rsid w:val="00FC0A12"/>
    <w:rsid w:val="00FC230F"/>
    <w:rsid w:val="00FC2508"/>
    <w:rsid w:val="00FC2AE6"/>
    <w:rsid w:val="00FC3EDF"/>
    <w:rsid w:val="00FC5E12"/>
    <w:rsid w:val="00FC728D"/>
    <w:rsid w:val="00FD18BA"/>
    <w:rsid w:val="00FD303E"/>
    <w:rsid w:val="00FD5023"/>
    <w:rsid w:val="00FE0069"/>
    <w:rsid w:val="00FE3480"/>
    <w:rsid w:val="00FE3C7F"/>
    <w:rsid w:val="00FE5840"/>
    <w:rsid w:val="00FE622F"/>
    <w:rsid w:val="00FE6D2F"/>
    <w:rsid w:val="00FF192D"/>
    <w:rsid w:val="00FF2179"/>
    <w:rsid w:val="00FF2694"/>
    <w:rsid w:val="00FF2FB8"/>
    <w:rsid w:val="00FF4E1F"/>
    <w:rsid w:val="00FF5C78"/>
    <w:rsid w:val="01AF237A"/>
    <w:rsid w:val="03234508"/>
    <w:rsid w:val="038572FC"/>
    <w:rsid w:val="04422539"/>
    <w:rsid w:val="04596BFD"/>
    <w:rsid w:val="05F928F6"/>
    <w:rsid w:val="05FB189C"/>
    <w:rsid w:val="073A6419"/>
    <w:rsid w:val="07B928A0"/>
    <w:rsid w:val="07C0300F"/>
    <w:rsid w:val="07E32F3E"/>
    <w:rsid w:val="07E74DA6"/>
    <w:rsid w:val="08DA68F8"/>
    <w:rsid w:val="09916534"/>
    <w:rsid w:val="09AB73CE"/>
    <w:rsid w:val="09DC0D80"/>
    <w:rsid w:val="0BC41F0B"/>
    <w:rsid w:val="0BDB7AF8"/>
    <w:rsid w:val="0C10220C"/>
    <w:rsid w:val="0C347089"/>
    <w:rsid w:val="0CF62FCD"/>
    <w:rsid w:val="0D5B5A94"/>
    <w:rsid w:val="0D994A20"/>
    <w:rsid w:val="0E6A7200"/>
    <w:rsid w:val="0F1E419E"/>
    <w:rsid w:val="0F9D62FF"/>
    <w:rsid w:val="109D5FAD"/>
    <w:rsid w:val="10E74960"/>
    <w:rsid w:val="113E4EBD"/>
    <w:rsid w:val="11716136"/>
    <w:rsid w:val="11B33052"/>
    <w:rsid w:val="11EF7B3C"/>
    <w:rsid w:val="12046484"/>
    <w:rsid w:val="1266384F"/>
    <w:rsid w:val="132F1DE9"/>
    <w:rsid w:val="13333433"/>
    <w:rsid w:val="133C0869"/>
    <w:rsid w:val="1343304A"/>
    <w:rsid w:val="14505DC8"/>
    <w:rsid w:val="148052F9"/>
    <w:rsid w:val="14C108A8"/>
    <w:rsid w:val="153B0062"/>
    <w:rsid w:val="156D7ADD"/>
    <w:rsid w:val="164141B0"/>
    <w:rsid w:val="16C80C8C"/>
    <w:rsid w:val="16F5728B"/>
    <w:rsid w:val="17311440"/>
    <w:rsid w:val="17551F4D"/>
    <w:rsid w:val="19371D44"/>
    <w:rsid w:val="19CD4E6A"/>
    <w:rsid w:val="19F43619"/>
    <w:rsid w:val="1A974355"/>
    <w:rsid w:val="1A9E7F35"/>
    <w:rsid w:val="1AE01D5A"/>
    <w:rsid w:val="1C9F6EEC"/>
    <w:rsid w:val="1D0F49CA"/>
    <w:rsid w:val="1DA65082"/>
    <w:rsid w:val="1E0E3AB1"/>
    <w:rsid w:val="1E4970E6"/>
    <w:rsid w:val="1E6628C1"/>
    <w:rsid w:val="1EC448C5"/>
    <w:rsid w:val="1EF76F98"/>
    <w:rsid w:val="1F8C1A4D"/>
    <w:rsid w:val="1FFF7465"/>
    <w:rsid w:val="208117F2"/>
    <w:rsid w:val="2164401D"/>
    <w:rsid w:val="21C24503"/>
    <w:rsid w:val="221014FF"/>
    <w:rsid w:val="22496173"/>
    <w:rsid w:val="224A1413"/>
    <w:rsid w:val="22C94289"/>
    <w:rsid w:val="2308730A"/>
    <w:rsid w:val="23310527"/>
    <w:rsid w:val="25476612"/>
    <w:rsid w:val="25A322C5"/>
    <w:rsid w:val="25DE2788"/>
    <w:rsid w:val="26625F8D"/>
    <w:rsid w:val="26C86FBB"/>
    <w:rsid w:val="27CC3909"/>
    <w:rsid w:val="27FC6437"/>
    <w:rsid w:val="28241AC9"/>
    <w:rsid w:val="283C75B5"/>
    <w:rsid w:val="28BB57D4"/>
    <w:rsid w:val="2A57723E"/>
    <w:rsid w:val="2AC17C0C"/>
    <w:rsid w:val="2BDD5594"/>
    <w:rsid w:val="2C0116EF"/>
    <w:rsid w:val="2C311298"/>
    <w:rsid w:val="2CE95C51"/>
    <w:rsid w:val="2D1953A6"/>
    <w:rsid w:val="2D9B1BC0"/>
    <w:rsid w:val="2E50757E"/>
    <w:rsid w:val="2F235103"/>
    <w:rsid w:val="304834D2"/>
    <w:rsid w:val="309C135A"/>
    <w:rsid w:val="311072F5"/>
    <w:rsid w:val="31BA0E98"/>
    <w:rsid w:val="323631AC"/>
    <w:rsid w:val="325F0676"/>
    <w:rsid w:val="326E7863"/>
    <w:rsid w:val="32955B2F"/>
    <w:rsid w:val="33CB2BE0"/>
    <w:rsid w:val="342F71B3"/>
    <w:rsid w:val="34922FBF"/>
    <w:rsid w:val="34B144DA"/>
    <w:rsid w:val="34E56759"/>
    <w:rsid w:val="35773565"/>
    <w:rsid w:val="35A32C3E"/>
    <w:rsid w:val="35CF7198"/>
    <w:rsid w:val="35D915E8"/>
    <w:rsid w:val="35E26360"/>
    <w:rsid w:val="35F8284B"/>
    <w:rsid w:val="36E43AF5"/>
    <w:rsid w:val="37264077"/>
    <w:rsid w:val="385F65ED"/>
    <w:rsid w:val="386812B5"/>
    <w:rsid w:val="386B4B50"/>
    <w:rsid w:val="387218C0"/>
    <w:rsid w:val="38C458C7"/>
    <w:rsid w:val="38F038C6"/>
    <w:rsid w:val="39A06F00"/>
    <w:rsid w:val="39BC4A4B"/>
    <w:rsid w:val="3A9E5660"/>
    <w:rsid w:val="3B4B3E88"/>
    <w:rsid w:val="3B6959D5"/>
    <w:rsid w:val="3BB5748F"/>
    <w:rsid w:val="3BD038C5"/>
    <w:rsid w:val="3CBF2520"/>
    <w:rsid w:val="3CCC69B8"/>
    <w:rsid w:val="3CE147F8"/>
    <w:rsid w:val="3E182116"/>
    <w:rsid w:val="3E482089"/>
    <w:rsid w:val="3F325B94"/>
    <w:rsid w:val="3FE1012A"/>
    <w:rsid w:val="40BE56B0"/>
    <w:rsid w:val="4108011F"/>
    <w:rsid w:val="4141419D"/>
    <w:rsid w:val="422E074F"/>
    <w:rsid w:val="43532C55"/>
    <w:rsid w:val="43553F3F"/>
    <w:rsid w:val="44A83AB4"/>
    <w:rsid w:val="451D4101"/>
    <w:rsid w:val="455E1D51"/>
    <w:rsid w:val="45F04F59"/>
    <w:rsid w:val="466A47B2"/>
    <w:rsid w:val="469F2268"/>
    <w:rsid w:val="46AF3D16"/>
    <w:rsid w:val="471966C9"/>
    <w:rsid w:val="47614FC0"/>
    <w:rsid w:val="477E6B67"/>
    <w:rsid w:val="47CF30DE"/>
    <w:rsid w:val="492E5555"/>
    <w:rsid w:val="496E7C6C"/>
    <w:rsid w:val="498252F2"/>
    <w:rsid w:val="49D6739C"/>
    <w:rsid w:val="4A12441C"/>
    <w:rsid w:val="4A357132"/>
    <w:rsid w:val="4AF01318"/>
    <w:rsid w:val="4BC20B45"/>
    <w:rsid w:val="4D5D33F4"/>
    <w:rsid w:val="4D5E5408"/>
    <w:rsid w:val="4F3F0F06"/>
    <w:rsid w:val="4FD62F25"/>
    <w:rsid w:val="50454A71"/>
    <w:rsid w:val="51280750"/>
    <w:rsid w:val="5175023D"/>
    <w:rsid w:val="51EF0764"/>
    <w:rsid w:val="539662B8"/>
    <w:rsid w:val="54045A91"/>
    <w:rsid w:val="54232555"/>
    <w:rsid w:val="542E3693"/>
    <w:rsid w:val="544D41F2"/>
    <w:rsid w:val="54904CA5"/>
    <w:rsid w:val="550A37C6"/>
    <w:rsid w:val="550F0C24"/>
    <w:rsid w:val="556818F6"/>
    <w:rsid w:val="566932AD"/>
    <w:rsid w:val="566C6117"/>
    <w:rsid w:val="56BD74F1"/>
    <w:rsid w:val="574842A3"/>
    <w:rsid w:val="57992493"/>
    <w:rsid w:val="57C66E13"/>
    <w:rsid w:val="58534258"/>
    <w:rsid w:val="58E7141B"/>
    <w:rsid w:val="595763FF"/>
    <w:rsid w:val="59CA2D41"/>
    <w:rsid w:val="59FD572C"/>
    <w:rsid w:val="5A0A5595"/>
    <w:rsid w:val="5AD64A98"/>
    <w:rsid w:val="5B546895"/>
    <w:rsid w:val="5BB66E3D"/>
    <w:rsid w:val="5C952069"/>
    <w:rsid w:val="5C9838CF"/>
    <w:rsid w:val="5CB62347"/>
    <w:rsid w:val="5D047FC0"/>
    <w:rsid w:val="5D141DAB"/>
    <w:rsid w:val="5D20456B"/>
    <w:rsid w:val="5D2C1206"/>
    <w:rsid w:val="5D7D058E"/>
    <w:rsid w:val="5E34328C"/>
    <w:rsid w:val="5E46515B"/>
    <w:rsid w:val="5E56272E"/>
    <w:rsid w:val="5ED062AA"/>
    <w:rsid w:val="5F400B61"/>
    <w:rsid w:val="5FCE1F2A"/>
    <w:rsid w:val="5FD14F78"/>
    <w:rsid w:val="60837D72"/>
    <w:rsid w:val="61F8006A"/>
    <w:rsid w:val="62371607"/>
    <w:rsid w:val="62740FB9"/>
    <w:rsid w:val="62956B85"/>
    <w:rsid w:val="62F361B8"/>
    <w:rsid w:val="64173E2F"/>
    <w:rsid w:val="64B463BC"/>
    <w:rsid w:val="64CB19E3"/>
    <w:rsid w:val="64F04C2B"/>
    <w:rsid w:val="66421124"/>
    <w:rsid w:val="66F06435"/>
    <w:rsid w:val="671549CB"/>
    <w:rsid w:val="67242CF7"/>
    <w:rsid w:val="68E2624C"/>
    <w:rsid w:val="69A73AAF"/>
    <w:rsid w:val="69AF6F0A"/>
    <w:rsid w:val="6A724E26"/>
    <w:rsid w:val="6AD71E41"/>
    <w:rsid w:val="6AF87579"/>
    <w:rsid w:val="6C1A636C"/>
    <w:rsid w:val="6CBE0B6A"/>
    <w:rsid w:val="6E4D7797"/>
    <w:rsid w:val="6EDD3624"/>
    <w:rsid w:val="6FCD0F21"/>
    <w:rsid w:val="705A0421"/>
    <w:rsid w:val="706031ED"/>
    <w:rsid w:val="72677DF9"/>
    <w:rsid w:val="72E22C6E"/>
    <w:rsid w:val="732C42E4"/>
    <w:rsid w:val="73813F0A"/>
    <w:rsid w:val="74AD6C8D"/>
    <w:rsid w:val="74B0228B"/>
    <w:rsid w:val="74E44B91"/>
    <w:rsid w:val="755A1920"/>
    <w:rsid w:val="763037D3"/>
    <w:rsid w:val="768C087D"/>
    <w:rsid w:val="76C9078F"/>
    <w:rsid w:val="79075EA2"/>
    <w:rsid w:val="796C5940"/>
    <w:rsid w:val="7A4E4623"/>
    <w:rsid w:val="7AAF4688"/>
    <w:rsid w:val="7AF732CC"/>
    <w:rsid w:val="7CD5350A"/>
    <w:rsid w:val="7D1A38E1"/>
    <w:rsid w:val="7D541560"/>
    <w:rsid w:val="7DC527A8"/>
    <w:rsid w:val="7FF34C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99"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qFormat="1" w:unhideWhenUsed="0" w:uiPriority="99" w:semiHidden="0" w:name="HTML Typewriter"/>
    <w:lsdException w:qFormat="1" w:unhideWhenUsed="0" w:uiPriority="99" w:semiHidden="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1"/>
      <w:lang w:val="en-US" w:eastAsia="zh-CN" w:bidi="ar-SA"/>
    </w:rPr>
  </w:style>
  <w:style w:type="paragraph" w:styleId="3">
    <w:name w:val="heading 1"/>
    <w:basedOn w:val="1"/>
    <w:next w:val="1"/>
    <w:link w:val="78"/>
    <w:qFormat/>
    <w:uiPriority w:val="0"/>
    <w:pPr>
      <w:keepNext/>
      <w:keepLines/>
      <w:spacing w:before="340" w:after="330" w:line="578" w:lineRule="auto"/>
      <w:outlineLvl w:val="0"/>
    </w:pPr>
    <w:rPr>
      <w:b/>
      <w:bCs/>
      <w:kern w:val="44"/>
      <w:sz w:val="44"/>
      <w:szCs w:val="44"/>
    </w:rPr>
  </w:style>
  <w:style w:type="paragraph" w:styleId="2">
    <w:name w:val="heading 2"/>
    <w:basedOn w:val="1"/>
    <w:next w:val="1"/>
    <w:link w:val="111"/>
    <w:qFormat/>
    <w:uiPriority w:val="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90"/>
    <w:qFormat/>
    <w:uiPriority w:val="99"/>
    <w:pPr>
      <w:keepNext/>
      <w:keepLines/>
      <w:widowControl w:val="0"/>
      <w:spacing w:before="260" w:after="260" w:line="415" w:lineRule="auto"/>
      <w:jc w:val="both"/>
      <w:outlineLvl w:val="2"/>
    </w:pPr>
    <w:rPr>
      <w:b/>
      <w:kern w:val="2"/>
      <w:sz w:val="32"/>
    </w:rPr>
  </w:style>
  <w:style w:type="paragraph" w:styleId="5">
    <w:name w:val="heading 4"/>
    <w:basedOn w:val="1"/>
    <w:next w:val="1"/>
    <w:link w:val="129"/>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106"/>
    <w:qFormat/>
    <w:uiPriority w:val="0"/>
    <w:pPr>
      <w:keepNext/>
      <w:keepLines/>
      <w:widowControl w:val="0"/>
      <w:spacing w:before="280" w:after="290" w:line="372" w:lineRule="auto"/>
      <w:ind w:left="1008" w:hanging="1008"/>
      <w:jc w:val="both"/>
      <w:outlineLvl w:val="4"/>
    </w:pPr>
    <w:rPr>
      <w:rFonts w:ascii="Calibri" w:hAnsi="Calibri"/>
      <w:b/>
      <w:bCs/>
      <w:kern w:val="2"/>
      <w:sz w:val="28"/>
      <w:szCs w:val="28"/>
    </w:rPr>
  </w:style>
  <w:style w:type="paragraph" w:styleId="7">
    <w:name w:val="heading 6"/>
    <w:basedOn w:val="1"/>
    <w:next w:val="1"/>
    <w:link w:val="117"/>
    <w:qFormat/>
    <w:uiPriority w:val="0"/>
    <w:pPr>
      <w:keepNext/>
      <w:keepLines/>
      <w:spacing w:before="240" w:after="64" w:line="320" w:lineRule="auto"/>
      <w:outlineLvl w:val="5"/>
    </w:pPr>
    <w:rPr>
      <w:rFonts w:ascii="Arial" w:hAnsi="Arial" w:eastAsia="黑体"/>
      <w:b/>
      <w:bCs/>
      <w:sz w:val="24"/>
      <w:szCs w:val="24"/>
    </w:rPr>
  </w:style>
  <w:style w:type="paragraph" w:styleId="8">
    <w:name w:val="heading 7"/>
    <w:basedOn w:val="1"/>
    <w:next w:val="1"/>
    <w:link w:val="88"/>
    <w:qFormat/>
    <w:uiPriority w:val="0"/>
    <w:pPr>
      <w:keepNext/>
      <w:keepLines/>
      <w:widowControl w:val="0"/>
      <w:spacing w:before="240" w:after="64" w:line="317" w:lineRule="auto"/>
      <w:ind w:left="1296" w:hanging="1296"/>
      <w:jc w:val="both"/>
      <w:outlineLvl w:val="6"/>
    </w:pPr>
    <w:rPr>
      <w:rFonts w:ascii="Calibri" w:hAnsi="Calibri"/>
      <w:b/>
      <w:bCs/>
      <w:kern w:val="2"/>
      <w:sz w:val="24"/>
      <w:szCs w:val="24"/>
    </w:rPr>
  </w:style>
  <w:style w:type="paragraph" w:styleId="9">
    <w:name w:val="heading 8"/>
    <w:basedOn w:val="1"/>
    <w:next w:val="1"/>
    <w:link w:val="67"/>
    <w:qFormat/>
    <w:uiPriority w:val="0"/>
    <w:pPr>
      <w:keepNext/>
      <w:keepLines/>
      <w:widowControl w:val="0"/>
      <w:spacing w:before="240" w:after="64" w:line="317" w:lineRule="auto"/>
      <w:ind w:left="1440" w:hanging="1440"/>
      <w:jc w:val="both"/>
      <w:outlineLvl w:val="7"/>
    </w:pPr>
    <w:rPr>
      <w:rFonts w:ascii="Cambria" w:hAnsi="Cambria"/>
      <w:kern w:val="2"/>
      <w:sz w:val="24"/>
      <w:szCs w:val="24"/>
    </w:rPr>
  </w:style>
  <w:style w:type="paragraph" w:styleId="10">
    <w:name w:val="heading 9"/>
    <w:basedOn w:val="1"/>
    <w:next w:val="1"/>
    <w:link w:val="62"/>
    <w:qFormat/>
    <w:uiPriority w:val="0"/>
    <w:pPr>
      <w:keepNext/>
      <w:keepLines/>
      <w:widowControl w:val="0"/>
      <w:spacing w:before="240" w:after="64" w:line="317" w:lineRule="auto"/>
      <w:ind w:left="1584" w:hanging="1584"/>
      <w:jc w:val="both"/>
      <w:outlineLvl w:val="8"/>
    </w:pPr>
    <w:rPr>
      <w:rFonts w:ascii="Cambria" w:hAnsi="Cambria"/>
      <w:kern w:val="2"/>
      <w:szCs w:val="21"/>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widowControl w:val="0"/>
      <w:ind w:left="2520" w:leftChars="1200"/>
      <w:jc w:val="both"/>
    </w:pPr>
    <w:rPr>
      <w:rFonts w:ascii="Calibri" w:hAnsi="Calibri"/>
      <w:kern w:val="2"/>
      <w:szCs w:val="22"/>
    </w:rPr>
  </w:style>
  <w:style w:type="paragraph" w:styleId="12">
    <w:name w:val="Normal Indent"/>
    <w:basedOn w:val="1"/>
    <w:next w:val="1"/>
    <w:link w:val="76"/>
    <w:qFormat/>
    <w:uiPriority w:val="0"/>
    <w:pPr>
      <w:widowControl w:val="0"/>
      <w:ind w:firstLine="420"/>
      <w:jc w:val="both"/>
    </w:pPr>
    <w:rPr>
      <w:kern w:val="2"/>
    </w:rPr>
  </w:style>
  <w:style w:type="paragraph" w:styleId="13">
    <w:name w:val="caption"/>
    <w:basedOn w:val="1"/>
    <w:next w:val="1"/>
    <w:link w:val="93"/>
    <w:qFormat/>
    <w:uiPriority w:val="0"/>
    <w:pPr>
      <w:widowControl w:val="0"/>
      <w:spacing w:line="360" w:lineRule="auto"/>
      <w:jc w:val="center"/>
    </w:pPr>
    <w:rPr>
      <w:rFonts w:ascii="Cambria" w:hAnsi="Cambria" w:eastAsia="黑体"/>
      <w:sz w:val="24"/>
    </w:rPr>
  </w:style>
  <w:style w:type="paragraph" w:styleId="14">
    <w:name w:val="Document Map"/>
    <w:basedOn w:val="1"/>
    <w:link w:val="86"/>
    <w:qFormat/>
    <w:uiPriority w:val="99"/>
    <w:pPr>
      <w:shd w:val="clear" w:color="auto" w:fill="000080"/>
    </w:pPr>
  </w:style>
  <w:style w:type="paragraph" w:styleId="15">
    <w:name w:val="annotation text"/>
    <w:basedOn w:val="1"/>
    <w:link w:val="70"/>
    <w:qFormat/>
    <w:uiPriority w:val="0"/>
  </w:style>
  <w:style w:type="paragraph" w:styleId="16">
    <w:name w:val="Body Text 3"/>
    <w:basedOn w:val="1"/>
    <w:qFormat/>
    <w:uiPriority w:val="0"/>
    <w:pPr>
      <w:widowControl w:val="0"/>
      <w:jc w:val="center"/>
    </w:pPr>
    <w:rPr>
      <w:rFonts w:ascii="宋体"/>
      <w:kern w:val="2"/>
      <w:sz w:val="28"/>
    </w:rPr>
  </w:style>
  <w:style w:type="paragraph" w:styleId="17">
    <w:name w:val="Body Text"/>
    <w:basedOn w:val="1"/>
    <w:next w:val="1"/>
    <w:link w:val="115"/>
    <w:qFormat/>
    <w:uiPriority w:val="99"/>
    <w:pPr>
      <w:spacing w:after="120"/>
    </w:pPr>
  </w:style>
  <w:style w:type="paragraph" w:styleId="18">
    <w:name w:val="Body Text Indent"/>
    <w:basedOn w:val="1"/>
    <w:link w:val="66"/>
    <w:qFormat/>
    <w:uiPriority w:val="99"/>
    <w:pPr>
      <w:widowControl w:val="0"/>
      <w:ind w:firstLine="630"/>
      <w:jc w:val="both"/>
    </w:pPr>
    <w:rPr>
      <w:rFonts w:ascii="宋体"/>
      <w:kern w:val="2"/>
      <w:sz w:val="28"/>
    </w:rPr>
  </w:style>
  <w:style w:type="paragraph" w:styleId="19">
    <w:name w:val="toc 5"/>
    <w:basedOn w:val="1"/>
    <w:next w:val="1"/>
    <w:qFormat/>
    <w:uiPriority w:val="0"/>
    <w:pPr>
      <w:widowControl w:val="0"/>
      <w:ind w:left="1680" w:leftChars="800"/>
      <w:jc w:val="both"/>
    </w:pPr>
    <w:rPr>
      <w:rFonts w:ascii="Calibri" w:hAnsi="Calibri"/>
      <w:kern w:val="2"/>
      <w:szCs w:val="22"/>
    </w:rPr>
  </w:style>
  <w:style w:type="paragraph" w:styleId="20">
    <w:name w:val="toc 3"/>
    <w:basedOn w:val="1"/>
    <w:next w:val="1"/>
    <w:qFormat/>
    <w:uiPriority w:val="39"/>
    <w:pPr>
      <w:ind w:left="840" w:leftChars="400"/>
    </w:pPr>
  </w:style>
  <w:style w:type="paragraph" w:styleId="21">
    <w:name w:val="Plain Text"/>
    <w:basedOn w:val="1"/>
    <w:link w:val="127"/>
    <w:qFormat/>
    <w:uiPriority w:val="99"/>
    <w:pPr>
      <w:widowControl w:val="0"/>
      <w:spacing w:line="360" w:lineRule="auto"/>
      <w:jc w:val="both"/>
    </w:pPr>
    <w:rPr>
      <w:rFonts w:ascii="宋体" w:hAnsi="Courier New"/>
      <w:spacing w:val="-8"/>
      <w:kern w:val="2"/>
      <w:sz w:val="24"/>
    </w:rPr>
  </w:style>
  <w:style w:type="paragraph" w:styleId="22">
    <w:name w:val="toc 8"/>
    <w:basedOn w:val="1"/>
    <w:next w:val="1"/>
    <w:qFormat/>
    <w:uiPriority w:val="0"/>
    <w:pPr>
      <w:widowControl w:val="0"/>
      <w:ind w:left="2940" w:leftChars="1400"/>
      <w:jc w:val="both"/>
    </w:pPr>
    <w:rPr>
      <w:rFonts w:ascii="Calibri" w:hAnsi="Calibri"/>
      <w:kern w:val="2"/>
      <w:szCs w:val="22"/>
    </w:rPr>
  </w:style>
  <w:style w:type="paragraph" w:styleId="23">
    <w:name w:val="Date"/>
    <w:basedOn w:val="1"/>
    <w:next w:val="1"/>
    <w:link w:val="134"/>
    <w:qFormat/>
    <w:uiPriority w:val="99"/>
    <w:pPr>
      <w:widowControl w:val="0"/>
      <w:jc w:val="both"/>
    </w:pPr>
    <w:rPr>
      <w:rFonts w:eastAsia="仿宋_GB2312"/>
      <w:kern w:val="2"/>
      <w:sz w:val="32"/>
    </w:rPr>
  </w:style>
  <w:style w:type="paragraph" w:styleId="24">
    <w:name w:val="Body Text Indent 2"/>
    <w:basedOn w:val="1"/>
    <w:link w:val="116"/>
    <w:qFormat/>
    <w:uiPriority w:val="99"/>
    <w:pPr>
      <w:widowControl w:val="0"/>
      <w:spacing w:before="120"/>
      <w:ind w:firstLine="525"/>
      <w:jc w:val="both"/>
    </w:pPr>
    <w:rPr>
      <w:rFonts w:ascii="宋体" w:eastAsia="仿宋_GB2312"/>
      <w:kern w:val="2"/>
      <w:sz w:val="28"/>
    </w:rPr>
  </w:style>
  <w:style w:type="paragraph" w:styleId="25">
    <w:name w:val="Balloon Text"/>
    <w:basedOn w:val="1"/>
    <w:link w:val="136"/>
    <w:qFormat/>
    <w:uiPriority w:val="99"/>
    <w:rPr>
      <w:sz w:val="18"/>
      <w:szCs w:val="18"/>
    </w:rPr>
  </w:style>
  <w:style w:type="paragraph" w:styleId="26">
    <w:name w:val="footer"/>
    <w:basedOn w:val="1"/>
    <w:link w:val="126"/>
    <w:qFormat/>
    <w:uiPriority w:val="99"/>
    <w:pPr>
      <w:widowControl w:val="0"/>
      <w:tabs>
        <w:tab w:val="center" w:pos="4153"/>
        <w:tab w:val="right" w:pos="8306"/>
      </w:tabs>
      <w:autoSpaceDE w:val="0"/>
      <w:autoSpaceDN w:val="0"/>
      <w:adjustRightInd w:val="0"/>
      <w:snapToGrid w:val="0"/>
    </w:pPr>
    <w:rPr>
      <w:rFonts w:ascii="宋体"/>
      <w:sz w:val="18"/>
    </w:rPr>
  </w:style>
  <w:style w:type="paragraph" w:styleId="27">
    <w:name w:val="header"/>
    <w:basedOn w:val="1"/>
    <w:link w:val="83"/>
    <w:qFormat/>
    <w:uiPriority w:val="99"/>
    <w:pPr>
      <w:widowControl w:val="0"/>
      <w:pBdr>
        <w:bottom w:val="single" w:color="auto" w:sz="6" w:space="1"/>
      </w:pBdr>
      <w:tabs>
        <w:tab w:val="center" w:pos="4153"/>
        <w:tab w:val="right" w:pos="8306"/>
      </w:tabs>
      <w:autoSpaceDE w:val="0"/>
      <w:autoSpaceDN w:val="0"/>
      <w:adjustRightInd w:val="0"/>
      <w:snapToGrid w:val="0"/>
      <w:jc w:val="center"/>
    </w:pPr>
    <w:rPr>
      <w:rFonts w:ascii="宋体"/>
      <w:sz w:val="18"/>
    </w:rPr>
  </w:style>
  <w:style w:type="paragraph" w:styleId="28">
    <w:name w:val="toc 1"/>
    <w:basedOn w:val="1"/>
    <w:next w:val="1"/>
    <w:qFormat/>
    <w:uiPriority w:val="39"/>
    <w:pPr>
      <w:spacing w:before="120" w:after="120"/>
    </w:pPr>
    <w:rPr>
      <w:b/>
      <w:bCs/>
      <w:caps/>
      <w:sz w:val="20"/>
    </w:rPr>
  </w:style>
  <w:style w:type="paragraph" w:styleId="29">
    <w:name w:val="toc 4"/>
    <w:basedOn w:val="1"/>
    <w:next w:val="1"/>
    <w:qFormat/>
    <w:uiPriority w:val="39"/>
    <w:pPr>
      <w:widowControl w:val="0"/>
      <w:ind w:left="1260" w:leftChars="600"/>
      <w:jc w:val="both"/>
    </w:pPr>
    <w:rPr>
      <w:kern w:val="2"/>
    </w:rPr>
  </w:style>
  <w:style w:type="paragraph" w:styleId="30">
    <w:name w:val="Subtitle"/>
    <w:basedOn w:val="1"/>
    <w:next w:val="1"/>
    <w:link w:val="118"/>
    <w:qFormat/>
    <w:uiPriority w:val="0"/>
    <w:pPr>
      <w:widowControl w:val="0"/>
      <w:spacing w:before="240" w:after="60" w:line="312" w:lineRule="auto"/>
      <w:jc w:val="center"/>
      <w:outlineLvl w:val="1"/>
    </w:pPr>
    <w:rPr>
      <w:rFonts w:ascii="Cambria" w:hAnsi="Cambria"/>
      <w:b/>
      <w:bCs/>
      <w:kern w:val="28"/>
      <w:sz w:val="32"/>
      <w:szCs w:val="32"/>
    </w:rPr>
  </w:style>
  <w:style w:type="paragraph" w:styleId="31">
    <w:name w:val="toc 6"/>
    <w:basedOn w:val="1"/>
    <w:next w:val="1"/>
    <w:qFormat/>
    <w:uiPriority w:val="0"/>
    <w:pPr>
      <w:widowControl w:val="0"/>
      <w:ind w:left="2100" w:leftChars="1000"/>
      <w:jc w:val="both"/>
    </w:pPr>
    <w:rPr>
      <w:rFonts w:ascii="Calibri" w:hAnsi="Calibri"/>
      <w:kern w:val="2"/>
      <w:szCs w:val="22"/>
    </w:rPr>
  </w:style>
  <w:style w:type="paragraph" w:styleId="32">
    <w:name w:val="Body Text Indent 3"/>
    <w:basedOn w:val="1"/>
    <w:qFormat/>
    <w:uiPriority w:val="0"/>
    <w:pPr>
      <w:widowControl w:val="0"/>
      <w:tabs>
        <w:tab w:val="center" w:pos="-4200"/>
      </w:tabs>
      <w:ind w:left="-4" w:leftChars="-2" w:firstLine="591" w:firstLineChars="197"/>
      <w:jc w:val="both"/>
    </w:pPr>
    <w:rPr>
      <w:rFonts w:ascii="仿宋_GB2312" w:eastAsia="仿宋_GB2312"/>
      <w:kern w:val="2"/>
      <w:sz w:val="30"/>
    </w:rPr>
  </w:style>
  <w:style w:type="paragraph" w:styleId="33">
    <w:name w:val="toc 2"/>
    <w:basedOn w:val="1"/>
    <w:next w:val="1"/>
    <w:qFormat/>
    <w:uiPriority w:val="39"/>
    <w:pPr>
      <w:ind w:left="420" w:leftChars="200"/>
    </w:pPr>
  </w:style>
  <w:style w:type="paragraph" w:styleId="34">
    <w:name w:val="toc 9"/>
    <w:basedOn w:val="1"/>
    <w:next w:val="1"/>
    <w:qFormat/>
    <w:uiPriority w:val="0"/>
    <w:pPr>
      <w:widowControl w:val="0"/>
      <w:ind w:left="3360" w:leftChars="1600"/>
      <w:jc w:val="both"/>
    </w:pPr>
    <w:rPr>
      <w:rFonts w:ascii="Calibri" w:hAnsi="Calibri"/>
      <w:kern w:val="2"/>
      <w:szCs w:val="22"/>
    </w:rPr>
  </w:style>
  <w:style w:type="paragraph" w:styleId="35">
    <w:name w:val="Body Text 2"/>
    <w:basedOn w:val="1"/>
    <w:link w:val="112"/>
    <w:qFormat/>
    <w:uiPriority w:val="0"/>
    <w:pPr>
      <w:widowControl w:val="0"/>
      <w:jc w:val="both"/>
    </w:pPr>
    <w:rPr>
      <w:kern w:val="2"/>
      <w:sz w:val="28"/>
    </w:rPr>
  </w:style>
  <w:style w:type="paragraph" w:styleId="36">
    <w:name w:val="Message Header"/>
    <w:basedOn w:val="17"/>
    <w:qFormat/>
    <w:uiPriority w:val="0"/>
    <w:pPr>
      <w:keepLines/>
      <w:pBdr>
        <w:bottom w:val="single" w:color="auto" w:sz="6" w:space="2"/>
        <w:between w:val="single" w:color="auto" w:sz="6" w:space="2"/>
      </w:pBdr>
      <w:tabs>
        <w:tab w:val="left" w:pos="720"/>
        <w:tab w:val="left" w:pos="4320"/>
        <w:tab w:val="left" w:pos="5040"/>
        <w:tab w:val="right" w:pos="8640"/>
      </w:tabs>
      <w:overflowPunct w:val="0"/>
      <w:autoSpaceDE w:val="0"/>
      <w:autoSpaceDN w:val="0"/>
      <w:adjustRightInd w:val="0"/>
      <w:spacing w:after="0" w:line="440" w:lineRule="atLeast"/>
      <w:ind w:left="720" w:hanging="720"/>
      <w:textAlignment w:val="baseline"/>
    </w:pPr>
    <w:rPr>
      <w:rFonts w:ascii="Arial" w:hAnsi="Arial"/>
      <w:spacing w:val="-5"/>
      <w:sz w:val="20"/>
    </w:rPr>
  </w:style>
  <w:style w:type="paragraph" w:styleId="37">
    <w:name w:val="HTML Preformatted"/>
    <w:basedOn w:val="1"/>
    <w:link w:val="119"/>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sz w:val="24"/>
      <w:szCs w:val="24"/>
    </w:rPr>
  </w:style>
  <w:style w:type="paragraph" w:styleId="38">
    <w:name w:val="Normal (Web)"/>
    <w:basedOn w:val="1"/>
    <w:qFormat/>
    <w:uiPriority w:val="99"/>
    <w:pPr>
      <w:spacing w:before="100" w:beforeAutospacing="1" w:after="100" w:afterAutospacing="1"/>
    </w:pPr>
    <w:rPr>
      <w:rFonts w:hint="eastAsia" w:ascii="宋体" w:hAnsi="宋体"/>
      <w:sz w:val="24"/>
      <w:szCs w:val="24"/>
    </w:rPr>
  </w:style>
  <w:style w:type="paragraph" w:styleId="39">
    <w:name w:val="Title"/>
    <w:basedOn w:val="1"/>
    <w:next w:val="1"/>
    <w:link w:val="89"/>
    <w:qFormat/>
    <w:uiPriority w:val="99"/>
    <w:pPr>
      <w:widowControl w:val="0"/>
      <w:spacing w:before="240" w:after="60"/>
      <w:jc w:val="center"/>
      <w:outlineLvl w:val="0"/>
    </w:pPr>
    <w:rPr>
      <w:rFonts w:ascii="Cambria" w:hAnsi="Cambria"/>
      <w:b/>
      <w:bCs/>
      <w:kern w:val="2"/>
      <w:sz w:val="32"/>
      <w:szCs w:val="32"/>
      <w:lang w:eastAsia="en-US"/>
    </w:rPr>
  </w:style>
  <w:style w:type="paragraph" w:styleId="40">
    <w:name w:val="annotation subject"/>
    <w:basedOn w:val="15"/>
    <w:next w:val="15"/>
    <w:link w:val="61"/>
    <w:qFormat/>
    <w:uiPriority w:val="99"/>
    <w:rPr>
      <w:b/>
      <w:bCs/>
    </w:rPr>
  </w:style>
  <w:style w:type="paragraph" w:styleId="41">
    <w:name w:val="Body Text First Indent"/>
    <w:basedOn w:val="17"/>
    <w:qFormat/>
    <w:uiPriority w:val="0"/>
    <w:pPr>
      <w:ind w:firstLine="420" w:firstLineChars="100"/>
    </w:pPr>
  </w:style>
  <w:style w:type="paragraph" w:styleId="42">
    <w:name w:val="Body Text First Indent 2"/>
    <w:basedOn w:val="18"/>
    <w:link w:val="65"/>
    <w:qFormat/>
    <w:uiPriority w:val="99"/>
    <w:pPr>
      <w:widowControl/>
      <w:spacing w:after="120"/>
      <w:ind w:left="420" w:leftChars="200" w:firstLine="420" w:firstLineChars="200"/>
      <w:jc w:val="left"/>
    </w:pPr>
    <w:rPr>
      <w:rFonts w:ascii="Calibri" w:hAnsi="Calibri"/>
      <w:sz w:val="21"/>
      <w:szCs w:val="22"/>
    </w:rPr>
  </w:style>
  <w:style w:type="table" w:styleId="44">
    <w:name w:val="Table Grid"/>
    <w:basedOn w:val="43"/>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6">
    <w:name w:val="Strong"/>
    <w:qFormat/>
    <w:uiPriority w:val="99"/>
    <w:rPr>
      <w:b/>
      <w:bCs/>
    </w:rPr>
  </w:style>
  <w:style w:type="character" w:styleId="47">
    <w:name w:val="page number"/>
    <w:basedOn w:val="45"/>
    <w:qFormat/>
    <w:uiPriority w:val="0"/>
  </w:style>
  <w:style w:type="character" w:styleId="48">
    <w:name w:val="FollowedHyperlink"/>
    <w:qFormat/>
    <w:uiPriority w:val="99"/>
    <w:rPr>
      <w:color w:val="800080"/>
      <w:u w:val="single"/>
    </w:rPr>
  </w:style>
  <w:style w:type="character" w:styleId="49">
    <w:name w:val="Emphasis"/>
    <w:qFormat/>
    <w:uiPriority w:val="99"/>
    <w:rPr>
      <w:rFonts w:cs="Times New Roman"/>
    </w:rPr>
  </w:style>
  <w:style w:type="character" w:styleId="50">
    <w:name w:val="HTML Definition"/>
    <w:qFormat/>
    <w:uiPriority w:val="99"/>
    <w:rPr>
      <w:rFonts w:cs="Times New Roman"/>
    </w:rPr>
  </w:style>
  <w:style w:type="character" w:styleId="51">
    <w:name w:val="HTML Typewriter"/>
    <w:qFormat/>
    <w:uiPriority w:val="99"/>
    <w:rPr>
      <w:rFonts w:ascii="宋体" w:hAnsi="宋体" w:eastAsia="宋体" w:cs="宋体"/>
      <w:sz w:val="24"/>
      <w:szCs w:val="24"/>
    </w:rPr>
  </w:style>
  <w:style w:type="character" w:styleId="52">
    <w:name w:val="HTML Variable"/>
    <w:qFormat/>
    <w:uiPriority w:val="99"/>
    <w:rPr>
      <w:rFonts w:cs="Times New Roman"/>
    </w:rPr>
  </w:style>
  <w:style w:type="character" w:styleId="53">
    <w:name w:val="Hyperlink"/>
    <w:qFormat/>
    <w:uiPriority w:val="99"/>
    <w:rPr>
      <w:color w:val="0000FF"/>
      <w:u w:val="single"/>
    </w:rPr>
  </w:style>
  <w:style w:type="character" w:styleId="54">
    <w:name w:val="HTML Code"/>
    <w:qFormat/>
    <w:uiPriority w:val="99"/>
    <w:rPr>
      <w:rFonts w:ascii="Courier New" w:hAnsi="Courier New" w:cs="Times New Roman"/>
      <w:sz w:val="20"/>
    </w:rPr>
  </w:style>
  <w:style w:type="character" w:styleId="55">
    <w:name w:val="annotation reference"/>
    <w:qFormat/>
    <w:uiPriority w:val="99"/>
    <w:rPr>
      <w:sz w:val="21"/>
      <w:szCs w:val="21"/>
    </w:rPr>
  </w:style>
  <w:style w:type="character" w:styleId="56">
    <w:name w:val="HTML Cite"/>
    <w:qFormat/>
    <w:uiPriority w:val="99"/>
    <w:rPr>
      <w:rFonts w:cs="Times New Roman"/>
    </w:rPr>
  </w:style>
  <w:style w:type="character" w:customStyle="1" w:styleId="57">
    <w:name w:val="ds-reads-app-special"/>
    <w:qFormat/>
    <w:uiPriority w:val="99"/>
    <w:rPr>
      <w:rFonts w:cs="Times New Roman"/>
      <w:color w:val="FFFFFF"/>
      <w:shd w:val="clear" w:color="auto" w:fill="F94A47"/>
    </w:rPr>
  </w:style>
  <w:style w:type="character" w:customStyle="1" w:styleId="58">
    <w:name w:val="正文首行缩进 2 Char"/>
    <w:qFormat/>
    <w:uiPriority w:val="99"/>
    <w:rPr>
      <w:rFonts w:ascii="Calibri" w:hAnsi="Calibri" w:eastAsia="宋体"/>
      <w:kern w:val="2"/>
      <w:sz w:val="21"/>
      <w:szCs w:val="22"/>
      <w:lang w:val="en-US" w:eastAsia="zh-CN" w:bidi="ar-SA"/>
    </w:rPr>
  </w:style>
  <w:style w:type="character" w:customStyle="1" w:styleId="59">
    <w:name w:val="正文文本缩进 Char"/>
    <w:qFormat/>
    <w:uiPriority w:val="0"/>
    <w:rPr>
      <w:rFonts w:ascii="Calibri" w:hAnsi="Calibri" w:eastAsia="宋体"/>
      <w:kern w:val="2"/>
      <w:sz w:val="21"/>
      <w:szCs w:val="22"/>
      <w:lang w:val="en-US" w:eastAsia="zh-CN" w:bidi="ar-SA"/>
    </w:rPr>
  </w:style>
  <w:style w:type="character" w:customStyle="1" w:styleId="60">
    <w:name w:val="font101"/>
    <w:qFormat/>
    <w:uiPriority w:val="99"/>
    <w:rPr>
      <w:rFonts w:ascii="宋体" w:hAnsi="宋体" w:eastAsia="宋体" w:cs="宋体"/>
      <w:color w:val="000000"/>
      <w:sz w:val="21"/>
      <w:szCs w:val="21"/>
      <w:u w:val="none"/>
    </w:rPr>
  </w:style>
  <w:style w:type="character" w:customStyle="1" w:styleId="61">
    <w:name w:val="批注主题 Char"/>
    <w:link w:val="40"/>
    <w:qFormat/>
    <w:uiPriority w:val="99"/>
    <w:rPr>
      <w:rFonts w:eastAsia="宋体"/>
      <w:b/>
      <w:bCs/>
      <w:sz w:val="21"/>
      <w:lang w:val="en-US" w:eastAsia="zh-CN" w:bidi="ar-SA"/>
    </w:rPr>
  </w:style>
  <w:style w:type="character" w:customStyle="1" w:styleId="62">
    <w:name w:val="标题 9 Char"/>
    <w:link w:val="10"/>
    <w:qFormat/>
    <w:uiPriority w:val="0"/>
    <w:rPr>
      <w:rFonts w:ascii="Cambria" w:hAnsi="Cambria"/>
      <w:kern w:val="2"/>
      <w:sz w:val="21"/>
      <w:szCs w:val="21"/>
    </w:rPr>
  </w:style>
  <w:style w:type="character" w:customStyle="1" w:styleId="63">
    <w:name w:val="font21"/>
    <w:qFormat/>
    <w:uiPriority w:val="0"/>
    <w:rPr>
      <w:rFonts w:hint="default" w:ascii="Arial" w:hAnsi="Arial" w:cs="Arial"/>
      <w:color w:val="000000"/>
      <w:sz w:val="20"/>
      <w:szCs w:val="20"/>
      <w:u w:val="none"/>
    </w:rPr>
  </w:style>
  <w:style w:type="character" w:customStyle="1" w:styleId="64">
    <w:name w:val="font91"/>
    <w:qFormat/>
    <w:uiPriority w:val="99"/>
    <w:rPr>
      <w:rFonts w:ascii="Arial" w:hAnsi="Arial" w:cs="Arial"/>
      <w:color w:val="000000"/>
      <w:sz w:val="21"/>
      <w:szCs w:val="21"/>
      <w:u w:val="none"/>
    </w:rPr>
  </w:style>
  <w:style w:type="character" w:customStyle="1" w:styleId="65">
    <w:name w:val="正文首行缩进 2 Char1"/>
    <w:link w:val="42"/>
    <w:qFormat/>
    <w:uiPriority w:val="0"/>
    <w:rPr>
      <w:rFonts w:ascii="宋体"/>
      <w:kern w:val="2"/>
      <w:sz w:val="28"/>
    </w:rPr>
  </w:style>
  <w:style w:type="character" w:customStyle="1" w:styleId="66">
    <w:name w:val="正文文本缩进 Char1"/>
    <w:link w:val="18"/>
    <w:qFormat/>
    <w:uiPriority w:val="99"/>
    <w:rPr>
      <w:rFonts w:ascii="宋体"/>
      <w:kern w:val="2"/>
      <w:sz w:val="28"/>
    </w:rPr>
  </w:style>
  <w:style w:type="character" w:customStyle="1" w:styleId="67">
    <w:name w:val="标题 8 Char"/>
    <w:link w:val="9"/>
    <w:qFormat/>
    <w:uiPriority w:val="0"/>
    <w:rPr>
      <w:rFonts w:ascii="Cambria" w:hAnsi="Cambria"/>
      <w:kern w:val="2"/>
      <w:sz w:val="24"/>
      <w:szCs w:val="24"/>
    </w:rPr>
  </w:style>
  <w:style w:type="character" w:customStyle="1" w:styleId="68">
    <w:name w:val="样式 小四 段前: 3 磅 段后: 3 磅 行距: 1.5 倍行距 Char"/>
    <w:link w:val="69"/>
    <w:qFormat/>
    <w:uiPriority w:val="0"/>
    <w:rPr>
      <w:rFonts w:eastAsia="宋体" w:cs="宋体"/>
      <w:kern w:val="2"/>
      <w:sz w:val="24"/>
      <w:lang w:val="en-US" w:eastAsia="zh-CN" w:bidi="ar-SA"/>
    </w:rPr>
  </w:style>
  <w:style w:type="paragraph" w:customStyle="1" w:styleId="69">
    <w:name w:val="样式 小四 段前: 3 磅 段后: 3 磅 行距: 1.5 倍行距"/>
    <w:basedOn w:val="1"/>
    <w:link w:val="68"/>
    <w:qFormat/>
    <w:uiPriority w:val="0"/>
    <w:pPr>
      <w:widowControl w:val="0"/>
      <w:spacing w:before="60" w:after="60" w:line="360" w:lineRule="auto"/>
      <w:ind w:firstLine="540" w:firstLineChars="225"/>
      <w:jc w:val="both"/>
    </w:pPr>
    <w:rPr>
      <w:rFonts w:cs="宋体"/>
      <w:kern w:val="2"/>
      <w:sz w:val="24"/>
    </w:rPr>
  </w:style>
  <w:style w:type="character" w:customStyle="1" w:styleId="70">
    <w:name w:val="批注文字 Char2"/>
    <w:link w:val="15"/>
    <w:qFormat/>
    <w:uiPriority w:val="0"/>
    <w:rPr>
      <w:rFonts w:eastAsia="宋体"/>
      <w:sz w:val="21"/>
      <w:lang w:val="en-US" w:eastAsia="zh-CN" w:bidi="ar-SA"/>
    </w:rPr>
  </w:style>
  <w:style w:type="character" w:customStyle="1" w:styleId="71">
    <w:name w:val="lei.text Char"/>
    <w:link w:val="72"/>
    <w:qFormat/>
    <w:uiPriority w:val="0"/>
    <w:rPr>
      <w:rFonts w:ascii="宋体" w:hAnsi="Tahoma"/>
      <w:sz w:val="24"/>
      <w:lang w:val="en-US" w:eastAsia="zh-CN" w:bidi="ar-SA"/>
    </w:rPr>
  </w:style>
  <w:style w:type="paragraph" w:customStyle="1" w:styleId="72">
    <w:name w:val="lei.text"/>
    <w:link w:val="71"/>
    <w:qFormat/>
    <w:uiPriority w:val="0"/>
    <w:pPr>
      <w:spacing w:line="360" w:lineRule="exact"/>
      <w:ind w:firstLine="200" w:firstLineChars="200"/>
    </w:pPr>
    <w:rPr>
      <w:rFonts w:ascii="宋体" w:hAnsi="Tahoma" w:eastAsia="宋体" w:cs="Times New Roman"/>
      <w:sz w:val="24"/>
      <w:lang w:val="en-US" w:eastAsia="zh-CN" w:bidi="ar-SA"/>
    </w:rPr>
  </w:style>
  <w:style w:type="character" w:customStyle="1" w:styleId="73">
    <w:name w:val="Title Char1"/>
    <w:qFormat/>
    <w:locked/>
    <w:uiPriority w:val="99"/>
    <w:rPr>
      <w:rFonts w:ascii="Cambria" w:hAnsi="Cambria" w:eastAsia="宋体" w:cs="Times New Roman"/>
      <w:b/>
      <w:bCs/>
      <w:sz w:val="32"/>
      <w:szCs w:val="32"/>
    </w:rPr>
  </w:style>
  <w:style w:type="character" w:customStyle="1" w:styleId="74">
    <w:name w:val="bord"/>
    <w:basedOn w:val="45"/>
    <w:qFormat/>
    <w:uiPriority w:val="0"/>
  </w:style>
  <w:style w:type="character" w:customStyle="1" w:styleId="75">
    <w:name w:val="current"/>
    <w:qFormat/>
    <w:uiPriority w:val="99"/>
    <w:rPr>
      <w:rFonts w:cs="Times New Roman"/>
      <w:b/>
      <w:color w:val="FF0084"/>
    </w:rPr>
  </w:style>
  <w:style w:type="character" w:customStyle="1" w:styleId="76">
    <w:name w:val="正文缩进 Char1"/>
    <w:link w:val="12"/>
    <w:qFormat/>
    <w:uiPriority w:val="0"/>
    <w:rPr>
      <w:rFonts w:eastAsia="宋体"/>
      <w:kern w:val="2"/>
      <w:sz w:val="21"/>
      <w:lang w:val="en-US" w:eastAsia="zh-CN" w:bidi="ar-SA"/>
    </w:rPr>
  </w:style>
  <w:style w:type="character" w:customStyle="1" w:styleId="77">
    <w:name w:val="A4"/>
    <w:qFormat/>
    <w:uiPriority w:val="0"/>
    <w:rPr>
      <w:rFonts w:cs="新宋体"/>
      <w:color w:val="000000"/>
    </w:rPr>
  </w:style>
  <w:style w:type="character" w:customStyle="1" w:styleId="78">
    <w:name w:val="标题 1 Char"/>
    <w:link w:val="3"/>
    <w:qFormat/>
    <w:uiPriority w:val="0"/>
    <w:rPr>
      <w:b/>
      <w:bCs/>
      <w:kern w:val="44"/>
      <w:sz w:val="44"/>
      <w:szCs w:val="44"/>
    </w:rPr>
  </w:style>
  <w:style w:type="character" w:customStyle="1" w:styleId="79">
    <w:name w:val="标题 字符2"/>
    <w:qFormat/>
    <w:uiPriority w:val="99"/>
    <w:rPr>
      <w:rFonts w:ascii="等线 Light" w:hAnsi="等线 Light" w:eastAsia="等线 Light" w:cs="Times New Roman"/>
      <w:b/>
      <w:bCs/>
      <w:sz w:val="32"/>
      <w:szCs w:val="32"/>
    </w:rPr>
  </w:style>
  <w:style w:type="character" w:customStyle="1" w:styleId="80">
    <w:name w:val="页脚 字符1"/>
    <w:semiHidden/>
    <w:qFormat/>
    <w:uiPriority w:val="99"/>
    <w:rPr>
      <w:rFonts w:ascii="Times New Roman" w:hAnsi="Times New Roman" w:eastAsia="宋体" w:cs="Times New Roman"/>
      <w:sz w:val="18"/>
      <w:szCs w:val="18"/>
    </w:rPr>
  </w:style>
  <w:style w:type="character" w:customStyle="1" w:styleId="81">
    <w:name w:val="Footer Char1"/>
    <w:semiHidden/>
    <w:qFormat/>
    <w:locked/>
    <w:uiPriority w:val="99"/>
    <w:rPr>
      <w:rFonts w:ascii="Times New Roman" w:hAnsi="Times New Roman" w:eastAsia="宋体" w:cs="Times New Roman"/>
      <w:sz w:val="18"/>
      <w:szCs w:val="18"/>
    </w:rPr>
  </w:style>
  <w:style w:type="character" w:customStyle="1" w:styleId="82">
    <w:name w:val="Char Char1"/>
    <w:qFormat/>
    <w:uiPriority w:val="0"/>
    <w:rPr>
      <w:rFonts w:ascii="宋体" w:hAnsi="Courier New" w:eastAsia="宋体"/>
      <w:kern w:val="2"/>
      <w:sz w:val="21"/>
      <w:lang w:val="en-US" w:eastAsia="zh-CN" w:bidi="ar-SA"/>
    </w:rPr>
  </w:style>
  <w:style w:type="character" w:customStyle="1" w:styleId="83">
    <w:name w:val="页眉 Char"/>
    <w:link w:val="27"/>
    <w:qFormat/>
    <w:uiPriority w:val="99"/>
    <w:rPr>
      <w:rFonts w:ascii="宋体" w:eastAsia="宋体"/>
      <w:sz w:val="18"/>
      <w:lang w:val="en-US" w:eastAsia="zh-CN" w:bidi="ar-SA"/>
    </w:rPr>
  </w:style>
  <w:style w:type="character" w:customStyle="1" w:styleId="84">
    <w:name w:val="Underrubrik1 Char Char"/>
    <w:qFormat/>
    <w:uiPriority w:val="99"/>
    <w:rPr>
      <w:rFonts w:ascii="Arial" w:hAnsi="Arial"/>
      <w:b/>
      <w:color w:val="000000"/>
      <w:sz w:val="30"/>
    </w:rPr>
  </w:style>
  <w:style w:type="character" w:customStyle="1" w:styleId="85">
    <w:name w:val="页眉 字符1"/>
    <w:semiHidden/>
    <w:qFormat/>
    <w:uiPriority w:val="99"/>
    <w:rPr>
      <w:rFonts w:ascii="Times New Roman" w:hAnsi="Times New Roman" w:eastAsia="宋体" w:cs="Times New Roman"/>
      <w:sz w:val="18"/>
      <w:szCs w:val="18"/>
    </w:rPr>
  </w:style>
  <w:style w:type="character" w:customStyle="1" w:styleId="86">
    <w:name w:val="文档结构图 Char"/>
    <w:link w:val="14"/>
    <w:qFormat/>
    <w:uiPriority w:val="99"/>
    <w:rPr>
      <w:sz w:val="21"/>
      <w:shd w:val="clear" w:color="auto" w:fill="000080"/>
    </w:rPr>
  </w:style>
  <w:style w:type="character" w:customStyle="1" w:styleId="87">
    <w:name w:val="font71"/>
    <w:qFormat/>
    <w:uiPriority w:val="0"/>
    <w:rPr>
      <w:rFonts w:hint="default" w:ascii="Arial" w:hAnsi="Arial" w:cs="Arial"/>
      <w:color w:val="000000"/>
      <w:sz w:val="20"/>
      <w:szCs w:val="20"/>
      <w:u w:val="none"/>
    </w:rPr>
  </w:style>
  <w:style w:type="character" w:customStyle="1" w:styleId="88">
    <w:name w:val="标题 7 Char"/>
    <w:link w:val="8"/>
    <w:qFormat/>
    <w:uiPriority w:val="0"/>
    <w:rPr>
      <w:rFonts w:ascii="Calibri" w:hAnsi="Calibri"/>
      <w:b/>
      <w:bCs/>
      <w:kern w:val="2"/>
      <w:sz w:val="24"/>
      <w:szCs w:val="24"/>
    </w:rPr>
  </w:style>
  <w:style w:type="character" w:customStyle="1" w:styleId="89">
    <w:name w:val="标题 Char"/>
    <w:link w:val="39"/>
    <w:qFormat/>
    <w:uiPriority w:val="99"/>
    <w:rPr>
      <w:rFonts w:ascii="Cambria" w:hAnsi="Cambria"/>
      <w:b/>
      <w:bCs/>
      <w:kern w:val="2"/>
      <w:sz w:val="32"/>
      <w:szCs w:val="32"/>
      <w:lang w:eastAsia="en-US"/>
    </w:rPr>
  </w:style>
  <w:style w:type="character" w:customStyle="1" w:styleId="90">
    <w:name w:val="标题 3 Char1"/>
    <w:link w:val="4"/>
    <w:qFormat/>
    <w:uiPriority w:val="99"/>
    <w:rPr>
      <w:rFonts w:eastAsia="宋体"/>
      <w:b/>
      <w:kern w:val="2"/>
      <w:sz w:val="32"/>
      <w:lang w:val="en-US" w:eastAsia="zh-CN" w:bidi="ar-SA"/>
    </w:rPr>
  </w:style>
  <w:style w:type="character" w:customStyle="1" w:styleId="91">
    <w:name w:val="style11"/>
    <w:qFormat/>
    <w:uiPriority w:val="0"/>
    <w:rPr>
      <w:rFonts w:eastAsia="宋体"/>
      <w:kern w:val="2"/>
      <w:sz w:val="20"/>
      <w:szCs w:val="20"/>
      <w:lang w:val="en-US" w:eastAsia="zh-CN" w:bidi="ar-SA"/>
    </w:rPr>
  </w:style>
  <w:style w:type="character" w:customStyle="1" w:styleId="92">
    <w:name w:val="正文文本缩进 2 字符1"/>
    <w:semiHidden/>
    <w:qFormat/>
    <w:uiPriority w:val="99"/>
    <w:rPr>
      <w:rFonts w:ascii="Times New Roman" w:hAnsi="Times New Roman" w:eastAsia="宋体" w:cs="Times New Roman"/>
      <w:sz w:val="20"/>
      <w:szCs w:val="20"/>
    </w:rPr>
  </w:style>
  <w:style w:type="character" w:customStyle="1" w:styleId="93">
    <w:name w:val="题注 Char"/>
    <w:link w:val="13"/>
    <w:qFormat/>
    <w:uiPriority w:val="0"/>
    <w:rPr>
      <w:rFonts w:ascii="Cambria" w:hAnsi="Cambria" w:eastAsia="黑体"/>
      <w:sz w:val="24"/>
    </w:rPr>
  </w:style>
  <w:style w:type="character" w:customStyle="1" w:styleId="94">
    <w:name w:val="apple-converted-space"/>
    <w:qFormat/>
    <w:uiPriority w:val="99"/>
    <w:rPr>
      <w:rFonts w:cs="Times New Roman"/>
    </w:rPr>
  </w:style>
  <w:style w:type="character" w:customStyle="1" w:styleId="95">
    <w:name w:val="*正文 Char Char"/>
    <w:link w:val="96"/>
    <w:qFormat/>
    <w:uiPriority w:val="0"/>
    <w:rPr>
      <w:rFonts w:ascii="宋体" w:hAnsi="宋体"/>
      <w:snapToGrid/>
      <w:sz w:val="24"/>
      <w:szCs w:val="24"/>
    </w:rPr>
  </w:style>
  <w:style w:type="paragraph" w:customStyle="1" w:styleId="96">
    <w:name w:val="*正文"/>
    <w:basedOn w:val="1"/>
    <w:link w:val="95"/>
    <w:qFormat/>
    <w:uiPriority w:val="0"/>
    <w:pPr>
      <w:widowControl w:val="0"/>
      <w:spacing w:line="360" w:lineRule="auto"/>
      <w:ind w:firstLine="200" w:firstLineChars="200"/>
      <w:jc w:val="both"/>
    </w:pPr>
    <w:rPr>
      <w:rFonts w:ascii="宋体" w:hAnsi="宋体"/>
      <w:sz w:val="24"/>
      <w:szCs w:val="24"/>
    </w:rPr>
  </w:style>
  <w:style w:type="character" w:customStyle="1" w:styleId="97">
    <w:name w:val="Char Char5"/>
    <w:qFormat/>
    <w:uiPriority w:val="99"/>
    <w:rPr>
      <w:rFonts w:ascii="宋体" w:hAnsi="Courier New" w:eastAsia="宋体" w:cs="Times New Roman"/>
      <w:kern w:val="2"/>
      <w:sz w:val="21"/>
      <w:lang w:val="en-US" w:eastAsia="zh-CN" w:bidi="ar-SA"/>
    </w:rPr>
  </w:style>
  <w:style w:type="character" w:customStyle="1" w:styleId="98">
    <w:name w:val="批注文字 字符1"/>
    <w:semiHidden/>
    <w:qFormat/>
    <w:locked/>
    <w:uiPriority w:val="99"/>
    <w:rPr>
      <w:rFonts w:ascii="Times New Roman" w:hAnsi="Times New Roman" w:eastAsia="宋体" w:cs="Times New Roman"/>
      <w:sz w:val="20"/>
      <w:szCs w:val="20"/>
    </w:rPr>
  </w:style>
  <w:style w:type="character" w:customStyle="1" w:styleId="99">
    <w:name w:val="标题 字符1"/>
    <w:qFormat/>
    <w:uiPriority w:val="99"/>
    <w:rPr>
      <w:rFonts w:ascii="等线 Light" w:hAnsi="等线 Light" w:cs="Times New Roman"/>
      <w:b/>
      <w:bCs/>
      <w:sz w:val="32"/>
      <w:szCs w:val="32"/>
    </w:rPr>
  </w:style>
  <w:style w:type="character" w:customStyle="1" w:styleId="100">
    <w:name w:val="普通文字 Char Char1"/>
    <w:qFormat/>
    <w:uiPriority w:val="99"/>
    <w:rPr>
      <w:rFonts w:ascii="宋体" w:hAnsi="Courier New" w:eastAsia="宋体" w:cs="Times New Roman"/>
      <w:kern w:val="2"/>
      <w:sz w:val="21"/>
      <w:lang w:val="en-US" w:eastAsia="zh-CN" w:bidi="ar-SA"/>
    </w:rPr>
  </w:style>
  <w:style w:type="character" w:customStyle="1" w:styleId="101">
    <w:name w:val="批注文字 Char1"/>
    <w:qFormat/>
    <w:uiPriority w:val="0"/>
    <w:rPr>
      <w:rFonts w:ascii="Calibri" w:hAnsi="Calibri" w:eastAsia="宋体"/>
      <w:kern w:val="2"/>
      <w:sz w:val="21"/>
      <w:szCs w:val="22"/>
      <w:lang w:val="en-US" w:eastAsia="zh-CN" w:bidi="ar-SA"/>
    </w:rPr>
  </w:style>
  <w:style w:type="character" w:customStyle="1" w:styleId="102">
    <w:name w:val="正文1 Char"/>
    <w:link w:val="103"/>
    <w:qFormat/>
    <w:uiPriority w:val="0"/>
    <w:rPr>
      <w:rFonts w:ascii="宋体"/>
      <w:sz w:val="34"/>
      <w:lang w:val="en-US" w:eastAsia="zh-CN" w:bidi="ar-SA"/>
    </w:rPr>
  </w:style>
  <w:style w:type="paragraph" w:customStyle="1" w:styleId="103">
    <w:name w:val="正文1"/>
    <w:link w:val="102"/>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character" w:customStyle="1" w:styleId="104">
    <w:name w:val="ask-title2"/>
    <w:qFormat/>
    <w:uiPriority w:val="99"/>
    <w:rPr>
      <w:rFonts w:cs="Times New Roman"/>
    </w:rPr>
  </w:style>
  <w:style w:type="character" w:customStyle="1" w:styleId="105">
    <w:name w:val="Header Char1"/>
    <w:semiHidden/>
    <w:qFormat/>
    <w:locked/>
    <w:uiPriority w:val="99"/>
    <w:rPr>
      <w:rFonts w:ascii="Times New Roman" w:hAnsi="Times New Roman" w:eastAsia="宋体" w:cs="Times New Roman"/>
      <w:sz w:val="18"/>
      <w:szCs w:val="18"/>
    </w:rPr>
  </w:style>
  <w:style w:type="character" w:customStyle="1" w:styleId="106">
    <w:name w:val="标题 5 Char"/>
    <w:link w:val="6"/>
    <w:qFormat/>
    <w:uiPriority w:val="0"/>
    <w:rPr>
      <w:rFonts w:ascii="Calibri" w:hAnsi="Calibri"/>
      <w:b/>
      <w:bCs/>
      <w:kern w:val="2"/>
      <w:sz w:val="28"/>
      <w:szCs w:val="28"/>
    </w:rPr>
  </w:style>
  <w:style w:type="character" w:customStyle="1" w:styleId="107">
    <w:name w:val="正文文本缩进 字符1"/>
    <w:semiHidden/>
    <w:qFormat/>
    <w:uiPriority w:val="99"/>
    <w:rPr>
      <w:rFonts w:ascii="Times New Roman" w:hAnsi="Times New Roman" w:eastAsia="宋体" w:cs="Times New Roman"/>
      <w:sz w:val="20"/>
      <w:szCs w:val="20"/>
    </w:rPr>
  </w:style>
  <w:style w:type="character" w:customStyle="1" w:styleId="108">
    <w:name w:val="my正文 Char"/>
    <w:link w:val="109"/>
    <w:qFormat/>
    <w:uiPriority w:val="0"/>
    <w:rPr>
      <w:sz w:val="24"/>
      <w:szCs w:val="24"/>
      <w:lang w:val="en-US" w:eastAsia="zh-CN"/>
    </w:rPr>
  </w:style>
  <w:style w:type="paragraph" w:customStyle="1" w:styleId="109">
    <w:name w:val="my正文"/>
    <w:basedOn w:val="1"/>
    <w:link w:val="108"/>
    <w:qFormat/>
    <w:uiPriority w:val="0"/>
    <w:pPr>
      <w:widowControl w:val="0"/>
      <w:spacing w:line="360" w:lineRule="auto"/>
      <w:ind w:firstLine="480" w:firstLineChars="200"/>
      <w:jc w:val="both"/>
    </w:pPr>
    <w:rPr>
      <w:sz w:val="24"/>
      <w:szCs w:val="24"/>
    </w:rPr>
  </w:style>
  <w:style w:type="character" w:customStyle="1" w:styleId="110">
    <w:name w:val="main_tdbg_760"/>
    <w:qFormat/>
    <w:uiPriority w:val="0"/>
    <w:rPr>
      <w:rFonts w:ascii="Verdana" w:hAnsi="Verdana"/>
      <w:kern w:val="0"/>
      <w:szCs w:val="20"/>
      <w:lang w:eastAsia="en-US"/>
    </w:rPr>
  </w:style>
  <w:style w:type="character" w:customStyle="1" w:styleId="111">
    <w:name w:val="标题 2 Char"/>
    <w:link w:val="2"/>
    <w:qFormat/>
    <w:uiPriority w:val="9"/>
    <w:rPr>
      <w:rFonts w:ascii="Arial" w:hAnsi="Arial" w:eastAsia="黑体"/>
      <w:b/>
      <w:bCs/>
      <w:sz w:val="32"/>
      <w:szCs w:val="32"/>
    </w:rPr>
  </w:style>
  <w:style w:type="character" w:customStyle="1" w:styleId="112">
    <w:name w:val="正文文本 2 Char"/>
    <w:link w:val="35"/>
    <w:qFormat/>
    <w:uiPriority w:val="0"/>
    <w:rPr>
      <w:kern w:val="2"/>
      <w:sz w:val="28"/>
    </w:rPr>
  </w:style>
  <w:style w:type="character" w:customStyle="1" w:styleId="113">
    <w:name w:val="批注文字 Char"/>
    <w:qFormat/>
    <w:uiPriority w:val="0"/>
    <w:rPr>
      <w:rFonts w:eastAsia="宋体" w:cs="Times New Roman"/>
      <w:kern w:val="2"/>
      <w:sz w:val="24"/>
      <w:szCs w:val="24"/>
      <w:lang w:val="en-US" w:eastAsia="zh-CN" w:bidi="ar-SA"/>
    </w:rPr>
  </w:style>
  <w:style w:type="character" w:customStyle="1" w:styleId="114">
    <w:name w:val="font31"/>
    <w:qFormat/>
    <w:uiPriority w:val="0"/>
    <w:rPr>
      <w:rFonts w:hint="eastAsia" w:ascii="宋体" w:hAnsi="宋体" w:eastAsia="宋体" w:cs="宋体"/>
      <w:color w:val="000000"/>
      <w:sz w:val="20"/>
      <w:szCs w:val="20"/>
      <w:u w:val="none"/>
    </w:rPr>
  </w:style>
  <w:style w:type="character" w:customStyle="1" w:styleId="115">
    <w:name w:val="正文文本 Char"/>
    <w:link w:val="17"/>
    <w:qFormat/>
    <w:uiPriority w:val="99"/>
    <w:rPr>
      <w:sz w:val="21"/>
    </w:rPr>
  </w:style>
  <w:style w:type="character" w:customStyle="1" w:styleId="116">
    <w:name w:val="正文文本缩进 2 Char"/>
    <w:link w:val="24"/>
    <w:qFormat/>
    <w:uiPriority w:val="99"/>
    <w:rPr>
      <w:rFonts w:ascii="宋体" w:eastAsia="仿宋_GB2312"/>
      <w:kern w:val="2"/>
      <w:sz w:val="28"/>
    </w:rPr>
  </w:style>
  <w:style w:type="character" w:customStyle="1" w:styleId="117">
    <w:name w:val="标题 6 Char"/>
    <w:link w:val="7"/>
    <w:qFormat/>
    <w:uiPriority w:val="0"/>
    <w:rPr>
      <w:rFonts w:ascii="Arial" w:hAnsi="Arial" w:eastAsia="黑体"/>
      <w:b/>
      <w:bCs/>
      <w:sz w:val="24"/>
      <w:szCs w:val="24"/>
    </w:rPr>
  </w:style>
  <w:style w:type="character" w:customStyle="1" w:styleId="118">
    <w:name w:val="副标题 Char"/>
    <w:link w:val="30"/>
    <w:qFormat/>
    <w:uiPriority w:val="0"/>
    <w:rPr>
      <w:rFonts w:ascii="Cambria" w:hAnsi="Cambria"/>
      <w:b/>
      <w:bCs/>
      <w:kern w:val="28"/>
      <w:sz w:val="32"/>
      <w:szCs w:val="32"/>
    </w:rPr>
  </w:style>
  <w:style w:type="character" w:customStyle="1" w:styleId="119">
    <w:name w:val="HTML 预设格式 Char"/>
    <w:link w:val="37"/>
    <w:qFormat/>
    <w:uiPriority w:val="99"/>
    <w:rPr>
      <w:rFonts w:ascii="宋体" w:hAnsi="宋体"/>
      <w:sz w:val="24"/>
      <w:szCs w:val="24"/>
    </w:rPr>
  </w:style>
  <w:style w:type="character" w:customStyle="1" w:styleId="120">
    <w:name w:val="H2 Char"/>
    <w:qFormat/>
    <w:uiPriority w:val="0"/>
    <w:rPr>
      <w:rFonts w:eastAsia="宋体"/>
      <w:b/>
      <w:kern w:val="10"/>
      <w:sz w:val="28"/>
      <w:lang w:val="en-US" w:eastAsia="zh-CN" w:bidi="ar-SA"/>
    </w:rPr>
  </w:style>
  <w:style w:type="character" w:customStyle="1" w:styleId="121">
    <w:name w:val="正文缩进 Char"/>
    <w:qFormat/>
    <w:uiPriority w:val="0"/>
  </w:style>
  <w:style w:type="character" w:customStyle="1" w:styleId="122">
    <w:name w:val="ds-reads-from"/>
    <w:qFormat/>
    <w:uiPriority w:val="99"/>
    <w:rPr>
      <w:rFonts w:cs="Times New Roman"/>
    </w:rPr>
  </w:style>
  <w:style w:type="character" w:customStyle="1" w:styleId="123">
    <w:name w:val="样式3 Char Char"/>
    <w:link w:val="124"/>
    <w:qFormat/>
    <w:locked/>
    <w:uiPriority w:val="99"/>
    <w:rPr>
      <w:rFonts w:ascii="宋体" w:hAnsi="Courier New"/>
      <w:sz w:val="24"/>
    </w:rPr>
  </w:style>
  <w:style w:type="paragraph" w:customStyle="1" w:styleId="124">
    <w:name w:val="样式3"/>
    <w:basedOn w:val="21"/>
    <w:link w:val="123"/>
    <w:qFormat/>
    <w:uiPriority w:val="99"/>
    <w:pPr>
      <w:spacing w:line="240" w:lineRule="atLeast"/>
      <w:outlineLvl w:val="0"/>
    </w:pPr>
    <w:rPr>
      <w:spacing w:val="0"/>
      <w:kern w:val="0"/>
    </w:rPr>
  </w:style>
  <w:style w:type="character" w:customStyle="1" w:styleId="125">
    <w:name w:val="标题 3 Char"/>
    <w:qFormat/>
    <w:uiPriority w:val="9"/>
    <w:rPr>
      <w:rFonts w:eastAsia="宋体"/>
      <w:b/>
      <w:kern w:val="2"/>
      <w:sz w:val="32"/>
      <w:lang w:val="en-US" w:eastAsia="zh-CN" w:bidi="ar-SA"/>
    </w:rPr>
  </w:style>
  <w:style w:type="character" w:customStyle="1" w:styleId="126">
    <w:name w:val="页脚 Char"/>
    <w:link w:val="26"/>
    <w:qFormat/>
    <w:uiPriority w:val="99"/>
    <w:rPr>
      <w:rFonts w:ascii="宋体" w:eastAsia="宋体"/>
      <w:sz w:val="18"/>
      <w:lang w:val="en-US" w:eastAsia="zh-CN" w:bidi="ar-SA"/>
    </w:rPr>
  </w:style>
  <w:style w:type="character" w:customStyle="1" w:styleId="127">
    <w:name w:val="纯文本 Char"/>
    <w:link w:val="21"/>
    <w:qFormat/>
    <w:uiPriority w:val="99"/>
    <w:rPr>
      <w:rFonts w:ascii="宋体" w:hAnsi="Courier New" w:eastAsia="宋体"/>
      <w:spacing w:val="-8"/>
      <w:kern w:val="2"/>
      <w:sz w:val="24"/>
      <w:lang w:val="en-US" w:eastAsia="zh-CN" w:bidi="ar-SA"/>
    </w:rPr>
  </w:style>
  <w:style w:type="character" w:customStyle="1" w:styleId="128">
    <w:name w:val="Plain Text Char1"/>
    <w:semiHidden/>
    <w:qFormat/>
    <w:locked/>
    <w:uiPriority w:val="99"/>
    <w:rPr>
      <w:rFonts w:ascii="宋体" w:hAnsi="Courier New" w:eastAsia="宋体" w:cs="Courier New"/>
      <w:sz w:val="21"/>
      <w:szCs w:val="21"/>
    </w:rPr>
  </w:style>
  <w:style w:type="character" w:customStyle="1" w:styleId="129">
    <w:name w:val="标题 4 Char"/>
    <w:link w:val="5"/>
    <w:qFormat/>
    <w:uiPriority w:val="0"/>
    <w:rPr>
      <w:rFonts w:ascii="Arial" w:hAnsi="Arial" w:eastAsia="黑体"/>
      <w:b/>
      <w:bCs/>
      <w:sz w:val="28"/>
      <w:szCs w:val="28"/>
    </w:rPr>
  </w:style>
  <w:style w:type="character" w:customStyle="1" w:styleId="130">
    <w:name w:val="p141"/>
    <w:qFormat/>
    <w:uiPriority w:val="99"/>
    <w:rPr>
      <w:sz w:val="21"/>
    </w:rPr>
  </w:style>
  <w:style w:type="character" w:customStyle="1" w:styleId="131">
    <w:name w:val="textfont1"/>
    <w:qFormat/>
    <w:uiPriority w:val="0"/>
    <w:rPr>
      <w:sz w:val="22"/>
    </w:rPr>
  </w:style>
  <w:style w:type="character" w:customStyle="1" w:styleId="132">
    <w:name w:val="ds-unread-count"/>
    <w:qFormat/>
    <w:uiPriority w:val="99"/>
    <w:rPr>
      <w:rFonts w:cs="Times New Roman"/>
      <w:b/>
      <w:color w:val="EE3322"/>
    </w:rPr>
  </w:style>
  <w:style w:type="character" w:customStyle="1" w:styleId="133">
    <w:name w:val="Body Text Indent Char1"/>
    <w:semiHidden/>
    <w:qFormat/>
    <w:locked/>
    <w:uiPriority w:val="99"/>
    <w:rPr>
      <w:rFonts w:ascii="Times New Roman" w:hAnsi="Times New Roman" w:eastAsia="宋体" w:cs="Times New Roman"/>
      <w:sz w:val="20"/>
      <w:szCs w:val="20"/>
    </w:rPr>
  </w:style>
  <w:style w:type="character" w:customStyle="1" w:styleId="134">
    <w:name w:val="日期 Char"/>
    <w:link w:val="23"/>
    <w:qFormat/>
    <w:locked/>
    <w:uiPriority w:val="99"/>
    <w:rPr>
      <w:rFonts w:eastAsia="仿宋_GB2312"/>
      <w:kern w:val="2"/>
      <w:sz w:val="32"/>
    </w:rPr>
  </w:style>
  <w:style w:type="character" w:customStyle="1" w:styleId="135">
    <w:name w:val="纯文本 字符1"/>
    <w:semiHidden/>
    <w:qFormat/>
    <w:uiPriority w:val="99"/>
    <w:rPr>
      <w:rFonts w:ascii="等线" w:hAnsi="Courier New" w:cs="Courier New"/>
      <w:sz w:val="20"/>
      <w:szCs w:val="20"/>
    </w:rPr>
  </w:style>
  <w:style w:type="character" w:customStyle="1" w:styleId="136">
    <w:name w:val="批注框文本 Char"/>
    <w:link w:val="25"/>
    <w:qFormat/>
    <w:uiPriority w:val="99"/>
    <w:rPr>
      <w:sz w:val="18"/>
      <w:szCs w:val="18"/>
    </w:rPr>
  </w:style>
  <w:style w:type="character" w:customStyle="1" w:styleId="137">
    <w:name w:val="Body Text Indent 2 Char1"/>
    <w:semiHidden/>
    <w:qFormat/>
    <w:locked/>
    <w:uiPriority w:val="99"/>
    <w:rPr>
      <w:rFonts w:ascii="Times New Roman" w:hAnsi="Times New Roman" w:eastAsia="宋体" w:cs="Times New Roman"/>
      <w:sz w:val="20"/>
      <w:szCs w:val="20"/>
    </w:rPr>
  </w:style>
  <w:style w:type="character" w:customStyle="1" w:styleId="138">
    <w:name w:val="font81"/>
    <w:qFormat/>
    <w:uiPriority w:val="99"/>
    <w:rPr>
      <w:rFonts w:ascii="新宋体" w:hAnsi="新宋体" w:eastAsia="新宋体" w:cs="新宋体"/>
      <w:color w:val="000000"/>
      <w:sz w:val="21"/>
      <w:szCs w:val="21"/>
      <w:u w:val="none"/>
    </w:rPr>
  </w:style>
  <w:style w:type="paragraph" w:customStyle="1" w:styleId="139">
    <w:name w:val="正文文本缩进1"/>
    <w:basedOn w:val="1"/>
    <w:qFormat/>
    <w:uiPriority w:val="99"/>
    <w:pPr>
      <w:spacing w:after="120"/>
      <w:ind w:left="420" w:leftChars="200"/>
    </w:pPr>
    <w:rPr>
      <w:sz w:val="34"/>
    </w:rPr>
  </w:style>
  <w:style w:type="paragraph" w:customStyle="1" w:styleId="140">
    <w:name w:val="xl101"/>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b/>
      <w:bCs/>
      <w:color w:val="000000"/>
      <w:sz w:val="22"/>
      <w:szCs w:val="22"/>
    </w:rPr>
  </w:style>
  <w:style w:type="paragraph" w:customStyle="1" w:styleId="141">
    <w:name w:val="正文格式"/>
    <w:basedOn w:val="1"/>
    <w:qFormat/>
    <w:uiPriority w:val="0"/>
    <w:pPr>
      <w:adjustRightInd w:val="0"/>
      <w:snapToGrid w:val="0"/>
      <w:spacing w:beforeLines="25" w:line="400" w:lineRule="exact"/>
      <w:ind w:firstLine="482"/>
      <w:jc w:val="both"/>
      <w:textAlignment w:val="baseline"/>
    </w:pPr>
    <w:rPr>
      <w:rFonts w:ascii="Arial" w:hAnsi="Arial" w:eastAsia="新宋体"/>
      <w:sz w:val="24"/>
    </w:rPr>
  </w:style>
  <w:style w:type="paragraph" w:customStyle="1" w:styleId="142">
    <w:name w:val="xl100"/>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b/>
      <w:bCs/>
      <w:color w:val="000000"/>
      <w:sz w:val="22"/>
      <w:szCs w:val="22"/>
    </w:rPr>
  </w:style>
  <w:style w:type="paragraph" w:customStyle="1" w:styleId="143">
    <w:name w:val="xl93"/>
    <w:basedOn w:val="1"/>
    <w:qFormat/>
    <w:uiPriority w:val="0"/>
    <w:pPr>
      <w:pBdr>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144">
    <w:name w:val="Char"/>
    <w:basedOn w:val="1"/>
    <w:qFormat/>
    <w:uiPriority w:val="0"/>
    <w:pPr>
      <w:widowControl w:val="0"/>
      <w:adjustRightInd w:val="0"/>
      <w:spacing w:line="360" w:lineRule="auto"/>
      <w:jc w:val="both"/>
    </w:pPr>
    <w:rPr>
      <w:rFonts w:ascii="Verdana" w:hAnsi="Verdana" w:eastAsia="Times New Roman"/>
      <w:sz w:val="20"/>
      <w:lang w:eastAsia="en-US"/>
    </w:rPr>
  </w:style>
  <w:style w:type="paragraph" w:customStyle="1" w:styleId="145">
    <w:name w:val="xl78"/>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800080"/>
      <w:sz w:val="20"/>
    </w:rPr>
  </w:style>
  <w:style w:type="paragraph" w:customStyle="1" w:styleId="146">
    <w:name w:val="Item List"/>
    <w:basedOn w:val="1"/>
    <w:qFormat/>
    <w:uiPriority w:val="99"/>
    <w:pPr>
      <w:numPr>
        <w:ilvl w:val="0"/>
        <w:numId w:val="1"/>
      </w:numPr>
      <w:spacing w:before="120" w:after="40"/>
    </w:pPr>
    <w:rPr>
      <w:rFonts w:ascii="Arial" w:hAnsi="Arial" w:cs="Arial"/>
      <w:sz w:val="18"/>
      <w:szCs w:val="18"/>
    </w:rPr>
  </w:style>
  <w:style w:type="paragraph" w:customStyle="1" w:styleId="147">
    <w:name w:val="xl32"/>
    <w:basedOn w:val="1"/>
    <w:qFormat/>
    <w:uiPriority w:val="0"/>
    <w:pPr>
      <w:widowControl w:val="0"/>
      <w:pBdr>
        <w:bottom w:val="single" w:color="auto" w:sz="4" w:space="0"/>
        <w:right w:val="single" w:color="auto" w:sz="4" w:space="0"/>
      </w:pBdr>
      <w:spacing w:before="100" w:beforeAutospacing="1" w:after="100" w:afterAutospacing="1"/>
      <w:jc w:val="center"/>
      <w:textAlignment w:val="center"/>
    </w:pPr>
    <w:rPr>
      <w:rFonts w:hint="eastAsia" w:ascii="楷体_GB2312" w:hAnsi="Arial Unicode MS" w:eastAsia="楷体_GB2312" w:cs="Arial Unicode MS"/>
      <w:kern w:val="2"/>
      <w:szCs w:val="21"/>
    </w:rPr>
  </w:style>
  <w:style w:type="paragraph" w:customStyle="1" w:styleId="148">
    <w:name w:val="xl73"/>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right"/>
      <w:textAlignment w:val="center"/>
    </w:pPr>
    <w:rPr>
      <w:rFonts w:ascii="Arial" w:hAnsi="Arial" w:cs="Arial"/>
      <w:color w:val="000000"/>
      <w:sz w:val="20"/>
    </w:rPr>
  </w:style>
  <w:style w:type="paragraph" w:customStyle="1" w:styleId="149">
    <w:name w:val="Li"/>
    <w:basedOn w:val="1"/>
    <w:qFormat/>
    <w:uiPriority w:val="0"/>
    <w:rPr>
      <w:rFonts w:ascii="Calibri" w:hAnsi="Calibri"/>
      <w:sz w:val="24"/>
      <w:lang w:val="en-GB" w:eastAsia="en-GB"/>
    </w:rPr>
  </w:style>
  <w:style w:type="paragraph" w:customStyle="1" w:styleId="150">
    <w:name w:val="xl88"/>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color w:val="000000"/>
      <w:sz w:val="20"/>
    </w:rPr>
  </w:style>
  <w:style w:type="paragraph" w:customStyle="1" w:styleId="151">
    <w:name w:val="样式 标题 2 + Times New Roman 四号 非加粗 段前: 5 磅 段后: 0 磅 行距: 固定值 20..."/>
    <w:basedOn w:val="2"/>
    <w:qFormat/>
    <w:uiPriority w:val="99"/>
    <w:pPr>
      <w:spacing w:before="100" w:after="0" w:line="400" w:lineRule="exact"/>
    </w:pPr>
    <w:rPr>
      <w:rFonts w:ascii="Times New Roman" w:hAnsi="Times New Roman" w:cs="宋体"/>
      <w:b w:val="0"/>
      <w:bCs w:val="0"/>
      <w:sz w:val="28"/>
      <w:szCs w:val="20"/>
    </w:rPr>
  </w:style>
  <w:style w:type="paragraph" w:customStyle="1" w:styleId="152">
    <w:name w:val="xl77"/>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2"/>
      <w:szCs w:val="22"/>
    </w:rPr>
  </w:style>
  <w:style w:type="paragraph" w:customStyle="1" w:styleId="153">
    <w:name w:val="xl105"/>
    <w:basedOn w:val="1"/>
    <w:qFormat/>
    <w:uiPriority w:val="0"/>
    <w:pPr>
      <w:pBdr>
        <w:top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b/>
      <w:bCs/>
      <w:color w:val="000000"/>
      <w:sz w:val="22"/>
      <w:szCs w:val="22"/>
    </w:rPr>
  </w:style>
  <w:style w:type="paragraph" w:customStyle="1" w:styleId="154">
    <w:name w:val="列出段落5"/>
    <w:basedOn w:val="1"/>
    <w:qFormat/>
    <w:uiPriority w:val="99"/>
    <w:pPr>
      <w:widowControl w:val="0"/>
      <w:ind w:firstLine="420" w:firstLineChars="200"/>
      <w:jc w:val="both"/>
    </w:pPr>
    <w:rPr>
      <w:kern w:val="2"/>
      <w:szCs w:val="24"/>
    </w:rPr>
  </w:style>
  <w:style w:type="paragraph" w:customStyle="1" w:styleId="155">
    <w:name w:val="Table Paragraph"/>
    <w:basedOn w:val="1"/>
    <w:qFormat/>
    <w:uiPriority w:val="1"/>
    <w:rPr>
      <w:rFonts w:ascii="宋体" w:hAnsi="宋体" w:cs="宋体"/>
      <w:sz w:val="22"/>
      <w:lang w:eastAsia="en-US"/>
    </w:rPr>
  </w:style>
  <w:style w:type="paragraph" w:customStyle="1" w:styleId="156">
    <w:name w:val="xl72"/>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Arial" w:hAnsi="Arial" w:cs="Arial"/>
      <w:color w:val="000000"/>
      <w:sz w:val="20"/>
    </w:rPr>
  </w:style>
  <w:style w:type="paragraph" w:customStyle="1" w:styleId="157">
    <w:name w:val="版权页资料信息"/>
    <w:qFormat/>
    <w:uiPriority w:val="0"/>
    <w:pPr>
      <w:tabs>
        <w:tab w:val="right" w:pos="945"/>
        <w:tab w:val="left" w:pos="1155"/>
      </w:tabs>
      <w:spacing w:line="300" w:lineRule="auto"/>
    </w:pPr>
    <w:rPr>
      <w:rFonts w:ascii="宋体" w:hAnsi="Times New Roman" w:eastAsia="宋体" w:cs="Times New Roman"/>
      <w:sz w:val="24"/>
      <w:lang w:val="en-US" w:eastAsia="zh-CN" w:bidi="ar-SA"/>
    </w:rPr>
  </w:style>
  <w:style w:type="paragraph" w:customStyle="1" w:styleId="158">
    <w:name w:val="表格非标题文字"/>
    <w:basedOn w:val="1"/>
    <w:qFormat/>
    <w:uiPriority w:val="99"/>
    <w:pPr>
      <w:snapToGrid w:val="0"/>
      <w:spacing w:before="80" w:after="40"/>
    </w:pPr>
    <w:rPr>
      <w:rFonts w:ascii="Arial" w:hAnsi="Arial" w:cs="Arial"/>
      <w:sz w:val="18"/>
      <w:szCs w:val="18"/>
    </w:rPr>
  </w:style>
  <w:style w:type="paragraph" w:customStyle="1" w:styleId="159">
    <w:name w:val="方案正文"/>
    <w:basedOn w:val="1"/>
    <w:qFormat/>
    <w:uiPriority w:val="0"/>
    <w:pPr>
      <w:spacing w:beforeLines="50" w:afterLines="50" w:line="360" w:lineRule="auto"/>
      <w:ind w:firstLine="200" w:firstLineChars="200"/>
    </w:pPr>
    <w:rPr>
      <w:sz w:val="28"/>
      <w:szCs w:val="28"/>
    </w:rPr>
  </w:style>
  <w:style w:type="paragraph" w:customStyle="1" w:styleId="160">
    <w:name w:val="font13"/>
    <w:basedOn w:val="1"/>
    <w:qFormat/>
    <w:uiPriority w:val="0"/>
    <w:pPr>
      <w:spacing w:before="100" w:beforeAutospacing="1" w:after="100" w:afterAutospacing="1"/>
    </w:pPr>
    <w:rPr>
      <w:rFonts w:ascii="宋体" w:hAnsi="宋体" w:cs="宋体"/>
      <w:sz w:val="18"/>
      <w:szCs w:val="18"/>
    </w:rPr>
  </w:style>
  <w:style w:type="paragraph" w:customStyle="1" w:styleId="161">
    <w:name w:val="1"/>
    <w:basedOn w:val="1"/>
    <w:qFormat/>
    <w:uiPriority w:val="0"/>
    <w:pPr>
      <w:spacing w:after="160" w:line="240" w:lineRule="exact"/>
    </w:pPr>
  </w:style>
  <w:style w:type="paragraph" w:customStyle="1" w:styleId="162">
    <w:name w:val="列出段落4"/>
    <w:basedOn w:val="1"/>
    <w:qFormat/>
    <w:uiPriority w:val="99"/>
    <w:pPr>
      <w:widowControl w:val="0"/>
      <w:ind w:firstLine="420" w:firstLineChars="200"/>
      <w:jc w:val="both"/>
    </w:pPr>
    <w:rPr>
      <w:kern w:val="2"/>
      <w:szCs w:val="24"/>
    </w:rPr>
  </w:style>
  <w:style w:type="paragraph" w:customStyle="1" w:styleId="163">
    <w:name w:val="xl95"/>
    <w:basedOn w:val="1"/>
    <w:qFormat/>
    <w:uiPriority w:val="0"/>
    <w:pPr>
      <w:pBdr>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164">
    <w:name w:val="xl102"/>
    <w:basedOn w:val="1"/>
    <w:qFormat/>
    <w:uiPriority w:val="0"/>
    <w:pPr>
      <w:pBdr>
        <w:top w:val="single" w:color="auto" w:sz="4" w:space="0"/>
        <w:left w:val="single" w:color="auto" w:sz="4" w:space="0"/>
        <w:bottom w:val="single" w:color="auto" w:sz="4" w:space="0"/>
      </w:pBdr>
      <w:shd w:val="clear" w:color="auto" w:fill="FFFFFF"/>
      <w:spacing w:before="100" w:beforeAutospacing="1" w:after="100" w:afterAutospacing="1"/>
      <w:textAlignment w:val="center"/>
    </w:pPr>
    <w:rPr>
      <w:rFonts w:ascii="宋体" w:hAnsi="宋体" w:cs="宋体"/>
      <w:b/>
      <w:bCs/>
      <w:color w:val="000000"/>
      <w:sz w:val="22"/>
      <w:szCs w:val="22"/>
    </w:rPr>
  </w:style>
  <w:style w:type="paragraph" w:customStyle="1" w:styleId="165">
    <w:name w:val="333"/>
    <w:basedOn w:val="2"/>
    <w:next w:val="2"/>
    <w:qFormat/>
    <w:uiPriority w:val="0"/>
    <w:pPr>
      <w:widowControl w:val="0"/>
      <w:tabs>
        <w:tab w:val="left" w:pos="360"/>
      </w:tabs>
      <w:spacing w:before="140" w:after="140" w:line="240" w:lineRule="auto"/>
      <w:jc w:val="both"/>
      <w:outlineLvl w:val="2"/>
    </w:pPr>
    <w:rPr>
      <w:rFonts w:ascii="仿宋" w:hAnsi="仿宋" w:eastAsia="仿宋"/>
      <w:bCs w:val="0"/>
      <w:kern w:val="2"/>
      <w:sz w:val="21"/>
      <w:szCs w:val="28"/>
      <w:lang w:eastAsia="en-US"/>
    </w:rPr>
  </w:style>
  <w:style w:type="paragraph" w:customStyle="1" w:styleId="166">
    <w:name w:val="xl99"/>
    <w:basedOn w:val="1"/>
    <w:qFormat/>
    <w:uiPriority w:val="0"/>
    <w:pPr>
      <w:pBdr>
        <w:top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b/>
      <w:bCs/>
      <w:color w:val="000000"/>
      <w:sz w:val="20"/>
    </w:rPr>
  </w:style>
  <w:style w:type="paragraph" w:customStyle="1" w:styleId="167">
    <w:name w:val="图例"/>
    <w:basedOn w:val="1"/>
    <w:qFormat/>
    <w:uiPriority w:val="0"/>
    <w:pPr>
      <w:widowControl w:val="0"/>
      <w:spacing w:before="120" w:after="120" w:line="360" w:lineRule="auto"/>
      <w:jc w:val="center"/>
    </w:pPr>
    <w:rPr>
      <w:rFonts w:eastAsia="仿宋_GB2312"/>
      <w:b/>
      <w:kern w:val="2"/>
    </w:rPr>
  </w:style>
  <w:style w:type="paragraph" w:customStyle="1" w:styleId="168">
    <w:name w:val="lei.header3"/>
    <w:next w:val="72"/>
    <w:qFormat/>
    <w:uiPriority w:val="0"/>
    <w:pPr>
      <w:spacing w:beforeLines="50" w:afterLines="50"/>
      <w:ind w:firstLine="200" w:firstLineChars="200"/>
      <w:outlineLvl w:val="2"/>
    </w:pPr>
    <w:rPr>
      <w:rFonts w:ascii="宋体" w:hAnsi="Tahoma" w:eastAsia="宋体" w:cs="Times New Roman"/>
      <w:sz w:val="24"/>
      <w:lang w:val="en-US" w:eastAsia="zh-CN" w:bidi="ar-SA"/>
    </w:rPr>
  </w:style>
  <w:style w:type="paragraph" w:customStyle="1" w:styleId="169">
    <w:name w:val="列出段落[858D7CFB-ED40-4347-BF05-701D383B685F][858D7CFB-ED40-4347-BF05-701D383B685F]"/>
    <w:basedOn w:val="1"/>
    <w:qFormat/>
    <w:uiPriority w:val="0"/>
    <w:pPr>
      <w:ind w:firstLine="420" w:firstLineChars="200"/>
    </w:pPr>
  </w:style>
  <w:style w:type="paragraph" w:customStyle="1" w:styleId="170">
    <w:name w:val="正文首行缩进两字符"/>
    <w:basedOn w:val="1"/>
    <w:qFormat/>
    <w:uiPriority w:val="0"/>
    <w:pPr>
      <w:widowControl w:val="0"/>
      <w:spacing w:line="360" w:lineRule="auto"/>
      <w:ind w:firstLine="200" w:firstLineChars="200"/>
      <w:jc w:val="both"/>
    </w:pPr>
    <w:rPr>
      <w:rFonts w:ascii="Calibri" w:hAnsi="Calibri"/>
      <w:kern w:val="2"/>
      <w:szCs w:val="24"/>
    </w:rPr>
  </w:style>
  <w:style w:type="paragraph" w:customStyle="1" w:styleId="171">
    <w:name w:val="Default Paragraph Font Para Char"/>
    <w:basedOn w:val="1"/>
    <w:qFormat/>
    <w:uiPriority w:val="0"/>
    <w:pPr>
      <w:spacing w:after="160" w:line="240" w:lineRule="exact"/>
    </w:pPr>
    <w:rPr>
      <w:rFonts w:ascii="Verdana" w:hAnsi="Verdana"/>
      <w:sz w:val="20"/>
      <w:lang w:eastAsia="en-US"/>
    </w:rPr>
  </w:style>
  <w:style w:type="paragraph" w:customStyle="1" w:styleId="172">
    <w:name w:val="列出段落11"/>
    <w:basedOn w:val="1"/>
    <w:qFormat/>
    <w:uiPriority w:val="99"/>
    <w:pPr>
      <w:widowControl w:val="0"/>
      <w:ind w:firstLine="420" w:firstLineChars="200"/>
      <w:jc w:val="both"/>
    </w:pPr>
    <w:rPr>
      <w:kern w:val="2"/>
      <w:szCs w:val="24"/>
    </w:rPr>
  </w:style>
  <w:style w:type="paragraph" w:customStyle="1" w:styleId="173">
    <w:name w:val="Char Char Char"/>
    <w:basedOn w:val="1"/>
    <w:qFormat/>
    <w:uiPriority w:val="99"/>
    <w:pPr>
      <w:spacing w:after="160" w:line="240" w:lineRule="exact"/>
    </w:pPr>
    <w:rPr>
      <w:rFonts w:ascii="Verdana" w:hAnsi="Verdana" w:cs="Verdana"/>
      <w:szCs w:val="21"/>
      <w:lang w:eastAsia="en-US"/>
    </w:rPr>
  </w:style>
  <w:style w:type="paragraph" w:customStyle="1" w:styleId="174">
    <w:name w:val="_Style 13"/>
    <w:basedOn w:val="1"/>
    <w:qFormat/>
    <w:uiPriority w:val="99"/>
    <w:pPr>
      <w:widowControl w:val="0"/>
      <w:spacing w:after="160" w:line="240" w:lineRule="exact"/>
      <w:jc w:val="both"/>
    </w:pPr>
    <w:rPr>
      <w:kern w:val="2"/>
    </w:rPr>
  </w:style>
  <w:style w:type="paragraph" w:customStyle="1" w:styleId="175">
    <w:name w:val="xl84"/>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b/>
      <w:bCs/>
      <w:color w:val="000000"/>
      <w:sz w:val="20"/>
    </w:rPr>
  </w:style>
  <w:style w:type="paragraph" w:customStyle="1" w:styleId="176">
    <w:name w:val="Char Char Char Char"/>
    <w:basedOn w:val="1"/>
    <w:qFormat/>
    <w:uiPriority w:val="99"/>
    <w:pPr>
      <w:spacing w:after="160" w:line="240" w:lineRule="exact"/>
    </w:pPr>
    <w:rPr>
      <w:rFonts w:ascii="Verdana" w:hAnsi="Verdana"/>
      <w:sz w:val="20"/>
      <w:lang w:eastAsia="en-US"/>
    </w:rPr>
  </w:style>
  <w:style w:type="paragraph" w:customStyle="1" w:styleId="177">
    <w:name w:val="Char Char Char Char Char Char Char"/>
    <w:basedOn w:val="1"/>
    <w:qFormat/>
    <w:uiPriority w:val="99"/>
    <w:pPr>
      <w:widowControl w:val="0"/>
      <w:jc w:val="both"/>
    </w:pPr>
    <w:rPr>
      <w:kern w:val="2"/>
      <w:szCs w:val="24"/>
    </w:rPr>
  </w:style>
  <w:style w:type="paragraph" w:customStyle="1" w:styleId="178">
    <w:name w:val="段标题1"/>
    <w:basedOn w:val="1"/>
    <w:qFormat/>
    <w:uiPriority w:val="0"/>
    <w:pPr>
      <w:numPr>
        <w:ilvl w:val="0"/>
        <w:numId w:val="2"/>
      </w:numPr>
      <w:tabs>
        <w:tab w:val="left" w:pos="1080"/>
      </w:tabs>
      <w:adjustRightInd w:val="0"/>
      <w:snapToGrid w:val="0"/>
      <w:spacing w:line="480" w:lineRule="auto"/>
      <w:textAlignment w:val="baseline"/>
    </w:pPr>
    <w:rPr>
      <w:sz w:val="24"/>
    </w:rPr>
  </w:style>
  <w:style w:type="paragraph" w:customStyle="1" w:styleId="179">
    <w:name w:val="T图形题注"/>
    <w:basedOn w:val="1"/>
    <w:next w:val="1"/>
    <w:qFormat/>
    <w:uiPriority w:val="0"/>
    <w:pPr>
      <w:spacing w:line="360" w:lineRule="auto"/>
      <w:jc w:val="center"/>
    </w:pPr>
    <w:rPr>
      <w:rFonts w:ascii="Calibri" w:hAnsi="Calibri" w:eastAsia="黑体"/>
      <w:b/>
      <w:kern w:val="2"/>
      <w:szCs w:val="21"/>
    </w:rPr>
  </w:style>
  <w:style w:type="paragraph" w:customStyle="1" w:styleId="180">
    <w:name w:val="正文3"/>
    <w:qFormat/>
    <w:uiPriority w:val="99"/>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81">
    <w:name w:val="font8"/>
    <w:basedOn w:val="1"/>
    <w:qFormat/>
    <w:uiPriority w:val="0"/>
    <w:pPr>
      <w:spacing w:before="100" w:beforeAutospacing="1" w:after="100" w:afterAutospacing="1"/>
    </w:pPr>
    <w:rPr>
      <w:rFonts w:ascii="宋体" w:hAnsi="宋体" w:cs="宋体"/>
      <w:sz w:val="20"/>
    </w:rPr>
  </w:style>
  <w:style w:type="paragraph" w:customStyle="1" w:styleId="182">
    <w:name w:val="样式 正文缩进 + 首行缩进:  2 字符"/>
    <w:basedOn w:val="12"/>
    <w:qFormat/>
    <w:uiPriority w:val="0"/>
    <w:pPr>
      <w:spacing w:line="360" w:lineRule="auto"/>
      <w:ind w:firstLine="480" w:firstLineChars="200"/>
    </w:pPr>
    <w:rPr>
      <w:rFonts w:cs="宋体"/>
      <w:sz w:val="24"/>
    </w:rPr>
  </w:style>
  <w:style w:type="paragraph" w:customStyle="1" w:styleId="183">
    <w:name w:val="Char Char2"/>
    <w:basedOn w:val="1"/>
    <w:qFormat/>
    <w:uiPriority w:val="0"/>
    <w:pPr>
      <w:spacing w:line="400" w:lineRule="exact"/>
      <w:jc w:val="center"/>
    </w:pPr>
    <w:rPr>
      <w:rFonts w:ascii="Verdana" w:hAnsi="Verdana"/>
      <w:lang w:eastAsia="en-US"/>
    </w:rPr>
  </w:style>
  <w:style w:type="paragraph" w:customStyle="1" w:styleId="184">
    <w:name w:val="列出段落1"/>
    <w:basedOn w:val="1"/>
    <w:qFormat/>
    <w:uiPriority w:val="0"/>
    <w:pPr>
      <w:ind w:firstLine="420" w:firstLineChars="200"/>
    </w:pPr>
  </w:style>
  <w:style w:type="paragraph" w:customStyle="1" w:styleId="185">
    <w:name w:val="xl89"/>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186">
    <w:name w:val="Char16"/>
    <w:basedOn w:val="1"/>
    <w:qFormat/>
    <w:uiPriority w:val="0"/>
    <w:pPr>
      <w:spacing w:after="160" w:line="240" w:lineRule="exact"/>
    </w:pPr>
    <w:rPr>
      <w:rFonts w:ascii="Verdana" w:hAnsi="Verdana"/>
      <w:sz w:val="20"/>
      <w:lang w:eastAsia="en-US"/>
    </w:rPr>
  </w:style>
  <w:style w:type="paragraph" w:customStyle="1" w:styleId="187">
    <w:name w:val="_Style 1"/>
    <w:basedOn w:val="1"/>
    <w:next w:val="1"/>
    <w:qFormat/>
    <w:uiPriority w:val="34"/>
    <w:pPr>
      <w:widowControl w:val="0"/>
      <w:ind w:firstLine="420" w:firstLineChars="200"/>
      <w:jc w:val="both"/>
    </w:pPr>
    <w:rPr>
      <w:kern w:val="2"/>
      <w:szCs w:val="24"/>
    </w:rPr>
  </w:style>
  <w:style w:type="paragraph" w:customStyle="1" w:styleId="188">
    <w:name w:val="Message Header First"/>
    <w:basedOn w:val="36"/>
    <w:next w:val="36"/>
    <w:qFormat/>
    <w:uiPriority w:val="0"/>
  </w:style>
  <w:style w:type="paragraph" w:customStyle="1" w:styleId="189">
    <w:name w:val="font12"/>
    <w:basedOn w:val="1"/>
    <w:qFormat/>
    <w:uiPriority w:val="0"/>
    <w:pPr>
      <w:spacing w:before="100" w:beforeAutospacing="1" w:after="100" w:afterAutospacing="1"/>
    </w:pPr>
    <w:rPr>
      <w:rFonts w:ascii="宋体" w:hAnsi="宋体" w:cs="宋体"/>
      <w:color w:val="000000"/>
      <w:sz w:val="20"/>
    </w:rPr>
  </w:style>
  <w:style w:type="paragraph" w:customStyle="1" w:styleId="190">
    <w:name w:val="正文 A"/>
    <w:qFormat/>
    <w:uiPriority w:val="99"/>
    <w:pPr>
      <w:framePr w:wrap="around" w:vAnchor="margin" w:hAnchor="text" w:y="1"/>
      <w:widowControl w:val="0"/>
      <w:jc w:val="both"/>
    </w:pPr>
    <w:rPr>
      <w:rFonts w:ascii="Calibri" w:hAnsi="Calibri" w:eastAsia="宋体" w:cs="Calibri"/>
      <w:color w:val="000000"/>
      <w:kern w:val="2"/>
      <w:sz w:val="21"/>
      <w:szCs w:val="21"/>
      <w:lang w:val="en-US" w:eastAsia="zh-CN" w:bidi="ar-SA"/>
    </w:rPr>
  </w:style>
  <w:style w:type="paragraph" w:customStyle="1" w:styleId="191">
    <w:name w:val="xl70"/>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2"/>
      <w:szCs w:val="22"/>
    </w:rPr>
  </w:style>
  <w:style w:type="paragraph" w:styleId="192">
    <w:name w:val="List Paragraph"/>
    <w:basedOn w:val="1"/>
    <w:qFormat/>
    <w:uiPriority w:val="34"/>
    <w:pPr>
      <w:ind w:firstLine="420" w:firstLineChars="200"/>
    </w:pPr>
  </w:style>
  <w:style w:type="paragraph" w:customStyle="1" w:styleId="193">
    <w:name w:val="版权声明"/>
    <w:basedOn w:val="1"/>
    <w:qFormat/>
    <w:uiPriority w:val="0"/>
    <w:pPr>
      <w:autoSpaceDE w:val="0"/>
      <w:autoSpaceDN w:val="0"/>
      <w:snapToGrid w:val="0"/>
      <w:spacing w:line="360" w:lineRule="auto"/>
      <w:ind w:left="1134"/>
      <w:jc w:val="both"/>
      <w:textAlignment w:val="bottom"/>
    </w:pPr>
    <w:rPr>
      <w:kern w:val="2"/>
    </w:rPr>
  </w:style>
  <w:style w:type="paragraph" w:customStyle="1" w:styleId="194">
    <w:name w:val="Char Char Char1"/>
    <w:basedOn w:val="1"/>
    <w:qFormat/>
    <w:uiPriority w:val="0"/>
    <w:pPr>
      <w:spacing w:after="160" w:line="240" w:lineRule="exact"/>
    </w:pPr>
    <w:rPr>
      <w:rFonts w:ascii="Calibri" w:hAnsi="Calibri"/>
      <w:kern w:val="2"/>
      <w:szCs w:val="24"/>
    </w:rPr>
  </w:style>
  <w:style w:type="paragraph" w:customStyle="1" w:styleId="195">
    <w:name w:val="列出段落3"/>
    <w:basedOn w:val="1"/>
    <w:qFormat/>
    <w:uiPriority w:val="99"/>
    <w:pPr>
      <w:widowControl w:val="0"/>
      <w:ind w:firstLine="420" w:firstLineChars="200"/>
      <w:jc w:val="both"/>
    </w:pPr>
    <w:rPr>
      <w:kern w:val="2"/>
      <w:szCs w:val="24"/>
    </w:rPr>
  </w:style>
  <w:style w:type="paragraph" w:customStyle="1" w:styleId="196">
    <w:name w:val="xl112"/>
    <w:basedOn w:val="1"/>
    <w:qFormat/>
    <w:uiPriority w:val="0"/>
    <w:pPr>
      <w:pBdr>
        <w:top w:val="single" w:color="auto" w:sz="4" w:space="0"/>
        <w:lef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197">
    <w:name w:val="Default"/>
    <w:basedOn w:val="1"/>
    <w:qFormat/>
    <w:uiPriority w:val="99"/>
    <w:pPr>
      <w:autoSpaceDE w:val="0"/>
      <w:autoSpaceDN w:val="0"/>
      <w:adjustRightInd w:val="0"/>
    </w:pPr>
    <w:rPr>
      <w:color w:val="000000"/>
      <w:sz w:val="24"/>
    </w:rPr>
  </w:style>
  <w:style w:type="paragraph" w:customStyle="1" w:styleId="198">
    <w:name w:val="p0"/>
    <w:basedOn w:val="1"/>
    <w:qFormat/>
    <w:uiPriority w:val="0"/>
    <w:pPr>
      <w:jc w:val="both"/>
    </w:pPr>
    <w:rPr>
      <w:szCs w:val="21"/>
    </w:rPr>
  </w:style>
  <w:style w:type="paragraph" w:customStyle="1" w:styleId="199">
    <w:name w:val="xl104"/>
    <w:basedOn w:val="1"/>
    <w:qFormat/>
    <w:uiPriority w:val="0"/>
    <w:pPr>
      <w:pBdr>
        <w:bottom w:val="single" w:color="auto" w:sz="4" w:space="0"/>
      </w:pBdr>
      <w:shd w:val="clear" w:color="auto" w:fill="FFFFFF"/>
      <w:spacing w:before="100" w:beforeAutospacing="1" w:after="100" w:afterAutospacing="1"/>
      <w:textAlignment w:val="center"/>
    </w:pPr>
    <w:rPr>
      <w:rFonts w:ascii="宋体" w:hAnsi="宋体" w:cs="宋体"/>
      <w:b/>
      <w:bCs/>
      <w:color w:val="000000"/>
      <w:sz w:val="22"/>
      <w:szCs w:val="22"/>
    </w:rPr>
  </w:style>
  <w:style w:type="paragraph" w:customStyle="1" w:styleId="200">
    <w:name w:val="章节题目"/>
    <w:basedOn w:val="201"/>
    <w:next w:val="1"/>
    <w:qFormat/>
    <w:uiPriority w:val="0"/>
    <w:pPr>
      <w:spacing w:before="720" w:after="400" w:line="540" w:lineRule="atLeast"/>
      <w:ind w:right="2160"/>
    </w:pPr>
    <w:rPr>
      <w:rFonts w:ascii="Times New Roman" w:hAnsi="Times New Roman"/>
      <w:spacing w:val="-40"/>
      <w:sz w:val="60"/>
    </w:rPr>
  </w:style>
  <w:style w:type="paragraph" w:customStyle="1" w:styleId="201">
    <w:name w:val="基准标题"/>
    <w:basedOn w:val="1"/>
    <w:next w:val="17"/>
    <w:qFormat/>
    <w:uiPriority w:val="0"/>
    <w:pPr>
      <w:keepNext/>
      <w:keepLines/>
      <w:spacing w:before="140" w:line="220" w:lineRule="atLeast"/>
    </w:pPr>
    <w:rPr>
      <w:rFonts w:ascii="Arial" w:hAnsi="Arial"/>
      <w:spacing w:val="-4"/>
      <w:kern w:val="28"/>
      <w:sz w:val="22"/>
    </w:rPr>
  </w:style>
  <w:style w:type="paragraph" w:customStyle="1" w:styleId="202">
    <w:name w:val="列出段落12"/>
    <w:basedOn w:val="1"/>
    <w:qFormat/>
    <w:uiPriority w:val="0"/>
    <w:pPr>
      <w:ind w:firstLine="420" w:firstLineChars="200"/>
    </w:pPr>
  </w:style>
  <w:style w:type="paragraph" w:customStyle="1" w:styleId="203">
    <w:name w:val="xl97"/>
    <w:basedOn w:val="1"/>
    <w:qFormat/>
    <w:uiPriority w:val="0"/>
    <w:pPr>
      <w:pBdr>
        <w:top w:val="single" w:color="auto" w:sz="4" w:space="0"/>
        <w:left w:val="single" w:color="auto" w:sz="4" w:space="0"/>
        <w:bottom w:val="single" w:color="auto" w:sz="4" w:space="0"/>
      </w:pBdr>
      <w:shd w:val="clear" w:color="auto" w:fill="FFFFFF"/>
      <w:spacing w:before="100" w:beforeAutospacing="1" w:after="100" w:afterAutospacing="1"/>
      <w:textAlignment w:val="center"/>
    </w:pPr>
    <w:rPr>
      <w:rFonts w:ascii="宋体" w:hAnsi="宋体" w:cs="宋体"/>
      <w:b/>
      <w:bCs/>
      <w:color w:val="000000"/>
      <w:sz w:val="20"/>
    </w:rPr>
  </w:style>
  <w:style w:type="paragraph" w:customStyle="1" w:styleId="204">
    <w:name w:val="Char1 Char Char Char Char Char Char1"/>
    <w:basedOn w:val="1"/>
    <w:qFormat/>
    <w:uiPriority w:val="99"/>
    <w:pPr>
      <w:widowControl w:val="0"/>
      <w:spacing w:after="160" w:line="240" w:lineRule="exact"/>
      <w:jc w:val="both"/>
    </w:pPr>
    <w:rPr>
      <w:kern w:val="2"/>
    </w:rPr>
  </w:style>
  <w:style w:type="paragraph" w:customStyle="1" w:styleId="205">
    <w:name w:val="xl92"/>
    <w:basedOn w:val="1"/>
    <w:qFormat/>
    <w:uiPriority w:val="0"/>
    <w:pPr>
      <w:pBdr>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2"/>
      <w:szCs w:val="22"/>
    </w:rPr>
  </w:style>
  <w:style w:type="paragraph" w:customStyle="1" w:styleId="206">
    <w:name w:val="xl115"/>
    <w:basedOn w:val="1"/>
    <w:qFormat/>
    <w:uiPriority w:val="0"/>
    <w:pPr>
      <w:pBdr>
        <w:top w:val="single" w:color="auto" w:sz="4" w:space="0"/>
        <w:left w:val="single" w:color="auto" w:sz="4" w:space="0"/>
        <w:right w:val="single" w:color="auto" w:sz="4" w:space="0"/>
      </w:pBdr>
      <w:shd w:val="clear" w:color="auto" w:fill="FFFFFF"/>
      <w:spacing w:before="100" w:beforeAutospacing="1" w:after="100" w:afterAutospacing="1"/>
      <w:textAlignment w:val="center"/>
    </w:pPr>
    <w:rPr>
      <w:rFonts w:ascii="Arial" w:hAnsi="Arial" w:cs="Arial"/>
      <w:color w:val="000000"/>
      <w:sz w:val="20"/>
    </w:rPr>
  </w:style>
  <w:style w:type="paragraph" w:customStyle="1" w:styleId="207">
    <w:name w:val="xl85"/>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color w:val="000000"/>
      <w:sz w:val="22"/>
      <w:szCs w:val="22"/>
    </w:rPr>
  </w:style>
  <w:style w:type="paragraph" w:customStyle="1" w:styleId="208">
    <w:name w:val="Char Char Char Char Char Char"/>
    <w:basedOn w:val="1"/>
    <w:qFormat/>
    <w:uiPriority w:val="0"/>
    <w:pPr>
      <w:spacing w:after="160" w:line="240" w:lineRule="exact"/>
    </w:pPr>
    <w:rPr>
      <w:rFonts w:ascii="Verdana" w:hAnsi="Verdana" w:cs="Verdana"/>
      <w:szCs w:val="21"/>
      <w:lang w:eastAsia="en-US"/>
    </w:rPr>
  </w:style>
  <w:style w:type="paragraph" w:customStyle="1" w:styleId="209">
    <w:name w:val="xl83"/>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b/>
      <w:bCs/>
      <w:color w:val="000000"/>
      <w:sz w:val="22"/>
      <w:szCs w:val="22"/>
    </w:rPr>
  </w:style>
  <w:style w:type="paragraph" w:customStyle="1" w:styleId="210">
    <w:name w:val="示例×："/>
    <w:basedOn w:val="1"/>
    <w:qFormat/>
    <w:uiPriority w:val="99"/>
    <w:pPr>
      <w:jc w:val="both"/>
    </w:pPr>
    <w:rPr>
      <w:rFonts w:ascii="宋体"/>
      <w:sz w:val="18"/>
      <w:szCs w:val="18"/>
    </w:rPr>
  </w:style>
  <w:style w:type="paragraph" w:customStyle="1" w:styleId="211">
    <w:name w:val="xl117"/>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color w:val="000000"/>
      <w:sz w:val="20"/>
    </w:rPr>
  </w:style>
  <w:style w:type="paragraph" w:customStyle="1" w:styleId="212">
    <w:name w:val="列表段落1"/>
    <w:basedOn w:val="1"/>
    <w:qFormat/>
    <w:uiPriority w:val="34"/>
    <w:pPr>
      <w:widowControl w:val="0"/>
      <w:spacing w:line="360" w:lineRule="auto"/>
      <w:ind w:firstLine="420" w:firstLineChars="200"/>
      <w:jc w:val="both"/>
    </w:pPr>
    <w:rPr>
      <w:rFonts w:ascii="宋体"/>
      <w:kern w:val="2"/>
      <w:sz w:val="24"/>
      <w:szCs w:val="24"/>
    </w:rPr>
  </w:style>
  <w:style w:type="paragraph" w:customStyle="1" w:styleId="213">
    <w:name w:val="样式1"/>
    <w:basedOn w:val="1"/>
    <w:qFormat/>
    <w:uiPriority w:val="99"/>
    <w:pPr>
      <w:widowControl w:val="0"/>
      <w:tabs>
        <w:tab w:val="left" w:pos="709"/>
        <w:tab w:val="left" w:pos="2405"/>
      </w:tabs>
      <w:adjustRightInd w:val="0"/>
      <w:ind w:left="2405" w:hanging="420"/>
      <w:jc w:val="both"/>
      <w:textAlignment w:val="baseline"/>
    </w:pPr>
    <w:rPr>
      <w:rFonts w:ascii="宋体" w:hAnsi="宋体"/>
      <w:szCs w:val="21"/>
    </w:rPr>
  </w:style>
  <w:style w:type="paragraph" w:customStyle="1" w:styleId="214">
    <w:name w:val="font6"/>
    <w:basedOn w:val="1"/>
    <w:qFormat/>
    <w:uiPriority w:val="0"/>
    <w:pPr>
      <w:spacing w:before="100" w:beforeAutospacing="1" w:after="100" w:afterAutospacing="1"/>
    </w:pPr>
    <w:rPr>
      <w:rFonts w:ascii="宋体" w:hAnsi="宋体" w:cs="宋体"/>
      <w:sz w:val="18"/>
      <w:szCs w:val="18"/>
    </w:rPr>
  </w:style>
  <w:style w:type="paragraph" w:customStyle="1" w:styleId="215">
    <w:name w:val="xl96"/>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b/>
      <w:bCs/>
      <w:color w:val="000000"/>
      <w:sz w:val="20"/>
    </w:rPr>
  </w:style>
  <w:style w:type="paragraph" w:customStyle="1" w:styleId="216">
    <w:name w:val="xl81"/>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217">
    <w:name w:val="文档正文"/>
    <w:basedOn w:val="1"/>
    <w:qFormat/>
    <w:uiPriority w:val="0"/>
    <w:pPr>
      <w:widowControl w:val="0"/>
      <w:adjustRightInd w:val="0"/>
      <w:ind w:firstLine="567"/>
      <w:jc w:val="both"/>
      <w:textAlignment w:val="baseline"/>
    </w:pPr>
    <w:rPr>
      <w:rFonts w:ascii="长城仿宋" w:eastAsia="仿宋_GB2312"/>
      <w:sz w:val="28"/>
    </w:rPr>
  </w:style>
  <w:style w:type="paragraph" w:customStyle="1" w:styleId="218">
    <w:name w:val="xl110"/>
    <w:basedOn w:val="1"/>
    <w:qFormat/>
    <w:uiPriority w:val="0"/>
    <w:pPr>
      <w:pBdr>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color w:val="000000"/>
      <w:sz w:val="20"/>
    </w:rPr>
  </w:style>
  <w:style w:type="paragraph" w:customStyle="1" w:styleId="219">
    <w:name w:val="xl82"/>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b/>
      <w:bCs/>
      <w:color w:val="000000"/>
      <w:sz w:val="22"/>
      <w:szCs w:val="22"/>
    </w:rPr>
  </w:style>
  <w:style w:type="paragraph" w:customStyle="1" w:styleId="220">
    <w:name w:val="xl1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sz w:val="20"/>
    </w:rPr>
  </w:style>
  <w:style w:type="paragraph" w:customStyle="1" w:styleId="221">
    <w:name w:val="List Paragraph_32a8a71d-9d51-41db-9a20-0e87fd3ab526"/>
    <w:basedOn w:val="1"/>
    <w:qFormat/>
    <w:uiPriority w:val="99"/>
    <w:pPr>
      <w:widowControl w:val="0"/>
      <w:ind w:firstLine="420" w:firstLineChars="200"/>
      <w:jc w:val="both"/>
    </w:pPr>
    <w:rPr>
      <w:kern w:val="2"/>
      <w:szCs w:val="24"/>
    </w:rPr>
  </w:style>
  <w:style w:type="paragraph" w:customStyle="1" w:styleId="222">
    <w:name w:val="lei.txt"/>
    <w:basedOn w:val="1"/>
    <w:qFormat/>
    <w:uiPriority w:val="0"/>
    <w:pPr>
      <w:widowControl w:val="0"/>
      <w:spacing w:line="360" w:lineRule="auto"/>
      <w:ind w:firstLine="480" w:firstLineChars="200"/>
      <w:jc w:val="both"/>
      <w:textAlignment w:val="center"/>
    </w:pPr>
    <w:rPr>
      <w:kern w:val="2"/>
      <w:sz w:val="24"/>
      <w:szCs w:val="24"/>
    </w:rPr>
  </w:style>
  <w:style w:type="paragraph" w:customStyle="1" w:styleId="223">
    <w:name w:val="TOC 标题1"/>
    <w:basedOn w:val="3"/>
    <w:next w:val="1"/>
    <w:qFormat/>
    <w:uiPriority w:val="39"/>
    <w:pPr>
      <w:widowControl w:val="0"/>
      <w:spacing w:line="576" w:lineRule="auto"/>
      <w:jc w:val="both"/>
      <w:outlineLvl w:val="9"/>
    </w:pPr>
    <w:rPr>
      <w:rFonts w:ascii="Calibri" w:hAnsi="Calibri"/>
    </w:rPr>
  </w:style>
  <w:style w:type="paragraph" w:customStyle="1" w:styleId="224">
    <w:name w:val="Char Char1 Char Char Char Char Char Char"/>
    <w:basedOn w:val="1"/>
    <w:qFormat/>
    <w:uiPriority w:val="99"/>
    <w:pPr>
      <w:widowControl w:val="0"/>
      <w:adjustRightInd w:val="0"/>
      <w:snapToGrid w:val="0"/>
      <w:spacing w:beforeLines="25" w:afterLines="25" w:line="240" w:lineRule="exact"/>
      <w:ind w:firstLine="560" w:firstLineChars="192"/>
      <w:jc w:val="both"/>
    </w:pPr>
    <w:rPr>
      <w:kern w:val="2"/>
      <w:szCs w:val="24"/>
    </w:rPr>
  </w:style>
  <w:style w:type="paragraph" w:customStyle="1" w:styleId="225">
    <w:name w:val="列出段落2"/>
    <w:basedOn w:val="1"/>
    <w:qFormat/>
    <w:uiPriority w:val="99"/>
    <w:pPr>
      <w:widowControl w:val="0"/>
      <w:ind w:firstLine="420" w:firstLineChars="200"/>
      <w:jc w:val="both"/>
    </w:pPr>
    <w:rPr>
      <w:kern w:val="2"/>
      <w:szCs w:val="24"/>
    </w:rPr>
  </w:style>
  <w:style w:type="paragraph" w:customStyle="1" w:styleId="226">
    <w:name w:val="lei.header1"/>
    <w:next w:val="227"/>
    <w:qFormat/>
    <w:uiPriority w:val="0"/>
    <w:pPr>
      <w:ind w:left="50" w:leftChars="50" w:right="50" w:rightChars="50"/>
      <w:jc w:val="center"/>
      <w:outlineLvl w:val="0"/>
    </w:pPr>
    <w:rPr>
      <w:rFonts w:ascii="宋体" w:hAnsi="Tahoma" w:eastAsia="宋体" w:cs="Times New Roman"/>
      <w:b/>
      <w:sz w:val="30"/>
      <w:lang w:val="en-US" w:eastAsia="zh-CN" w:bidi="ar-SA"/>
    </w:rPr>
  </w:style>
  <w:style w:type="paragraph" w:customStyle="1" w:styleId="227">
    <w:name w:val="lei.header2"/>
    <w:next w:val="1"/>
    <w:qFormat/>
    <w:uiPriority w:val="0"/>
    <w:pPr>
      <w:snapToGrid w:val="0"/>
      <w:spacing w:beforeLines="50" w:afterLines="50"/>
      <w:ind w:firstLine="200" w:firstLineChars="200"/>
      <w:outlineLvl w:val="1"/>
    </w:pPr>
    <w:rPr>
      <w:rFonts w:ascii="宋体" w:hAnsi="Tahoma" w:eastAsia="宋体" w:cs="Times New Roman"/>
      <w:b/>
      <w:sz w:val="24"/>
      <w:lang w:val="en-US" w:eastAsia="zh-CN" w:bidi="ar-SA"/>
    </w:rPr>
  </w:style>
  <w:style w:type="paragraph" w:customStyle="1" w:styleId="228">
    <w:name w:val="xl74"/>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color w:val="000000"/>
      <w:sz w:val="20"/>
    </w:rPr>
  </w:style>
  <w:style w:type="paragraph" w:customStyle="1" w:styleId="229">
    <w:name w:val="xl71"/>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230">
    <w:name w:val="xl108"/>
    <w:basedOn w:val="1"/>
    <w:qFormat/>
    <w:uiPriority w:val="0"/>
    <w:pPr>
      <w:pBdr>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color w:val="000000"/>
      <w:sz w:val="20"/>
    </w:rPr>
  </w:style>
  <w:style w:type="paragraph" w:customStyle="1" w:styleId="231">
    <w:name w:val="xl79"/>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232">
    <w:name w:val="￥正文"/>
    <w:basedOn w:val="1"/>
    <w:qFormat/>
    <w:uiPriority w:val="0"/>
    <w:pPr>
      <w:widowControl w:val="0"/>
      <w:spacing w:line="360" w:lineRule="auto"/>
      <w:ind w:firstLine="200" w:firstLineChars="200"/>
      <w:jc w:val="both"/>
    </w:pPr>
    <w:rPr>
      <w:rFonts w:ascii="Calibri" w:hAnsi="Calibri"/>
      <w:kern w:val="2"/>
      <w:sz w:val="24"/>
      <w:szCs w:val="24"/>
    </w:rPr>
  </w:style>
  <w:style w:type="paragraph" w:customStyle="1" w:styleId="233">
    <w:name w:val="Char Char"/>
    <w:basedOn w:val="1"/>
    <w:qFormat/>
    <w:uiPriority w:val="0"/>
    <w:pPr>
      <w:spacing w:after="160" w:line="240" w:lineRule="exact"/>
    </w:pPr>
    <w:rPr>
      <w:rFonts w:ascii="Verdana" w:hAnsi="Verdana" w:eastAsia="仿宋_GB2312"/>
      <w:sz w:val="24"/>
      <w:lang w:eastAsia="en-US"/>
    </w:rPr>
  </w:style>
  <w:style w:type="paragraph" w:customStyle="1" w:styleId="234">
    <w:name w:val="xl94"/>
    <w:basedOn w:val="1"/>
    <w:qFormat/>
    <w:uiPriority w:val="0"/>
    <w:pPr>
      <w:pBdr>
        <w:top w:val="single" w:color="auto" w:sz="4" w:space="0"/>
        <w:left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235">
    <w:name w:val="xl86"/>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w:hAnsi="Arial" w:cs="Arial"/>
      <w:color w:val="000000"/>
      <w:sz w:val="20"/>
    </w:rPr>
  </w:style>
  <w:style w:type="paragraph" w:customStyle="1" w:styleId="236">
    <w:name w:val="xl103"/>
    <w:basedOn w:val="1"/>
    <w:qFormat/>
    <w:uiPriority w:val="0"/>
    <w:pPr>
      <w:pBdr>
        <w:top w:val="single" w:color="auto" w:sz="4" w:space="0"/>
        <w:bottom w:val="single" w:color="auto" w:sz="4" w:space="0"/>
      </w:pBdr>
      <w:shd w:val="clear" w:color="auto" w:fill="FFFFFF"/>
      <w:spacing w:before="100" w:beforeAutospacing="1" w:after="100" w:afterAutospacing="1"/>
      <w:textAlignment w:val="center"/>
    </w:pPr>
    <w:rPr>
      <w:rFonts w:ascii="宋体" w:hAnsi="宋体" w:cs="宋体"/>
      <w:b/>
      <w:bCs/>
      <w:color w:val="000000"/>
      <w:sz w:val="22"/>
      <w:szCs w:val="22"/>
    </w:rPr>
  </w:style>
  <w:style w:type="paragraph" w:customStyle="1" w:styleId="237">
    <w:name w:val="font9"/>
    <w:basedOn w:val="1"/>
    <w:qFormat/>
    <w:uiPriority w:val="0"/>
    <w:pPr>
      <w:spacing w:before="100" w:beforeAutospacing="1" w:after="100" w:afterAutospacing="1"/>
    </w:pPr>
    <w:rPr>
      <w:rFonts w:ascii="宋体" w:hAnsi="宋体" w:cs="宋体"/>
      <w:color w:val="000000"/>
      <w:sz w:val="20"/>
    </w:rPr>
  </w:style>
  <w:style w:type="paragraph" w:customStyle="1" w:styleId="238">
    <w:name w:val="TOC 标题11"/>
    <w:basedOn w:val="3"/>
    <w:next w:val="1"/>
    <w:qFormat/>
    <w:uiPriority w:val="99"/>
    <w:pPr>
      <w:spacing w:before="240" w:after="0" w:line="259" w:lineRule="auto"/>
      <w:outlineLvl w:val="9"/>
    </w:pPr>
    <w:rPr>
      <w:rFonts w:ascii="等线 Light" w:hAnsi="等线 Light" w:eastAsia="等线 Light"/>
      <w:b w:val="0"/>
      <w:bCs w:val="0"/>
      <w:color w:val="2E74B5"/>
      <w:kern w:val="0"/>
      <w:sz w:val="32"/>
      <w:szCs w:val="32"/>
    </w:rPr>
  </w:style>
  <w:style w:type="paragraph" w:customStyle="1" w:styleId="239">
    <w:name w:val="Char1"/>
    <w:basedOn w:val="1"/>
    <w:qFormat/>
    <w:uiPriority w:val="0"/>
    <w:pPr>
      <w:spacing w:after="160" w:line="240" w:lineRule="exact"/>
    </w:pPr>
    <w:rPr>
      <w:rFonts w:ascii="Verdana" w:hAnsi="Verdana"/>
      <w:sz w:val="20"/>
      <w:lang w:eastAsia="en-US"/>
    </w:rPr>
  </w:style>
  <w:style w:type="paragraph" w:customStyle="1" w:styleId="240">
    <w:name w:val="标题4"/>
    <w:basedOn w:val="5"/>
    <w:qFormat/>
    <w:uiPriority w:val="0"/>
    <w:pPr>
      <w:keepNext w:val="0"/>
      <w:keepLines w:val="0"/>
      <w:widowControl w:val="0"/>
      <w:tabs>
        <w:tab w:val="left" w:pos="0"/>
      </w:tabs>
      <w:spacing w:before="0" w:after="0" w:line="360" w:lineRule="auto"/>
      <w:jc w:val="both"/>
    </w:pPr>
    <w:rPr>
      <w:rFonts w:ascii="Cambria" w:hAnsi="Cambria" w:eastAsia="仿宋_GB2312"/>
      <w:b w:val="0"/>
      <w:kern w:val="2"/>
      <w:sz w:val="30"/>
      <w:szCs w:val="30"/>
    </w:rPr>
  </w:style>
  <w:style w:type="paragraph" w:customStyle="1" w:styleId="241">
    <w:name w:val="Char21"/>
    <w:basedOn w:val="1"/>
    <w:qFormat/>
    <w:uiPriority w:val="99"/>
    <w:pPr>
      <w:spacing w:after="160" w:line="240" w:lineRule="exact"/>
    </w:pPr>
    <w:rPr>
      <w:rFonts w:ascii="Verdana" w:hAnsi="Verdana"/>
      <w:sz w:val="20"/>
      <w:lang w:eastAsia="en-US"/>
    </w:rPr>
  </w:style>
  <w:style w:type="paragraph" w:customStyle="1" w:styleId="242">
    <w:name w:val="xl87"/>
    <w:basedOn w:val="1"/>
    <w:qFormat/>
    <w:uiPriority w:val="99"/>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243">
    <w:name w:val="表格"/>
    <w:basedOn w:val="1"/>
    <w:qFormat/>
    <w:uiPriority w:val="99"/>
    <w:pPr>
      <w:widowControl w:val="0"/>
      <w:spacing w:line="400" w:lineRule="exact"/>
      <w:jc w:val="both"/>
    </w:pPr>
    <w:rPr>
      <w:kern w:val="2"/>
      <w:sz w:val="24"/>
      <w:szCs w:val="24"/>
    </w:rPr>
  </w:style>
  <w:style w:type="paragraph" w:customStyle="1" w:styleId="244">
    <w:name w:val="正文2"/>
    <w:basedOn w:val="103"/>
    <w:qFormat/>
    <w:uiPriority w:val="99"/>
    <w:pPr>
      <w:tabs>
        <w:tab w:val="left" w:pos="420"/>
      </w:tabs>
      <w:adjustRightInd/>
      <w:spacing w:line="360" w:lineRule="auto"/>
      <w:ind w:left="420" w:hanging="420"/>
    </w:pPr>
    <w:rPr>
      <w:kern w:val="2"/>
      <w:sz w:val="24"/>
      <w:szCs w:val="24"/>
    </w:rPr>
  </w:style>
  <w:style w:type="paragraph" w:customStyle="1" w:styleId="245">
    <w:name w:val="表格文字"/>
    <w:basedOn w:val="1"/>
    <w:qFormat/>
    <w:uiPriority w:val="99"/>
    <w:pPr>
      <w:widowControl w:val="0"/>
      <w:spacing w:before="25" w:after="25"/>
    </w:pPr>
    <w:rPr>
      <w:bCs/>
      <w:spacing w:val="10"/>
      <w:sz w:val="24"/>
    </w:rPr>
  </w:style>
  <w:style w:type="paragraph" w:customStyle="1" w:styleId="246">
    <w:name w:val="xl76"/>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color w:val="000000"/>
      <w:sz w:val="20"/>
    </w:rPr>
  </w:style>
  <w:style w:type="paragraph" w:customStyle="1" w:styleId="247">
    <w:name w:val="Char2"/>
    <w:basedOn w:val="1"/>
    <w:semiHidden/>
    <w:qFormat/>
    <w:uiPriority w:val="0"/>
    <w:pPr>
      <w:widowControl w:val="0"/>
      <w:jc w:val="both"/>
    </w:pPr>
    <w:rPr>
      <w:rFonts w:ascii="Tahoma" w:hAnsi="Tahoma"/>
      <w:kern w:val="2"/>
      <w:sz w:val="24"/>
    </w:rPr>
  </w:style>
  <w:style w:type="paragraph" w:customStyle="1" w:styleId="248">
    <w:name w:val="xl75"/>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w:hAnsi="Arial" w:cs="Arial"/>
      <w:color w:val="000000"/>
      <w:sz w:val="20"/>
    </w:rPr>
  </w:style>
  <w:style w:type="paragraph" w:customStyle="1" w:styleId="249">
    <w:name w:val="Char Char Char Char Char Char1 Char"/>
    <w:basedOn w:val="1"/>
    <w:qFormat/>
    <w:uiPriority w:val="0"/>
    <w:pPr>
      <w:spacing w:after="160" w:line="240" w:lineRule="exact"/>
    </w:pPr>
    <w:rPr>
      <w:rFonts w:ascii="Verdana" w:hAnsi="Verdana"/>
      <w:lang w:eastAsia="en-US"/>
    </w:rPr>
  </w:style>
  <w:style w:type="paragraph" w:customStyle="1" w:styleId="250">
    <w:name w:val="p16"/>
    <w:basedOn w:val="1"/>
    <w:qFormat/>
    <w:uiPriority w:val="0"/>
    <w:pPr>
      <w:jc w:val="both"/>
    </w:pPr>
    <w:rPr>
      <w:szCs w:val="21"/>
    </w:rPr>
  </w:style>
  <w:style w:type="paragraph" w:customStyle="1" w:styleId="251">
    <w:name w:val="font10"/>
    <w:basedOn w:val="1"/>
    <w:qFormat/>
    <w:uiPriority w:val="0"/>
    <w:pPr>
      <w:spacing w:before="100" w:beforeAutospacing="1" w:after="100" w:afterAutospacing="1"/>
    </w:pPr>
    <w:rPr>
      <w:rFonts w:ascii="Arial" w:hAnsi="Arial" w:cs="Arial"/>
      <w:color w:val="000000"/>
      <w:sz w:val="20"/>
    </w:rPr>
  </w:style>
  <w:style w:type="paragraph" w:customStyle="1" w:styleId="252">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253">
    <w:name w:val="xl91"/>
    <w:basedOn w:val="1"/>
    <w:qFormat/>
    <w:uiPriority w:val="0"/>
    <w:pPr>
      <w:pBdr>
        <w:top w:val="single" w:color="auto" w:sz="4" w:space="0"/>
        <w:left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2"/>
      <w:szCs w:val="22"/>
    </w:rPr>
  </w:style>
  <w:style w:type="paragraph" w:customStyle="1" w:styleId="254">
    <w:name w:val="样式 首行缩进:  2 字符"/>
    <w:basedOn w:val="1"/>
    <w:qFormat/>
    <w:uiPriority w:val="99"/>
    <w:pPr>
      <w:widowControl w:val="0"/>
      <w:ind w:firstLine="420" w:firstLineChars="200"/>
      <w:jc w:val="both"/>
    </w:pPr>
    <w:rPr>
      <w:rFonts w:ascii="宋体" w:cs="宋体"/>
      <w:kern w:val="2"/>
    </w:rPr>
  </w:style>
  <w:style w:type="paragraph" w:customStyle="1" w:styleId="255">
    <w:name w:val="xl106"/>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b/>
      <w:bCs/>
      <w:color w:val="000000"/>
      <w:sz w:val="20"/>
    </w:rPr>
  </w:style>
  <w:style w:type="paragraph" w:customStyle="1" w:styleId="256">
    <w:name w:val="_Style 3"/>
    <w:basedOn w:val="3"/>
    <w:next w:val="1"/>
    <w:qFormat/>
    <w:uiPriority w:val="39"/>
    <w:pPr>
      <w:spacing w:before="240" w:after="0" w:line="259" w:lineRule="auto"/>
      <w:outlineLvl w:val="9"/>
    </w:pPr>
    <w:rPr>
      <w:rFonts w:ascii="Calibri Light" w:hAnsi="Calibri Light"/>
      <w:b w:val="0"/>
      <w:bCs w:val="0"/>
      <w:color w:val="2E74B5"/>
      <w:kern w:val="0"/>
      <w:sz w:val="32"/>
      <w:szCs w:val="32"/>
      <w:lang w:eastAsia="en-US"/>
    </w:rPr>
  </w:style>
  <w:style w:type="paragraph" w:customStyle="1" w:styleId="257">
    <w:name w:val="_Style 49"/>
    <w:basedOn w:val="1"/>
    <w:next w:val="21"/>
    <w:qFormat/>
    <w:uiPriority w:val="99"/>
    <w:pPr>
      <w:widowControl w:val="0"/>
      <w:jc w:val="both"/>
    </w:pPr>
    <w:rPr>
      <w:rFonts w:ascii="宋体" w:hAnsi="Courier New"/>
      <w:kern w:val="2"/>
      <w:sz w:val="24"/>
    </w:rPr>
  </w:style>
  <w:style w:type="paragraph" w:customStyle="1" w:styleId="258">
    <w:name w:val="font7"/>
    <w:basedOn w:val="1"/>
    <w:qFormat/>
    <w:uiPriority w:val="0"/>
    <w:pPr>
      <w:spacing w:before="100" w:beforeAutospacing="1" w:after="100" w:afterAutospacing="1"/>
    </w:pPr>
    <w:rPr>
      <w:rFonts w:ascii="宋体" w:hAnsi="宋体" w:cs="宋体"/>
      <w:sz w:val="18"/>
      <w:szCs w:val="18"/>
    </w:rPr>
  </w:style>
  <w:style w:type="paragraph" w:customStyle="1" w:styleId="259">
    <w:name w:val="xl109"/>
    <w:basedOn w:val="1"/>
    <w:qFormat/>
    <w:uiPriority w:val="0"/>
    <w:pPr>
      <w:pBdr>
        <w:top w:val="single" w:color="auto" w:sz="4" w:space="0"/>
        <w:left w:val="single" w:color="auto" w:sz="4" w:space="0"/>
        <w:right w:val="single" w:color="auto" w:sz="4" w:space="0"/>
      </w:pBdr>
      <w:shd w:val="clear" w:color="auto" w:fill="FFFFFF"/>
      <w:spacing w:before="100" w:beforeAutospacing="1" w:after="100" w:afterAutospacing="1"/>
      <w:textAlignment w:val="center"/>
    </w:pPr>
    <w:rPr>
      <w:rFonts w:ascii="宋体" w:hAnsi="宋体" w:cs="宋体"/>
      <w:color w:val="000000"/>
      <w:sz w:val="20"/>
    </w:rPr>
  </w:style>
  <w:style w:type="paragraph" w:customStyle="1" w:styleId="260">
    <w:name w:val="font11"/>
    <w:basedOn w:val="1"/>
    <w:qFormat/>
    <w:uiPriority w:val="0"/>
    <w:pPr>
      <w:spacing w:before="100" w:beforeAutospacing="1" w:after="100" w:afterAutospacing="1"/>
    </w:pPr>
    <w:rPr>
      <w:color w:val="000000"/>
      <w:sz w:val="20"/>
    </w:rPr>
  </w:style>
  <w:style w:type="paragraph" w:customStyle="1" w:styleId="261">
    <w:name w:val="xl80"/>
    <w:basedOn w:val="1"/>
    <w:qFormat/>
    <w:uiPriority w:val="0"/>
    <w:pPr>
      <w:pBdr>
        <w:top w:val="single" w:color="auto" w:sz="4" w:space="0"/>
        <w:left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262">
    <w:name w:val="_Style 12"/>
    <w:basedOn w:val="14"/>
    <w:qFormat/>
    <w:uiPriority w:val="99"/>
    <w:pPr>
      <w:widowControl w:val="0"/>
      <w:adjustRightInd w:val="0"/>
      <w:snapToGrid w:val="0"/>
      <w:spacing w:line="360" w:lineRule="auto"/>
      <w:jc w:val="both"/>
    </w:pPr>
    <w:rPr>
      <w:rFonts w:hAnsi="Tahoma"/>
      <w:kern w:val="2"/>
      <w:sz w:val="24"/>
    </w:rPr>
  </w:style>
  <w:style w:type="paragraph" w:customStyle="1" w:styleId="263">
    <w:name w:val="font5"/>
    <w:basedOn w:val="1"/>
    <w:qFormat/>
    <w:uiPriority w:val="0"/>
    <w:pPr>
      <w:spacing w:before="100" w:beforeAutospacing="1" w:after="100" w:afterAutospacing="1"/>
    </w:pPr>
    <w:rPr>
      <w:rFonts w:ascii="宋体" w:hAnsi="宋体" w:cs="宋体"/>
      <w:sz w:val="18"/>
      <w:szCs w:val="18"/>
    </w:rPr>
  </w:style>
  <w:style w:type="paragraph" w:customStyle="1" w:styleId="264">
    <w:name w:val="xl90"/>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265">
    <w:name w:val="xl114"/>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FF0000"/>
      <w:sz w:val="20"/>
    </w:rPr>
  </w:style>
  <w:style w:type="paragraph" w:customStyle="1" w:styleId="266">
    <w:name w:val="msonormalcxspmiddle"/>
    <w:basedOn w:val="1"/>
    <w:qFormat/>
    <w:uiPriority w:val="99"/>
    <w:pPr>
      <w:spacing w:before="280" w:after="280"/>
    </w:pPr>
    <w:rPr>
      <w:rFonts w:ascii="宋体" w:hAnsi="宋体" w:cs="宋体"/>
      <w:kern w:val="1"/>
      <w:sz w:val="24"/>
      <w:szCs w:val="24"/>
      <w:lang w:eastAsia="ar-SA"/>
    </w:rPr>
  </w:style>
  <w:style w:type="paragraph" w:customStyle="1" w:styleId="267">
    <w:name w:val="xl113"/>
    <w:basedOn w:val="1"/>
    <w:qFormat/>
    <w:uiPriority w:val="0"/>
    <w:pPr>
      <w:pBdr>
        <w:left w:val="single" w:color="auto" w:sz="4" w:space="0"/>
        <w:bottom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268">
    <w:name w:val="lei正文"/>
    <w:basedOn w:val="12"/>
    <w:qFormat/>
    <w:uiPriority w:val="0"/>
    <w:pPr>
      <w:overflowPunct w:val="0"/>
      <w:autoSpaceDE w:val="0"/>
      <w:autoSpaceDN w:val="0"/>
      <w:adjustRightInd w:val="0"/>
      <w:ind w:firstLine="0"/>
      <w:jc w:val="center"/>
      <w:textAlignment w:val="baseline"/>
    </w:pPr>
    <w:rPr>
      <w:rFonts w:ascii="宋体" w:hAnsi="Tahoma"/>
      <w:kern w:val="0"/>
      <w:sz w:val="24"/>
    </w:rPr>
  </w:style>
  <w:style w:type="paragraph" w:customStyle="1" w:styleId="269">
    <w:name w:val="小四 行距: 1.5 倍行距 + 左侧:  0.74 厘米 首行缩进:  2 字符 + 首行缩进:  2 字符"/>
    <w:basedOn w:val="1"/>
    <w:qFormat/>
    <w:uiPriority w:val="0"/>
    <w:pPr>
      <w:widowControl w:val="0"/>
      <w:spacing w:line="360" w:lineRule="auto"/>
      <w:ind w:firstLine="480" w:firstLineChars="200"/>
      <w:jc w:val="both"/>
    </w:pPr>
    <w:rPr>
      <w:rFonts w:cs="宋体"/>
      <w:kern w:val="2"/>
      <w:sz w:val="24"/>
    </w:rPr>
  </w:style>
  <w:style w:type="paragraph" w:customStyle="1" w:styleId="270">
    <w:name w:val="xl107"/>
    <w:basedOn w:val="1"/>
    <w:qFormat/>
    <w:uiPriority w:val="0"/>
    <w:pPr>
      <w:pBdr>
        <w:top w:val="single" w:color="auto" w:sz="4" w:space="0"/>
        <w:left w:val="single" w:color="auto" w:sz="4" w:space="0"/>
        <w:right w:val="single" w:color="auto" w:sz="4" w:space="0"/>
      </w:pBdr>
      <w:shd w:val="clear" w:color="auto" w:fill="FFFFFF"/>
      <w:spacing w:before="100" w:beforeAutospacing="1" w:after="100" w:afterAutospacing="1"/>
      <w:textAlignment w:val="center"/>
    </w:pPr>
    <w:rPr>
      <w:rFonts w:ascii="宋体" w:hAnsi="宋体" w:cs="宋体"/>
      <w:color w:val="000000"/>
      <w:sz w:val="20"/>
    </w:rPr>
  </w:style>
  <w:style w:type="paragraph" w:customStyle="1" w:styleId="271">
    <w:name w:val="默认段落字体 Para Char Char Char Char Char Char Char"/>
    <w:basedOn w:val="1"/>
    <w:qFormat/>
    <w:uiPriority w:val="99"/>
    <w:pPr>
      <w:widowControl w:val="0"/>
      <w:spacing w:line="360" w:lineRule="auto"/>
      <w:jc w:val="both"/>
    </w:pPr>
    <w:rPr>
      <w:kern w:val="2"/>
    </w:rPr>
  </w:style>
  <w:style w:type="paragraph" w:customStyle="1" w:styleId="272">
    <w:name w:val="xl111"/>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color w:val="000000"/>
      <w:sz w:val="20"/>
    </w:rPr>
  </w:style>
  <w:style w:type="paragraph" w:customStyle="1" w:styleId="273">
    <w:name w:val="newstyle16"/>
    <w:basedOn w:val="1"/>
    <w:qFormat/>
    <w:uiPriority w:val="0"/>
    <w:rPr>
      <w:rFonts w:ascii="宋体" w:hAnsi="宋体" w:cs="宋体"/>
      <w:sz w:val="24"/>
      <w:szCs w:val="24"/>
    </w:rPr>
  </w:style>
  <w:style w:type="paragraph" w:customStyle="1" w:styleId="274">
    <w:name w:val="List Paragraph1"/>
    <w:basedOn w:val="1"/>
    <w:qFormat/>
    <w:uiPriority w:val="99"/>
    <w:pPr>
      <w:ind w:firstLine="420" w:firstLineChars="200"/>
    </w:pPr>
    <w:rPr>
      <w:sz w:val="20"/>
    </w:rPr>
  </w:style>
  <w:style w:type="paragraph" w:customStyle="1" w:styleId="275">
    <w:name w:val="xl98"/>
    <w:basedOn w:val="1"/>
    <w:qFormat/>
    <w:uiPriority w:val="0"/>
    <w:pPr>
      <w:pBdr>
        <w:top w:val="single" w:color="auto" w:sz="4" w:space="0"/>
        <w:bottom w:val="single" w:color="auto" w:sz="4" w:space="0"/>
      </w:pBdr>
      <w:shd w:val="clear" w:color="auto" w:fill="FFFFFF"/>
      <w:spacing w:before="100" w:beforeAutospacing="1" w:after="100" w:afterAutospacing="1"/>
      <w:textAlignment w:val="center"/>
    </w:pPr>
    <w:rPr>
      <w:rFonts w:ascii="宋体" w:hAnsi="宋体" w:cs="宋体"/>
      <w:b/>
      <w:bCs/>
      <w:color w:val="000000"/>
      <w:sz w:val="20"/>
    </w:rPr>
  </w:style>
  <w:style w:type="paragraph" w:customStyle="1" w:styleId="276">
    <w:name w:val="无间隔1"/>
    <w:qFormat/>
    <w:uiPriority w:val="1"/>
    <w:rPr>
      <w:rFonts w:ascii="Calibri" w:hAnsi="Calibri" w:eastAsia="宋体" w:cs="Times New Roman"/>
      <w:sz w:val="2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2DA997-80AB-456F-B3BB-E4236E4731B4}">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35</Pages>
  <Words>2700</Words>
  <Characters>15391</Characters>
  <Lines>128</Lines>
  <Paragraphs>36</Paragraphs>
  <TotalTime>11</TotalTime>
  <ScaleCrop>false</ScaleCrop>
  <LinksUpToDate>false</LinksUpToDate>
  <CharactersWithSpaces>18055</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2020-12-11T08:30:00Z</dcterms:created>
  <dc:creator>微软用户</dc:creator>
  <cp:lastModifiedBy>陈</cp:lastModifiedBy>
  <cp:lastPrinted>2020-02-25T07:31:00Z</cp:lastPrinted>
  <dcterms:modified xsi:type="dcterms:W3CDTF">2020-12-23T03:36:30Z</dcterms:modified>
  <dc:title>洋浦经济开发区规划建设土地局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