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color w:val="auto"/>
          <w:sz w:val="52"/>
          <w:szCs w:val="52"/>
        </w:rPr>
      </w:pPr>
      <w:r>
        <w:rPr>
          <w:rFonts w:hint="eastAsia" w:ascii="方正大标宋简体" w:eastAsia="方正大标宋简体"/>
          <w:b/>
          <w:color w:val="auto"/>
          <w:sz w:val="52"/>
          <w:szCs w:val="52"/>
        </w:rPr>
        <w:t>海口市政府采购</w:t>
      </w:r>
    </w:p>
    <w:p>
      <w:pPr>
        <w:jc w:val="center"/>
        <w:rPr>
          <w:rFonts w:ascii="方正大标宋简体" w:eastAsia="方正大标宋简体"/>
          <w:b/>
          <w:color w:val="auto"/>
          <w:sz w:val="52"/>
          <w:szCs w:val="52"/>
        </w:rPr>
      </w:pPr>
      <w:r>
        <w:rPr>
          <w:rFonts w:hint="eastAsia" w:ascii="方正大标宋简体" w:eastAsia="方正大标宋简体"/>
          <w:b/>
          <w:color w:val="auto"/>
          <w:sz w:val="52"/>
          <w:szCs w:val="52"/>
        </w:rPr>
        <w:t>公开招标采购文件</w:t>
      </w:r>
    </w:p>
    <w:p>
      <w:pPr>
        <w:spacing w:line="500" w:lineRule="exact"/>
        <w:jc w:val="center"/>
        <w:rPr>
          <w:rFonts w:ascii="仿宋_GB2312" w:eastAsia="仿宋_GB2312"/>
          <w:b/>
          <w:color w:val="auto"/>
          <w:sz w:val="24"/>
        </w:rPr>
      </w:pPr>
    </w:p>
    <w:p>
      <w:pPr>
        <w:pStyle w:val="9"/>
        <w:spacing w:line="500" w:lineRule="exact"/>
        <w:jc w:val="center"/>
        <w:outlineLvl w:val="0"/>
        <w:rPr>
          <w:rFonts w:ascii="仿宋_GB2312" w:hAnsi="宋体" w:eastAsia="仿宋_GB2312"/>
          <w:b/>
          <w:bCs/>
          <w:color w:val="auto"/>
          <w:sz w:val="24"/>
          <w:szCs w:val="24"/>
        </w:rPr>
      </w:pPr>
    </w:p>
    <w:p>
      <w:pPr>
        <w:pStyle w:val="9"/>
        <w:spacing w:line="500" w:lineRule="exact"/>
        <w:jc w:val="center"/>
        <w:outlineLvl w:val="0"/>
        <w:rPr>
          <w:rFonts w:ascii="仿宋_GB2312" w:hAnsi="宋体" w:eastAsia="仿宋_GB2312"/>
          <w:b/>
          <w:bCs/>
          <w:color w:val="auto"/>
          <w:sz w:val="24"/>
          <w:szCs w:val="24"/>
        </w:rPr>
      </w:pPr>
    </w:p>
    <w:p>
      <w:pPr>
        <w:pStyle w:val="9"/>
        <w:spacing w:line="500" w:lineRule="exact"/>
        <w:ind w:firstLine="2108" w:firstLineChars="700"/>
        <w:jc w:val="left"/>
        <w:outlineLvl w:val="0"/>
        <w:rPr>
          <w:rFonts w:ascii="仿宋_GB2312" w:hAnsi="宋体" w:eastAsia="仿宋_GB2312"/>
          <w:b/>
          <w:color w:val="auto"/>
          <w:sz w:val="30"/>
          <w:szCs w:val="30"/>
          <w:u w:val="single"/>
        </w:rPr>
      </w:pPr>
      <w:bookmarkStart w:id="0" w:name="_Toc246826091"/>
      <w:bookmarkStart w:id="1" w:name="_Toc245888257"/>
      <w:bookmarkStart w:id="2" w:name="_Toc245887524"/>
      <w:bookmarkStart w:id="3" w:name="_Toc246825786"/>
      <w:r>
        <w:rPr>
          <w:rFonts w:hint="eastAsia" w:ascii="仿宋_GB2312" w:hAnsi="宋体" w:eastAsia="仿宋_GB2312"/>
          <w:b/>
          <w:color w:val="auto"/>
          <w:sz w:val="30"/>
          <w:szCs w:val="30"/>
        </w:rPr>
        <w:t>项目编号：</w:t>
      </w:r>
      <w:bookmarkEnd w:id="0"/>
      <w:bookmarkEnd w:id="1"/>
      <w:bookmarkEnd w:id="2"/>
      <w:bookmarkEnd w:id="3"/>
      <w:bookmarkStart w:id="4" w:name="_Toc246826092"/>
      <w:bookmarkStart w:id="5" w:name="_Toc245888258"/>
      <w:bookmarkStart w:id="6" w:name="_Toc245887525"/>
      <w:bookmarkStart w:id="7" w:name="_Toc246825787"/>
      <w:r>
        <w:rPr>
          <w:rFonts w:hint="eastAsia" w:ascii="仿宋_GB2312" w:hAnsi="宋体" w:eastAsia="仿宋_GB2312"/>
          <w:b/>
          <w:color w:val="auto"/>
          <w:sz w:val="30"/>
          <w:szCs w:val="30"/>
        </w:rPr>
        <w:t>HKGP-2020-0030</w:t>
      </w:r>
    </w:p>
    <w:p>
      <w:pPr>
        <w:pStyle w:val="9"/>
        <w:spacing w:line="500" w:lineRule="exact"/>
        <w:ind w:left="4798" w:leftChars="994" w:hanging="2711" w:hangingChars="900"/>
        <w:outlineLvl w:val="0"/>
        <w:rPr>
          <w:rFonts w:ascii="仿宋_GB2312" w:hAnsi="宋体" w:eastAsia="仿宋_GB2312"/>
          <w:b/>
          <w:color w:val="auto"/>
          <w:sz w:val="30"/>
          <w:szCs w:val="30"/>
        </w:rPr>
      </w:pPr>
      <w:r>
        <w:rPr>
          <w:rFonts w:hint="eastAsia" w:ascii="仿宋_GB2312" w:hAnsi="宋体" w:eastAsia="仿宋_GB2312"/>
          <w:b/>
          <w:color w:val="auto"/>
          <w:sz w:val="30"/>
          <w:szCs w:val="30"/>
        </w:rPr>
        <w:t>项目名称：</w:t>
      </w:r>
      <w:bookmarkEnd w:id="4"/>
      <w:bookmarkEnd w:id="5"/>
      <w:bookmarkEnd w:id="6"/>
      <w:bookmarkEnd w:id="7"/>
      <w:bookmarkStart w:id="8" w:name="_Toc246825789"/>
      <w:bookmarkStart w:id="9" w:name="_Toc246826094"/>
      <w:bookmarkStart w:id="10" w:name="_Toc245887527"/>
      <w:bookmarkStart w:id="11" w:name="_Toc245888260"/>
      <w:r>
        <w:rPr>
          <w:rFonts w:hint="eastAsia" w:ascii="仿宋_GB2312" w:hAnsi="宋体" w:eastAsia="仿宋_GB2312"/>
          <w:b/>
          <w:color w:val="auto"/>
          <w:sz w:val="30"/>
          <w:szCs w:val="30"/>
        </w:rPr>
        <w:t>海口市疾病预防控制中心2021-2022物业管理项目</w:t>
      </w:r>
    </w:p>
    <w:p>
      <w:pPr>
        <w:pStyle w:val="9"/>
        <w:spacing w:line="500" w:lineRule="exact"/>
        <w:ind w:firstLine="2108" w:firstLineChars="700"/>
        <w:jc w:val="left"/>
        <w:outlineLvl w:val="0"/>
        <w:rPr>
          <w:rFonts w:ascii="仿宋_GB2312" w:hAnsi="宋体" w:eastAsia="仿宋_GB2312"/>
          <w:b/>
          <w:color w:val="auto"/>
          <w:sz w:val="30"/>
          <w:szCs w:val="30"/>
        </w:rPr>
      </w:pPr>
      <w:r>
        <w:rPr>
          <w:rFonts w:hint="eastAsia" w:ascii="仿宋_GB2312" w:hAnsi="宋体" w:eastAsia="仿宋_GB2312"/>
          <w:b/>
          <w:color w:val="auto"/>
          <w:sz w:val="30"/>
          <w:szCs w:val="30"/>
        </w:rPr>
        <w:t>采 购 人：</w:t>
      </w:r>
      <w:bookmarkEnd w:id="8"/>
      <w:bookmarkEnd w:id="9"/>
      <w:bookmarkEnd w:id="10"/>
      <w:bookmarkEnd w:id="11"/>
      <w:r>
        <w:rPr>
          <w:rFonts w:hint="eastAsia" w:ascii="仿宋_GB2312" w:hAnsi="宋体" w:eastAsia="仿宋_GB2312"/>
          <w:b/>
          <w:color w:val="auto"/>
          <w:sz w:val="30"/>
          <w:szCs w:val="30"/>
        </w:rPr>
        <w:t>海口市疾病预防控制中心</w:t>
      </w: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pStyle w:val="9"/>
        <w:spacing w:line="500" w:lineRule="exact"/>
        <w:jc w:val="center"/>
        <w:outlineLvl w:val="0"/>
        <w:rPr>
          <w:rFonts w:ascii="仿宋_GB2312" w:hAnsi="宋体" w:eastAsia="仿宋_GB2312"/>
          <w:b/>
          <w:color w:val="auto"/>
          <w:sz w:val="24"/>
          <w:szCs w:val="24"/>
        </w:rPr>
      </w:pPr>
    </w:p>
    <w:p>
      <w:pPr>
        <w:spacing w:line="500" w:lineRule="exact"/>
        <w:jc w:val="center"/>
        <w:rPr>
          <w:rFonts w:hint="eastAsia" w:ascii="仿宋_GB2312" w:hAnsi="宋体" w:eastAsia="仿宋_GB2312"/>
          <w:b/>
          <w:color w:val="auto"/>
          <w:spacing w:val="40"/>
          <w:sz w:val="24"/>
        </w:rPr>
      </w:pPr>
    </w:p>
    <w:p>
      <w:pPr>
        <w:spacing w:line="500" w:lineRule="exact"/>
        <w:jc w:val="center"/>
        <w:rPr>
          <w:rFonts w:hint="eastAsia" w:ascii="仿宋_GB2312" w:hAnsi="宋体" w:eastAsia="仿宋_GB2312"/>
          <w:b/>
          <w:color w:val="auto"/>
          <w:spacing w:val="40"/>
          <w:sz w:val="24"/>
        </w:rPr>
      </w:pPr>
    </w:p>
    <w:p>
      <w:pPr>
        <w:spacing w:line="500" w:lineRule="exact"/>
        <w:jc w:val="center"/>
        <w:rPr>
          <w:rFonts w:hint="eastAsia" w:ascii="仿宋_GB2312" w:hAnsi="宋体" w:eastAsia="仿宋_GB2312"/>
          <w:b/>
          <w:color w:val="auto"/>
          <w:spacing w:val="40"/>
          <w:sz w:val="24"/>
        </w:rPr>
      </w:pPr>
    </w:p>
    <w:p>
      <w:pPr>
        <w:spacing w:line="500" w:lineRule="exact"/>
        <w:jc w:val="center"/>
        <w:rPr>
          <w:color w:val="auto"/>
        </w:rPr>
      </w:pPr>
      <w:r>
        <w:rPr>
          <w:rFonts w:hint="eastAsia" w:ascii="仿宋_GB2312" w:hAnsi="宋体" w:eastAsia="仿宋_GB2312"/>
          <w:b/>
          <w:color w:val="auto"/>
          <w:spacing w:val="40"/>
          <w:sz w:val="24"/>
        </w:rPr>
        <w:t>海口市政府采购中心</w:t>
      </w:r>
    </w:p>
    <w:p>
      <w:pPr>
        <w:pStyle w:val="9"/>
        <w:jc w:val="center"/>
        <w:outlineLvl w:val="0"/>
        <w:rPr>
          <w:rFonts w:ascii="仿宋_GB2312" w:hAnsi="宋体" w:eastAsia="仿宋_GB2312"/>
          <w:b/>
          <w:color w:val="auto"/>
          <w:spacing w:val="40"/>
          <w:sz w:val="24"/>
        </w:rPr>
      </w:pPr>
      <w:r>
        <w:rPr>
          <w:rFonts w:hint="eastAsia" w:ascii="仿宋_GB2312" w:hAnsi="宋体" w:eastAsia="仿宋_GB2312"/>
          <w:b/>
          <w:color w:val="auto"/>
          <w:spacing w:val="40"/>
          <w:sz w:val="24"/>
        </w:rPr>
        <w:t xml:space="preserve">二○二一年一月                                                </w:t>
      </w:r>
    </w:p>
    <w:p>
      <w:pPr>
        <w:rPr>
          <w:rFonts w:ascii="仿宋_GB2312" w:hAnsi="宋体" w:eastAsia="仿宋_GB2312"/>
          <w:b/>
          <w:color w:val="auto"/>
          <w:spacing w:val="40"/>
          <w:sz w:val="24"/>
        </w:rPr>
      </w:pPr>
      <w:r>
        <w:rPr>
          <w:rFonts w:hint="eastAsia" w:ascii="仿宋_GB2312" w:hAnsi="宋体" w:eastAsia="仿宋_GB2312"/>
          <w:b/>
          <w:color w:val="auto"/>
          <w:spacing w:val="40"/>
          <w:sz w:val="24"/>
        </w:rPr>
        <w:br w:type="page"/>
      </w:r>
    </w:p>
    <w:p>
      <w:pPr>
        <w:pStyle w:val="5"/>
        <w:ind w:firstLine="2891" w:firstLineChars="600"/>
        <w:rPr>
          <w:rStyle w:val="19"/>
          <w:rFonts w:hint="eastAsia" w:hAnsi="宋体"/>
          <w:color w:val="auto"/>
          <w:sz w:val="48"/>
          <w:szCs w:val="48"/>
        </w:rPr>
      </w:pPr>
    </w:p>
    <w:p>
      <w:pPr>
        <w:pStyle w:val="5"/>
        <w:ind w:firstLine="2891" w:firstLineChars="600"/>
        <w:rPr>
          <w:rStyle w:val="19"/>
          <w:rFonts w:hAnsi="宋体"/>
          <w:b w:val="0"/>
          <w:color w:val="auto"/>
          <w:sz w:val="48"/>
          <w:szCs w:val="48"/>
        </w:rPr>
      </w:pPr>
      <w:r>
        <w:rPr>
          <w:rStyle w:val="19"/>
          <w:rFonts w:hint="eastAsia" w:hAnsi="宋体"/>
          <w:color w:val="auto"/>
          <w:sz w:val="48"/>
          <w:szCs w:val="48"/>
        </w:rPr>
        <w:t>目  录</w:t>
      </w:r>
    </w:p>
    <w:p>
      <w:pPr>
        <w:pStyle w:val="9"/>
        <w:spacing w:line="1000" w:lineRule="exact"/>
        <w:jc w:val="center"/>
        <w:outlineLvl w:val="0"/>
        <w:rPr>
          <w:rStyle w:val="19"/>
          <w:rFonts w:ascii="仿宋" w:hAnsi="仿宋" w:eastAsia="仿宋" w:cs="仿宋"/>
          <w:b/>
          <w:color w:val="auto"/>
          <w:szCs w:val="21"/>
        </w:rPr>
      </w:pPr>
      <w:r>
        <w:rPr>
          <w:rFonts w:hint="eastAsia" w:ascii="仿宋" w:hAnsi="仿宋" w:eastAsia="仿宋" w:cs="仿宋"/>
          <w:b/>
          <w:color w:val="auto"/>
          <w:szCs w:val="21"/>
        </w:rPr>
        <w:fldChar w:fldCharType="begin"/>
      </w:r>
      <w:r>
        <w:rPr>
          <w:rStyle w:val="19"/>
          <w:rFonts w:hint="eastAsia" w:ascii="仿宋" w:hAnsi="仿宋" w:eastAsia="仿宋" w:cs="仿宋"/>
          <w:b/>
          <w:color w:val="auto"/>
          <w:szCs w:val="21"/>
        </w:rPr>
        <w:instrText xml:space="preserve"> TOC \o "1-3" \h \z \u </w:instrText>
      </w:r>
      <w:r>
        <w:rPr>
          <w:rFonts w:hint="eastAsia" w:ascii="仿宋" w:hAnsi="仿宋" w:eastAsia="仿宋" w:cs="仿宋"/>
          <w:b/>
          <w:color w:val="auto"/>
          <w:szCs w:val="21"/>
        </w:rPr>
        <w:fldChar w:fldCharType="separate"/>
      </w:r>
    </w:p>
    <w:p>
      <w:pPr>
        <w:pStyle w:val="13"/>
        <w:spacing w:line="1000" w:lineRule="exact"/>
        <w:rPr>
          <w:rFonts w:ascii="仿宋" w:hAnsi="仿宋" w:eastAsia="仿宋" w:cs="仿宋"/>
          <w:bCs w:val="0"/>
          <w:color w:val="auto"/>
          <w:sz w:val="21"/>
          <w:szCs w:val="21"/>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"_Toc246826096#_Toc246826096" </w:instrText>
      </w:r>
      <w:r>
        <w:rPr>
          <w:color w:val="auto"/>
        </w:rPr>
        <w:fldChar w:fldCharType="separate"/>
      </w:r>
      <w:r>
        <w:rPr>
          <w:rStyle w:val="19"/>
          <w:rFonts w:hint="eastAsia" w:ascii="仿宋" w:hAnsi="仿宋" w:eastAsia="仿宋" w:cs="仿宋"/>
          <w:bCs w:val="0"/>
          <w:color w:val="auto"/>
          <w:sz w:val="21"/>
          <w:szCs w:val="21"/>
        </w:rPr>
        <w:t>第一章  投标邀请………………………………………………………</w:t>
      </w:r>
      <w:r>
        <w:rPr>
          <w:rStyle w:val="19"/>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……………1-3</w:t>
      </w:r>
    </w:p>
    <w:p>
      <w:pPr>
        <w:pStyle w:val="13"/>
        <w:spacing w:line="1000" w:lineRule="exact"/>
        <w:rPr>
          <w:rStyle w:val="19"/>
          <w:rFonts w:hint="eastAsia" w:ascii="仿宋" w:hAnsi="仿宋" w:eastAsia="仿宋" w:cs="仿宋"/>
          <w:bCs w:val="0"/>
          <w:color w:val="auto"/>
          <w:sz w:val="21"/>
          <w:szCs w:val="21"/>
          <w:lang w:val="en-US" w:eastAsia="zh-CN"/>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"_Toc246826104#_Toc246826104" </w:instrText>
      </w:r>
      <w:r>
        <w:rPr>
          <w:color w:val="auto"/>
        </w:rPr>
        <w:fldChar w:fldCharType="separate"/>
      </w:r>
      <w:r>
        <w:rPr>
          <w:rStyle w:val="19"/>
          <w:rFonts w:hint="eastAsia" w:ascii="仿宋" w:hAnsi="仿宋" w:eastAsia="仿宋" w:cs="仿宋"/>
          <w:bCs w:val="0"/>
          <w:color w:val="auto"/>
          <w:sz w:val="21"/>
          <w:szCs w:val="21"/>
        </w:rPr>
        <w:t>第二章  采购需求………………………………………………………</w:t>
      </w:r>
      <w:r>
        <w:rPr>
          <w:rStyle w:val="19"/>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……………4-1</w:t>
      </w:r>
      <w:r>
        <w:rPr>
          <w:rFonts w:hint="eastAsia" w:ascii="仿宋" w:hAnsi="仿宋" w:eastAsia="仿宋" w:cs="仿宋"/>
          <w:bCs w:val="0"/>
          <w:color w:val="auto"/>
          <w:sz w:val="21"/>
          <w:szCs w:val="21"/>
          <w:lang w:val="en-US" w:eastAsia="zh-CN"/>
        </w:rPr>
        <w:t>2</w:t>
      </w:r>
    </w:p>
    <w:p>
      <w:pPr>
        <w:pStyle w:val="13"/>
        <w:tabs>
          <w:tab w:val="right" w:leader="dot" w:pos="8820"/>
          <w:tab w:val="clear" w:pos="8393"/>
        </w:tabs>
        <w:spacing w:line="1000" w:lineRule="exact"/>
        <w:rPr>
          <w:rFonts w:hint="default" w:ascii="仿宋" w:hAnsi="仿宋" w:eastAsia="仿宋" w:cs="仿宋"/>
          <w:color w:val="auto"/>
          <w:sz w:val="21"/>
          <w:szCs w:val="21"/>
          <w:lang w:val="en-US" w:eastAsia="zh-CN"/>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"_Toc246826105#_Toc246826105" </w:instrText>
      </w:r>
      <w:r>
        <w:rPr>
          <w:color w:val="auto"/>
        </w:rPr>
        <w:fldChar w:fldCharType="separate"/>
      </w:r>
      <w:r>
        <w:rPr>
          <w:rStyle w:val="19"/>
          <w:rFonts w:hint="eastAsia" w:ascii="仿宋" w:hAnsi="仿宋" w:eastAsia="仿宋" w:cs="仿宋"/>
          <w:bCs w:val="0"/>
          <w:color w:val="auto"/>
          <w:sz w:val="21"/>
          <w:szCs w:val="21"/>
        </w:rPr>
        <w:t>第三章  投标人须知……………………………………………………</w:t>
      </w:r>
      <w:r>
        <w:rPr>
          <w:rStyle w:val="19"/>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w:t>
      </w:r>
      <w:r>
        <w:rPr>
          <w:rFonts w:hint="eastAsia" w:ascii="仿宋" w:hAnsi="仿宋" w:eastAsia="仿宋" w:cs="仿宋"/>
          <w:bCs w:val="0"/>
          <w:color w:val="auto"/>
          <w:sz w:val="21"/>
          <w:szCs w:val="21"/>
          <w:lang w:val="en-US" w:eastAsia="zh-CN"/>
        </w:rPr>
        <w:t>3</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val="en-US" w:eastAsia="zh-CN"/>
        </w:rPr>
        <w:t>28</w:t>
      </w:r>
    </w:p>
    <w:p>
      <w:pPr>
        <w:pStyle w:val="13"/>
        <w:spacing w:line="1000" w:lineRule="exact"/>
        <w:rPr>
          <w:rStyle w:val="19"/>
          <w:rFonts w:hint="eastAsia" w:ascii="仿宋" w:hAnsi="仿宋" w:eastAsia="仿宋" w:cs="仿宋"/>
          <w:bCs w:val="0"/>
          <w:color w:val="auto"/>
          <w:sz w:val="21"/>
          <w:szCs w:val="21"/>
          <w:lang w:val="en-US" w:eastAsia="zh-CN"/>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"_Toc246826115#_Toc246826115" </w:instrText>
      </w:r>
      <w:r>
        <w:rPr>
          <w:color w:val="auto"/>
        </w:rPr>
        <w:fldChar w:fldCharType="separate"/>
      </w:r>
      <w:r>
        <w:rPr>
          <w:rStyle w:val="19"/>
          <w:rFonts w:hint="eastAsia" w:ascii="仿宋" w:hAnsi="仿宋" w:eastAsia="仿宋" w:cs="仿宋"/>
          <w:bCs w:val="0"/>
          <w:color w:val="auto"/>
          <w:sz w:val="21"/>
          <w:szCs w:val="21"/>
        </w:rPr>
        <w:t>第四章  资格审查标准……………………………………………</w:t>
      </w:r>
      <w:r>
        <w:rPr>
          <w:rStyle w:val="19"/>
          <w:rFonts w:hint="eastAsia" w:ascii="仿宋" w:hAnsi="仿宋" w:eastAsia="仿宋" w:cs="仿宋"/>
          <w:bCs w:val="0"/>
          <w:color w:val="auto"/>
          <w:sz w:val="21"/>
          <w:szCs w:val="21"/>
        </w:rPr>
        <w:fldChar w:fldCharType="end"/>
      </w:r>
      <w:r>
        <w:rPr>
          <w:rStyle w:val="19"/>
          <w:rFonts w:hint="eastAsia" w:ascii="仿宋" w:hAnsi="仿宋" w:eastAsia="仿宋" w:cs="仿宋"/>
          <w:bCs w:val="0"/>
          <w:color w:val="auto"/>
          <w:sz w:val="21"/>
          <w:szCs w:val="21"/>
        </w:rPr>
        <w:t>…………………</w:t>
      </w:r>
      <w:r>
        <w:rPr>
          <w:rStyle w:val="19"/>
          <w:rFonts w:hint="eastAsia" w:ascii="仿宋" w:hAnsi="仿宋" w:eastAsia="仿宋" w:cs="仿宋"/>
          <w:bCs w:val="0"/>
          <w:color w:val="auto"/>
          <w:sz w:val="21"/>
          <w:szCs w:val="21"/>
          <w:lang w:val="en-US" w:eastAsia="zh-CN"/>
        </w:rPr>
        <w:t>29</w:t>
      </w:r>
      <w:r>
        <w:rPr>
          <w:rStyle w:val="19"/>
          <w:rFonts w:hint="eastAsia" w:ascii="仿宋" w:hAnsi="仿宋" w:eastAsia="仿宋" w:cs="仿宋"/>
          <w:bCs w:val="0"/>
          <w:color w:val="auto"/>
          <w:sz w:val="21"/>
          <w:szCs w:val="21"/>
        </w:rPr>
        <w:t>-3</w:t>
      </w:r>
      <w:r>
        <w:rPr>
          <w:rStyle w:val="19"/>
          <w:rFonts w:hint="eastAsia" w:ascii="仿宋" w:hAnsi="仿宋" w:eastAsia="仿宋" w:cs="仿宋"/>
          <w:bCs w:val="0"/>
          <w:color w:val="auto"/>
          <w:sz w:val="21"/>
          <w:szCs w:val="21"/>
          <w:lang w:val="en-US" w:eastAsia="zh-CN"/>
        </w:rPr>
        <w:t>3</w:t>
      </w:r>
    </w:p>
    <w:p>
      <w:pPr>
        <w:pStyle w:val="13"/>
        <w:spacing w:line="1000" w:lineRule="exact"/>
        <w:rPr>
          <w:rStyle w:val="19"/>
          <w:rFonts w:hint="eastAsia" w:ascii="仿宋" w:hAnsi="仿宋" w:eastAsia="仿宋" w:cs="仿宋"/>
          <w:bCs w:val="0"/>
          <w:color w:val="auto"/>
          <w:sz w:val="21"/>
          <w:szCs w:val="21"/>
          <w:lang w:val="en-US" w:eastAsia="zh-CN"/>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"_Toc246826118#_Toc246826118" </w:instrText>
      </w:r>
      <w:r>
        <w:rPr>
          <w:color w:val="auto"/>
        </w:rPr>
        <w:fldChar w:fldCharType="separate"/>
      </w:r>
      <w:r>
        <w:rPr>
          <w:rStyle w:val="19"/>
          <w:rFonts w:hint="eastAsia" w:ascii="仿宋" w:hAnsi="仿宋" w:eastAsia="仿宋" w:cs="仿宋"/>
          <w:bCs w:val="0"/>
          <w:color w:val="auto"/>
          <w:sz w:val="21"/>
          <w:szCs w:val="21"/>
        </w:rPr>
        <w:t>第五章  政府采购合同格式………………………………………</w:t>
      </w:r>
      <w:r>
        <w:rPr>
          <w:rStyle w:val="19"/>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…………………3</w:t>
      </w:r>
      <w:r>
        <w:rPr>
          <w:rFonts w:hint="eastAsia" w:ascii="仿宋" w:hAnsi="仿宋" w:eastAsia="仿宋" w:cs="仿宋"/>
          <w:bCs w:val="0"/>
          <w:color w:val="auto"/>
          <w:sz w:val="21"/>
          <w:szCs w:val="21"/>
          <w:lang w:val="en-US" w:eastAsia="zh-CN"/>
        </w:rPr>
        <w:t>4</w:t>
      </w: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5</w:t>
      </w:r>
    </w:p>
    <w:p>
      <w:pPr>
        <w:spacing w:line="1000" w:lineRule="exact"/>
        <w:rPr>
          <w:rFonts w:hint="default" w:ascii="微软雅黑" w:hAnsi="微软雅黑" w:eastAsia="仿宋" w:cs="微软雅黑"/>
          <w:b/>
          <w:color w:val="auto"/>
          <w:spacing w:val="40"/>
          <w:szCs w:val="21"/>
          <w:lang w:val="en-US" w:eastAsia="zh-CN"/>
        </w:rPr>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pPr>
      <w:r>
        <w:rPr>
          <w:rFonts w:hint="eastAsia" w:ascii="仿宋" w:hAnsi="仿宋" w:eastAsia="仿宋" w:cs="仿宋"/>
          <w:b/>
          <w:bCs/>
          <w:color w:val="auto"/>
          <w:szCs w:val="21"/>
        </w:rPr>
        <w:fldChar w:fldCharType="end"/>
      </w: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"_Toc246826118#_Toc246826118" </w:instrText>
      </w:r>
      <w:r>
        <w:rPr>
          <w:color w:val="auto"/>
        </w:rPr>
        <w:fldChar w:fldCharType="separate"/>
      </w:r>
      <w:r>
        <w:rPr>
          <w:rStyle w:val="19"/>
          <w:rFonts w:hint="eastAsia" w:ascii="仿宋" w:hAnsi="仿宋" w:eastAsia="仿宋" w:cs="仿宋"/>
          <w:b/>
          <w:bCs/>
          <w:color w:val="auto"/>
          <w:szCs w:val="21"/>
        </w:rPr>
        <w:t>第六章  投标文件格式及附件……………………………………………</w:t>
      </w:r>
      <w:r>
        <w:rPr>
          <w:rStyle w:val="19"/>
          <w:rFonts w:hint="eastAsia" w:ascii="仿宋" w:hAnsi="仿宋" w:eastAsia="仿宋" w:cs="仿宋"/>
          <w:b/>
          <w:bCs/>
          <w:color w:val="auto"/>
          <w:szCs w:val="21"/>
        </w:rPr>
        <w:fldChar w:fldCharType="end"/>
      </w:r>
      <w:r>
        <w:rPr>
          <w:rFonts w:hint="eastAsia" w:ascii="仿宋" w:hAnsi="仿宋" w:eastAsia="仿宋" w:cs="仿宋"/>
          <w:b/>
          <w:bCs/>
          <w:color w:val="auto"/>
          <w:szCs w:val="21"/>
        </w:rPr>
        <w:t>…………</w:t>
      </w:r>
      <w:r>
        <w:rPr>
          <w:rFonts w:hint="eastAsia" w:ascii="仿宋" w:hAnsi="仿宋" w:eastAsia="仿宋" w:cs="仿宋"/>
          <w:b/>
          <w:bCs/>
          <w:color w:val="auto"/>
          <w:szCs w:val="21"/>
          <w:lang w:val="en-US" w:eastAsia="zh-CN"/>
        </w:rPr>
        <w:t>36</w:t>
      </w:r>
      <w:r>
        <w:rPr>
          <w:rFonts w:hint="eastAsia" w:ascii="仿宋" w:hAnsi="仿宋" w:eastAsia="仿宋" w:cs="仿宋"/>
          <w:b/>
          <w:bCs/>
          <w:color w:val="auto"/>
          <w:szCs w:val="21"/>
        </w:rPr>
        <w:t>-</w:t>
      </w:r>
      <w:r>
        <w:rPr>
          <w:rFonts w:hint="eastAsia" w:ascii="仿宋" w:hAnsi="仿宋" w:eastAsia="仿宋" w:cs="仿宋"/>
          <w:b/>
          <w:bCs/>
          <w:color w:val="auto"/>
          <w:szCs w:val="21"/>
          <w:lang w:val="en-US" w:eastAsia="zh-CN"/>
        </w:rPr>
        <w:t>46</w:t>
      </w:r>
    </w:p>
    <w:p>
      <w:pPr>
        <w:pStyle w:val="9"/>
        <w:spacing w:line="500" w:lineRule="exact"/>
        <w:ind w:firstLine="602" w:firstLineChars="200"/>
        <w:jc w:val="center"/>
        <w:outlineLvl w:val="0"/>
        <w:rPr>
          <w:rFonts w:ascii="仿宋_GB2312" w:hAnsi="仿宋_GB2312" w:eastAsia="仿宋_GB2312" w:cs="仿宋_GB2312"/>
          <w:b/>
          <w:color w:val="auto"/>
          <w:sz w:val="30"/>
          <w:szCs w:val="30"/>
        </w:rPr>
      </w:pPr>
      <w:bookmarkStart w:id="12" w:name="_Toc28359079"/>
      <w:bookmarkStart w:id="13" w:name="_Toc35393621"/>
      <w:bookmarkStart w:id="14" w:name="_Toc35393790"/>
      <w:bookmarkStart w:id="15" w:name="_Toc28359002"/>
      <w:bookmarkStart w:id="16" w:name="_Hlk24379207"/>
      <w:r>
        <w:rPr>
          <w:rFonts w:hint="eastAsia" w:ascii="仿宋_GB2312" w:hAnsi="仿宋_GB2312" w:eastAsia="仿宋_GB2312" w:cs="仿宋_GB2312"/>
          <w:b/>
          <w:color w:val="auto"/>
          <w:sz w:val="30"/>
          <w:szCs w:val="30"/>
        </w:rPr>
        <w:t>第一章  投标邀请</w:t>
      </w:r>
    </w:p>
    <w:p>
      <w:pPr>
        <w:pStyle w:val="9"/>
        <w:spacing w:line="500" w:lineRule="exact"/>
        <w:ind w:firstLine="482" w:firstLineChars="200"/>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海口市疾病预防控制中心2021-2022物业管理项目招标项目的潜在投标人应登录海口市公共资源交易中心（http://ggzy.haikou.gov.cn）网站主页,选择“政府采购-交易公告”专栏查看采购公告，免费下载项目采购文件，并于2021年</w:t>
      </w:r>
      <w:r>
        <w:rPr>
          <w:rFonts w:hint="eastAsia" w:ascii="仿宋_GB2312" w:hAnsi="宋体" w:eastAsia="仿宋_GB2312"/>
          <w:b/>
          <w:color w:val="auto"/>
          <w:sz w:val="24"/>
          <w:szCs w:val="22"/>
          <w:lang w:val="en-US" w:eastAsia="zh-CN"/>
        </w:rPr>
        <w:t>2</w:t>
      </w:r>
      <w:r>
        <w:rPr>
          <w:rFonts w:hint="eastAsia" w:ascii="仿宋_GB2312" w:hAnsi="宋体" w:eastAsia="仿宋_GB2312"/>
          <w:b/>
          <w:color w:val="auto"/>
          <w:sz w:val="24"/>
          <w:szCs w:val="22"/>
        </w:rPr>
        <w:t>月</w:t>
      </w:r>
      <w:r>
        <w:rPr>
          <w:rFonts w:hint="eastAsia" w:ascii="仿宋_GB2312" w:hAnsi="宋体" w:eastAsia="仿宋_GB2312"/>
          <w:b/>
          <w:color w:val="auto"/>
          <w:sz w:val="24"/>
          <w:szCs w:val="22"/>
          <w:lang w:val="en-US" w:eastAsia="zh-CN"/>
        </w:rPr>
        <w:t>8</w:t>
      </w:r>
      <w:r>
        <w:rPr>
          <w:rFonts w:hint="eastAsia" w:ascii="仿宋_GB2312" w:hAnsi="宋体" w:eastAsia="仿宋_GB2312"/>
          <w:b/>
          <w:color w:val="auto"/>
          <w:sz w:val="24"/>
          <w:szCs w:val="22"/>
        </w:rPr>
        <w:t>日</w:t>
      </w:r>
      <w:r>
        <w:rPr>
          <w:rFonts w:hint="eastAsia" w:ascii="仿宋_GB2312" w:hAnsi="宋体" w:eastAsia="仿宋_GB2312"/>
          <w:b/>
          <w:color w:val="auto"/>
          <w:sz w:val="24"/>
          <w:szCs w:val="22"/>
          <w:lang w:val="en-US" w:eastAsia="zh-CN"/>
        </w:rPr>
        <w:t>10</w:t>
      </w:r>
      <w:r>
        <w:rPr>
          <w:rFonts w:hint="eastAsia" w:ascii="仿宋_GB2312" w:hAnsi="宋体" w:eastAsia="仿宋_GB2312"/>
          <w:b/>
          <w:color w:val="auto"/>
          <w:sz w:val="24"/>
          <w:szCs w:val="22"/>
        </w:rPr>
        <w:t>时</w:t>
      </w:r>
      <w:r>
        <w:rPr>
          <w:rFonts w:hint="eastAsia" w:ascii="仿宋_GB2312" w:hAnsi="宋体" w:eastAsia="仿宋_GB2312"/>
          <w:b/>
          <w:color w:val="auto"/>
          <w:sz w:val="24"/>
          <w:szCs w:val="22"/>
          <w:lang w:val="en-US" w:eastAsia="zh-CN"/>
        </w:rPr>
        <w:t>00</w:t>
      </w:r>
      <w:bookmarkStart w:id="137" w:name="_GoBack"/>
      <w:bookmarkEnd w:id="137"/>
      <w:r>
        <w:rPr>
          <w:rFonts w:hint="eastAsia" w:ascii="仿宋_GB2312" w:hAnsi="宋体" w:eastAsia="仿宋_GB2312"/>
          <w:b/>
          <w:color w:val="auto"/>
          <w:sz w:val="24"/>
          <w:szCs w:val="22"/>
        </w:rPr>
        <w:t>分（北京时间）前提交投标文件。</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一、项目基本情况</w:t>
      </w:r>
      <w:bookmarkEnd w:id="12"/>
      <w:bookmarkEnd w:id="13"/>
      <w:bookmarkEnd w:id="14"/>
      <w:bookmarkEnd w:id="15"/>
    </w:p>
    <w:p>
      <w:pPr>
        <w:pStyle w:val="9"/>
        <w:spacing w:line="500" w:lineRule="exact"/>
        <w:jc w:val="left"/>
        <w:outlineLvl w:val="0"/>
        <w:rPr>
          <w:rFonts w:ascii="仿宋_GB2312" w:hAnsi="宋体" w:eastAsia="仿宋_GB2312"/>
          <w:b/>
          <w:color w:val="auto"/>
          <w:sz w:val="24"/>
          <w:szCs w:val="22"/>
        </w:rPr>
      </w:pPr>
      <w:r>
        <w:rPr>
          <w:rFonts w:hint="eastAsia" w:ascii="仿宋_GB2312" w:hAnsi="仿宋_GB2312" w:eastAsia="仿宋_GB2312" w:cs="仿宋_GB2312"/>
          <w:b/>
          <w:color w:val="auto"/>
          <w:sz w:val="24"/>
          <w:szCs w:val="24"/>
        </w:rPr>
        <w:t>项目编号：</w:t>
      </w:r>
      <w:r>
        <w:rPr>
          <w:rFonts w:hint="eastAsia" w:ascii="仿宋_GB2312" w:hAnsi="宋体" w:eastAsia="仿宋_GB2312"/>
          <w:b/>
          <w:color w:val="auto"/>
          <w:sz w:val="24"/>
          <w:szCs w:val="22"/>
        </w:rPr>
        <w:t>HKGP-2020-0030</w:t>
      </w:r>
    </w:p>
    <w:p>
      <w:pPr>
        <w:pStyle w:val="9"/>
        <w:spacing w:line="500" w:lineRule="exact"/>
        <w:jc w:val="left"/>
        <w:outlineLvl w:val="0"/>
        <w:rPr>
          <w:rFonts w:ascii="仿宋_GB2312" w:hAnsi="宋体" w:eastAsia="仿宋_GB2312"/>
          <w:b/>
          <w:color w:val="auto"/>
          <w:sz w:val="24"/>
          <w:szCs w:val="22"/>
        </w:rPr>
      </w:pPr>
      <w:r>
        <w:rPr>
          <w:rFonts w:hint="eastAsia" w:ascii="仿宋_GB2312" w:hAnsi="仿宋_GB2312" w:eastAsia="仿宋_GB2312" w:cs="仿宋_GB2312"/>
          <w:b/>
          <w:color w:val="auto"/>
          <w:sz w:val="24"/>
          <w:szCs w:val="24"/>
        </w:rPr>
        <w:t>项目名称：</w:t>
      </w:r>
      <w:bookmarkEnd w:id="16"/>
      <w:r>
        <w:rPr>
          <w:rFonts w:hint="eastAsia" w:ascii="仿宋_GB2312" w:hAnsi="宋体" w:eastAsia="仿宋_GB2312"/>
          <w:b/>
          <w:color w:val="auto"/>
          <w:sz w:val="24"/>
          <w:szCs w:val="22"/>
        </w:rPr>
        <w:t>海口市疾病预防控制中心2021-2022物业管理项目</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预算金额：4809252.00元（两年）</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采购需求：（包括但不限于标的的名称、数量、简要技术需求或服务要求等）</w:t>
      </w:r>
    </w:p>
    <w:tbl>
      <w:tblPr>
        <w:tblStyle w:val="16"/>
        <w:tblW w:w="8160" w:type="dxa"/>
        <w:tblInd w:w="-246" w:type="dxa"/>
        <w:tblLayout w:type="fixed"/>
        <w:tblCellMar>
          <w:top w:w="0" w:type="dxa"/>
          <w:left w:w="0" w:type="dxa"/>
          <w:bottom w:w="0" w:type="dxa"/>
          <w:right w:w="0" w:type="dxa"/>
        </w:tblCellMar>
      </w:tblPr>
      <w:tblGrid>
        <w:gridCol w:w="679"/>
        <w:gridCol w:w="5970"/>
        <w:gridCol w:w="1511"/>
      </w:tblGrid>
      <w:tr>
        <w:tblPrEx>
          <w:tblLayout w:type="fixed"/>
          <w:tblCellMar>
            <w:top w:w="0" w:type="dxa"/>
            <w:left w:w="0" w:type="dxa"/>
            <w:bottom w:w="0" w:type="dxa"/>
            <w:right w:w="0" w:type="dxa"/>
          </w:tblCellMar>
        </w:tblPrEx>
        <w:trPr>
          <w:trHeight w:val="90" w:hRule="atLeast"/>
        </w:trPr>
        <w:tc>
          <w:tcPr>
            <w:tcW w:w="6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序号</w:t>
            </w:r>
          </w:p>
        </w:tc>
        <w:tc>
          <w:tcPr>
            <w:tcW w:w="59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采购内容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数量/单位</w:t>
            </w:r>
          </w:p>
        </w:tc>
      </w:tr>
      <w:tr>
        <w:tblPrEx>
          <w:tblLayout w:type="fixed"/>
          <w:tblCellMar>
            <w:top w:w="0" w:type="dxa"/>
            <w:left w:w="0" w:type="dxa"/>
            <w:bottom w:w="0" w:type="dxa"/>
            <w:right w:w="0" w:type="dxa"/>
          </w:tblCellMar>
        </w:tblPrEx>
        <w:trPr>
          <w:trHeight w:val="592" w:hRule="atLeast"/>
        </w:trPr>
        <w:tc>
          <w:tcPr>
            <w:tcW w:w="67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w:t>
            </w:r>
          </w:p>
        </w:tc>
        <w:tc>
          <w:tcPr>
            <w:tcW w:w="5970"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auto"/>
                <w:sz w:val="24"/>
                <w:szCs w:val="24"/>
              </w:rPr>
            </w:pPr>
            <w:r>
              <w:rPr>
                <w:rFonts w:hint="eastAsia" w:ascii="仿宋_GB2312" w:hAnsi="宋体" w:eastAsia="仿宋_GB2312"/>
                <w:b/>
                <w:color w:val="auto"/>
                <w:sz w:val="24"/>
                <w:szCs w:val="22"/>
              </w:rPr>
              <w:t>海口市疾病预防控制中心2021-2022物业管理项目</w:t>
            </w:r>
          </w:p>
        </w:tc>
        <w:tc>
          <w:tcPr>
            <w:tcW w:w="1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1家</w:t>
            </w:r>
          </w:p>
        </w:tc>
      </w:tr>
    </w:tbl>
    <w:p>
      <w:pPr>
        <w:pStyle w:val="9"/>
        <w:spacing w:line="500" w:lineRule="exact"/>
        <w:jc w:val="left"/>
        <w:outlineLvl w:val="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合同履行期限：</w:t>
      </w:r>
      <w:r>
        <w:rPr>
          <w:rFonts w:hint="eastAsia" w:ascii="仿宋_GB2312" w:hAnsi="仿宋_GB2312" w:eastAsia="仿宋_GB2312" w:cs="仿宋_GB2312"/>
          <w:b/>
          <w:color w:val="auto"/>
          <w:sz w:val="24"/>
          <w:szCs w:val="24"/>
          <w:lang w:eastAsia="zh-CN"/>
        </w:rPr>
        <w:t>自合同签订之日起</w:t>
      </w:r>
      <w:r>
        <w:rPr>
          <w:rFonts w:hint="eastAsia" w:ascii="仿宋_GB2312" w:hAnsi="仿宋_GB2312" w:eastAsia="仿宋_GB2312" w:cs="仿宋_GB2312"/>
          <w:b/>
          <w:color w:val="auto"/>
          <w:sz w:val="24"/>
          <w:szCs w:val="24"/>
        </w:rPr>
        <w:t>两年。</w:t>
      </w:r>
    </w:p>
    <w:p>
      <w:pPr>
        <w:pStyle w:val="9"/>
        <w:spacing w:line="500" w:lineRule="exact"/>
        <w:jc w:val="left"/>
        <w:outlineLvl w:val="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付款方式：</w:t>
      </w:r>
      <w:bookmarkStart w:id="17" w:name="_Toc35393622"/>
      <w:bookmarkStart w:id="18" w:name="_Toc35393791"/>
      <w:bookmarkStart w:id="19" w:name="_Toc28359080"/>
      <w:bookmarkStart w:id="20" w:name="_Toc28359003"/>
    </w:p>
    <w:p>
      <w:pPr>
        <w:pStyle w:val="9"/>
        <w:numPr>
          <w:ilvl w:val="0"/>
          <w:numId w:val="1"/>
        </w:numPr>
        <w:spacing w:line="500" w:lineRule="exact"/>
        <w:jc w:val="left"/>
        <w:outlineLvl w:val="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物业管理服务费最终以政府采购中标价格为准，实行全年包干制，按月支付。</w:t>
      </w:r>
    </w:p>
    <w:p>
      <w:pPr>
        <w:pStyle w:val="9"/>
        <w:numPr>
          <w:ilvl w:val="0"/>
          <w:numId w:val="1"/>
        </w:numPr>
        <w:spacing w:line="500" w:lineRule="exact"/>
        <w:jc w:val="left"/>
        <w:outlineLvl w:val="0"/>
        <w:rPr>
          <w:rFonts w:hint="eastAsia" w:ascii="仿宋_GB2312" w:hAnsi="仿宋_GB2312" w:eastAsia="仿宋_GB2312" w:cs="仿宋_GB2312"/>
          <w:b/>
          <w:color w:val="auto"/>
          <w:sz w:val="24"/>
          <w:szCs w:val="24"/>
        </w:rPr>
      </w:pPr>
      <w:r>
        <w:rPr>
          <w:rFonts w:hint="eastAsia" w:ascii="仿宋_GB2312" w:hAnsi="宋体" w:eastAsia="仿宋_GB2312"/>
          <w:b/>
          <w:color w:val="auto"/>
          <w:sz w:val="24"/>
          <w:szCs w:val="22"/>
        </w:rPr>
        <w:t>海口市疾控中心物业管理服务招标服务费支付方式：每月底由甲方对乙方的服务质量进行考评，甲方在5个工作日内向乙方支付上个月的物业服务费，乙方给甲方开具税务发票，税费由乙方承担。</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二、投标人的资格要求：</w:t>
      </w:r>
      <w:bookmarkEnd w:id="17"/>
      <w:bookmarkEnd w:id="18"/>
      <w:bookmarkEnd w:id="19"/>
      <w:bookmarkEnd w:id="20"/>
    </w:p>
    <w:p>
      <w:pPr>
        <w:pStyle w:val="9"/>
        <w:spacing w:line="500" w:lineRule="exact"/>
        <w:jc w:val="left"/>
        <w:outlineLvl w:val="0"/>
        <w:rPr>
          <w:rFonts w:ascii="仿宋_GB2312" w:hAnsi="宋体" w:eastAsia="仿宋_GB2312"/>
          <w:b/>
          <w:color w:val="auto"/>
          <w:sz w:val="24"/>
          <w:szCs w:val="22"/>
        </w:rPr>
      </w:pPr>
      <w:bookmarkStart w:id="21" w:name="_Toc28359081"/>
      <w:bookmarkStart w:id="22" w:name="_Toc28359004"/>
      <w:bookmarkStart w:id="23" w:name="_Toc35393792"/>
      <w:bookmarkStart w:id="24" w:name="_Toc35393623"/>
      <w:r>
        <w:rPr>
          <w:rFonts w:hint="eastAsia" w:ascii="仿宋_GB2312" w:hAnsi="宋体" w:eastAsia="仿宋_GB2312"/>
          <w:b/>
          <w:color w:val="auto"/>
          <w:sz w:val="24"/>
          <w:szCs w:val="22"/>
        </w:rPr>
        <w:t>1.满足《中华人民共和国政府采购法》第二十二条规定；</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2.落实政府采购政策需满足的资格要求：无</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3.符合采购人根据采购项目实际情况要求的特定资格条件和其他法律法规规定的条件，具体如下：</w:t>
      </w:r>
    </w:p>
    <w:p>
      <w:pPr>
        <w:spacing w:line="480" w:lineRule="exact"/>
        <w:rPr>
          <w:rFonts w:ascii="仿宋_GB2312" w:hAnsi="宋体" w:eastAsia="仿宋_GB2312"/>
          <w:b/>
          <w:color w:val="auto"/>
          <w:sz w:val="24"/>
          <w:szCs w:val="22"/>
        </w:rPr>
      </w:pPr>
      <w:r>
        <w:rPr>
          <w:rFonts w:hint="eastAsia" w:ascii="仿宋_GB2312" w:hAnsi="宋体" w:eastAsia="仿宋_GB2312"/>
          <w:b/>
          <w:color w:val="auto"/>
          <w:sz w:val="24"/>
          <w:szCs w:val="22"/>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bookmarkStart w:id="25" w:name="_Toc448392462"/>
    </w:p>
    <w:bookmarkEnd w:id="25"/>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4.本项目不允许联合体投标。</w:t>
      </w:r>
    </w:p>
    <w:p>
      <w:pPr>
        <w:pStyle w:val="9"/>
        <w:spacing w:line="500" w:lineRule="exact"/>
        <w:jc w:val="left"/>
        <w:outlineLvl w:val="0"/>
        <w:rPr>
          <w:rFonts w:ascii="仿宋_GB2312" w:hAnsi="仿宋_GB2312" w:eastAsia="仿宋_GB2312" w:cs="仿宋_GB2312"/>
          <w:b/>
          <w:color w:val="auto"/>
          <w:sz w:val="24"/>
          <w:szCs w:val="24"/>
        </w:rPr>
      </w:pPr>
    </w:p>
    <w:p>
      <w:pPr>
        <w:pStyle w:val="9"/>
        <w:spacing w:line="500" w:lineRule="exact"/>
        <w:jc w:val="left"/>
        <w:outlineLvl w:val="0"/>
        <w:rPr>
          <w:rFonts w:ascii="仿宋_GB2312" w:hAnsi="仿宋_GB2312" w:eastAsia="仿宋_GB2312" w:cs="仿宋_GB2312"/>
          <w:b/>
          <w:color w:val="auto"/>
          <w:sz w:val="24"/>
          <w:szCs w:val="24"/>
        </w:rPr>
      </w:pP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三、</w:t>
      </w:r>
      <w:bookmarkEnd w:id="21"/>
      <w:bookmarkEnd w:id="22"/>
      <w:bookmarkEnd w:id="23"/>
      <w:bookmarkEnd w:id="24"/>
      <w:r>
        <w:rPr>
          <w:rFonts w:hint="eastAsia" w:ascii="仿宋_GB2312" w:hAnsi="仿宋_GB2312" w:eastAsia="仿宋_GB2312" w:cs="仿宋_GB2312"/>
          <w:b/>
          <w:color w:val="auto"/>
          <w:sz w:val="24"/>
          <w:szCs w:val="24"/>
        </w:rPr>
        <w:t>投标程序及采购文件获取办法</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1、查看采购公告及下载采购文件。登录海口市公共资源交易网（http://ggzy.haikou.gov.cn）网站主页,选择“政府采购-交易公告”专栏查看采购公告，免费下载项目采购文件。</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2、市场主体登记。新用户在海南省公共资源交易中心按照要求登记注册（http://zw.hainan.gov.cn/ggzy/ggzy/jyzn/63369.jhtml），已经在海南省或海口市公共资源交易网登记过的，无须再登记。</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四、投标截止时间、开标时间及地点:</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1、递交投标文件截止时间：2021年</w:t>
      </w: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8</w:t>
      </w:r>
      <w:r>
        <w:rPr>
          <w:rFonts w:hint="eastAsia" w:ascii="仿宋_GB2312" w:hAnsi="仿宋_GB2312" w:eastAsia="仿宋_GB2312" w:cs="仿宋_GB2312"/>
          <w:b/>
          <w:color w:val="auto"/>
          <w:sz w:val="24"/>
          <w:szCs w:val="24"/>
        </w:rPr>
        <w:t>日上午</w:t>
      </w: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:00（北京时间）；</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2、开标时间：2021年</w:t>
      </w: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8</w:t>
      </w:r>
      <w:r>
        <w:rPr>
          <w:rFonts w:hint="eastAsia" w:ascii="仿宋_GB2312" w:hAnsi="仿宋_GB2312" w:eastAsia="仿宋_GB2312" w:cs="仿宋_GB2312"/>
          <w:b/>
          <w:color w:val="auto"/>
          <w:sz w:val="24"/>
          <w:szCs w:val="24"/>
        </w:rPr>
        <w:t>日上午</w:t>
      </w: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:00 （北京时间）；</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3、递交投标文件及开标地点:海口市公共资源交易中心开标会议室（海口市海甸五西路28号建安大厦副楼开标室会议室）（详见会议室门前标识）,如有变动另行通知；</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4、逾期送达或者未送达指定地点的投标文件，视为无效投标文件不予接收。</w:t>
      </w:r>
    </w:p>
    <w:p>
      <w:pPr>
        <w:pStyle w:val="9"/>
        <w:spacing w:line="500" w:lineRule="exact"/>
        <w:jc w:val="left"/>
        <w:outlineLvl w:val="0"/>
        <w:rPr>
          <w:rFonts w:ascii="仿宋_GB2312" w:hAnsi="仿宋_GB2312" w:eastAsia="仿宋_GB2312" w:cs="仿宋_GB2312"/>
          <w:b/>
          <w:color w:val="auto"/>
          <w:sz w:val="24"/>
          <w:szCs w:val="24"/>
        </w:rPr>
      </w:pPr>
      <w:bookmarkStart w:id="26" w:name="_Toc28359084"/>
      <w:bookmarkStart w:id="27" w:name="_Toc35393794"/>
      <w:bookmarkStart w:id="28" w:name="_Toc35393625"/>
      <w:bookmarkStart w:id="29" w:name="_Toc28359007"/>
      <w:r>
        <w:rPr>
          <w:rFonts w:hint="eastAsia" w:ascii="仿宋_GB2312" w:hAnsi="仿宋_GB2312" w:eastAsia="仿宋_GB2312" w:cs="仿宋_GB2312"/>
          <w:b/>
          <w:color w:val="auto"/>
          <w:sz w:val="24"/>
          <w:szCs w:val="24"/>
        </w:rPr>
        <w:t>五、采购信息发布媒体</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1、本项目采购信息指定发布媒体为海南省政府采购网（http://www.ccgp-hainan.gov.cn）和海口市公共资源交易网（http://ggzy.haikou.gov.cn）。</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2、采购文件下载网址海口市公共资源交易网（http://ggzy.haikou.gov.cn）。</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 xml:space="preserve">3、有关本项目采购文件的补遗、澄清及变更信息以上述网站公告与下载为准，采购代理机构不再另行通知，采购文件与更正公告的内容相互矛盾时，以最后发出的更正公告内容为准。 </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六、公告期限、确认投标期限和投标保证金到账截止日期</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1、本项目采购公告及确认投标期限不少于5个工作日，自2021年</w:t>
      </w:r>
      <w:r>
        <w:rPr>
          <w:rFonts w:hint="eastAsia" w:ascii="仿宋_GB2312" w:hAnsi="仿宋_GB2312" w:eastAsia="仿宋_GB2312" w:cs="仿宋_GB2312"/>
          <w:b/>
          <w:color w:val="auto"/>
          <w:sz w:val="24"/>
          <w:szCs w:val="24"/>
          <w:lang w:val="en-US" w:eastAsia="zh-CN"/>
        </w:rPr>
        <w:t>1</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19</w:t>
      </w:r>
      <w:r>
        <w:rPr>
          <w:rFonts w:hint="eastAsia" w:ascii="仿宋_GB2312" w:hAnsi="仿宋_GB2312" w:eastAsia="仿宋_GB2312" w:cs="仿宋_GB2312"/>
          <w:b/>
          <w:color w:val="auto"/>
          <w:sz w:val="24"/>
          <w:szCs w:val="24"/>
        </w:rPr>
        <w:t>日零时 至2021年</w:t>
      </w:r>
      <w:r>
        <w:rPr>
          <w:rFonts w:hint="eastAsia" w:ascii="仿宋_GB2312" w:hAnsi="仿宋_GB2312" w:eastAsia="仿宋_GB2312" w:cs="仿宋_GB2312"/>
          <w:b/>
          <w:color w:val="auto"/>
          <w:sz w:val="24"/>
          <w:szCs w:val="24"/>
          <w:lang w:val="en-US" w:eastAsia="zh-CN"/>
        </w:rPr>
        <w:t>1</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25</w:t>
      </w:r>
      <w:r>
        <w:rPr>
          <w:rFonts w:hint="eastAsia" w:ascii="仿宋_GB2312" w:hAnsi="仿宋_GB2312" w:eastAsia="仿宋_GB2312" w:cs="仿宋_GB2312"/>
          <w:b/>
          <w:color w:val="auto"/>
          <w:sz w:val="24"/>
          <w:szCs w:val="24"/>
        </w:rPr>
        <w:t>日24时止。</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2、投标保证金到账截止日期：2021年</w:t>
      </w: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8</w:t>
      </w:r>
      <w:r>
        <w:rPr>
          <w:rFonts w:hint="eastAsia" w:ascii="仿宋_GB2312" w:hAnsi="仿宋_GB2312" w:eastAsia="仿宋_GB2312" w:cs="仿宋_GB2312"/>
          <w:b/>
          <w:color w:val="auto"/>
          <w:sz w:val="24"/>
          <w:szCs w:val="24"/>
        </w:rPr>
        <w:t>日上午</w:t>
      </w: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:00 （北京时间）；</w:t>
      </w:r>
    </w:p>
    <w:bookmarkEnd w:id="26"/>
    <w:bookmarkEnd w:id="27"/>
    <w:bookmarkEnd w:id="28"/>
    <w:bookmarkEnd w:id="29"/>
    <w:p>
      <w:pPr>
        <w:pStyle w:val="9"/>
        <w:spacing w:line="500" w:lineRule="exact"/>
        <w:jc w:val="left"/>
        <w:outlineLvl w:val="0"/>
        <w:rPr>
          <w:rFonts w:ascii="仿宋_GB2312" w:hAnsi="仿宋_GB2312" w:eastAsia="仿宋_GB2312" w:cs="仿宋_GB2312"/>
          <w:b/>
          <w:color w:val="auto"/>
          <w:sz w:val="24"/>
          <w:szCs w:val="24"/>
        </w:rPr>
      </w:pPr>
      <w:bookmarkStart w:id="30" w:name="_Toc35393795"/>
      <w:bookmarkStart w:id="31" w:name="_Toc35393626"/>
      <w:r>
        <w:rPr>
          <w:rFonts w:hint="eastAsia" w:ascii="仿宋_GB2312" w:hAnsi="仿宋_GB2312" w:eastAsia="仿宋_GB2312" w:cs="仿宋_GB2312"/>
          <w:b/>
          <w:color w:val="auto"/>
          <w:sz w:val="24"/>
          <w:szCs w:val="24"/>
        </w:rPr>
        <w:t>七、其他补充事宜</w:t>
      </w:r>
      <w:bookmarkEnd w:id="30"/>
      <w:bookmarkEnd w:id="31"/>
      <w:r>
        <w:rPr>
          <w:rFonts w:hint="eastAsia" w:ascii="仿宋_GB2312" w:hAnsi="仿宋_GB2312" w:eastAsia="仿宋_GB2312" w:cs="仿宋_GB2312"/>
          <w:b/>
          <w:color w:val="auto"/>
          <w:sz w:val="24"/>
          <w:szCs w:val="24"/>
        </w:rPr>
        <w:t>：无</w:t>
      </w:r>
    </w:p>
    <w:p>
      <w:pPr>
        <w:pStyle w:val="9"/>
        <w:spacing w:line="500" w:lineRule="exact"/>
        <w:jc w:val="left"/>
        <w:outlineLvl w:val="0"/>
        <w:rPr>
          <w:rFonts w:ascii="仿宋_GB2312" w:hAnsi="仿宋_GB2312" w:eastAsia="仿宋_GB2312" w:cs="仿宋_GB2312"/>
          <w:b/>
          <w:color w:val="auto"/>
          <w:sz w:val="24"/>
          <w:szCs w:val="24"/>
        </w:rPr>
      </w:pPr>
      <w:bookmarkStart w:id="32" w:name="_Toc28359085"/>
      <w:bookmarkStart w:id="33" w:name="_Toc35393796"/>
      <w:bookmarkStart w:id="34" w:name="_Toc28359008"/>
      <w:bookmarkStart w:id="35" w:name="_Toc35393627"/>
      <w:r>
        <w:rPr>
          <w:rFonts w:hint="eastAsia" w:ascii="仿宋_GB2312" w:hAnsi="仿宋_GB2312" w:eastAsia="仿宋_GB2312" w:cs="仿宋_GB2312"/>
          <w:b/>
          <w:color w:val="auto"/>
          <w:sz w:val="24"/>
          <w:szCs w:val="24"/>
        </w:rPr>
        <w:t>八、对本次招标提出询问，请按以下方式联系。</w:t>
      </w:r>
      <w:bookmarkEnd w:id="32"/>
      <w:bookmarkEnd w:id="33"/>
      <w:bookmarkEnd w:id="34"/>
      <w:bookmarkEnd w:id="35"/>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1.采购人信息</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名 称：海口市疾病预防控制中心</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地 址：海南省海口市琼山区椰海大道56号</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联系方式：</w:t>
      </w:r>
      <w:bookmarkStart w:id="36" w:name="_Toc28359009"/>
      <w:bookmarkStart w:id="37" w:name="_Toc28359086"/>
      <w:r>
        <w:rPr>
          <w:rFonts w:hint="eastAsia" w:ascii="仿宋_GB2312" w:hAnsi="仿宋_GB2312" w:eastAsia="仿宋_GB2312" w:cs="仿宋_GB2312"/>
          <w:b/>
          <w:color w:val="auto"/>
          <w:sz w:val="24"/>
          <w:szCs w:val="24"/>
        </w:rPr>
        <w:t>0898-65785305</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2.采购代理机构信息</w:t>
      </w:r>
      <w:bookmarkEnd w:id="36"/>
      <w:bookmarkEnd w:id="37"/>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名 称：海口市政府采购中心</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地　址：海口市海甸五西路28号建安大厦</w:t>
      </w:r>
    </w:p>
    <w:p>
      <w:pPr>
        <w:pStyle w:val="9"/>
        <w:spacing w:line="500" w:lineRule="exact"/>
        <w:jc w:val="left"/>
        <w:outlineLvl w:val="0"/>
        <w:rPr>
          <w:rFonts w:ascii="仿宋_GB2312" w:hAnsi="仿宋_GB2312" w:eastAsia="仿宋_GB2312" w:cs="仿宋_GB2312"/>
          <w:b/>
          <w:color w:val="auto"/>
          <w:sz w:val="24"/>
          <w:szCs w:val="24"/>
        </w:rPr>
      </w:pPr>
      <w:bookmarkStart w:id="38" w:name="_Toc28359087"/>
      <w:bookmarkStart w:id="39" w:name="_Toc28359010"/>
      <w:r>
        <w:rPr>
          <w:rFonts w:hint="eastAsia" w:ascii="仿宋_GB2312" w:hAnsi="仿宋_GB2312" w:eastAsia="仿宋_GB2312" w:cs="仿宋_GB2312"/>
          <w:b/>
          <w:color w:val="auto"/>
          <w:sz w:val="24"/>
          <w:szCs w:val="24"/>
        </w:rPr>
        <w:t>项目联系方式</w:t>
      </w:r>
      <w:bookmarkEnd w:id="38"/>
      <w:bookmarkEnd w:id="39"/>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 xml:space="preserve">项目联系人:王先生      </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电　话:0898-68723985</w:t>
      </w:r>
    </w:p>
    <w:p>
      <w:pPr>
        <w:pStyle w:val="9"/>
        <w:spacing w:line="500" w:lineRule="exact"/>
        <w:jc w:val="left"/>
        <w:outlineLvl w:val="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 xml:space="preserve">    </w:t>
      </w:r>
    </w:p>
    <w:p>
      <w:pPr>
        <w:pStyle w:val="9"/>
        <w:spacing w:line="500" w:lineRule="exact"/>
        <w:jc w:val="left"/>
        <w:outlineLvl w:val="0"/>
        <w:rPr>
          <w:color w:val="auto"/>
        </w:rPr>
        <w:sectPr>
          <w:headerReference r:id="rId6" w:type="first"/>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pPr>
    </w:p>
    <w:p>
      <w:pPr>
        <w:pStyle w:val="6"/>
        <w:numPr>
          <w:ilvl w:val="0"/>
          <w:numId w:val="2"/>
        </w:numPr>
        <w:snapToGrid w:val="0"/>
        <w:spacing w:line="500" w:lineRule="exact"/>
        <w:ind w:firstLine="3132" w:firstLineChars="1300"/>
        <w:outlineLvl w:val="0"/>
        <w:rPr>
          <w:rFonts w:ascii="黑体" w:hAnsi="宋体" w:eastAsia="黑体"/>
          <w:b/>
          <w:color w:val="auto"/>
          <w:sz w:val="24"/>
          <w:szCs w:val="24"/>
        </w:rPr>
      </w:pPr>
      <w:r>
        <w:rPr>
          <w:rFonts w:hint="eastAsia" w:ascii="黑体" w:hAnsi="宋体" w:eastAsia="黑体"/>
          <w:b/>
          <w:color w:val="auto"/>
          <w:sz w:val="24"/>
          <w:szCs w:val="24"/>
        </w:rPr>
        <w:t xml:space="preserve"> 采购需求</w:t>
      </w:r>
    </w:p>
    <w:p>
      <w:pPr>
        <w:pStyle w:val="6"/>
        <w:snapToGrid w:val="0"/>
        <w:spacing w:line="500" w:lineRule="exact"/>
        <w:ind w:firstLine="0"/>
        <w:outlineLvl w:val="0"/>
        <w:rPr>
          <w:rFonts w:ascii="仿宋_GB2312" w:hAnsi="宋体" w:eastAsia="仿宋_GB2312"/>
          <w:b/>
          <w:color w:val="auto"/>
          <w:sz w:val="24"/>
          <w:szCs w:val="22"/>
        </w:rPr>
      </w:pPr>
      <w:r>
        <w:rPr>
          <w:rFonts w:hint="eastAsia" w:ascii="仿宋_GB2312" w:hAnsi="宋体" w:eastAsia="仿宋_GB2312"/>
          <w:b/>
          <w:color w:val="auto"/>
          <w:sz w:val="24"/>
          <w:szCs w:val="22"/>
        </w:rPr>
        <w:t>一</w:t>
      </w:r>
      <w:r>
        <w:rPr>
          <w:rFonts w:hint="eastAsia" w:ascii="仿宋_GB2312" w:hAnsi="宋体" w:eastAsia="仿宋_GB2312"/>
          <w:b/>
          <w:color w:val="auto"/>
          <w:sz w:val="24"/>
          <w:szCs w:val="22"/>
          <w:lang w:eastAsia="zh-CN"/>
        </w:rPr>
        <w:t>、</w:t>
      </w:r>
      <w:r>
        <w:rPr>
          <w:rFonts w:hint="eastAsia" w:ascii="仿宋_GB2312" w:hAnsi="宋体" w:eastAsia="仿宋_GB2312"/>
          <w:b/>
          <w:color w:val="auto"/>
          <w:sz w:val="24"/>
          <w:szCs w:val="22"/>
        </w:rPr>
        <w:t>项目概况</w:t>
      </w:r>
    </w:p>
    <w:p>
      <w:pPr>
        <w:pStyle w:val="9"/>
        <w:spacing w:line="500" w:lineRule="exact"/>
        <w:ind w:firstLine="482" w:firstLineChars="200"/>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海口市疾病预防控制中心，是由市政府举办的实施政府卫生防病与公共卫生技术管理和服务的公益性全额事业单位。始建于1952年3月，原名“海口市卫生防疫站”，站址在海口得胜沙路93号。</w:t>
      </w:r>
      <w:r>
        <w:rPr>
          <w:rFonts w:hint="eastAsia" w:ascii="仿宋_GB2312" w:hAnsi="宋体" w:eastAsia="仿宋_GB2312"/>
          <w:b/>
          <w:color w:val="auto"/>
          <w:sz w:val="24"/>
          <w:szCs w:val="22"/>
        </w:rPr>
        <w:br w:type="textWrapping"/>
      </w:r>
      <w:r>
        <w:rPr>
          <w:rFonts w:hint="eastAsia" w:ascii="仿宋_GB2312" w:hAnsi="宋体" w:eastAsia="仿宋_GB2312"/>
          <w:b/>
          <w:color w:val="auto"/>
          <w:sz w:val="24"/>
          <w:szCs w:val="22"/>
        </w:rPr>
        <w:t xml:space="preserve">   1964年，市防疫站迁至海口市博爱南路180号。</w:t>
      </w:r>
      <w:r>
        <w:rPr>
          <w:rFonts w:hint="eastAsia" w:ascii="仿宋_GB2312" w:hAnsi="宋体" w:eastAsia="仿宋_GB2312"/>
          <w:b/>
          <w:color w:val="auto"/>
          <w:sz w:val="24"/>
          <w:szCs w:val="22"/>
        </w:rPr>
        <w:br w:type="textWrapping"/>
      </w:r>
      <w:r>
        <w:rPr>
          <w:rFonts w:hint="eastAsia" w:ascii="仿宋_GB2312" w:hAnsi="宋体" w:eastAsia="仿宋_GB2312"/>
          <w:b/>
          <w:color w:val="auto"/>
          <w:sz w:val="24"/>
          <w:szCs w:val="22"/>
        </w:rPr>
        <w:t>   1984年，市防疫站升格为副处级事业单位。</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1990年，该站在海口市东湖边建成一幢高9层、建筑面积达3560平方米的综合办公楼。地址由海口市博爱南路180号变更为海口市东湖路１号。</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2005年11月，经海口市编制委员会批复同意，海口市卫生防疫站更名为“海口市疾病预防控制中心”。</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2009年，经市政府批准在椰海大道新建的海口市疾病预防控制中心（占地30亩，总投资1.45亿元，由办公楼、实验楼、待命楼和职工食堂4部分组成，总建筑面积27803．5平方米，其中办公楼一栋12层，实验楼一栋8层）正式投入使用，地址为：海口市椰海大道56号）。</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 xml:space="preserve">1. 项目地址： </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 xml:space="preserve">1）海口市椰海大道56号； </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2）海口市东湖路1号；</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3）海口市海甸二西路人民西里13巷原海口市结核病防治所；</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 总用地面积：约26664.18平方米（约40亩）。</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 总建筑面积：约36631.1平方米，其中：椰海大道56号办公区27803平方米；东湖路1号约6061.06平方米；海甸二西路人民西里住宅区2767.04平方米。</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4.住户数：共139户，其中：椰海大道20号44户；东湖住宅区66户；海甸二西路人民西里13巷39户。</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5．电梯：7部   其中：办公大楼4部  待命楼2部,实验楼1部。</w:t>
      </w:r>
    </w:p>
    <w:p>
      <w:pPr>
        <w:pStyle w:val="9"/>
        <w:spacing w:line="500" w:lineRule="exact"/>
        <w:jc w:val="left"/>
        <w:outlineLvl w:val="0"/>
        <w:rPr>
          <w:rFonts w:ascii="仿宋_GB2312" w:hAnsi="宋体" w:eastAsia="仿宋_GB2312"/>
          <w:b/>
          <w:color w:val="auto"/>
          <w:sz w:val="24"/>
          <w:szCs w:val="22"/>
        </w:rPr>
      </w:pPr>
    </w:p>
    <w:p>
      <w:pPr>
        <w:pStyle w:val="9"/>
        <w:spacing w:line="500" w:lineRule="exact"/>
        <w:jc w:val="left"/>
        <w:outlineLvl w:val="0"/>
        <w:rPr>
          <w:rFonts w:ascii="仿宋_GB2312" w:hAnsi="宋体" w:eastAsia="仿宋_GB2312"/>
          <w:b/>
          <w:color w:val="auto"/>
          <w:sz w:val="24"/>
          <w:szCs w:val="22"/>
        </w:rPr>
      </w:pP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二、物业服务内容、要求及服务标准</w:t>
      </w:r>
    </w:p>
    <w:p>
      <w:pPr>
        <w:pStyle w:val="9"/>
        <w:spacing w:line="500" w:lineRule="exact"/>
        <w:jc w:val="left"/>
        <w:outlineLvl w:val="0"/>
        <w:rPr>
          <w:rFonts w:hint="eastAsia" w:ascii="仿宋_GB2312" w:hAnsi="宋体" w:eastAsia="仿宋_GB2312"/>
          <w:b/>
          <w:color w:val="auto"/>
          <w:sz w:val="24"/>
          <w:szCs w:val="22"/>
        </w:rPr>
      </w:pPr>
      <w:r>
        <w:rPr>
          <w:rFonts w:hint="eastAsia" w:ascii="仿宋_GB2312" w:hAnsi="宋体" w:eastAsia="仿宋_GB2312"/>
          <w:b/>
          <w:color w:val="auto"/>
          <w:sz w:val="24"/>
          <w:szCs w:val="22"/>
          <w:lang w:eastAsia="zh-CN"/>
        </w:rPr>
        <w:t>拟派物业经理</w:t>
      </w:r>
      <w:r>
        <w:rPr>
          <w:rFonts w:hint="eastAsia" w:ascii="仿宋_GB2312" w:hAnsi="宋体" w:eastAsia="仿宋_GB2312"/>
          <w:b/>
          <w:color w:val="auto"/>
          <w:sz w:val="24"/>
          <w:szCs w:val="22"/>
          <w:lang w:val="en-US" w:eastAsia="zh-CN"/>
        </w:rPr>
        <w:t>1人</w:t>
      </w:r>
    </w:p>
    <w:p>
      <w:pPr>
        <w:pStyle w:val="9"/>
        <w:spacing w:line="500" w:lineRule="exact"/>
        <w:jc w:val="left"/>
        <w:outlineLvl w:val="0"/>
        <w:rPr>
          <w:rFonts w:ascii="仿宋_GB2312" w:hAnsi="宋体" w:eastAsia="仿宋_GB2312"/>
          <w:b/>
          <w:color w:val="auto"/>
          <w:sz w:val="24"/>
          <w:szCs w:val="22"/>
        </w:rPr>
      </w:pPr>
      <w:r>
        <w:rPr>
          <w:rFonts w:hint="eastAsia" w:ascii="仿宋_GB2312" w:hAnsi="宋体" w:eastAsia="仿宋_GB2312"/>
          <w:b/>
          <w:color w:val="auto"/>
          <w:sz w:val="24"/>
          <w:szCs w:val="22"/>
        </w:rPr>
        <w:t>（一）物业服务内容</w:t>
      </w:r>
    </w:p>
    <w:p>
      <w:pPr>
        <w:widowControl/>
        <w:spacing w:line="460" w:lineRule="exact"/>
        <w:ind w:firstLine="435"/>
        <w:rPr>
          <w:rFonts w:ascii="仿宋_GB2312" w:hAnsi="宋体" w:eastAsia="仿宋_GB2312"/>
          <w:b/>
          <w:color w:val="auto"/>
          <w:sz w:val="24"/>
          <w:szCs w:val="22"/>
        </w:rPr>
      </w:pPr>
      <w:bookmarkStart w:id="40" w:name="_Toc425520143"/>
      <w:r>
        <w:rPr>
          <w:rFonts w:hint="eastAsia" w:ascii="仿宋_GB2312" w:hAnsi="宋体" w:eastAsia="仿宋_GB2312"/>
          <w:b/>
          <w:color w:val="auto"/>
          <w:sz w:val="24"/>
          <w:szCs w:val="22"/>
        </w:rPr>
        <w:t>1.各办公楼、实验楼及生活住宅区公用部位、公用设施设备、供电、供水系统的日常养护管理、小型设施设备（如、灯具、阀门等）的维修保养及更换服务；维修保养耗材费由甲方负责。</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2.各办公楼、实验楼、住宅楼等区域内的环境卫生、垃圾清理、分类管理等服务；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3.办公区及住宅区域内停放车辆的场所及车辆进行引导和管理服务；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4.供水、供电、供气、电信、移动等部门在海口市疾控中心物业管理服务区域内进行相关的管线施工及养护时，进行必要的协调和监督管理；</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5.在管理区域内进行日常安全巡查服务；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6.物业档案资料的保管及有关物业服务费用的账务管理；</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7.海口市疾控中心物业管理服务区域内业主、使用人装饰装修时的服务管理。</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8.负责各住户的水电费、物业费的代收代缴等服务。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9.办公楼和地下室，以及办公区域范围内附属公共设施、设备、附属物的清理、维护、维修服务。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10.负责中心物资及设备搬运。</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11.负责东湖旧址医疗废弃物收集及宿舍区的垃圾清运工作。</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12.污水处理设施安排专人管理。</w:t>
      </w:r>
    </w:p>
    <w:p>
      <w:pPr>
        <w:widowControl/>
        <w:spacing w:line="460" w:lineRule="exact"/>
        <w:ind w:firstLine="435"/>
        <w:rPr>
          <w:rFonts w:ascii="仿宋_GB2312" w:hAnsi="宋体" w:eastAsia="仿宋_GB2312"/>
          <w:b/>
          <w:color w:val="auto"/>
          <w:sz w:val="24"/>
          <w:szCs w:val="22"/>
        </w:rPr>
      </w:pPr>
      <w:bookmarkStart w:id="41" w:name="_Toc20872"/>
      <w:bookmarkStart w:id="42" w:name="_Toc461094455"/>
      <w:r>
        <w:rPr>
          <w:rFonts w:hint="eastAsia" w:ascii="仿宋_GB2312" w:hAnsi="宋体" w:eastAsia="仿宋_GB2312"/>
          <w:b/>
          <w:color w:val="auto"/>
          <w:sz w:val="24"/>
          <w:szCs w:val="22"/>
        </w:rPr>
        <w:t>（二）、</w:t>
      </w:r>
      <w:bookmarkEnd w:id="40"/>
      <w:r>
        <w:rPr>
          <w:rFonts w:hint="eastAsia" w:ascii="仿宋_GB2312" w:hAnsi="宋体" w:eastAsia="仿宋_GB2312"/>
          <w:b/>
          <w:color w:val="auto"/>
          <w:sz w:val="24"/>
          <w:szCs w:val="22"/>
        </w:rPr>
        <w:t>海口市疾控中心物业管理服务量化要求及管理指标</w:t>
      </w:r>
      <w:bookmarkEnd w:id="41"/>
      <w:bookmarkEnd w:id="42"/>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1.设施设备维修养护</w:t>
      </w:r>
    </w:p>
    <w:p>
      <w:pPr>
        <w:widowControl/>
        <w:spacing w:line="460" w:lineRule="exact"/>
        <w:ind w:firstLine="435"/>
        <w:rPr>
          <w:rFonts w:hint="eastAsia" w:ascii="仿宋_GB2312" w:hAnsi="宋体" w:eastAsia="仿宋_GB2312"/>
          <w:b/>
          <w:color w:val="auto"/>
          <w:sz w:val="24"/>
          <w:szCs w:val="22"/>
        </w:rPr>
      </w:pPr>
      <w:r>
        <w:rPr>
          <w:rFonts w:hint="eastAsia" w:ascii="仿宋_GB2312" w:hAnsi="宋体" w:eastAsia="仿宋_GB2312" w:cs="Times New Roman"/>
          <w:b/>
          <w:color w:val="auto"/>
          <w:sz w:val="24"/>
          <w:szCs w:val="22"/>
          <w:lang w:val="en-US" w:eastAsia="zh-CN"/>
        </w:rPr>
        <w:t>拟投入水</w:t>
      </w:r>
      <w:r>
        <w:rPr>
          <w:rFonts w:hint="eastAsia" w:ascii="仿宋_GB2312" w:hAnsi="宋体" w:eastAsia="仿宋_GB2312" w:cs="Times New Roman"/>
          <w:b/>
          <w:color w:val="auto"/>
          <w:sz w:val="24"/>
          <w:szCs w:val="22"/>
          <w:lang w:eastAsia="zh-CN"/>
        </w:rPr>
        <w:t>电工</w:t>
      </w:r>
      <w:r>
        <w:rPr>
          <w:rFonts w:hint="eastAsia" w:ascii="仿宋_GB2312" w:hAnsi="宋体" w:eastAsia="仿宋_GB2312" w:cs="Times New Roman"/>
          <w:b/>
          <w:color w:val="auto"/>
          <w:sz w:val="24"/>
          <w:szCs w:val="22"/>
          <w:lang w:val="en-US" w:eastAsia="zh-CN"/>
        </w:rPr>
        <w:t>2人</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（1）共用配套设备设施良好，运行正常，无事故隐患，保养、检修制度完备，有设备运行记录。</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（2）实行24小时报修值班制度，急修报修半小时内到达现场，预约维修按双方约定时间到达现场，维修回访率达到80%。</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（3）水、电、电梯等设备运行人员严格执行操作规程及保养规范，消防设备设施完好无损，可随时启用，消防通道畅通，制订消防应急方案，进行消防演练。</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（4）通道畅通、路面平整，路面井盖不影响车辆和行人通行，停车场及主要道路交通标志规范、齐全。</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（5）路灯、楼道灯等公共照明设备完好率95%以上，按规定时间定时开关。</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（6）维修保护制度健全，并在工作场所明示，工作标准及岗位责任制明确，执行良好。</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（7）对设备故障及重大或突发性事件有应急方案和现场处理措施、处理记录。</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（8）各设备房卫生整洁，主要设施设备标识清楚齐全，设备房管理制度明确。</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（9）具有危及人身安全隐患的设备设施场所、公共场所、场地，要有明显标志和防范措施。</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（10）在接到有关部门停水、停电通知后，及时通知用户。</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（11）临时停电期间，优先、及时保障实验室及冷库应急供电。</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2.公共秩序维护</w:t>
      </w:r>
    </w:p>
    <w:p>
      <w:pPr>
        <w:widowControl/>
        <w:spacing w:line="460" w:lineRule="exact"/>
        <w:ind w:firstLine="435"/>
        <w:rPr>
          <w:rFonts w:hint="eastAsia" w:ascii="仿宋_GB2312" w:hAnsi="宋体" w:eastAsia="仿宋_GB2312"/>
          <w:b/>
          <w:color w:val="auto"/>
          <w:sz w:val="24"/>
          <w:szCs w:val="22"/>
        </w:rPr>
      </w:pPr>
      <w:r>
        <w:rPr>
          <w:rFonts w:hint="eastAsia" w:ascii="仿宋_GB2312" w:hAnsi="宋体" w:eastAsia="仿宋_GB2312" w:cs="Times New Roman"/>
          <w:b/>
          <w:color w:val="auto"/>
          <w:sz w:val="24"/>
          <w:szCs w:val="22"/>
          <w:lang w:eastAsia="zh-CN"/>
        </w:rPr>
        <w:t>拟投入秩序维护人员队长</w:t>
      </w:r>
      <w:r>
        <w:rPr>
          <w:rFonts w:hint="eastAsia" w:ascii="仿宋_GB2312" w:hAnsi="宋体" w:eastAsia="仿宋_GB2312" w:cs="Times New Roman"/>
          <w:b/>
          <w:color w:val="auto"/>
          <w:sz w:val="24"/>
          <w:szCs w:val="22"/>
          <w:lang w:val="en-US" w:eastAsia="zh-CN"/>
        </w:rPr>
        <w:t>及</w:t>
      </w:r>
      <w:r>
        <w:rPr>
          <w:rFonts w:hint="eastAsia" w:ascii="仿宋_GB2312" w:hAnsi="宋体" w:eastAsia="仿宋_GB2312"/>
          <w:b/>
          <w:color w:val="auto"/>
          <w:sz w:val="24"/>
          <w:szCs w:val="22"/>
        </w:rPr>
        <w:t>秩序维护人员</w:t>
      </w:r>
      <w:r>
        <w:rPr>
          <w:rFonts w:hint="eastAsia" w:ascii="仿宋_GB2312" w:hAnsi="宋体" w:eastAsia="仿宋_GB2312"/>
          <w:b/>
          <w:color w:val="auto"/>
          <w:sz w:val="24"/>
          <w:szCs w:val="22"/>
          <w:lang w:eastAsia="zh-CN"/>
        </w:rPr>
        <w:t>共</w:t>
      </w:r>
      <w:r>
        <w:rPr>
          <w:rFonts w:hint="eastAsia" w:ascii="仿宋_GB2312" w:hAnsi="宋体" w:eastAsia="仿宋_GB2312"/>
          <w:b/>
          <w:color w:val="auto"/>
          <w:sz w:val="24"/>
          <w:szCs w:val="22"/>
          <w:lang w:val="en-US" w:eastAsia="zh-CN"/>
        </w:rPr>
        <w:t>20人</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（1）办公区、家属区主出入口24小时值班（楼外值班亭、楼内值班室）。</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（2）对办公区重点部位每2小时巡查一次。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（3）应对办公区公共文体设施、水池、设备房、顶层天台等危险隐患部位，设置安全防范警示标志。</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（4）进出办公区、家属区的车辆实施登记管理，引导车辆有序停放。</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（5）进出办公区、家属区的装修工、服务人员实施发放临时出入证管理。</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（6）对火灾、水浸、电梯困人等突发事件有应急处理预案。</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3.卫生保洁服务</w:t>
      </w:r>
    </w:p>
    <w:p>
      <w:pPr>
        <w:widowControl/>
        <w:spacing w:line="460" w:lineRule="exact"/>
        <w:ind w:firstLine="435"/>
        <w:rPr>
          <w:rFonts w:hint="default" w:ascii="仿宋_GB2312" w:hAnsi="宋体" w:eastAsia="仿宋_GB2312"/>
          <w:b/>
          <w:color w:val="auto"/>
          <w:sz w:val="24"/>
          <w:szCs w:val="22"/>
          <w:lang w:val="en-US" w:eastAsia="zh-CN"/>
        </w:rPr>
      </w:pPr>
      <w:r>
        <w:rPr>
          <w:rFonts w:hint="eastAsia" w:ascii="仿宋_GB2312" w:hAnsi="宋体" w:eastAsia="仿宋_GB2312"/>
          <w:b/>
          <w:color w:val="auto"/>
          <w:sz w:val="24"/>
          <w:szCs w:val="22"/>
          <w:lang w:eastAsia="zh-CN"/>
        </w:rPr>
        <w:t>拟投入保洁员</w:t>
      </w:r>
      <w:r>
        <w:rPr>
          <w:rFonts w:hint="eastAsia" w:ascii="仿宋_GB2312" w:hAnsi="宋体" w:eastAsia="仿宋_GB2312"/>
          <w:b/>
          <w:color w:val="auto"/>
          <w:sz w:val="24"/>
          <w:szCs w:val="22"/>
          <w:lang w:val="en-US" w:eastAsia="zh-CN"/>
        </w:rPr>
        <w:t>12人</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（1）办公区、住宅区等公共场所、楼道、楼梯、卫生间及主次干道每天至少进行一次清扫。</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（2）室外标识、宣传栏、信报箱、雕塑、办公楼楼道玻璃每月擦拭一次。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（3）及时清扫积水。</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（4）清洁区域部位无垃圾、杂物、异味，外观整洁、明亮；无乱悬挂、乱丢弃、乱推放、乱贴乱画现象。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（5）根据海口市疾控中心物业管理服务招标实际需要，合理布设垃圾桶、果壳箱，并将垃圾进行分类收集袋装。</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（6）垃圾每日收集两次，做到日产日清，无垃圾桶、果壳箱满溢现象。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（7）设有垃圾中转站的，根据实际需要进行消杀，有效控制蝇、蚊等害虫滋生。</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（8）垃圾桶、果壳箱每日清理、定期清洗、保持洁净。</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（9）医疗废弃物每日及时收集，分类放置医疗废弃物暂存间。</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（10）负责门前三包区域的管理。</w:t>
      </w:r>
    </w:p>
    <w:p>
      <w:pPr>
        <w:widowControl/>
        <w:spacing w:line="460" w:lineRule="exact"/>
        <w:ind w:firstLine="482" w:firstLineChars="200"/>
        <w:rPr>
          <w:rFonts w:ascii="仿宋_GB2312" w:hAnsi="宋体" w:eastAsia="仿宋_GB2312"/>
          <w:b/>
          <w:color w:val="auto"/>
          <w:sz w:val="24"/>
          <w:szCs w:val="22"/>
        </w:rPr>
      </w:pPr>
      <w:bookmarkStart w:id="43" w:name="_Toc7502"/>
      <w:r>
        <w:rPr>
          <w:rFonts w:hint="eastAsia" w:ascii="仿宋_GB2312" w:hAnsi="宋体" w:eastAsia="仿宋_GB2312"/>
          <w:b/>
          <w:color w:val="auto"/>
          <w:sz w:val="24"/>
          <w:szCs w:val="22"/>
        </w:rPr>
        <w:t>4、海口市疾控中心物业管理服务各项指标</w:t>
      </w:r>
      <w:bookmarkEnd w:id="43"/>
    </w:p>
    <w:p>
      <w:pPr>
        <w:widowControl/>
        <w:spacing w:line="460" w:lineRule="exact"/>
        <w:ind w:firstLine="435"/>
        <w:rPr>
          <w:rFonts w:hint="eastAsia" w:ascii="仿宋_GB2312" w:hAnsi="宋体" w:eastAsia="仿宋_GB2312"/>
          <w:b/>
          <w:color w:val="auto"/>
          <w:sz w:val="24"/>
          <w:szCs w:val="22"/>
        </w:rPr>
      </w:pPr>
      <w:r>
        <w:rPr>
          <w:rFonts w:hint="eastAsia" w:ascii="仿宋_GB2312" w:hAnsi="宋体" w:eastAsia="仿宋_GB2312"/>
          <w:b/>
          <w:color w:val="auto"/>
          <w:sz w:val="24"/>
          <w:szCs w:val="22"/>
        </w:rPr>
        <w:t>严格按标准执行管理服务并保证下列指标：</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（1）总体指标要求</w:t>
      </w:r>
    </w:p>
    <w:tbl>
      <w:tblPr>
        <w:tblStyle w:val="16"/>
        <w:tblW w:w="8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7"/>
        <w:gridCol w:w="4555"/>
        <w:gridCol w:w="2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序号</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指标名称</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国家标准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房屋设施设备完好率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房屋零修、急修及时率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维修工程质量合格率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火灾发生率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0.1‰以下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Merge w:val="restart"/>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有效投诉率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每年5‰以下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Merge w:val="continue"/>
            <w:vAlign w:val="center"/>
          </w:tcPr>
          <w:p>
            <w:pPr>
              <w:widowControl/>
              <w:spacing w:line="460" w:lineRule="exact"/>
              <w:ind w:firstLine="435"/>
              <w:rPr>
                <w:rFonts w:ascii="仿宋_GB2312" w:hAnsi="宋体" w:eastAsia="仿宋_GB2312"/>
                <w:b/>
                <w:color w:val="auto"/>
                <w:sz w:val="24"/>
                <w:szCs w:val="22"/>
              </w:rPr>
            </w:pP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投诉处理率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7</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清洁保洁率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停车场、地下车库完好率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Merge w:val="restart"/>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路灯完好率和使用率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Merge w:val="continue"/>
            <w:vAlign w:val="center"/>
          </w:tcPr>
          <w:p>
            <w:pPr>
              <w:widowControl/>
              <w:spacing w:line="460" w:lineRule="exact"/>
              <w:ind w:firstLine="435"/>
              <w:rPr>
                <w:rFonts w:ascii="仿宋_GB2312" w:hAnsi="宋体" w:eastAsia="仿宋_GB2312"/>
                <w:b/>
                <w:color w:val="auto"/>
                <w:sz w:val="24"/>
                <w:szCs w:val="22"/>
              </w:rPr>
            </w:pP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治安案件发生率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10</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摩托车、汽车被盗率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11</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绿化完好率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12</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大型及重要机电设备完好率</w:t>
            </w:r>
          </w:p>
        </w:tc>
        <w:tc>
          <w:tcPr>
            <w:tcW w:w="2828"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1097"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13</w:t>
            </w:r>
          </w:p>
        </w:tc>
        <w:tc>
          <w:tcPr>
            <w:tcW w:w="4555" w:type="dxa"/>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管理人员专业培训合格率</w:t>
            </w:r>
          </w:p>
        </w:tc>
        <w:tc>
          <w:tcPr>
            <w:tcW w:w="2828" w:type="dxa"/>
            <w:vAlign w:val="center"/>
          </w:tcPr>
          <w:p>
            <w:pPr>
              <w:widowControl/>
              <w:spacing w:line="460" w:lineRule="exact"/>
              <w:ind w:firstLine="435"/>
              <w:rPr>
                <w:rFonts w:ascii="仿宋_GB2312" w:hAnsi="宋体" w:eastAsia="仿宋_GB2312"/>
                <w:b/>
                <w:color w:val="auto"/>
                <w:sz w:val="24"/>
                <w:szCs w:val="22"/>
              </w:rPr>
            </w:pPr>
          </w:p>
        </w:tc>
      </w:tr>
    </w:tbl>
    <w:p>
      <w:pPr>
        <w:widowControl/>
        <w:spacing w:line="460" w:lineRule="exact"/>
        <w:ind w:firstLine="482" w:firstLineChars="200"/>
        <w:rPr>
          <w:rFonts w:hint="eastAsia" w:ascii="仿宋_GB2312" w:hAnsi="宋体" w:eastAsia="仿宋_GB2312"/>
          <w:b/>
          <w:color w:val="auto"/>
          <w:sz w:val="24"/>
          <w:szCs w:val="22"/>
        </w:rPr>
      </w:pPr>
      <w:bookmarkStart w:id="44" w:name="_Toc7028"/>
      <w:bookmarkStart w:id="45" w:name="_Toc390416639"/>
      <w:bookmarkStart w:id="46" w:name="_Toc461094456"/>
      <w:bookmarkStart w:id="47" w:name="_Toc10507"/>
      <w:bookmarkStart w:id="48" w:name="_Toc339372933"/>
    </w:p>
    <w:p>
      <w:pPr>
        <w:widowControl/>
        <w:spacing w:line="460" w:lineRule="exact"/>
        <w:ind w:firstLine="482" w:firstLineChars="200"/>
        <w:rPr>
          <w:rFonts w:hint="eastAsia" w:ascii="仿宋_GB2312" w:hAnsi="宋体" w:eastAsia="仿宋_GB2312"/>
          <w:b/>
          <w:color w:val="auto"/>
          <w:sz w:val="24"/>
          <w:szCs w:val="22"/>
        </w:rPr>
      </w:pPr>
    </w:p>
    <w:p>
      <w:pPr>
        <w:widowControl/>
        <w:spacing w:line="460" w:lineRule="exact"/>
        <w:ind w:firstLine="482" w:firstLineChars="200"/>
        <w:rPr>
          <w:rFonts w:ascii="仿宋_GB2312" w:hAnsi="宋体" w:eastAsia="仿宋_GB2312"/>
          <w:b/>
          <w:color w:val="auto"/>
          <w:sz w:val="24"/>
          <w:szCs w:val="22"/>
        </w:rPr>
      </w:pPr>
      <w:r>
        <w:rPr>
          <w:rFonts w:hint="eastAsia" w:ascii="仿宋_GB2312" w:hAnsi="宋体" w:eastAsia="仿宋_GB2312"/>
          <w:b/>
          <w:color w:val="auto"/>
          <w:sz w:val="24"/>
          <w:szCs w:val="22"/>
        </w:rPr>
        <w:t>（2）房屋管理</w:t>
      </w:r>
      <w:bookmarkEnd w:id="44"/>
      <w:bookmarkEnd w:id="45"/>
      <w:bookmarkEnd w:id="46"/>
      <w:bookmarkEnd w:id="47"/>
      <w:bookmarkEnd w:id="48"/>
    </w:p>
    <w:tbl>
      <w:tblPr>
        <w:tblStyle w:val="16"/>
        <w:tblW w:w="8880" w:type="dxa"/>
        <w:jc w:val="center"/>
        <w:tblInd w:w="0" w:type="dxa"/>
        <w:tblLayout w:type="fixed"/>
        <w:tblCellMar>
          <w:top w:w="0" w:type="dxa"/>
          <w:left w:w="108" w:type="dxa"/>
          <w:bottom w:w="0" w:type="dxa"/>
          <w:right w:w="108" w:type="dxa"/>
        </w:tblCellMar>
      </w:tblPr>
      <w:tblGrid>
        <w:gridCol w:w="900"/>
        <w:gridCol w:w="3059"/>
        <w:gridCol w:w="4921"/>
      </w:tblGrid>
      <w:tr>
        <w:tblPrEx>
          <w:tblLayout w:type="fixed"/>
          <w:tblCellMar>
            <w:top w:w="0" w:type="dxa"/>
            <w:left w:w="108" w:type="dxa"/>
            <w:bottom w:w="0" w:type="dxa"/>
            <w:right w:w="108" w:type="dxa"/>
          </w:tblCellMar>
        </w:tblPrEx>
        <w:trPr>
          <w:trHeight w:val="549" w:hRule="atLeast"/>
          <w:jc w:val="center"/>
        </w:trPr>
        <w:tc>
          <w:tcPr>
            <w:tcW w:w="9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序号</w:t>
            </w:r>
          </w:p>
        </w:tc>
        <w:tc>
          <w:tcPr>
            <w:tcW w:w="305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事  项</w:t>
            </w:r>
          </w:p>
        </w:tc>
        <w:tc>
          <w:tcPr>
            <w:tcW w:w="492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要     求</w:t>
            </w:r>
          </w:p>
        </w:tc>
      </w:tr>
      <w:tr>
        <w:tblPrEx>
          <w:tblLayout w:type="fixed"/>
          <w:tblCellMar>
            <w:top w:w="0" w:type="dxa"/>
            <w:left w:w="108" w:type="dxa"/>
            <w:bottom w:w="0" w:type="dxa"/>
            <w:right w:w="108" w:type="dxa"/>
          </w:tblCellMar>
        </w:tblPrEx>
        <w:trPr>
          <w:jc w:val="center"/>
        </w:trPr>
        <w:tc>
          <w:tcPr>
            <w:tcW w:w="9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w:t>
            </w:r>
          </w:p>
        </w:tc>
        <w:tc>
          <w:tcPr>
            <w:tcW w:w="305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管理依据</w:t>
            </w:r>
          </w:p>
        </w:tc>
        <w:tc>
          <w:tcPr>
            <w:tcW w:w="492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按有关法规政策规定和合同约定对房屋及配套设施进行管理服务。</w:t>
            </w:r>
          </w:p>
        </w:tc>
      </w:tr>
      <w:tr>
        <w:tblPrEx>
          <w:tblLayout w:type="fixed"/>
          <w:tblCellMar>
            <w:top w:w="0" w:type="dxa"/>
            <w:left w:w="108" w:type="dxa"/>
            <w:bottom w:w="0" w:type="dxa"/>
            <w:right w:w="108" w:type="dxa"/>
          </w:tblCellMar>
        </w:tblPrEx>
        <w:trPr>
          <w:jc w:val="center"/>
        </w:trPr>
        <w:tc>
          <w:tcPr>
            <w:tcW w:w="9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w:t>
            </w:r>
          </w:p>
        </w:tc>
        <w:tc>
          <w:tcPr>
            <w:tcW w:w="305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房屋外观（含屋面、天台）</w:t>
            </w:r>
          </w:p>
        </w:tc>
        <w:tc>
          <w:tcPr>
            <w:tcW w:w="492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（1）完好、整洁，外墙、公共楼梯间的面砖、玻璃等无污迹、无破损；</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（2）外墙及公共空间无乱张贴、乱涂、乱画、乱悬挂现象；</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（3）室外招牌、广告牌、霓虹灯按规定设置，整齐有序；物业设施完好。</w:t>
            </w:r>
          </w:p>
        </w:tc>
      </w:tr>
      <w:tr>
        <w:tblPrEx>
          <w:tblLayout w:type="fixed"/>
          <w:tblCellMar>
            <w:top w:w="0" w:type="dxa"/>
            <w:left w:w="108" w:type="dxa"/>
            <w:bottom w:w="0" w:type="dxa"/>
            <w:right w:w="108" w:type="dxa"/>
          </w:tblCellMar>
        </w:tblPrEx>
        <w:trPr>
          <w:jc w:val="center"/>
        </w:trPr>
        <w:tc>
          <w:tcPr>
            <w:tcW w:w="9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w:t>
            </w:r>
          </w:p>
        </w:tc>
        <w:tc>
          <w:tcPr>
            <w:tcW w:w="305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违反规划私搭乱建及擅自改变房屋用途</w:t>
            </w:r>
          </w:p>
        </w:tc>
        <w:tc>
          <w:tcPr>
            <w:tcW w:w="492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及时劝告、阻止、报告并协助甲方有关部门依法处理。</w:t>
            </w:r>
          </w:p>
        </w:tc>
      </w:tr>
      <w:tr>
        <w:tblPrEx>
          <w:tblLayout w:type="fixed"/>
          <w:tblCellMar>
            <w:top w:w="0" w:type="dxa"/>
            <w:left w:w="108" w:type="dxa"/>
            <w:bottom w:w="0" w:type="dxa"/>
            <w:right w:w="108" w:type="dxa"/>
          </w:tblCellMar>
        </w:tblPrEx>
        <w:trPr>
          <w:jc w:val="center"/>
        </w:trPr>
        <w:tc>
          <w:tcPr>
            <w:tcW w:w="9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w:t>
            </w:r>
          </w:p>
        </w:tc>
        <w:tc>
          <w:tcPr>
            <w:tcW w:w="305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房屋装修</w:t>
            </w:r>
          </w:p>
        </w:tc>
        <w:tc>
          <w:tcPr>
            <w:tcW w:w="492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需符合规定，按装修管理制度管理，完备装修协议、装修申请及审批记录、装修公司及装修人员登记及相关材料，有日常巡查记录及验收手续等。对私改乱拆管线、破坏房屋结构和损害他人利益现象及时劝止、报告。</w:t>
            </w:r>
          </w:p>
        </w:tc>
      </w:tr>
      <w:tr>
        <w:tblPrEx>
          <w:tblLayout w:type="fixed"/>
          <w:tblCellMar>
            <w:top w:w="0" w:type="dxa"/>
            <w:left w:w="108" w:type="dxa"/>
            <w:bottom w:w="0" w:type="dxa"/>
            <w:right w:w="108" w:type="dxa"/>
          </w:tblCellMar>
        </w:tblPrEx>
        <w:trPr>
          <w:jc w:val="center"/>
        </w:trPr>
        <w:tc>
          <w:tcPr>
            <w:tcW w:w="9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w:t>
            </w:r>
          </w:p>
        </w:tc>
        <w:tc>
          <w:tcPr>
            <w:tcW w:w="305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区内各路口及其它公共配套设施场地标识</w:t>
            </w:r>
          </w:p>
        </w:tc>
        <w:tc>
          <w:tcPr>
            <w:tcW w:w="492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齐全、规范、美观。</w:t>
            </w:r>
          </w:p>
        </w:tc>
      </w:tr>
    </w:tbl>
    <w:p>
      <w:pPr>
        <w:widowControl/>
        <w:spacing w:line="460" w:lineRule="exact"/>
        <w:ind w:firstLine="435"/>
        <w:rPr>
          <w:rFonts w:ascii="仿宋_GB2312" w:hAnsi="宋体" w:eastAsia="仿宋_GB2312"/>
          <w:b/>
          <w:color w:val="auto"/>
          <w:sz w:val="24"/>
          <w:szCs w:val="22"/>
        </w:rPr>
      </w:pPr>
    </w:p>
    <w:p>
      <w:pPr>
        <w:widowControl/>
        <w:spacing w:line="460" w:lineRule="exact"/>
        <w:ind w:firstLine="435"/>
        <w:rPr>
          <w:rFonts w:ascii="仿宋_GB2312" w:hAnsi="宋体" w:eastAsia="仿宋_GB2312"/>
          <w:b/>
          <w:color w:val="auto"/>
          <w:sz w:val="24"/>
          <w:szCs w:val="22"/>
        </w:rPr>
      </w:pPr>
      <w:bookmarkStart w:id="49" w:name="_Toc17496"/>
      <w:bookmarkStart w:id="50" w:name="_Toc461094457"/>
      <w:r>
        <w:rPr>
          <w:rFonts w:hint="eastAsia" w:ascii="仿宋_GB2312" w:hAnsi="宋体" w:eastAsia="仿宋_GB2312"/>
          <w:b/>
          <w:color w:val="auto"/>
          <w:sz w:val="24"/>
          <w:szCs w:val="22"/>
        </w:rPr>
        <w:t>（3）设施设备维修养护</w:t>
      </w:r>
      <w:bookmarkEnd w:id="49"/>
      <w:bookmarkEnd w:id="50"/>
    </w:p>
    <w:tbl>
      <w:tblPr>
        <w:tblStyle w:val="16"/>
        <w:tblW w:w="9472" w:type="dxa"/>
        <w:jc w:val="center"/>
        <w:tblInd w:w="0" w:type="dxa"/>
        <w:tblLayout w:type="fixed"/>
        <w:tblCellMar>
          <w:top w:w="0" w:type="dxa"/>
          <w:left w:w="108" w:type="dxa"/>
          <w:bottom w:w="0" w:type="dxa"/>
          <w:right w:w="108" w:type="dxa"/>
        </w:tblCellMar>
      </w:tblPr>
      <w:tblGrid>
        <w:gridCol w:w="825"/>
        <w:gridCol w:w="3302"/>
        <w:gridCol w:w="5345"/>
      </w:tblGrid>
      <w:tr>
        <w:tblPrEx>
          <w:tblLayout w:type="fixed"/>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序号</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事  项</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要     求</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设备运行</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共用设施设备运行正常，维护良好，无事故隐患；有设备台帐、运行记录、检查记录、维修记录、保养记录。</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值班报修</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急修报修半小时内到达现场，预约维修报修按双方约定时间到达现场。</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操作员工</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技能熟练，严格执行操作规程。</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消防管理</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符合消防部门的有关规定进行管理，定期进行消防演习，保证消防通道畅通。</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道路、停车场</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平整通畅，交通标志齐全规范。</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路灯、楼道灯等公共照明设备</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按规定时间定时开关。</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7</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制度</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维修养护制度健全并在工作场所明示，工作标准及岗位责任制明确，执行良好。</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8</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设备故障及重大事件</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有完善的应急方案和现场处理措施、处理记录。</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9</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设备房</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对供水供电设施进行维护，确保正常使用，定期对电压、水压、配电箱及水池进行巡查、维护、清洗。卫生、整洁，主要设施设备标识清楚齐全。</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10</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设备房及公共场所、场地危及安全隐患处</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有明显标志和防范措施。</w:t>
            </w:r>
          </w:p>
        </w:tc>
      </w:tr>
      <w:tr>
        <w:tblPrEx>
          <w:tblLayout w:type="fixed"/>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11</w:t>
            </w:r>
          </w:p>
        </w:tc>
        <w:tc>
          <w:tcPr>
            <w:tcW w:w="330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停水、停电</w:t>
            </w:r>
          </w:p>
        </w:tc>
        <w:tc>
          <w:tcPr>
            <w:tcW w:w="534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在接到相关部门通知后，按规定时间提前通知相关人员。</w:t>
            </w:r>
          </w:p>
        </w:tc>
      </w:tr>
    </w:tbl>
    <w:p>
      <w:pPr>
        <w:widowControl/>
        <w:spacing w:line="460" w:lineRule="exact"/>
        <w:ind w:firstLine="435"/>
        <w:rPr>
          <w:rFonts w:ascii="仿宋_GB2312" w:hAnsi="宋体" w:eastAsia="仿宋_GB2312"/>
          <w:b/>
          <w:color w:val="auto"/>
          <w:sz w:val="24"/>
          <w:szCs w:val="22"/>
        </w:rPr>
      </w:pPr>
      <w:bookmarkStart w:id="51" w:name="_Toc21465"/>
      <w:bookmarkStart w:id="52" w:name="_Toc20580"/>
      <w:bookmarkStart w:id="53" w:name="_Toc390416641"/>
      <w:bookmarkStart w:id="54" w:name="_Toc339372935"/>
      <w:bookmarkStart w:id="55" w:name="_Toc461094458"/>
      <w:r>
        <w:rPr>
          <w:rFonts w:hint="eastAsia" w:ascii="仿宋_GB2312" w:hAnsi="宋体" w:eastAsia="仿宋_GB2312"/>
          <w:b/>
          <w:color w:val="auto"/>
          <w:sz w:val="24"/>
          <w:szCs w:val="22"/>
        </w:rPr>
        <w:t>（4）公共秩序维护</w:t>
      </w:r>
      <w:bookmarkEnd w:id="51"/>
      <w:bookmarkEnd w:id="52"/>
      <w:bookmarkEnd w:id="53"/>
      <w:bookmarkEnd w:id="54"/>
      <w:bookmarkEnd w:id="55"/>
    </w:p>
    <w:tbl>
      <w:tblPr>
        <w:tblStyle w:val="16"/>
        <w:tblW w:w="9039" w:type="dxa"/>
        <w:jc w:val="center"/>
        <w:tblInd w:w="0" w:type="dxa"/>
        <w:tblLayout w:type="fixed"/>
        <w:tblCellMar>
          <w:top w:w="0" w:type="dxa"/>
          <w:left w:w="108" w:type="dxa"/>
          <w:bottom w:w="0" w:type="dxa"/>
          <w:right w:w="108" w:type="dxa"/>
        </w:tblCellMar>
      </w:tblPr>
      <w:tblGrid>
        <w:gridCol w:w="823"/>
        <w:gridCol w:w="1662"/>
        <w:gridCol w:w="6554"/>
      </w:tblGrid>
      <w:tr>
        <w:tblPrEx>
          <w:tblLayout w:type="fixed"/>
          <w:tblCellMar>
            <w:top w:w="0" w:type="dxa"/>
            <w:left w:w="108" w:type="dxa"/>
            <w:bottom w:w="0" w:type="dxa"/>
            <w:right w:w="108" w:type="dxa"/>
          </w:tblCellMar>
        </w:tblPrEx>
        <w:trPr>
          <w:trHeight w:val="597" w:hRule="atLeast"/>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序号</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事  项</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要     求</w:t>
            </w:r>
          </w:p>
        </w:tc>
      </w:tr>
      <w:tr>
        <w:tblPrEx>
          <w:tblLayout w:type="fixed"/>
          <w:tblCellMar>
            <w:top w:w="0" w:type="dxa"/>
            <w:left w:w="108" w:type="dxa"/>
            <w:bottom w:w="0" w:type="dxa"/>
            <w:right w:w="108"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门岗</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出入口24小时值班，办公时间立岗值班。</w:t>
            </w:r>
          </w:p>
        </w:tc>
      </w:tr>
      <w:tr>
        <w:tblPrEx>
          <w:tblLayout w:type="fixed"/>
          <w:tblCellMar>
            <w:top w:w="0" w:type="dxa"/>
            <w:left w:w="108" w:type="dxa"/>
            <w:bottom w:w="0" w:type="dxa"/>
            <w:right w:w="108"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巡查</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对各区重点部位每日巡查不少于六次，各工种员工随时报告安防异常情况，实行全员保障制度。</w:t>
            </w:r>
          </w:p>
        </w:tc>
      </w:tr>
      <w:tr>
        <w:tblPrEx>
          <w:tblLayout w:type="fixed"/>
          <w:tblCellMar>
            <w:top w:w="0" w:type="dxa"/>
            <w:left w:w="108" w:type="dxa"/>
            <w:bottom w:w="0" w:type="dxa"/>
            <w:right w:w="108"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安全防范警示标志</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协助（设计、安排）甲方设置在公共娱乐设施、水池、设备房、顶层天台等危险隐患部位。</w:t>
            </w:r>
          </w:p>
        </w:tc>
      </w:tr>
      <w:tr>
        <w:tblPrEx>
          <w:tblLayout w:type="fixed"/>
          <w:tblCellMar>
            <w:top w:w="0" w:type="dxa"/>
            <w:left w:w="108" w:type="dxa"/>
            <w:bottom w:w="0" w:type="dxa"/>
            <w:right w:w="108"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汽车</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内部汽车以智能卡方式管理，外来车辆固定方位停放、发放牌管理，出租车辆不可进入。</w:t>
            </w:r>
          </w:p>
        </w:tc>
      </w:tr>
      <w:tr>
        <w:tblPrEx>
          <w:tblLayout w:type="fixed"/>
          <w:tblCellMar>
            <w:top w:w="0" w:type="dxa"/>
            <w:left w:w="108" w:type="dxa"/>
            <w:bottom w:w="0" w:type="dxa"/>
            <w:right w:w="108" w:type="dxa"/>
          </w:tblCellMar>
        </w:tblPrEx>
        <w:trPr>
          <w:trHeight w:val="990" w:hRule="atLeast"/>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5</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摩托车、电动车、自行车</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指定位置，摆放整齐、安全，未取钥匙的取下保管。</w:t>
            </w:r>
          </w:p>
        </w:tc>
      </w:tr>
      <w:tr>
        <w:tblPrEx>
          <w:tblLayout w:type="fixed"/>
          <w:tblCellMar>
            <w:top w:w="0" w:type="dxa"/>
            <w:left w:w="108" w:type="dxa"/>
            <w:bottom w:w="0" w:type="dxa"/>
            <w:right w:w="108"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6</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外来人员</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进出管理区域的装修工、服务人员实施发放临时出入证管理；对外来人员作盘问、登记管理；对访客登记、指引行走路径。</w:t>
            </w:r>
          </w:p>
        </w:tc>
      </w:tr>
      <w:tr>
        <w:tblPrEx>
          <w:tblLayout w:type="fixed"/>
          <w:tblCellMar>
            <w:top w:w="0" w:type="dxa"/>
            <w:left w:w="108" w:type="dxa"/>
            <w:bottom w:w="0" w:type="dxa"/>
            <w:right w:w="108"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7</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突发事件</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物业必须参与抢险救灾。</w:t>
            </w:r>
          </w:p>
        </w:tc>
      </w:tr>
      <w:tr>
        <w:tblPrEx>
          <w:tblLayout w:type="fixed"/>
          <w:tblCellMar>
            <w:top w:w="0" w:type="dxa"/>
            <w:left w:w="108" w:type="dxa"/>
            <w:bottom w:w="0" w:type="dxa"/>
            <w:right w:w="108" w:type="dxa"/>
          </w:tblCellMar>
        </w:tblPrEx>
        <w:trPr>
          <w:trHeight w:val="90" w:hRule="atLeast"/>
          <w:jc w:val="center"/>
        </w:trPr>
        <w:tc>
          <w:tcPr>
            <w:tcW w:w="823"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8</w:t>
            </w:r>
          </w:p>
        </w:tc>
        <w:tc>
          <w:tcPr>
            <w:tcW w:w="166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重大活动</w:t>
            </w:r>
          </w:p>
        </w:tc>
        <w:tc>
          <w:tcPr>
            <w:tcW w:w="655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增加人员维持秩序，保障活动顺利进行。</w:t>
            </w:r>
          </w:p>
        </w:tc>
      </w:tr>
    </w:tbl>
    <w:p>
      <w:pPr>
        <w:widowControl/>
        <w:spacing w:line="460" w:lineRule="exact"/>
        <w:ind w:firstLine="120" w:firstLineChars="50"/>
        <w:rPr>
          <w:rFonts w:hint="eastAsia" w:ascii="仿宋_GB2312" w:hAnsi="宋体" w:eastAsia="仿宋_GB2312"/>
          <w:b/>
          <w:color w:val="auto"/>
          <w:sz w:val="24"/>
          <w:szCs w:val="22"/>
          <w:lang w:eastAsia="zh-CN"/>
        </w:rPr>
      </w:pPr>
      <w:bookmarkStart w:id="56" w:name="_Toc26669"/>
      <w:bookmarkStart w:id="57" w:name="_Toc390416642"/>
      <w:bookmarkStart w:id="58" w:name="_Toc339372936"/>
      <w:bookmarkStart w:id="59" w:name="_Toc461094459"/>
      <w:bookmarkStart w:id="60" w:name="_Toc27213"/>
      <w:r>
        <w:rPr>
          <w:rFonts w:hint="eastAsia" w:ascii="仿宋_GB2312" w:hAnsi="宋体" w:eastAsia="仿宋_GB2312"/>
          <w:b/>
          <w:color w:val="auto"/>
          <w:sz w:val="24"/>
          <w:szCs w:val="22"/>
        </w:rPr>
        <w:t>（5）清洁工作频次及标</w:t>
      </w:r>
      <w:bookmarkEnd w:id="56"/>
      <w:bookmarkEnd w:id="57"/>
      <w:bookmarkEnd w:id="58"/>
      <w:bookmarkEnd w:id="59"/>
      <w:bookmarkEnd w:id="60"/>
      <w:r>
        <w:rPr>
          <w:rFonts w:hint="eastAsia" w:ascii="仿宋_GB2312" w:hAnsi="宋体" w:eastAsia="仿宋_GB2312"/>
          <w:b/>
          <w:color w:val="auto"/>
          <w:sz w:val="24"/>
          <w:szCs w:val="22"/>
          <w:lang w:eastAsia="zh-CN"/>
        </w:rPr>
        <w:t>准</w:t>
      </w:r>
    </w:p>
    <w:tbl>
      <w:tblPr>
        <w:tblStyle w:val="16"/>
        <w:tblW w:w="9514" w:type="dxa"/>
        <w:jc w:val="center"/>
        <w:tblInd w:w="0" w:type="dxa"/>
        <w:tblLayout w:type="fixed"/>
        <w:tblCellMar>
          <w:top w:w="0" w:type="dxa"/>
          <w:left w:w="108" w:type="dxa"/>
          <w:bottom w:w="0" w:type="dxa"/>
          <w:right w:w="108" w:type="dxa"/>
        </w:tblCellMar>
      </w:tblPr>
      <w:tblGrid>
        <w:gridCol w:w="1413"/>
        <w:gridCol w:w="2352"/>
        <w:gridCol w:w="1134"/>
        <w:gridCol w:w="1175"/>
        <w:gridCol w:w="1311"/>
        <w:gridCol w:w="2129"/>
      </w:tblGrid>
      <w:tr>
        <w:tblPrEx>
          <w:tblLayout w:type="fixed"/>
          <w:tblCellMar>
            <w:top w:w="0" w:type="dxa"/>
            <w:left w:w="108" w:type="dxa"/>
            <w:bottom w:w="0" w:type="dxa"/>
            <w:right w:w="108" w:type="dxa"/>
          </w:tblCellMar>
        </w:tblPrEx>
        <w:trPr>
          <w:trHeight w:val="375"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区域</w:t>
            </w:r>
          </w:p>
        </w:tc>
        <w:tc>
          <w:tcPr>
            <w:tcW w:w="2352"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清洁项目</w:t>
            </w:r>
          </w:p>
        </w:tc>
        <w:tc>
          <w:tcPr>
            <w:tcW w:w="3620"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工作频次</w:t>
            </w:r>
          </w:p>
        </w:tc>
        <w:tc>
          <w:tcPr>
            <w:tcW w:w="2129"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工作标准</w:t>
            </w:r>
          </w:p>
        </w:tc>
      </w:tr>
      <w:tr>
        <w:tblPrEx>
          <w:tblLayout w:type="fixed"/>
          <w:tblCellMar>
            <w:top w:w="0" w:type="dxa"/>
            <w:left w:w="108" w:type="dxa"/>
            <w:bottom w:w="0" w:type="dxa"/>
            <w:right w:w="108" w:type="dxa"/>
          </w:tblCellMar>
        </w:tblPrEx>
        <w:trPr>
          <w:trHeight w:val="453"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每日</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每周</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每月</w:t>
            </w:r>
          </w:p>
        </w:tc>
        <w:tc>
          <w:tcPr>
            <w:tcW w:w="2129"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r>
      <w:tr>
        <w:tblPrEx>
          <w:tblLayout w:type="fixed"/>
          <w:tblCellMar>
            <w:top w:w="0" w:type="dxa"/>
            <w:left w:w="108" w:type="dxa"/>
            <w:bottom w:w="0" w:type="dxa"/>
            <w:right w:w="108" w:type="dxa"/>
          </w:tblCellMar>
        </w:tblPrEx>
        <w:trPr>
          <w:trHeight w:val="510" w:hRule="exact"/>
          <w:jc w:val="center"/>
        </w:trPr>
        <w:tc>
          <w:tcPr>
            <w:tcW w:w="1413"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办公区楼层公共区域</w:t>
            </w: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平台地面、踏步</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清洁2次</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清洗1次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墙壁低位（1.5M以下）</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除渍1次</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清洁3次</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无灰尘、无污渍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墙壁高位（1.5M以上）</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掸尘1次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无积尘、无污渍、无蛛网</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门、窗、窗台</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巡视1次</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清洁1次</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天花、风口、灯饰、牌</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无积尘、无污渍、无蛛网</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玻璃内面</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刮洗1次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无积尘、无污渍、光亮</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墙壁附属设施</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扶手</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无灰尘、无污渍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扶手铁翼</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w:t>
            </w:r>
          </w:p>
        </w:tc>
      </w:tr>
      <w:tr>
        <w:tblPrEx>
          <w:tblLayout w:type="fixed"/>
          <w:tblCellMar>
            <w:top w:w="0" w:type="dxa"/>
            <w:left w:w="108" w:type="dxa"/>
            <w:bottom w:w="0" w:type="dxa"/>
            <w:right w:w="108" w:type="dxa"/>
          </w:tblCellMar>
        </w:tblPrEx>
        <w:trPr>
          <w:trHeight w:val="510" w:hRule="exact"/>
          <w:jc w:val="center"/>
        </w:trPr>
        <w:tc>
          <w:tcPr>
            <w:tcW w:w="1413"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rPr>
                <w:rFonts w:ascii="仿宋_GB2312" w:hAnsi="宋体" w:eastAsia="仿宋_GB2312"/>
                <w:b/>
                <w:color w:val="auto"/>
                <w:sz w:val="24"/>
                <w:szCs w:val="22"/>
              </w:rPr>
            </w:pPr>
            <w:r>
              <w:rPr>
                <w:rFonts w:hint="eastAsia" w:ascii="仿宋_GB2312" w:hAnsi="宋体" w:eastAsia="仿宋_GB2312"/>
                <w:b/>
                <w:color w:val="auto"/>
                <w:sz w:val="24"/>
                <w:szCs w:val="22"/>
              </w:rPr>
              <w:t>公共洗手间</w:t>
            </w: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地面</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随时保洁</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无灰尘、无污渍、无积水</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隔板、墙面</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清洁3次</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洁净、无污渍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理容镜</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随时保洁</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洁净、无污渍、光亮</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门、窗、窗台</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天花、风口、灯饰、牌</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无积尘、无污渍、无蛛网</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窗玻璃</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刮洗1次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无积尘、无污渍、光亮</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垃圾桶</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随时保洁</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无严重污渍、垃圾不超过2/3</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小便池</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随时保洁</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清洁3次</w:t>
            </w: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无灰尘、无污渍、无积水</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空气清新剂</w:t>
            </w:r>
          </w:p>
        </w:tc>
        <w:tc>
          <w:tcPr>
            <w:tcW w:w="113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随时喷洒</w:t>
            </w:r>
          </w:p>
        </w:tc>
        <w:tc>
          <w:tcPr>
            <w:tcW w:w="1175"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131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无异味，空气清新</w:t>
            </w:r>
          </w:p>
        </w:tc>
      </w:tr>
      <w:tr>
        <w:tblPrEx>
          <w:tblLayout w:type="fixed"/>
          <w:tblCellMar>
            <w:top w:w="0" w:type="dxa"/>
            <w:left w:w="108" w:type="dxa"/>
            <w:bottom w:w="0" w:type="dxa"/>
            <w:right w:w="108" w:type="dxa"/>
          </w:tblCellMar>
        </w:tblPrEx>
        <w:trPr>
          <w:trHeight w:val="510" w:hRule="exact"/>
          <w:jc w:val="center"/>
        </w:trPr>
        <w:tc>
          <w:tcPr>
            <w:tcW w:w="1413" w:type="dxa"/>
            <w:vMerge w:val="restar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其它</w:t>
            </w: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楼顶、平台</w:t>
            </w:r>
          </w:p>
        </w:tc>
        <w:tc>
          <w:tcPr>
            <w:tcW w:w="3620" w:type="dxa"/>
            <w:gridSpan w:val="3"/>
            <w:tcBorders>
              <w:top w:val="single" w:color="000000" w:sz="4" w:space="0"/>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每月清洁1次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无垃圾、无堵塞</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住宅区楼道、地面</w:t>
            </w:r>
          </w:p>
        </w:tc>
        <w:tc>
          <w:tcPr>
            <w:tcW w:w="3620" w:type="dxa"/>
            <w:gridSpan w:val="3"/>
            <w:tcBorders>
              <w:top w:val="single" w:color="000000" w:sz="4" w:space="0"/>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每周清洁1次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无积尘、无污渍、无蛛</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大院地面</w:t>
            </w:r>
          </w:p>
        </w:tc>
        <w:tc>
          <w:tcPr>
            <w:tcW w:w="3620" w:type="dxa"/>
            <w:gridSpan w:val="3"/>
            <w:tcBorders>
              <w:top w:val="single" w:color="000000" w:sz="4" w:space="0"/>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1天1次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办公区及住宅区电梯</w:t>
            </w:r>
          </w:p>
        </w:tc>
        <w:tc>
          <w:tcPr>
            <w:tcW w:w="3620" w:type="dxa"/>
            <w:gridSpan w:val="3"/>
            <w:tcBorders>
              <w:top w:val="single" w:color="000000" w:sz="4" w:space="0"/>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1天1次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无积尘、无污渍、光亮</w:t>
            </w:r>
          </w:p>
        </w:tc>
      </w:tr>
      <w:tr>
        <w:tblPrEx>
          <w:tblLayout w:type="fixed"/>
          <w:tblCellMar>
            <w:top w:w="0" w:type="dxa"/>
            <w:left w:w="108" w:type="dxa"/>
            <w:bottom w:w="0" w:type="dxa"/>
            <w:right w:w="108" w:type="dxa"/>
          </w:tblCellMar>
        </w:tblPrEx>
        <w:trPr>
          <w:trHeight w:val="510" w:hRule="exac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c>
          <w:tcPr>
            <w:tcW w:w="235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垃圾清运</w:t>
            </w:r>
          </w:p>
        </w:tc>
        <w:tc>
          <w:tcPr>
            <w:tcW w:w="3620"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1天1次</w:t>
            </w:r>
          </w:p>
        </w:tc>
        <w:tc>
          <w:tcPr>
            <w:tcW w:w="2129"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60" w:lineRule="exact"/>
              <w:ind w:firstLine="435"/>
              <w:rPr>
                <w:rFonts w:ascii="仿宋_GB2312" w:hAnsi="宋体" w:eastAsia="仿宋_GB2312"/>
                <w:b/>
                <w:color w:val="auto"/>
                <w:sz w:val="24"/>
                <w:szCs w:val="22"/>
              </w:rPr>
            </w:pPr>
          </w:p>
        </w:tc>
      </w:tr>
    </w:tbl>
    <w:p>
      <w:pPr>
        <w:widowControl/>
        <w:spacing w:line="460" w:lineRule="exact"/>
        <w:ind w:firstLine="435"/>
        <w:rPr>
          <w:rFonts w:hint="eastAsia" w:ascii="仿宋_GB2312" w:hAnsi="宋体" w:eastAsia="仿宋_GB2312"/>
          <w:b/>
          <w:color w:val="auto"/>
          <w:sz w:val="24"/>
          <w:szCs w:val="22"/>
        </w:rPr>
      </w:pP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（三）、其它事项</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1、房屋的公用部位、公用设施、设备、公共场地的更新维修、养护所需的材料费用以及管理费用等，这些费用事前应报甲方批准，按实际发生的费用实行实报实销的原则。</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（1）凡供电、供水系统和公共设施、设备的维修材料费用，由乙方写出维修项目及预算报告，报请甲方主管部门审查批准后再购买或到甲方领取。维修完后，属外购的材料由乙方凭票据向甲方报销。</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（2）因特殊原因，公用设施设备突发故障，为保证日常工作和生活不受影响，乙方可先行快速组织抢修，同时向甲方主管部门报告，所需费用由甲方支付。</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（3）部分公用设施设备的损坏，如因乙方工作人员失职而导致的，其维修费用由乙方自行负责。</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2、乙方对各业主和物业使用人的房屋自用部位、自用设备、毗连部位的维修、养护及其它特约服务，按实际发生的费用由业主和物业使用人支付，收费标准须经甲方审核批准并公示。</w:t>
      </w:r>
    </w:p>
    <w:p>
      <w:pPr>
        <w:widowControl/>
        <w:spacing w:line="460" w:lineRule="exact"/>
        <w:ind w:firstLine="435"/>
        <w:rPr>
          <w:rFonts w:hint="eastAsia" w:ascii="仿宋_GB2312" w:hAnsi="宋体" w:eastAsia="仿宋_GB2312"/>
          <w:b/>
          <w:color w:val="auto"/>
          <w:sz w:val="24"/>
          <w:szCs w:val="22"/>
        </w:rPr>
      </w:pPr>
      <w:r>
        <w:rPr>
          <w:rFonts w:hint="eastAsia" w:ascii="仿宋_GB2312" w:hAnsi="宋体" w:eastAsia="仿宋_GB2312"/>
          <w:b/>
          <w:color w:val="auto"/>
          <w:sz w:val="24"/>
          <w:szCs w:val="22"/>
        </w:rPr>
        <w:t>3、鉴于实验室安全要求及实验室洗涤工作的特殊性，实验室洗涤工人人事划归物业公司，但工作由实验室安排，物业公司不得随意更换。</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4、专项费用</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电梯、空调、消防设施设备、防雷、发电机组等系统的维修保养、水池清冼化验、化粪池清理、整体外墙清洁及高空作业等不纳入物业服务范围。消防监控室所有消防设备设施物业负责日常管理巡查记录。维修所需费用按实际发生的费用由甲方直接向相关部门支付。</w:t>
      </w:r>
    </w:p>
    <w:p>
      <w:pPr>
        <w:widowControl/>
        <w:spacing w:line="460" w:lineRule="exact"/>
        <w:ind w:firstLine="435"/>
        <w:rPr>
          <w:rFonts w:hint="eastAsia" w:ascii="仿宋_GB2312" w:hAnsi="宋体" w:eastAsia="仿宋_GB2312"/>
          <w:b/>
          <w:color w:val="auto"/>
          <w:sz w:val="24"/>
          <w:szCs w:val="22"/>
          <w:lang w:val="en-US" w:eastAsia="zh-CN"/>
        </w:rPr>
      </w:pPr>
      <w:r>
        <w:rPr>
          <w:rFonts w:hint="eastAsia" w:ascii="仿宋_GB2312" w:hAnsi="宋体" w:eastAsia="仿宋_GB2312"/>
          <w:b/>
          <w:color w:val="auto"/>
          <w:sz w:val="24"/>
          <w:szCs w:val="22"/>
          <w:lang w:val="en-US" w:eastAsia="zh-CN"/>
        </w:rPr>
        <w:t>5.</w:t>
      </w:r>
      <w:r>
        <w:rPr>
          <w:rFonts w:hint="eastAsia" w:ascii="仿宋_GB2312" w:hAnsi="宋体" w:eastAsia="仿宋_GB2312" w:cs="Times New Roman"/>
          <w:b/>
          <w:color w:val="auto"/>
          <w:sz w:val="24"/>
          <w:szCs w:val="22"/>
          <w:lang w:val="en-US" w:eastAsia="zh-CN"/>
        </w:rPr>
        <w:t>物业服务应急预案</w:t>
      </w:r>
    </w:p>
    <w:p>
      <w:pPr>
        <w:widowControl/>
        <w:spacing w:line="460" w:lineRule="exact"/>
        <w:ind w:firstLine="435"/>
        <w:rPr>
          <w:rFonts w:hint="default" w:ascii="仿宋_GB2312" w:hAnsi="宋体" w:eastAsia="仿宋_GB2312"/>
          <w:b/>
          <w:color w:val="auto"/>
          <w:sz w:val="24"/>
          <w:szCs w:val="22"/>
          <w:lang w:val="en-US" w:eastAsia="zh-CN"/>
        </w:rPr>
      </w:pPr>
      <w:r>
        <w:rPr>
          <w:rFonts w:hint="eastAsia" w:ascii="仿宋_GB2312" w:hAnsi="宋体" w:eastAsia="仿宋_GB2312" w:cs="Times New Roman"/>
          <w:b/>
          <w:color w:val="auto"/>
          <w:sz w:val="24"/>
          <w:szCs w:val="22"/>
          <w:lang w:val="en-US" w:eastAsia="zh-CN"/>
        </w:rPr>
        <w:t>物业公司在服务过程中</w:t>
      </w:r>
      <w:r>
        <w:rPr>
          <w:rFonts w:hint="eastAsia" w:ascii="仿宋_GB2312" w:hAnsi="宋体" w:eastAsia="仿宋_GB2312"/>
          <w:b/>
          <w:color w:val="auto"/>
          <w:sz w:val="24"/>
          <w:szCs w:val="22"/>
        </w:rPr>
        <w:t>发现突发事件时，立即拨打110或119，对突发事件（包括火灾、水浸、伤病等）提供应急处理服务</w:t>
      </w:r>
      <w:r>
        <w:rPr>
          <w:rFonts w:hint="eastAsia" w:ascii="仿宋_GB2312" w:hAnsi="宋体" w:eastAsia="仿宋_GB2312"/>
          <w:b/>
          <w:color w:val="auto"/>
          <w:sz w:val="24"/>
          <w:szCs w:val="22"/>
          <w:lang w:eastAsia="zh-CN"/>
        </w:rPr>
        <w:t>，</w:t>
      </w:r>
      <w:r>
        <w:rPr>
          <w:rFonts w:hint="eastAsia" w:ascii="仿宋_GB2312" w:hAnsi="宋体" w:eastAsia="仿宋_GB2312"/>
          <w:b/>
          <w:color w:val="auto"/>
          <w:sz w:val="24"/>
          <w:szCs w:val="22"/>
        </w:rPr>
        <w:t>并根据应急预案采取相应的应急措施</w:t>
      </w:r>
      <w:r>
        <w:rPr>
          <w:rFonts w:hint="eastAsia" w:ascii="仿宋_GB2312" w:hAnsi="宋体" w:eastAsia="仿宋_GB2312" w:cs="Times New Roman"/>
          <w:b/>
          <w:color w:val="auto"/>
          <w:sz w:val="24"/>
          <w:szCs w:val="22"/>
          <w:lang w:val="en-US" w:eastAsia="zh-CN"/>
        </w:rPr>
        <w:t>。</w:t>
      </w:r>
    </w:p>
    <w:p>
      <w:pPr>
        <w:widowControl/>
        <w:spacing w:line="460" w:lineRule="exact"/>
        <w:ind w:firstLine="435"/>
        <w:rPr>
          <w:rFonts w:hint="eastAsia" w:ascii="仿宋_GB2312" w:hAnsi="宋体" w:eastAsia="仿宋_GB2312"/>
          <w:b/>
          <w:color w:val="auto"/>
          <w:sz w:val="24"/>
          <w:szCs w:val="22"/>
        </w:rPr>
      </w:pPr>
      <w:r>
        <w:rPr>
          <w:rFonts w:hint="eastAsia" w:ascii="仿宋_GB2312" w:hAnsi="宋体" w:eastAsia="仿宋_GB2312"/>
          <w:b/>
          <w:color w:val="auto"/>
          <w:sz w:val="24"/>
          <w:szCs w:val="22"/>
        </w:rPr>
        <w:t>三、物业服务费的构成及支付方式</w:t>
      </w:r>
    </w:p>
    <w:p>
      <w:pPr>
        <w:widowControl/>
        <w:spacing w:line="460" w:lineRule="exact"/>
        <w:ind w:firstLine="435"/>
        <w:rPr>
          <w:rFonts w:hint="eastAsia" w:ascii="仿宋_GB2312" w:hAnsi="宋体" w:eastAsia="仿宋_GB2312"/>
          <w:b/>
          <w:color w:val="auto"/>
          <w:sz w:val="24"/>
          <w:szCs w:val="22"/>
        </w:rPr>
      </w:pPr>
      <w:r>
        <w:rPr>
          <w:rFonts w:hint="eastAsia" w:ascii="仿宋_GB2312" w:hAnsi="宋体" w:eastAsia="仿宋_GB2312"/>
          <w:b/>
          <w:color w:val="auto"/>
          <w:sz w:val="24"/>
          <w:szCs w:val="22"/>
        </w:rPr>
        <w:t>1、物业服务费的构成</w:t>
      </w:r>
    </w:p>
    <w:p>
      <w:pPr>
        <w:spacing w:line="360" w:lineRule="auto"/>
        <w:ind w:firstLine="482" w:firstLineChars="200"/>
        <w:outlineLvl w:val="1"/>
        <w:rPr>
          <w:rFonts w:hint="eastAsia" w:ascii="仿宋_GB2312" w:hAnsi="宋体" w:eastAsia="仿宋_GB2312"/>
          <w:b/>
          <w:color w:val="auto"/>
          <w:sz w:val="24"/>
          <w:szCs w:val="22"/>
        </w:rPr>
      </w:pPr>
      <w:r>
        <w:rPr>
          <w:rFonts w:hint="eastAsia" w:ascii="仿宋_GB2312" w:hAnsi="宋体" w:eastAsia="仿宋_GB2312" w:cs="Times New Roman"/>
          <w:b/>
          <w:color w:val="auto"/>
          <w:sz w:val="24"/>
          <w:szCs w:val="22"/>
          <w:lang w:val="en-US" w:eastAsia="zh-CN" w:bidi="ar-SA"/>
        </w:rPr>
        <w:t>物业服务费用构成：人员工资、节假日加班费、社会保险费、服装费、保洁耗材费、员工福利费、职工培训经费及办公用品、税金、企业佣金等费用支出。</w:t>
      </w:r>
    </w:p>
    <w:p>
      <w:pPr>
        <w:widowControl/>
        <w:spacing w:line="460" w:lineRule="exact"/>
        <w:ind w:firstLine="435"/>
        <w:rPr>
          <w:rFonts w:hint="eastAsia" w:ascii="仿宋_GB2312" w:hAnsi="宋体" w:eastAsia="仿宋_GB2312"/>
          <w:b/>
          <w:color w:val="auto"/>
          <w:sz w:val="24"/>
          <w:szCs w:val="22"/>
          <w:lang w:eastAsia="zh-CN"/>
        </w:rPr>
      </w:pPr>
      <w:r>
        <w:rPr>
          <w:rFonts w:hint="eastAsia" w:ascii="仿宋_GB2312" w:hAnsi="宋体" w:eastAsia="仿宋_GB2312"/>
          <w:b/>
          <w:color w:val="auto"/>
          <w:sz w:val="24"/>
          <w:szCs w:val="22"/>
        </w:rPr>
        <w:t>2、</w:t>
      </w:r>
      <w:r>
        <w:rPr>
          <w:rFonts w:hint="eastAsia" w:ascii="仿宋_GB2312" w:hAnsi="宋体" w:eastAsia="仿宋_GB2312"/>
          <w:b/>
          <w:color w:val="auto"/>
          <w:sz w:val="24"/>
          <w:szCs w:val="22"/>
          <w:lang w:eastAsia="zh-CN"/>
        </w:rPr>
        <w:t>其他事项</w:t>
      </w:r>
    </w:p>
    <w:p>
      <w:pPr>
        <w:widowControl/>
        <w:spacing w:line="460" w:lineRule="exact"/>
        <w:ind w:firstLine="435"/>
        <w:rPr>
          <w:rFonts w:ascii="仿宋_GB2312" w:hAnsi="宋体" w:eastAsia="仿宋_GB2312"/>
          <w:b/>
          <w:color w:val="auto"/>
          <w:sz w:val="24"/>
          <w:szCs w:val="22"/>
        </w:rPr>
      </w:pPr>
      <w:r>
        <w:rPr>
          <w:rFonts w:hint="eastAsia" w:ascii="仿宋_GB2312" w:hAnsi="宋体" w:eastAsia="仿宋_GB2312"/>
          <w:b/>
          <w:color w:val="auto"/>
          <w:sz w:val="24"/>
          <w:szCs w:val="22"/>
        </w:rPr>
        <w:t>（</w:t>
      </w:r>
      <w:r>
        <w:rPr>
          <w:rFonts w:hint="eastAsia" w:ascii="仿宋_GB2312" w:hAnsi="宋体" w:eastAsia="仿宋_GB2312"/>
          <w:b/>
          <w:color w:val="auto"/>
          <w:sz w:val="24"/>
          <w:szCs w:val="22"/>
          <w:lang w:val="en-US" w:eastAsia="zh-CN"/>
        </w:rPr>
        <w:t>1</w:t>
      </w:r>
      <w:r>
        <w:rPr>
          <w:rFonts w:hint="eastAsia" w:ascii="仿宋_GB2312" w:hAnsi="宋体" w:eastAsia="仿宋_GB2312"/>
          <w:b/>
          <w:color w:val="auto"/>
          <w:sz w:val="24"/>
          <w:szCs w:val="22"/>
        </w:rPr>
        <w:t>）如甲方要求增加人员或增加服务项目的，费用由双方按保本微利的原则另行协商，并签订补充协议。</w:t>
      </w:r>
    </w:p>
    <w:p>
      <w:pPr>
        <w:widowControl/>
        <w:spacing w:line="460" w:lineRule="exact"/>
        <w:ind w:firstLine="435"/>
      </w:pPr>
      <w:r>
        <w:rPr>
          <w:rFonts w:hint="eastAsia" w:ascii="仿宋_GB2312" w:hAnsi="宋体" w:eastAsia="仿宋_GB2312"/>
          <w:b/>
          <w:color w:val="auto"/>
          <w:sz w:val="24"/>
          <w:szCs w:val="22"/>
        </w:rPr>
        <w:t>（</w:t>
      </w:r>
      <w:r>
        <w:rPr>
          <w:rFonts w:hint="eastAsia" w:ascii="仿宋_GB2312" w:hAnsi="宋体" w:eastAsia="仿宋_GB2312"/>
          <w:b/>
          <w:color w:val="auto"/>
          <w:sz w:val="24"/>
          <w:szCs w:val="22"/>
          <w:lang w:val="en-US" w:eastAsia="zh-CN"/>
        </w:rPr>
        <w:t>2</w:t>
      </w:r>
      <w:r>
        <w:rPr>
          <w:rFonts w:hint="eastAsia" w:ascii="仿宋_GB2312" w:hAnsi="宋体" w:eastAsia="仿宋_GB2312"/>
          <w:b/>
          <w:color w:val="auto"/>
          <w:sz w:val="24"/>
          <w:szCs w:val="22"/>
        </w:rPr>
        <w:t>）管理服务费的调整，每年可按物价涨幅、政府最低工资标准和社保调整基数进行调整。（2020年最低工资标准为1670元；社保费单位部分为982元）</w:t>
      </w:r>
    </w:p>
    <w:p>
      <w:pPr>
        <w:widowControl/>
        <w:spacing w:line="460" w:lineRule="exact"/>
        <w:ind w:firstLine="435"/>
        <w:rPr>
          <w:rFonts w:hint="eastAsia" w:ascii="仿宋_GB2312" w:hAnsi="宋体" w:eastAsia="仿宋_GB2312"/>
          <w:b/>
          <w:color w:val="auto"/>
          <w:sz w:val="24"/>
          <w:szCs w:val="22"/>
          <w:lang w:eastAsia="zh-CN"/>
        </w:rPr>
      </w:pPr>
      <w:r>
        <w:rPr>
          <w:rFonts w:hint="eastAsia" w:ascii="仿宋_GB2312" w:hAnsi="宋体" w:eastAsia="仿宋_GB2312"/>
          <w:b/>
          <w:color w:val="auto"/>
          <w:sz w:val="24"/>
          <w:szCs w:val="22"/>
        </w:rPr>
        <w:t>（</w:t>
      </w:r>
      <w:r>
        <w:rPr>
          <w:rFonts w:hint="eastAsia" w:ascii="仿宋_GB2312" w:hAnsi="宋体" w:eastAsia="仿宋_GB2312"/>
          <w:b/>
          <w:color w:val="auto"/>
          <w:sz w:val="24"/>
          <w:szCs w:val="22"/>
          <w:lang w:val="en-US" w:eastAsia="zh-CN"/>
        </w:rPr>
        <w:t>3</w:t>
      </w:r>
      <w:r>
        <w:rPr>
          <w:rFonts w:hint="eastAsia" w:ascii="仿宋_GB2312" w:hAnsi="宋体" w:eastAsia="仿宋_GB2312"/>
          <w:b/>
          <w:color w:val="auto"/>
          <w:sz w:val="24"/>
          <w:szCs w:val="22"/>
        </w:rPr>
        <w:t>）甲方承担污水处理所需材料、生活与医疗垃圾的清运处理费、传染病区消毒及烈性传染性疾病、甲级传染病清洁用品</w:t>
      </w:r>
      <w:r>
        <w:rPr>
          <w:rFonts w:hint="eastAsia" w:ascii="仿宋_GB2312" w:hAnsi="宋体" w:eastAsia="仿宋_GB2312"/>
          <w:b/>
          <w:color w:val="auto"/>
          <w:sz w:val="24"/>
          <w:szCs w:val="22"/>
          <w:lang w:eastAsia="zh-CN"/>
        </w:rPr>
        <w:t>。</w:t>
      </w:r>
    </w:p>
    <w:p>
      <w:pPr>
        <w:pStyle w:val="2"/>
        <w:ind w:firstLine="482" w:firstLineChars="200"/>
        <w:rPr>
          <w:rFonts w:hint="eastAsia" w:ascii="仿宋_GB2312" w:hAnsi="宋体" w:eastAsia="仿宋_GB2312" w:cs="Times New Roman"/>
          <w:b/>
          <w:bCs w:val="0"/>
          <w:color w:val="auto"/>
          <w:kern w:val="2"/>
          <w:sz w:val="24"/>
          <w:szCs w:val="22"/>
          <w:lang w:val="en-US" w:eastAsia="zh-CN" w:bidi="ar-SA"/>
        </w:rPr>
      </w:pPr>
      <w:r>
        <w:rPr>
          <w:rFonts w:hint="eastAsia" w:ascii="仿宋_GB2312" w:hAnsi="宋体" w:eastAsia="仿宋_GB2312" w:cs="Times New Roman"/>
          <w:b/>
          <w:bCs w:val="0"/>
          <w:color w:val="auto"/>
          <w:kern w:val="2"/>
          <w:sz w:val="24"/>
          <w:szCs w:val="22"/>
          <w:lang w:val="en-US" w:eastAsia="zh-CN" w:bidi="ar-SA"/>
        </w:rPr>
        <w:t>（4）原中心聘用的14名工作人员移交物业公司签订劳动合同并保持待遇不变，无故不得辞退，因违法违纪或其它原因需要辞退的，需报中心同意后方能辞退。</w:t>
      </w:r>
    </w:p>
    <w:p>
      <w:pPr>
        <w:pStyle w:val="2"/>
        <w:rPr>
          <w:rFonts w:hint="default"/>
          <w:lang w:val="en-US" w:eastAsia="zh-CN"/>
        </w:rPr>
      </w:pPr>
      <w:r>
        <w:rPr>
          <w:rFonts w:hint="eastAsia" w:ascii="仿宋_GB2312" w:hAnsi="宋体" w:eastAsia="仿宋_GB2312"/>
          <w:b/>
          <w:color w:val="auto"/>
          <w:sz w:val="24"/>
          <w:szCs w:val="22"/>
          <w:lang w:val="en-US" w:eastAsia="zh-CN"/>
        </w:rPr>
        <w:t xml:space="preserve">    </w:t>
      </w: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hint="eastAsia" w:ascii="仿宋_GB2312" w:hAnsi="宋体" w:eastAsia="仿宋_GB2312"/>
          <w:b/>
          <w:color w:val="auto"/>
          <w:sz w:val="28"/>
          <w:szCs w:val="28"/>
        </w:rPr>
      </w:pPr>
    </w:p>
    <w:p>
      <w:pPr>
        <w:spacing w:line="500" w:lineRule="exact"/>
        <w:ind w:firstLine="482"/>
        <w:jc w:val="center"/>
        <w:rPr>
          <w:rFonts w:ascii="仿宋_GB2312" w:hAnsi="宋体" w:eastAsia="仿宋_GB2312"/>
          <w:b/>
          <w:color w:val="auto"/>
          <w:sz w:val="28"/>
          <w:szCs w:val="28"/>
        </w:rPr>
      </w:pPr>
      <w:r>
        <w:rPr>
          <w:rFonts w:hint="eastAsia" w:ascii="仿宋_GB2312" w:hAnsi="宋体" w:eastAsia="仿宋_GB2312"/>
          <w:b/>
          <w:color w:val="auto"/>
          <w:sz w:val="28"/>
          <w:szCs w:val="28"/>
        </w:rPr>
        <w:t>第三章投标人须知</w:t>
      </w:r>
    </w:p>
    <w:p>
      <w:pPr>
        <w:spacing w:before="120" w:after="240" w:line="500" w:lineRule="exact"/>
        <w:jc w:val="center"/>
        <w:rPr>
          <w:rFonts w:ascii="仿宋_GB2312" w:hAnsi="宋体" w:eastAsia="仿宋_GB2312"/>
          <w:b/>
          <w:color w:val="auto"/>
          <w:sz w:val="24"/>
        </w:rPr>
      </w:pPr>
      <w:r>
        <w:rPr>
          <w:rFonts w:hint="eastAsia" w:ascii="仿宋_GB2312" w:hAnsi="宋体" w:eastAsia="仿宋_GB2312"/>
          <w:b/>
          <w:color w:val="auto"/>
          <w:sz w:val="24"/>
        </w:rPr>
        <w:t>投标人须知前附表</w:t>
      </w:r>
    </w:p>
    <w:tbl>
      <w:tblPr>
        <w:tblStyle w:val="16"/>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21"/>
              <w:spacing w:line="400" w:lineRule="exact"/>
              <w:jc w:val="center"/>
              <w:rPr>
                <w:rFonts w:ascii="仿宋_GB2312" w:eastAsia="仿宋_GB2312"/>
                <w:b/>
                <w:color w:val="auto"/>
                <w:lang w:val="zh-CN"/>
              </w:rPr>
            </w:pPr>
            <w:r>
              <w:rPr>
                <w:rFonts w:hint="eastAsia" w:ascii="仿宋_GB2312" w:eastAsia="仿宋_GB2312"/>
                <w:b/>
                <w:color w:val="auto"/>
                <w:lang w:val="zh-CN"/>
              </w:rPr>
              <w:t>条款</w:t>
            </w:r>
          </w:p>
          <w:p>
            <w:pPr>
              <w:pStyle w:val="21"/>
              <w:spacing w:line="400" w:lineRule="exact"/>
              <w:jc w:val="center"/>
              <w:rPr>
                <w:rFonts w:ascii="仿宋_GB2312" w:eastAsia="仿宋_GB2312"/>
                <w:b/>
                <w:color w:val="auto"/>
                <w:lang w:val="zh-CN"/>
              </w:rPr>
            </w:pPr>
            <w:r>
              <w:rPr>
                <w:rFonts w:hint="eastAsia" w:ascii="仿宋_GB2312" w:eastAsia="仿宋_GB2312"/>
                <w:b/>
                <w:color w:val="auto"/>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21"/>
              <w:spacing w:line="500" w:lineRule="exact"/>
              <w:jc w:val="center"/>
              <w:rPr>
                <w:rFonts w:ascii="仿宋_GB2312" w:eastAsia="仿宋_GB2312"/>
                <w:b/>
                <w:color w:val="auto"/>
                <w:lang w:val="zh-CN"/>
              </w:rPr>
            </w:pPr>
            <w:r>
              <w:rPr>
                <w:rFonts w:hint="eastAsia" w:ascii="仿宋_GB2312" w:eastAsia="仿宋_GB2312"/>
                <w:b/>
                <w:color w:val="auto"/>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21"/>
              <w:spacing w:line="500" w:lineRule="exact"/>
              <w:jc w:val="center"/>
              <w:rPr>
                <w:rFonts w:ascii="仿宋_GB2312" w:eastAsia="仿宋_GB2312"/>
                <w:b/>
                <w:color w:val="auto"/>
                <w:lang w:val="zh-CN"/>
              </w:rPr>
            </w:pPr>
            <w:r>
              <w:rPr>
                <w:rFonts w:hint="eastAsia" w:ascii="仿宋_GB2312" w:eastAsia="仿宋_GB2312"/>
                <w:b/>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jc w:val="both"/>
              <w:rPr>
                <w:rFonts w:ascii="仿宋_GB2312" w:eastAsia="仿宋_GB2312"/>
                <w:b/>
                <w:color w:val="auto"/>
                <w:lang w:val="zh-CN"/>
              </w:rPr>
            </w:pPr>
            <w:r>
              <w:rPr>
                <w:rFonts w:hint="eastAsia" w:ascii="仿宋_GB2312" w:eastAsia="仿宋_GB2312"/>
                <w:b/>
                <w:color w:val="auto"/>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color w:val="auto"/>
                <w:kern w:val="0"/>
                <w:sz w:val="24"/>
                <w:lang w:val="zh-CN"/>
              </w:rPr>
            </w:pPr>
            <w:r>
              <w:rPr>
                <w:rFonts w:hint="eastAsia" w:ascii="仿宋_GB2312" w:hAnsi="宋体" w:eastAsia="仿宋_GB2312" w:cs="宋体"/>
                <w:b/>
                <w:color w:val="auto"/>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color w:val="auto"/>
                <w:kern w:val="0"/>
                <w:sz w:val="24"/>
                <w:lang w:val="zh-CN"/>
              </w:rPr>
            </w:pPr>
            <w:r>
              <w:rPr>
                <w:rFonts w:hint="eastAsia" w:ascii="仿宋_GB2312" w:hAnsi="宋体" w:eastAsia="仿宋_GB2312" w:cs="宋体"/>
                <w:b/>
                <w:color w:val="auto"/>
                <w:kern w:val="0"/>
                <w:sz w:val="24"/>
                <w:lang w:val="zh-CN"/>
              </w:rPr>
              <w:t>有无带（“</w:t>
            </w:r>
            <w:r>
              <w:rPr>
                <w:rFonts w:hint="eastAsia"/>
                <w:color w:val="auto"/>
              </w:rPr>
              <w:t>★</w:t>
            </w:r>
            <w:r>
              <w:rPr>
                <w:rFonts w:hint="eastAsia" w:ascii="仿宋_GB2312" w:hAnsi="宋体" w:eastAsia="仿宋_GB2312" w:cs="宋体"/>
                <w:b/>
                <w:color w:val="auto"/>
                <w:kern w:val="0"/>
                <w:sz w:val="24"/>
                <w:lang w:val="zh-CN"/>
              </w:rPr>
              <w:t>”）技术指标</w:t>
            </w:r>
          </w:p>
        </w:tc>
        <w:tc>
          <w:tcPr>
            <w:tcW w:w="5172" w:type="dxa"/>
            <w:tcBorders>
              <w:top w:val="single" w:color="auto" w:sz="8" w:space="0"/>
              <w:left w:val="single" w:color="auto" w:sz="8" w:space="0"/>
              <w:bottom w:val="single" w:color="auto" w:sz="8" w:space="0"/>
              <w:right w:val="single" w:color="auto" w:sz="18" w:space="0"/>
            </w:tcBorders>
            <w:vAlign w:val="center"/>
          </w:tcPr>
          <w:p>
            <w:pPr>
              <w:pStyle w:val="7"/>
              <w:rPr>
                <w:color w:val="auto"/>
              </w:rPr>
            </w:pPr>
            <w:r>
              <w:rPr>
                <w:rFonts w:hint="eastAsia" w:ascii="仿宋_GB2312" w:hAnsi="宋体" w:eastAsia="仿宋_GB2312" w:cs="宋体"/>
                <w:b/>
                <w:color w:val="auto"/>
                <w:kern w:val="0"/>
                <w:sz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color w:val="auto"/>
                <w:kern w:val="0"/>
                <w:sz w:val="24"/>
                <w:lang w:val="zh-CN"/>
              </w:rPr>
            </w:pPr>
            <w:r>
              <w:rPr>
                <w:rFonts w:hint="eastAsia" w:ascii="仿宋_GB2312" w:hAnsi="宋体" w:eastAsia="仿宋_GB2312" w:cs="Courier New"/>
                <w:b/>
                <w:color w:val="auto"/>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color w:val="auto"/>
                <w:sz w:val="24"/>
              </w:rPr>
            </w:pPr>
            <w:r>
              <w:rPr>
                <w:rFonts w:hint="eastAsia" w:ascii="仿宋_GB2312" w:hAnsi="宋体" w:eastAsia="仿宋_GB2312"/>
                <w:b/>
                <w:color w:val="auto"/>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jc w:val="center"/>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color w:val="auto"/>
                <w:kern w:val="0"/>
                <w:sz w:val="24"/>
                <w:lang w:val="zh-CN"/>
              </w:rPr>
            </w:pPr>
            <w:r>
              <w:rPr>
                <w:rFonts w:hint="eastAsia" w:ascii="仿宋_GB2312" w:hAnsi="宋体" w:eastAsia="仿宋_GB2312" w:cs="Courier New"/>
                <w:b/>
                <w:color w:val="auto"/>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21"/>
              <w:jc w:val="both"/>
              <w:rPr>
                <w:rFonts w:ascii="仿宋_GB2312" w:eastAsia="仿宋_GB2312"/>
                <w:b/>
                <w:color w:val="auto"/>
              </w:rPr>
            </w:pPr>
            <w:r>
              <w:rPr>
                <w:rFonts w:hint="eastAsia" w:ascii="仿宋_GB2312" w:eastAsia="仿宋_GB2312"/>
                <w:b/>
                <w:color w:val="auto"/>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color w:val="auto"/>
                <w:kern w:val="0"/>
                <w:sz w:val="24"/>
                <w:lang w:val="zh-CN"/>
              </w:rPr>
            </w:pPr>
            <w:r>
              <w:rPr>
                <w:rFonts w:hint="eastAsia" w:ascii="仿宋_GB2312" w:hAnsi="宋体" w:eastAsia="仿宋_GB2312"/>
                <w:b/>
                <w:color w:val="auto"/>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21"/>
              <w:spacing w:line="500" w:lineRule="exact"/>
              <w:jc w:val="center"/>
              <w:rPr>
                <w:rFonts w:ascii="仿宋_GB2312" w:eastAsia="仿宋_GB2312"/>
                <w:b/>
                <w:color w:val="auto"/>
                <w:lang w:val="zh-CN"/>
              </w:rPr>
            </w:pPr>
            <w:r>
              <w:rPr>
                <w:rFonts w:hint="eastAsia" w:ascii="仿宋_GB2312" w:eastAsia="仿宋_GB2312"/>
                <w:b/>
                <w:color w:val="auto"/>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21"/>
              <w:spacing w:line="500" w:lineRule="exact"/>
              <w:jc w:val="center"/>
              <w:rPr>
                <w:rFonts w:ascii="仿宋_GB2312" w:eastAsia="仿宋_GB2312"/>
                <w:b/>
                <w:color w:val="auto"/>
              </w:rPr>
            </w:pPr>
            <w:r>
              <w:rPr>
                <w:rFonts w:hint="eastAsia" w:ascii="仿宋_GB2312" w:eastAsia="仿宋_GB2312"/>
                <w:b/>
                <w:color w:val="auto"/>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1.投标声明函；</w:t>
            </w:r>
          </w:p>
          <w:p>
            <w:pPr>
              <w:widowControl/>
              <w:tabs>
                <w:tab w:val="left" w:pos="425"/>
              </w:tabs>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3. 法定代表人身份证明书（提供法定代表人身份证复印件，非中国国籍的则提供护照复印件）；</w:t>
            </w:r>
          </w:p>
          <w:p>
            <w:pPr>
              <w:pStyle w:val="7"/>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color w:val="auto"/>
                <w:sz w:val="24"/>
              </w:rPr>
            </w:pPr>
            <w:r>
              <w:rPr>
                <w:rFonts w:hint="eastAsia" w:ascii="仿宋_GB2312" w:hAnsi="宋体" w:eastAsia="仿宋_GB2312"/>
                <w:b/>
                <w:color w:val="auto"/>
                <w:kern w:val="0"/>
                <w:sz w:val="24"/>
                <w:lang w:val="zh-CN"/>
              </w:rPr>
              <w:t>5.财务状况报告情况说明材料（</w:t>
            </w:r>
            <w:r>
              <w:rPr>
                <w:rFonts w:hint="eastAsia" w:ascii="仿宋_GB2312" w:hAnsi="仿宋_GB2312" w:eastAsia="仿宋_GB2312"/>
                <w:b/>
                <w:color w:val="auto"/>
                <w:sz w:val="24"/>
              </w:rPr>
              <w:t>提供2020年至今任意一个月份的的财务报表：</w:t>
            </w:r>
            <w:r>
              <w:rPr>
                <w:color w:val="auto"/>
              </w:rPr>
              <w:fldChar w:fldCharType="begin"/>
            </w:r>
            <w:r>
              <w:rPr>
                <w:color w:val="auto"/>
              </w:rPr>
              <w:instrText xml:space="preserve"> HYPERLINK "http://www.kuaiji.com/shiwu/1305225_5" \t "_blank" \o "资产负债表" </w:instrText>
            </w:r>
            <w:r>
              <w:rPr>
                <w:color w:val="auto"/>
              </w:rPr>
              <w:fldChar w:fldCharType="separate"/>
            </w:r>
            <w:r>
              <w:rPr>
                <w:rFonts w:hint="eastAsia" w:ascii="仿宋_GB2312" w:hAnsi="宋体" w:eastAsia="仿宋_GB2312"/>
                <w:b/>
                <w:color w:val="auto"/>
                <w:kern w:val="0"/>
                <w:sz w:val="24"/>
                <w:lang w:val="zh-CN"/>
              </w:rPr>
              <w:t>资产负债表</w:t>
            </w:r>
            <w:r>
              <w:rPr>
                <w:rFonts w:hint="eastAsia" w:ascii="仿宋_GB2312" w:hAnsi="宋体" w:eastAsia="仿宋_GB2312"/>
                <w:b/>
                <w:color w:val="auto"/>
                <w:kern w:val="0"/>
                <w:sz w:val="24"/>
                <w:lang w:val="zh-CN"/>
              </w:rPr>
              <w:fldChar w:fldCharType="end"/>
            </w:r>
            <w:r>
              <w:rPr>
                <w:rFonts w:hint="eastAsia" w:ascii="仿宋_GB2312" w:hAnsi="宋体" w:eastAsia="仿宋_GB2312"/>
                <w:b/>
                <w:color w:val="auto"/>
                <w:kern w:val="0"/>
                <w:sz w:val="24"/>
                <w:lang w:val="zh-CN"/>
              </w:rPr>
              <w:t>、利润表和</w:t>
            </w:r>
            <w:r>
              <w:rPr>
                <w:color w:val="auto"/>
              </w:rPr>
              <w:fldChar w:fldCharType="begin"/>
            </w:r>
            <w:r>
              <w:rPr>
                <w:color w:val="auto"/>
              </w:rPr>
              <w:instrText xml:space="preserve"> HYPERLINK "http://www.kuaiji.com/shiwu/1413862" \t "_blank" \o "现金流量表" </w:instrText>
            </w:r>
            <w:r>
              <w:rPr>
                <w:color w:val="auto"/>
              </w:rPr>
              <w:fldChar w:fldCharType="separate"/>
            </w:r>
            <w:r>
              <w:rPr>
                <w:rFonts w:hint="eastAsia" w:ascii="仿宋_GB2312" w:hAnsi="宋体" w:eastAsia="仿宋_GB2312"/>
                <w:b/>
                <w:color w:val="auto"/>
                <w:kern w:val="0"/>
                <w:sz w:val="24"/>
                <w:lang w:val="zh-CN"/>
              </w:rPr>
              <w:t>现金流量表</w:t>
            </w:r>
            <w:r>
              <w:rPr>
                <w:rFonts w:hint="eastAsia" w:ascii="仿宋_GB2312" w:hAnsi="宋体" w:eastAsia="仿宋_GB2312"/>
                <w:b/>
                <w:color w:val="auto"/>
                <w:kern w:val="0"/>
                <w:sz w:val="24"/>
                <w:lang w:val="zh-CN"/>
              </w:rPr>
              <w:fldChar w:fldCharType="end"/>
            </w:r>
            <w:r>
              <w:rPr>
                <w:rFonts w:hint="eastAsia" w:ascii="仿宋_GB2312" w:hAnsi="宋体" w:eastAsia="仿宋_GB2312"/>
                <w:b/>
                <w:color w:val="auto"/>
                <w:kern w:val="0"/>
                <w:sz w:val="24"/>
                <w:lang w:val="zh-CN"/>
              </w:rPr>
              <w:t>）或提供会计师事务所或审计师事务所出具的201</w:t>
            </w:r>
            <w:r>
              <w:rPr>
                <w:rFonts w:hint="eastAsia" w:ascii="仿宋_GB2312" w:hAnsi="宋体" w:eastAsia="仿宋_GB2312"/>
                <w:b/>
                <w:color w:val="auto"/>
                <w:kern w:val="0"/>
                <w:sz w:val="24"/>
              </w:rPr>
              <w:t>9</w:t>
            </w:r>
            <w:r>
              <w:rPr>
                <w:rFonts w:hint="eastAsia" w:ascii="仿宋_GB2312" w:hAnsi="宋体" w:eastAsia="仿宋_GB2312"/>
                <w:b/>
                <w:color w:val="auto"/>
                <w:kern w:val="0"/>
                <w:sz w:val="24"/>
                <w:lang w:val="zh-CN"/>
              </w:rPr>
              <w:t>年年度审计报告；</w:t>
            </w:r>
          </w:p>
          <w:p>
            <w:pPr>
              <w:tabs>
                <w:tab w:val="left" w:pos="425"/>
              </w:tabs>
              <w:jc w:val="left"/>
              <w:rPr>
                <w:rFonts w:ascii="仿宋_GB2312" w:hAnsi="仿宋_GB2312" w:eastAsia="仿宋_GB2312"/>
                <w:b/>
                <w:color w:val="auto"/>
                <w:sz w:val="24"/>
              </w:rPr>
            </w:pPr>
            <w:r>
              <w:rPr>
                <w:rFonts w:hint="eastAsia" w:ascii="仿宋_GB2312" w:hAnsi="仿宋_GB2312" w:eastAsia="仿宋_GB2312"/>
                <w:b/>
                <w:color w:val="auto"/>
                <w:sz w:val="24"/>
              </w:rPr>
              <w:t>6.依法缴纳税收的证明文件（提供2020年任意一个月份的依法缴纳税收良好记录的有关文件；</w:t>
            </w:r>
            <w:r>
              <w:rPr>
                <w:rFonts w:hint="eastAsia" w:ascii="仿宋_GB2312" w:hAnsi="宋体" w:eastAsia="仿宋_GB2312"/>
                <w:b/>
                <w:color w:val="auto"/>
                <w:sz w:val="24"/>
              </w:rPr>
              <w:t>（新成立公司按实际应缴纳情况提供，不能提供的应提供相关证明材料）</w:t>
            </w:r>
          </w:p>
          <w:p>
            <w:pPr>
              <w:tabs>
                <w:tab w:val="left" w:pos="425"/>
              </w:tabs>
              <w:jc w:val="left"/>
              <w:rPr>
                <w:rFonts w:ascii="仿宋_GB2312" w:hAnsi="仿宋_GB2312" w:eastAsia="仿宋_GB2312"/>
                <w:b/>
                <w:color w:val="auto"/>
                <w:sz w:val="24"/>
              </w:rPr>
            </w:pPr>
            <w:r>
              <w:rPr>
                <w:rFonts w:hint="eastAsia" w:ascii="仿宋_GB2312" w:hAnsi="仿宋_GB2312" w:eastAsia="仿宋_GB2312"/>
                <w:b/>
                <w:color w:val="auto"/>
                <w:sz w:val="24"/>
              </w:rPr>
              <w:t>7.依法缴纳社会保障资金的证明文件（提供2020年至今任意一个月份的依法缴纳社会保障资金良好记录的有关文件；</w:t>
            </w:r>
            <w:r>
              <w:rPr>
                <w:rFonts w:hint="eastAsia" w:ascii="仿宋_GB2312" w:hAnsi="宋体" w:eastAsia="仿宋_GB2312"/>
                <w:b/>
                <w:color w:val="auto"/>
                <w:sz w:val="24"/>
              </w:rPr>
              <w:t>（新成立公司按实际应缴纳情况提供，不能提供的应提供相关证明材料）</w:t>
            </w:r>
          </w:p>
          <w:p>
            <w:pPr>
              <w:tabs>
                <w:tab w:val="left" w:pos="425"/>
              </w:tabs>
              <w:jc w:val="left"/>
              <w:rPr>
                <w:rFonts w:ascii="仿宋_GB2312" w:hAnsi="仿宋_GB2312" w:eastAsia="仿宋_GB2312"/>
                <w:b/>
                <w:color w:val="auto"/>
                <w:sz w:val="24"/>
              </w:rPr>
            </w:pPr>
            <w:r>
              <w:rPr>
                <w:rFonts w:hint="eastAsia" w:ascii="仿宋_GB2312" w:hAnsi="仿宋_GB2312" w:eastAsia="仿宋_GB2312"/>
                <w:b/>
                <w:color w:val="auto"/>
                <w:sz w:val="24"/>
              </w:rPr>
              <w:t>8.</w:t>
            </w:r>
            <w:bookmarkStart w:id="61" w:name="OLE_LINK11"/>
            <w:r>
              <w:rPr>
                <w:rFonts w:hint="eastAsia" w:ascii="仿宋_GB2312" w:hAnsi="仿宋_GB2312" w:eastAsia="仿宋_GB2312"/>
                <w:b/>
                <w:color w:val="auto"/>
                <w:sz w:val="24"/>
              </w:rPr>
              <w:t>无重大违法记录声明</w:t>
            </w:r>
            <w:bookmarkEnd w:id="61"/>
          </w:p>
          <w:p>
            <w:pPr>
              <w:widowControl/>
              <w:tabs>
                <w:tab w:val="left" w:pos="425"/>
              </w:tabs>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9.缴交投标保证金的有效证明文件并加盖单位公章（非原件票据适用）；</w:t>
            </w:r>
          </w:p>
          <w:p>
            <w:pPr>
              <w:pStyle w:val="7"/>
              <w:rPr>
                <w:rFonts w:ascii="仿宋_GB2312" w:hAnsi="宋体" w:eastAsia="仿宋_GB2312"/>
                <w:b/>
                <w:color w:val="auto"/>
                <w:sz w:val="24"/>
              </w:rPr>
            </w:pPr>
            <w:r>
              <w:rPr>
                <w:rFonts w:hint="eastAsia" w:ascii="仿宋_GB2312" w:hAnsi="宋体" w:eastAsia="仿宋_GB2312"/>
                <w:b/>
                <w:color w:val="auto"/>
                <w:kern w:val="0"/>
                <w:sz w:val="24"/>
                <w:lang w:val="zh-CN"/>
              </w:rPr>
              <w:t>1</w:t>
            </w:r>
            <w:r>
              <w:rPr>
                <w:rFonts w:hint="eastAsia" w:ascii="仿宋_GB2312" w:hAnsi="宋体" w:eastAsia="仿宋_GB2312"/>
                <w:b/>
                <w:color w:val="auto"/>
                <w:kern w:val="0"/>
                <w:sz w:val="24"/>
              </w:rPr>
              <w:t>0</w:t>
            </w:r>
            <w:r>
              <w:rPr>
                <w:rFonts w:hint="eastAsia" w:ascii="仿宋_GB2312" w:hAnsi="宋体" w:eastAsia="仿宋_GB2312"/>
                <w:b/>
                <w:color w:val="auto"/>
                <w:kern w:val="0"/>
                <w:sz w:val="24"/>
                <w:lang w:val="zh-CN"/>
              </w:rPr>
              <w:t>.资格审查要求提供的其他资料（详见</w:t>
            </w:r>
            <w:r>
              <w:rPr>
                <w:rFonts w:hint="eastAsia" w:ascii="仿宋_GB2312" w:hAnsi="宋体" w:eastAsia="仿宋_GB2312"/>
                <w:b/>
                <w:color w:val="auto"/>
                <w:sz w:val="24"/>
              </w:rPr>
              <w:t>资格性和符合性审查</w:t>
            </w:r>
          </w:p>
          <w:p>
            <w:pPr>
              <w:widowControl/>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表要求）；</w:t>
            </w:r>
          </w:p>
          <w:p>
            <w:pPr>
              <w:widowControl/>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11.评分标准要求提供的其他资料（详见评标细则要求）；</w:t>
            </w:r>
          </w:p>
          <w:p>
            <w:pPr>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1</w:t>
            </w:r>
            <w:r>
              <w:rPr>
                <w:rFonts w:hint="eastAsia" w:ascii="仿宋_GB2312" w:hAnsi="宋体" w:eastAsia="仿宋_GB2312"/>
                <w:b/>
                <w:color w:val="auto"/>
                <w:kern w:val="0"/>
                <w:sz w:val="24"/>
              </w:rPr>
              <w:t>2</w:t>
            </w:r>
            <w:r>
              <w:rPr>
                <w:rFonts w:hint="eastAsia" w:ascii="仿宋_GB2312" w:hAnsi="宋体" w:eastAsia="仿宋_GB2312"/>
                <w:b/>
                <w:color w:val="auto"/>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21"/>
              <w:spacing w:line="500" w:lineRule="exact"/>
              <w:jc w:val="center"/>
              <w:rPr>
                <w:rFonts w:ascii="仿宋_GB2312" w:eastAsia="仿宋_GB2312"/>
                <w:b/>
                <w:color w:val="auto"/>
                <w:lang w:val="zh-CN"/>
              </w:rPr>
            </w:pPr>
            <w:r>
              <w:rPr>
                <w:rFonts w:hint="eastAsia" w:ascii="仿宋_GB2312" w:eastAsia="仿宋_GB2312"/>
                <w:b/>
                <w:color w:val="auto"/>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color w:val="auto"/>
                <w:sz w:val="24"/>
              </w:rPr>
            </w:pPr>
            <w:r>
              <w:rPr>
                <w:rFonts w:hint="eastAsia" w:ascii="仿宋_GB2312" w:hAnsi="宋体" w:eastAsia="仿宋_GB2312"/>
                <w:b/>
                <w:color w:val="auto"/>
                <w:sz w:val="24"/>
                <w:lang w:val="zh-CN"/>
              </w:rPr>
              <w:t>本项目要求投</w:t>
            </w:r>
            <w:r>
              <w:rPr>
                <w:rFonts w:hint="eastAsia" w:ascii="仿宋_GB2312" w:hAnsi="宋体" w:eastAsia="仿宋_GB2312"/>
                <w:b/>
                <w:color w:val="auto"/>
                <w:kern w:val="0"/>
                <w:sz w:val="24"/>
                <w:lang w:val="zh-CN"/>
              </w:rPr>
              <w:t>标人提供的</w:t>
            </w:r>
            <w:r>
              <w:rPr>
                <w:rFonts w:hint="eastAsia" w:ascii="仿宋_GB2312" w:hAnsi="宋体" w:eastAsia="仿宋_GB2312"/>
                <w:b/>
                <w:color w:val="auto"/>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numPr>
                <w:ilvl w:val="0"/>
                <w:numId w:val="3"/>
              </w:numPr>
              <w:spacing w:line="360" w:lineRule="exac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开标一览表</w:t>
            </w:r>
          </w:p>
          <w:p>
            <w:pPr>
              <w:numPr>
                <w:ilvl w:val="0"/>
                <w:numId w:val="3"/>
              </w:numPr>
              <w:spacing w:line="360" w:lineRule="exac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投标报价明细表</w:t>
            </w:r>
          </w:p>
          <w:p>
            <w:pPr>
              <w:spacing w:line="360" w:lineRule="exac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要求：</w:t>
            </w:r>
          </w:p>
          <w:p>
            <w:pPr>
              <w:tabs>
                <w:tab w:val="left" w:pos="420"/>
              </w:tabs>
              <w:spacing w:line="360" w:lineRule="exac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①</w:t>
            </w:r>
            <w:r>
              <w:rPr>
                <w:rFonts w:ascii="仿宋_GB2312" w:hAnsi="宋体" w:eastAsia="仿宋_GB2312"/>
                <w:b/>
                <w:color w:val="auto"/>
                <w:kern w:val="0"/>
                <w:sz w:val="24"/>
                <w:lang w:val="zh-CN"/>
              </w:rPr>
              <w:t xml:space="preserve"> </w:t>
            </w:r>
            <w:r>
              <w:rPr>
                <w:rFonts w:hint="eastAsia" w:ascii="仿宋_GB2312" w:hAnsi="宋体" w:eastAsia="仿宋_GB2312"/>
                <w:b/>
                <w:color w:val="auto"/>
                <w:kern w:val="0"/>
                <w:sz w:val="24"/>
                <w:lang w:val="zh-CN"/>
              </w:rPr>
              <w:t>“开标一览表”当中的投标总价必须与“投标报价明细表”当中的“总价”保持一致；</w:t>
            </w:r>
          </w:p>
          <w:p>
            <w:pPr>
              <w:tabs>
                <w:tab w:val="left" w:pos="420"/>
              </w:tabs>
              <w:spacing w:line="360" w:lineRule="exact"/>
              <w:rPr>
                <w:rFonts w:ascii="仿宋_GB2312" w:hAnsi="宋体" w:eastAsia="仿宋_GB2312"/>
                <w:b/>
                <w:color w:val="auto"/>
                <w:sz w:val="24"/>
                <w:lang w:val="zh-CN"/>
              </w:rPr>
            </w:pPr>
            <w:r>
              <w:rPr>
                <w:rFonts w:hint="eastAsia" w:ascii="仿宋_GB2312" w:hAnsi="宋体" w:eastAsia="仿宋_GB2312"/>
                <w:b/>
                <w:color w:val="auto"/>
                <w:kern w:val="0"/>
                <w:sz w:val="24"/>
                <w:lang w:val="zh-CN"/>
              </w:rPr>
              <w:t>②“开标一览表”的格式不得自行增减内容，否则自行承担投标报价无效的风险。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21"/>
              <w:spacing w:line="500" w:lineRule="exact"/>
              <w:jc w:val="center"/>
              <w:rPr>
                <w:rFonts w:ascii="仿宋_GB2312" w:eastAsia="仿宋_GB2312"/>
                <w:b/>
                <w:color w:val="auto"/>
                <w:lang w:val="zh-CN"/>
              </w:rPr>
            </w:pPr>
            <w:r>
              <w:rPr>
                <w:rFonts w:hint="eastAsia" w:ascii="仿宋_GB2312" w:eastAsia="仿宋_GB2312"/>
                <w:b/>
                <w:color w:val="auto"/>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21"/>
              <w:spacing w:line="500" w:lineRule="exact"/>
              <w:rPr>
                <w:rFonts w:ascii="仿宋_GB2312" w:eastAsia="仿宋_GB2312"/>
                <w:b/>
                <w:color w:val="auto"/>
                <w:lang w:val="zh-CN"/>
              </w:rPr>
            </w:pPr>
            <w:r>
              <w:rPr>
                <w:rFonts w:hint="eastAsia" w:ascii="仿宋_GB2312" w:eastAsia="仿宋_GB2312"/>
                <w:b/>
                <w:color w:val="auto"/>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21"/>
              <w:rPr>
                <w:rFonts w:ascii="仿宋_GB2312" w:eastAsia="仿宋_GB2312"/>
                <w:b/>
                <w:color w:val="auto"/>
                <w:lang w:val="zh-CN"/>
              </w:rPr>
            </w:pPr>
            <w:r>
              <w:rPr>
                <w:rFonts w:hint="eastAsia" w:ascii="仿宋_GB2312" w:eastAsia="仿宋_GB2312"/>
                <w:b/>
                <w:color w:val="auto"/>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21"/>
              <w:spacing w:line="500" w:lineRule="exact"/>
              <w:jc w:val="center"/>
              <w:rPr>
                <w:rFonts w:ascii="仿宋_GB2312" w:eastAsia="仿宋_GB2312"/>
                <w:b/>
                <w:color w:val="auto"/>
                <w:lang w:val="zh-CN"/>
              </w:rPr>
            </w:pPr>
            <w:r>
              <w:rPr>
                <w:rFonts w:hint="eastAsia" w:ascii="仿宋_GB2312" w:eastAsia="仿宋_GB2312"/>
                <w:b/>
                <w:color w:val="auto"/>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21"/>
              <w:spacing w:line="500" w:lineRule="exact"/>
              <w:rPr>
                <w:rFonts w:ascii="仿宋_GB2312" w:eastAsia="仿宋_GB2312"/>
                <w:b/>
                <w:color w:val="auto"/>
              </w:rPr>
            </w:pPr>
            <w:r>
              <w:rPr>
                <w:rFonts w:hint="eastAsia" w:ascii="仿宋_GB2312" w:eastAsia="仿宋_GB2312"/>
                <w:b/>
                <w:color w:val="auto"/>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21"/>
              <w:widowControl/>
              <w:rPr>
                <w:rFonts w:ascii="仿宋_GB2312" w:eastAsia="仿宋_GB2312"/>
                <w:b/>
                <w:color w:val="auto"/>
              </w:rPr>
            </w:pPr>
            <w:r>
              <w:rPr>
                <w:rFonts w:hint="eastAsia" w:ascii="仿宋_GB2312" w:eastAsia="仿宋_GB2312"/>
                <w:b/>
                <w:color w:val="auto"/>
              </w:rPr>
              <w:t>金额（大小写）：</w:t>
            </w:r>
            <w:r>
              <w:rPr>
                <w:rFonts w:hint="eastAsia" w:ascii="仿宋_GB2312" w:eastAsia="仿宋_GB2312" w:cs="Times New Roman"/>
                <w:b/>
                <w:color w:val="auto"/>
                <w:lang w:val="zh-CN"/>
              </w:rPr>
              <w:t>肆万捌仟元整（￥</w:t>
            </w:r>
            <w:r>
              <w:rPr>
                <w:rFonts w:hint="eastAsia" w:ascii="仿宋_GB2312" w:eastAsia="仿宋_GB2312" w:cs="Times New Roman"/>
                <w:b/>
                <w:color w:val="auto"/>
              </w:rPr>
              <w:t>48</w:t>
            </w:r>
            <w:r>
              <w:rPr>
                <w:rFonts w:hint="eastAsia" w:ascii="仿宋_GB2312" w:eastAsia="仿宋_GB2312" w:cs="Times New Roman"/>
                <w:b/>
                <w:color w:val="auto"/>
                <w:lang w:val="zh-CN"/>
              </w:rPr>
              <w:t>000.00）</w:t>
            </w:r>
            <w:r>
              <w:rPr>
                <w:rFonts w:hint="eastAsia" w:ascii="仿宋_GB2312" w:eastAsia="仿宋_GB2312"/>
                <w:b/>
                <w:color w:val="auto"/>
              </w:rPr>
              <w:t>交纳投标保证金截止时间：与递交投标文件截止时间一致</w:t>
            </w:r>
          </w:p>
          <w:p>
            <w:pPr>
              <w:jc w:val="left"/>
              <w:rPr>
                <w:rFonts w:ascii="仿宋_GB2312" w:hAnsi="宋体" w:eastAsia="仿宋_GB2312"/>
                <w:b/>
                <w:color w:val="auto"/>
                <w:kern w:val="0"/>
                <w:sz w:val="24"/>
                <w:lang w:val="zh-CN"/>
              </w:rPr>
            </w:pPr>
            <w:r>
              <w:rPr>
                <w:rFonts w:hint="eastAsia" w:ascii="仿宋_GB2312" w:hAnsi="宋体" w:eastAsia="仿宋_GB2312"/>
                <w:b/>
                <w:color w:val="auto"/>
                <w:kern w:val="0"/>
                <w:sz w:val="24"/>
                <w:lang w:val="zh-CN"/>
              </w:rPr>
              <w:t>账  号：交易系统随机分配的唯一账号.</w:t>
            </w:r>
          </w:p>
          <w:p>
            <w:pPr>
              <w:pStyle w:val="21"/>
              <w:rPr>
                <w:rFonts w:ascii="仿宋_GB2312" w:eastAsia="仿宋_GB2312"/>
                <w:b/>
                <w:color w:val="auto"/>
              </w:rPr>
            </w:pPr>
            <w:r>
              <w:rPr>
                <w:rFonts w:hint="eastAsia" w:ascii="仿宋_GB2312" w:eastAsia="仿宋_GB2312"/>
                <w:b/>
                <w:color w:val="auto"/>
              </w:rPr>
              <w:t>要求：投标保证金以转帐形式提交的，投标保证金交纳的时间以保证金到帐时间为准。</w:t>
            </w:r>
          </w:p>
          <w:p>
            <w:pPr>
              <w:pStyle w:val="7"/>
              <w:rPr>
                <w:rFonts w:ascii="仿宋_GB2312" w:hAnsi="宋体" w:eastAsia="仿宋_GB2312" w:cs="宋体"/>
                <w:b/>
                <w:color w:val="auto"/>
                <w:kern w:val="0"/>
                <w:sz w:val="24"/>
              </w:rPr>
            </w:pPr>
            <w:r>
              <w:rPr>
                <w:rFonts w:hint="eastAsia" w:ascii="仿宋_GB2312" w:eastAsia="仿宋_GB2312" w:cs="宋体"/>
                <w:b/>
                <w:color w:val="auto"/>
              </w:rPr>
              <w:t>提交保证金的付款人名称、投标供应商的公司名称须一致，</w:t>
            </w:r>
            <w:r>
              <w:rPr>
                <w:rFonts w:hint="eastAsia" w:ascii="仿宋_GB2312" w:hAnsi="宋体" w:eastAsia="仿宋_GB2312" w:cs="宋体"/>
                <w:b/>
                <w:color w:val="auto"/>
                <w:kern w:val="0"/>
                <w:sz w:val="24"/>
              </w:rPr>
              <w:t>否则视为无效投标。</w:t>
            </w:r>
          </w:p>
          <w:p>
            <w:pPr>
              <w:pStyle w:val="14"/>
              <w:tabs>
                <w:tab w:val="left" w:pos="8360"/>
              </w:tabs>
              <w:spacing w:before="0" w:beforeAutospacing="0" w:after="0" w:afterAutospacing="0"/>
              <w:rPr>
                <w:rFonts w:ascii="仿宋_GB2312" w:eastAsia="仿宋_GB2312" w:cs="宋体"/>
                <w:b/>
                <w:color w:val="auto"/>
                <w:szCs w:val="24"/>
              </w:rPr>
            </w:pPr>
            <w:r>
              <w:rPr>
                <w:rFonts w:hint="eastAsia" w:ascii="仿宋_GB2312" w:eastAsia="仿宋_GB2312"/>
                <w:b/>
                <w:color w:val="auto"/>
              </w:rPr>
              <w:t>投标保证金仅接受投标单位以系统注册的银行账户使用转账方式一次性提交，</w:t>
            </w:r>
            <w:r>
              <w:rPr>
                <w:rFonts w:hint="eastAsia" w:ascii="仿宋_GB2312" w:eastAsia="仿宋_GB2312" w:cs="宋体"/>
                <w:b/>
                <w:color w:val="auto"/>
              </w:rPr>
              <w:t>否则不予认可</w:t>
            </w:r>
            <w:r>
              <w:rPr>
                <w:rFonts w:hint="eastAsia" w:ascii="仿宋_GB2312" w:eastAsia="仿宋_GB2312" w:cs="宋体"/>
                <w:b/>
                <w:color w:val="auto"/>
                <w:szCs w:val="24"/>
              </w:rPr>
              <w:t>。</w:t>
            </w:r>
          </w:p>
          <w:p>
            <w:pPr>
              <w:pStyle w:val="21"/>
              <w:rPr>
                <w:rFonts w:ascii="仿宋_GB2312" w:eastAsia="仿宋_GB2312"/>
                <w:b/>
                <w:color w:val="auto"/>
              </w:rPr>
            </w:pPr>
            <w:r>
              <w:rPr>
                <w:rFonts w:hint="eastAsia" w:ascii="仿宋_GB2312" w:eastAsia="仿宋_GB2312"/>
                <w:b/>
                <w:color w:val="auto"/>
              </w:rPr>
              <w:t>使用投标保函要求：</w:t>
            </w:r>
          </w:p>
          <w:p>
            <w:pPr>
              <w:pStyle w:val="21"/>
              <w:rPr>
                <w:rFonts w:ascii="仿宋_GB2312" w:eastAsia="仿宋_GB2312"/>
                <w:b/>
                <w:color w:val="auto"/>
              </w:rPr>
            </w:pPr>
            <w:r>
              <w:rPr>
                <w:rFonts w:ascii="仿宋_GB2312" w:eastAsia="仿宋_GB2312"/>
                <w:b/>
                <w:color w:val="auto"/>
              </w:rPr>
              <w:t>1</w:t>
            </w:r>
            <w:r>
              <w:rPr>
                <w:rFonts w:hint="eastAsia" w:ascii="仿宋_GB2312" w:eastAsia="仿宋_GB2312"/>
                <w:b/>
                <w:color w:val="auto"/>
              </w:rPr>
              <w:t>、受益人写采购单位；</w:t>
            </w:r>
          </w:p>
          <w:p>
            <w:pPr>
              <w:pStyle w:val="21"/>
              <w:rPr>
                <w:rFonts w:ascii="仿宋_GB2312" w:eastAsia="仿宋_GB2312"/>
                <w:b/>
                <w:color w:val="auto"/>
              </w:rPr>
            </w:pPr>
            <w:r>
              <w:rPr>
                <w:rFonts w:ascii="仿宋_GB2312" w:eastAsia="仿宋_GB2312"/>
                <w:b/>
                <w:color w:val="auto"/>
              </w:rPr>
              <w:t>2</w:t>
            </w:r>
            <w:r>
              <w:rPr>
                <w:rFonts w:hint="eastAsia" w:ascii="仿宋_GB2312" w:eastAsia="仿宋_GB2312"/>
                <w:b/>
                <w:color w:val="auto"/>
              </w:rPr>
              <w:t>、所有保函随着采购结果公告一起挂网公示；</w:t>
            </w:r>
          </w:p>
          <w:p>
            <w:pPr>
              <w:pStyle w:val="21"/>
              <w:rPr>
                <w:rFonts w:ascii="仿宋_GB2312" w:eastAsia="仿宋_GB2312"/>
                <w:b/>
                <w:color w:val="auto"/>
              </w:rPr>
            </w:pPr>
            <w:r>
              <w:rPr>
                <w:rFonts w:ascii="仿宋_GB2312" w:eastAsia="仿宋_GB2312"/>
                <w:b/>
                <w:color w:val="auto"/>
              </w:rPr>
              <w:t>3</w:t>
            </w:r>
            <w:r>
              <w:rPr>
                <w:rFonts w:hint="eastAsia" w:ascii="仿宋_GB2312" w:eastAsia="仿宋_GB2312"/>
                <w:b/>
                <w:color w:val="auto"/>
              </w:rPr>
              <w:t>、投标保函随着投标文件一起密封提交。</w:t>
            </w:r>
          </w:p>
          <w:p>
            <w:pPr>
              <w:pStyle w:val="14"/>
              <w:tabs>
                <w:tab w:val="left" w:pos="8360"/>
              </w:tabs>
              <w:spacing w:before="0" w:beforeAutospacing="0" w:after="0" w:afterAutospacing="0"/>
              <w:rPr>
                <w:rFonts w:ascii="仿宋_GB2312" w:eastAsia="仿宋_GB2312" w:cs="宋体"/>
                <w:b/>
                <w:color w:val="auto"/>
                <w:szCs w:val="24"/>
              </w:rPr>
            </w:pPr>
            <w:r>
              <w:rPr>
                <w:rFonts w:hint="eastAsia" w:ascii="仿宋_GB2312" w:eastAsia="仿宋_GB2312"/>
                <w:b/>
                <w:color w:val="auto"/>
              </w:rPr>
              <w:t>保函的退还：未中标供应商出具授权委托书可在中标公告（通知书）发布后到海口市政府采购中心</w:t>
            </w:r>
            <w:r>
              <w:rPr>
                <w:rFonts w:ascii="仿宋_GB2312" w:eastAsia="仿宋_GB2312"/>
                <w:b/>
                <w:color w:val="auto"/>
              </w:rPr>
              <w:t>1601</w:t>
            </w:r>
            <w:r>
              <w:rPr>
                <w:rFonts w:hint="eastAsia" w:ascii="仿宋_GB2312" w:eastAsia="仿宋_GB2312"/>
                <w:b/>
                <w:color w:val="auto"/>
              </w:rPr>
              <w:t>室领取保函原件；中标供应商出具授权委托书可在合同公告发布后到海口市政府采购中心</w:t>
            </w:r>
            <w:r>
              <w:rPr>
                <w:rFonts w:ascii="仿宋_GB2312" w:eastAsia="仿宋_GB2312"/>
                <w:b/>
                <w:color w:val="auto"/>
              </w:rPr>
              <w:t>1601</w:t>
            </w:r>
            <w:r>
              <w:rPr>
                <w:rFonts w:hint="eastAsia" w:ascii="仿宋_GB2312" w:eastAsia="仿宋_GB2312"/>
                <w:b/>
                <w:color w:val="auto"/>
              </w:rPr>
              <w:t>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1"/>
              <w:spacing w:line="500" w:lineRule="exact"/>
              <w:ind w:left="9"/>
              <w:jc w:val="center"/>
              <w:rPr>
                <w:rFonts w:ascii="仿宋_GB2312" w:eastAsia="仿宋_GB2312"/>
                <w:b/>
                <w:color w:val="auto"/>
                <w:lang w:val="zh-CN"/>
              </w:rPr>
            </w:pPr>
            <w:r>
              <w:rPr>
                <w:rFonts w:hint="eastAsia" w:ascii="仿宋_GB2312" w:eastAsia="仿宋_GB2312"/>
                <w:b/>
                <w:color w:val="auto"/>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21"/>
              <w:spacing w:line="500" w:lineRule="exact"/>
              <w:ind w:left="33"/>
              <w:jc w:val="center"/>
              <w:rPr>
                <w:rFonts w:ascii="仿宋_GB2312" w:eastAsia="仿宋_GB2312"/>
                <w:b/>
                <w:color w:val="auto"/>
                <w:lang w:val="zh-CN"/>
              </w:rPr>
            </w:pPr>
            <w:r>
              <w:rPr>
                <w:rFonts w:hint="eastAsia" w:ascii="仿宋_GB2312" w:eastAsia="仿宋_GB2312"/>
                <w:b/>
                <w:color w:val="auto"/>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21"/>
              <w:spacing w:line="500" w:lineRule="exact"/>
              <w:ind w:left="33"/>
              <w:jc w:val="both"/>
              <w:rPr>
                <w:rFonts w:ascii="仿宋_GB2312" w:eastAsia="仿宋_GB2312"/>
                <w:b/>
                <w:color w:val="auto"/>
                <w:lang w:val="zh-CN"/>
              </w:rPr>
            </w:pPr>
            <w:r>
              <w:rPr>
                <w:rFonts w:hint="eastAsia" w:ascii="仿宋_GB2312" w:eastAsia="仿宋_GB2312"/>
                <w:b/>
                <w:color w:val="auto"/>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7"/>
              <w:rPr>
                <w:rFonts w:ascii="仿宋_GB2312" w:eastAsia="仿宋_GB2312"/>
                <w:b/>
                <w:color w:val="auto"/>
                <w:lang w:val="zh-CN"/>
              </w:rPr>
            </w:pPr>
            <w:r>
              <w:rPr>
                <w:rFonts w:hint="eastAsia" w:ascii="仿宋_GB2312" w:eastAsia="仿宋_GB2312"/>
                <w:b/>
                <w:color w:val="auto"/>
                <w:lang w:val="zh-CN"/>
              </w:rPr>
              <w:t>正本</w:t>
            </w:r>
            <w:r>
              <w:rPr>
                <w:rFonts w:hint="eastAsia" w:ascii="仿宋_GB2312" w:eastAsia="仿宋_GB2312"/>
                <w:b/>
                <w:color w:val="auto"/>
                <w:u w:val="single"/>
                <w:lang w:val="zh-CN"/>
              </w:rPr>
              <w:t xml:space="preserve">  一 </w:t>
            </w:r>
            <w:r>
              <w:rPr>
                <w:rFonts w:hint="eastAsia" w:ascii="仿宋_GB2312" w:eastAsia="仿宋_GB2312"/>
                <w:b/>
                <w:color w:val="auto"/>
                <w:lang w:val="zh-CN"/>
              </w:rPr>
              <w:t>份    副本</w:t>
            </w:r>
            <w:r>
              <w:rPr>
                <w:rFonts w:hint="eastAsia" w:ascii="仿宋_GB2312" w:eastAsia="仿宋_GB2312"/>
                <w:b/>
                <w:color w:val="auto"/>
                <w:u w:val="single"/>
                <w:lang w:val="zh-CN"/>
              </w:rPr>
              <w:t xml:space="preserve">  四 </w:t>
            </w:r>
            <w:r>
              <w:rPr>
                <w:rFonts w:hint="eastAsia" w:ascii="仿宋_GB2312" w:eastAsia="仿宋_GB2312"/>
                <w:b/>
                <w:color w:val="auto"/>
                <w:lang w:val="zh-CN"/>
              </w:rPr>
              <w:t>份  电子</w:t>
            </w:r>
            <w:r>
              <w:rPr>
                <w:rFonts w:hint="eastAsia" w:ascii="仿宋_GB2312" w:eastAsia="仿宋_GB2312"/>
                <w:b/>
                <w:color w:val="auto"/>
              </w:rPr>
              <w:t>PDF</w:t>
            </w:r>
            <w:r>
              <w:rPr>
                <w:rFonts w:hint="eastAsia" w:ascii="仿宋_GB2312" w:eastAsia="仿宋_GB2312"/>
                <w:b/>
                <w:color w:val="auto"/>
                <w:lang w:val="zh-CN"/>
              </w:rPr>
              <w:t>版</w:t>
            </w:r>
            <w:r>
              <w:rPr>
                <w:rFonts w:hint="eastAsia" w:ascii="仿宋_GB2312" w:hAnsi="宋体" w:eastAsia="仿宋_GB2312"/>
                <w:b/>
                <w:color w:val="auto"/>
                <w:kern w:val="0"/>
                <w:sz w:val="24"/>
                <w:szCs w:val="20"/>
              </w:rPr>
              <w:t>U盘一个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color w:val="auto"/>
                <w:sz w:val="24"/>
                <w:szCs w:val="24"/>
                <w:lang w:val="zh-CN"/>
              </w:rPr>
            </w:pPr>
            <w:r>
              <w:rPr>
                <w:rFonts w:hint="eastAsia" w:ascii="仿宋_GB2312" w:eastAsia="仿宋_GB2312"/>
                <w:b/>
                <w:color w:val="auto"/>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color w:val="auto"/>
                <w:sz w:val="24"/>
              </w:rPr>
            </w:pPr>
            <w:r>
              <w:rPr>
                <w:rFonts w:hint="eastAsia" w:ascii="仿宋_GB2312" w:hAnsi="宋体" w:eastAsia="仿宋_GB2312"/>
                <w:b/>
                <w:color w:val="auto"/>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color w:val="auto"/>
                <w:sz w:val="24"/>
              </w:rPr>
            </w:pPr>
            <w:r>
              <w:rPr>
                <w:rFonts w:hint="eastAsia" w:ascii="仿宋_GB2312" w:hAnsi="宋体" w:eastAsia="仿宋_GB2312"/>
                <w:b/>
                <w:color w:val="auto"/>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投标文件    正本（副本）</w:t>
            </w:r>
          </w:p>
          <w:p>
            <w:pPr>
              <w:pStyle w:val="9"/>
              <w:spacing w:line="500" w:lineRule="exact"/>
              <w:jc w:val="left"/>
              <w:outlineLvl w:val="0"/>
              <w:rPr>
                <w:rFonts w:ascii="仿宋_GB2312" w:hAnsi="宋体" w:eastAsia="仿宋_GB2312"/>
                <w:b/>
                <w:color w:val="auto"/>
                <w:sz w:val="24"/>
                <w:u w:val="single"/>
              </w:rPr>
            </w:pPr>
            <w:r>
              <w:rPr>
                <w:rFonts w:hint="eastAsia" w:ascii="仿宋_GB2312" w:hAnsi="宋体" w:eastAsia="仿宋_GB2312"/>
                <w:b/>
                <w:color w:val="auto"/>
                <w:sz w:val="24"/>
              </w:rPr>
              <w:t>项目名称:</w:t>
            </w:r>
          </w:p>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项目编号：HKGP-2020-0030</w:t>
            </w:r>
          </w:p>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投标人的名称（加盖公章）：</w:t>
            </w:r>
          </w:p>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投标人联系人姓名、联系电话：</w:t>
            </w:r>
          </w:p>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 xml:space="preserve">于在2021年 </w:t>
            </w:r>
            <w:r>
              <w:rPr>
                <w:rFonts w:hint="eastAsia" w:ascii="仿宋_GB2312" w:hAnsi="宋体" w:eastAsia="仿宋_GB2312"/>
                <w:b/>
                <w:color w:val="auto"/>
                <w:sz w:val="24"/>
                <w:lang w:val="en-US" w:eastAsia="zh-CN"/>
              </w:rPr>
              <w:t>2</w:t>
            </w:r>
            <w:r>
              <w:rPr>
                <w:rFonts w:hint="eastAsia" w:ascii="仿宋_GB2312" w:hAnsi="宋体" w:eastAsia="仿宋_GB2312"/>
                <w:b/>
                <w:color w:val="auto"/>
                <w:sz w:val="24"/>
              </w:rPr>
              <w:t>月</w:t>
            </w:r>
            <w:r>
              <w:rPr>
                <w:rFonts w:hint="eastAsia" w:ascii="仿宋_GB2312" w:hAnsi="宋体" w:eastAsia="仿宋_GB2312"/>
                <w:b/>
                <w:color w:val="auto"/>
                <w:sz w:val="24"/>
                <w:lang w:val="en-US" w:eastAsia="zh-CN"/>
              </w:rPr>
              <w:t>8</w:t>
            </w:r>
            <w:r>
              <w:rPr>
                <w:rFonts w:hint="eastAsia" w:ascii="仿宋_GB2312" w:hAnsi="宋体" w:eastAsia="仿宋_GB2312"/>
                <w:b/>
                <w:color w:val="auto"/>
                <w:sz w:val="24"/>
              </w:rPr>
              <w:t>日</w:t>
            </w:r>
            <w:r>
              <w:rPr>
                <w:rFonts w:hint="eastAsia" w:ascii="仿宋_GB2312" w:hAnsi="宋体" w:eastAsia="仿宋_GB2312"/>
                <w:b/>
                <w:color w:val="auto"/>
                <w:sz w:val="24"/>
                <w:lang w:val="en-US" w:eastAsia="zh-CN"/>
              </w:rPr>
              <w:t>10</w:t>
            </w:r>
            <w:r>
              <w:rPr>
                <w:rFonts w:hint="eastAsia" w:ascii="仿宋_GB2312" w:hAnsi="宋体" w:eastAsia="仿宋_GB2312"/>
                <w:b/>
                <w:color w:val="auto"/>
                <w:sz w:val="24"/>
              </w:rPr>
              <w:t xml:space="preserve">时00分前（开标时间）不得开启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color w:val="auto"/>
                <w:sz w:val="24"/>
                <w:szCs w:val="24"/>
                <w:lang w:val="zh-CN"/>
              </w:rPr>
            </w:pPr>
            <w:r>
              <w:rPr>
                <w:rFonts w:hint="eastAsia" w:ascii="仿宋_GB2312" w:eastAsia="仿宋_GB2312"/>
                <w:b/>
                <w:color w:val="auto"/>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color w:val="auto"/>
                <w:sz w:val="24"/>
              </w:rPr>
            </w:pPr>
            <w:r>
              <w:rPr>
                <w:rFonts w:hint="eastAsia" w:ascii="仿宋_GB2312" w:hAnsi="宋体" w:eastAsia="仿宋_GB2312"/>
                <w:b/>
                <w:color w:val="auto"/>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color w:val="auto"/>
                <w:sz w:val="24"/>
              </w:rPr>
            </w:pPr>
            <w:r>
              <w:rPr>
                <w:rFonts w:hint="eastAsia" w:ascii="仿宋_GB2312" w:hAnsi="宋体" w:eastAsia="仿宋_GB2312"/>
                <w:b/>
                <w:color w:val="auto"/>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6"/>
              <w:spacing w:line="500" w:lineRule="exact"/>
              <w:ind w:left="9" w:firstLine="0"/>
              <w:jc w:val="center"/>
              <w:rPr>
                <w:rFonts w:ascii="仿宋_GB2312" w:eastAsia="仿宋_GB2312"/>
                <w:b/>
                <w:color w:val="auto"/>
                <w:sz w:val="24"/>
                <w:szCs w:val="24"/>
              </w:rPr>
            </w:pPr>
            <w:bookmarkStart w:id="62" w:name="_Toc246826106"/>
            <w:r>
              <w:rPr>
                <w:rFonts w:hint="eastAsia" w:ascii="仿宋_GB2312" w:eastAsia="仿宋_GB2312"/>
                <w:b/>
                <w:color w:val="auto"/>
                <w:sz w:val="24"/>
                <w:szCs w:val="24"/>
              </w:rPr>
              <w:t>12</w:t>
            </w:r>
          </w:p>
        </w:tc>
        <w:tc>
          <w:tcPr>
            <w:tcW w:w="1080" w:type="dxa"/>
            <w:vAlign w:val="center"/>
          </w:tcPr>
          <w:p>
            <w:pPr>
              <w:pStyle w:val="21"/>
              <w:spacing w:line="360" w:lineRule="exact"/>
              <w:rPr>
                <w:rFonts w:ascii="仿宋_GB2312" w:eastAsia="仿宋_GB2312"/>
                <w:b/>
                <w:color w:val="auto"/>
              </w:rPr>
            </w:pPr>
            <w:r>
              <w:rPr>
                <w:rFonts w:ascii="仿宋_GB2312" w:eastAsia="仿宋_GB2312"/>
                <w:b/>
                <w:color w:val="auto"/>
              </w:rPr>
              <w:t xml:space="preserve">  18.2</w:t>
            </w:r>
          </w:p>
        </w:tc>
        <w:tc>
          <w:tcPr>
            <w:tcW w:w="2131" w:type="dxa"/>
            <w:vAlign w:val="center"/>
          </w:tcPr>
          <w:p>
            <w:pPr>
              <w:pStyle w:val="21"/>
              <w:spacing w:line="360" w:lineRule="exact"/>
              <w:rPr>
                <w:rFonts w:ascii="仿宋_GB2312" w:eastAsia="仿宋_GB2312"/>
                <w:b/>
                <w:color w:val="auto"/>
              </w:rPr>
            </w:pPr>
            <w:r>
              <w:rPr>
                <w:rFonts w:hint="eastAsia" w:ascii="仿宋_GB2312" w:eastAsia="仿宋_GB2312"/>
                <w:b/>
                <w:color w:val="auto"/>
              </w:rPr>
              <w:t>参加开标投标人代表身份证明文件</w:t>
            </w:r>
          </w:p>
        </w:tc>
        <w:tc>
          <w:tcPr>
            <w:tcW w:w="5172" w:type="dxa"/>
            <w:vAlign w:val="center"/>
          </w:tcPr>
          <w:p>
            <w:pPr>
              <w:pStyle w:val="21"/>
              <w:spacing w:line="360" w:lineRule="exact"/>
              <w:rPr>
                <w:rFonts w:ascii="仿宋_GB2312" w:eastAsia="仿宋_GB2312"/>
                <w:b/>
                <w:color w:val="auto"/>
              </w:rPr>
            </w:pPr>
            <w:r>
              <w:rPr>
                <w:rFonts w:hint="eastAsia" w:ascii="仿宋_GB2312" w:eastAsia="仿宋_GB2312"/>
                <w:b/>
                <w:color w:val="auto"/>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6"/>
              <w:spacing w:line="500" w:lineRule="exact"/>
              <w:ind w:left="9" w:firstLine="0"/>
              <w:jc w:val="center"/>
              <w:rPr>
                <w:rFonts w:ascii="仿宋_GB2312" w:eastAsia="仿宋_GB2312"/>
                <w:b/>
                <w:color w:val="auto"/>
                <w:sz w:val="24"/>
                <w:szCs w:val="24"/>
              </w:rPr>
            </w:pPr>
            <w:r>
              <w:rPr>
                <w:rFonts w:hint="eastAsia" w:ascii="仿宋_GB2312" w:eastAsia="仿宋_GB2312"/>
                <w:b/>
                <w:color w:val="auto"/>
                <w:sz w:val="24"/>
                <w:szCs w:val="24"/>
              </w:rPr>
              <w:t>13</w:t>
            </w:r>
          </w:p>
        </w:tc>
        <w:tc>
          <w:tcPr>
            <w:tcW w:w="1080" w:type="dxa"/>
            <w:vAlign w:val="center"/>
          </w:tcPr>
          <w:p>
            <w:pPr>
              <w:pStyle w:val="21"/>
              <w:spacing w:line="360" w:lineRule="exact"/>
              <w:jc w:val="center"/>
              <w:rPr>
                <w:rFonts w:ascii="仿宋_GB2312" w:eastAsia="仿宋_GB2312"/>
                <w:b/>
                <w:color w:val="auto"/>
              </w:rPr>
            </w:pPr>
            <w:r>
              <w:rPr>
                <w:rFonts w:ascii="仿宋_GB2312" w:eastAsia="仿宋_GB2312"/>
                <w:b/>
                <w:color w:val="auto"/>
              </w:rPr>
              <w:t>18.5</w:t>
            </w:r>
          </w:p>
        </w:tc>
        <w:tc>
          <w:tcPr>
            <w:tcW w:w="2131" w:type="dxa"/>
            <w:vAlign w:val="center"/>
          </w:tcPr>
          <w:p>
            <w:pPr>
              <w:pStyle w:val="21"/>
              <w:spacing w:line="360" w:lineRule="exact"/>
              <w:rPr>
                <w:rFonts w:ascii="仿宋_GB2312" w:eastAsia="仿宋_GB2312"/>
                <w:b/>
                <w:color w:val="auto"/>
              </w:rPr>
            </w:pPr>
            <w:r>
              <w:rPr>
                <w:rFonts w:ascii="仿宋_GB2312" w:eastAsia="仿宋_GB2312"/>
                <w:b/>
                <w:color w:val="auto"/>
              </w:rPr>
              <w:t xml:space="preserve"> </w:t>
            </w:r>
            <w:r>
              <w:rPr>
                <w:rFonts w:hint="eastAsia" w:ascii="仿宋_GB2312" w:eastAsia="仿宋_GB2312"/>
                <w:b/>
                <w:color w:val="auto"/>
              </w:rPr>
              <w:t>唱标内容</w:t>
            </w:r>
          </w:p>
        </w:tc>
        <w:tc>
          <w:tcPr>
            <w:tcW w:w="5172" w:type="dxa"/>
            <w:vAlign w:val="center"/>
          </w:tcPr>
          <w:p>
            <w:pPr>
              <w:pStyle w:val="21"/>
              <w:spacing w:line="360" w:lineRule="exact"/>
              <w:rPr>
                <w:rFonts w:ascii="仿宋_GB2312" w:eastAsia="仿宋_GB2312"/>
                <w:b/>
                <w:color w:val="auto"/>
              </w:rPr>
            </w:pPr>
            <w:r>
              <w:rPr>
                <w:rFonts w:ascii="仿宋_GB2312" w:eastAsia="仿宋_GB2312"/>
                <w:b/>
                <w:color w:val="auto"/>
              </w:rPr>
              <w:t>1</w:t>
            </w:r>
            <w:r>
              <w:rPr>
                <w:rFonts w:hint="eastAsia" w:ascii="仿宋_GB2312" w:eastAsia="仿宋_GB2312"/>
                <w:b/>
                <w:color w:val="auto"/>
              </w:rPr>
              <w:t>、“开标一览表”所载明的内容</w:t>
            </w:r>
          </w:p>
          <w:p>
            <w:pPr>
              <w:pStyle w:val="21"/>
              <w:spacing w:line="360" w:lineRule="exact"/>
              <w:rPr>
                <w:rFonts w:ascii="仿宋_GB2312" w:eastAsia="仿宋_GB2312"/>
                <w:b/>
                <w:color w:val="auto"/>
              </w:rPr>
            </w:pPr>
            <w:r>
              <w:rPr>
                <w:rFonts w:ascii="仿宋_GB2312" w:eastAsia="仿宋_GB2312"/>
                <w:b/>
                <w:color w:val="auto"/>
              </w:rPr>
              <w:t>2</w:t>
            </w:r>
            <w:r>
              <w:rPr>
                <w:rFonts w:hint="eastAsia" w:ascii="仿宋_GB2312" w:eastAsia="仿宋_GB2312"/>
                <w:b/>
                <w:color w:val="auto"/>
              </w:rPr>
              <w:t>、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6"/>
              <w:spacing w:line="500" w:lineRule="exact"/>
              <w:ind w:left="9" w:firstLine="0"/>
              <w:jc w:val="center"/>
              <w:rPr>
                <w:rFonts w:ascii="仿宋_GB2312" w:eastAsia="仿宋_GB2312"/>
                <w:b/>
                <w:color w:val="auto"/>
                <w:sz w:val="24"/>
                <w:szCs w:val="24"/>
              </w:rPr>
            </w:pPr>
            <w:r>
              <w:rPr>
                <w:rFonts w:hint="eastAsia" w:ascii="仿宋_GB2312" w:eastAsia="仿宋_GB2312"/>
                <w:b/>
                <w:color w:val="auto"/>
                <w:sz w:val="24"/>
                <w:szCs w:val="24"/>
              </w:rPr>
              <w:t>14</w:t>
            </w:r>
          </w:p>
        </w:tc>
        <w:tc>
          <w:tcPr>
            <w:tcW w:w="1080" w:type="dxa"/>
            <w:vAlign w:val="center"/>
          </w:tcPr>
          <w:p>
            <w:pPr>
              <w:pStyle w:val="21"/>
              <w:spacing w:line="360" w:lineRule="exact"/>
              <w:jc w:val="center"/>
              <w:rPr>
                <w:rFonts w:ascii="仿宋_GB2312" w:eastAsia="仿宋_GB2312"/>
                <w:b/>
                <w:color w:val="auto"/>
              </w:rPr>
            </w:pPr>
            <w:r>
              <w:rPr>
                <w:rFonts w:ascii="仿宋_GB2312" w:eastAsia="仿宋_GB2312"/>
                <w:b/>
                <w:color w:val="auto"/>
              </w:rPr>
              <w:t>18.6</w:t>
            </w:r>
          </w:p>
        </w:tc>
        <w:tc>
          <w:tcPr>
            <w:tcW w:w="2131" w:type="dxa"/>
            <w:vAlign w:val="center"/>
          </w:tcPr>
          <w:p>
            <w:pPr>
              <w:pStyle w:val="21"/>
              <w:spacing w:line="360" w:lineRule="exact"/>
              <w:rPr>
                <w:rFonts w:ascii="仿宋_GB2312" w:eastAsia="仿宋_GB2312"/>
                <w:b/>
                <w:color w:val="auto"/>
              </w:rPr>
            </w:pPr>
            <w:r>
              <w:rPr>
                <w:rFonts w:hint="eastAsia" w:ascii="仿宋_GB2312" w:eastAsia="仿宋_GB2312"/>
                <w:b/>
                <w:color w:val="auto"/>
              </w:rPr>
              <w:t>资格审查</w:t>
            </w:r>
          </w:p>
        </w:tc>
        <w:tc>
          <w:tcPr>
            <w:tcW w:w="5172" w:type="dxa"/>
            <w:vAlign w:val="center"/>
          </w:tcPr>
          <w:p>
            <w:pPr>
              <w:pStyle w:val="21"/>
              <w:spacing w:line="360" w:lineRule="exact"/>
              <w:rPr>
                <w:rFonts w:ascii="仿宋_GB2312" w:eastAsia="仿宋_GB2312"/>
                <w:b/>
                <w:color w:val="auto"/>
              </w:rPr>
            </w:pPr>
            <w:r>
              <w:rPr>
                <w:rFonts w:hint="eastAsia" w:ascii="仿宋_GB2312" w:eastAsia="仿宋_GB2312"/>
                <w:b/>
                <w:color w:val="auto"/>
              </w:rPr>
              <w:t>开标结束后，先对投标人的资格进行审查，合格投标人不足</w:t>
            </w:r>
            <w:r>
              <w:rPr>
                <w:rFonts w:ascii="仿宋_GB2312" w:eastAsia="仿宋_GB2312"/>
                <w:b/>
                <w:color w:val="auto"/>
              </w:rPr>
              <w:t>3</w:t>
            </w:r>
            <w:r>
              <w:rPr>
                <w:rFonts w:hint="eastAsia" w:ascii="仿宋_GB2312" w:eastAsia="仿宋_GB2312"/>
                <w:b/>
                <w:color w:val="auto"/>
              </w:rPr>
              <w:t>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9023" w:type="dxa"/>
            <w:gridSpan w:val="4"/>
          </w:tcPr>
          <w:p>
            <w:pPr>
              <w:pStyle w:val="21"/>
              <w:spacing w:line="360" w:lineRule="exact"/>
              <w:rPr>
                <w:rFonts w:ascii="仿宋_GB2312" w:eastAsia="仿宋_GB2312"/>
                <w:b/>
                <w:color w:val="auto"/>
              </w:rPr>
            </w:pPr>
            <w:r>
              <w:rPr>
                <w:rFonts w:hint="eastAsia" w:ascii="仿宋_GB2312" w:eastAsia="仿宋_GB2312"/>
                <w:b/>
                <w:color w:val="auto"/>
              </w:rPr>
              <w:t>本项目对应的小微企业划分标准所属行业：物业管理</w:t>
            </w:r>
          </w:p>
        </w:tc>
      </w:tr>
    </w:tbl>
    <w:p>
      <w:pPr>
        <w:spacing w:line="460" w:lineRule="exact"/>
        <w:outlineLvl w:val="1"/>
        <w:rPr>
          <w:rFonts w:ascii="仿宋_GB2312" w:hAnsi="宋体" w:eastAsia="仿宋_GB2312"/>
          <w:b/>
          <w:color w:val="auto"/>
          <w:kern w:val="0"/>
          <w:sz w:val="24"/>
        </w:rPr>
      </w:pPr>
    </w:p>
    <w:p>
      <w:pPr>
        <w:spacing w:line="460" w:lineRule="exact"/>
        <w:ind w:firstLine="482" w:firstLineChars="200"/>
        <w:outlineLvl w:val="1"/>
        <w:rPr>
          <w:rFonts w:ascii="仿宋_GB2312" w:hAnsi="宋体" w:eastAsia="仿宋_GB2312"/>
          <w:b/>
          <w:color w:val="auto"/>
          <w:kern w:val="0"/>
          <w:sz w:val="24"/>
        </w:rPr>
      </w:pPr>
      <w:r>
        <w:rPr>
          <w:rFonts w:hint="eastAsia" w:ascii="仿宋_GB2312" w:hAnsi="宋体" w:eastAsia="仿宋_GB2312"/>
          <w:b/>
          <w:color w:val="auto"/>
          <w:kern w:val="0"/>
          <w:sz w:val="24"/>
        </w:rPr>
        <w:t>一、总则</w:t>
      </w:r>
      <w:bookmarkEnd w:id="62"/>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1、适用范围</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本采购文件仅适用于本次投标邀请函中所述项目的采购。</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2、定义</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本采购文件中的下列术语应解释为：</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2.2“采购代理机构”系指组织本次采购活动的海口市政府采购中心。</w:t>
      </w:r>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2.3“投标人”系指</w:t>
      </w:r>
      <w:r>
        <w:rPr>
          <w:rFonts w:hint="eastAsia" w:ascii="仿宋_GB2312" w:hAnsi="宋体" w:eastAsia="仿宋_GB2312"/>
          <w:b/>
          <w:color w:val="auto"/>
          <w:sz w:val="24"/>
          <w:lang w:val="zh-CN"/>
        </w:rPr>
        <w:t>响应招标并且符合招标文件规定资格条件和参加投标竞争的法人、其他组织或者自然人。</w:t>
      </w:r>
      <w:r>
        <w:rPr>
          <w:rFonts w:hint="eastAsia" w:ascii="仿宋_GB2312" w:hAnsi="宋体" w:eastAsia="仿宋_GB2312"/>
          <w:b/>
          <w:color w:val="auto"/>
          <w:kern w:val="0"/>
          <w:sz w:val="24"/>
        </w:rPr>
        <w:t>在投标阶段称为供应商、投标人，在签订和履行合同阶段称为乙方、卖方或中标人（中标供应商）。</w:t>
      </w:r>
      <w:bookmarkStart w:id="63" w:name="_Toc267320062"/>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3、投标人</w:t>
      </w:r>
      <w:bookmarkEnd w:id="63"/>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3.1合格投标人条件</w:t>
      </w:r>
    </w:p>
    <w:p>
      <w:pPr>
        <w:spacing w:line="440" w:lineRule="exact"/>
        <w:ind w:firstLine="561"/>
        <w:rPr>
          <w:rFonts w:ascii="仿宋_GB2312" w:hAnsi="宋体" w:eastAsia="仿宋_GB2312"/>
          <w:b/>
          <w:color w:val="auto"/>
          <w:sz w:val="24"/>
        </w:rPr>
      </w:pPr>
      <w:r>
        <w:rPr>
          <w:rFonts w:hint="eastAsia" w:ascii="仿宋_GB2312" w:hAnsi="宋体" w:eastAsia="仿宋_GB2312"/>
          <w:b/>
          <w:color w:val="auto"/>
          <w:sz w:val="24"/>
        </w:rPr>
        <w:t>3.1.1在中华人民共和国境内注册，能够独立承担民事责任，有生产或供应能力的本国供应商，包括法人、其他组织</w:t>
      </w:r>
      <w:r>
        <w:rPr>
          <w:rFonts w:hint="eastAsia" w:ascii="仿宋_GB2312" w:hAnsi="宋体" w:eastAsia="仿宋_GB2312"/>
          <w:b/>
          <w:color w:val="auto"/>
          <w:sz w:val="24"/>
          <w:lang w:val="zh-CN"/>
        </w:rPr>
        <w:t>或者</w:t>
      </w:r>
      <w:r>
        <w:rPr>
          <w:rFonts w:hint="eastAsia" w:ascii="仿宋_GB2312" w:hAnsi="宋体" w:eastAsia="仿宋_GB2312"/>
          <w:b/>
          <w:color w:val="auto"/>
          <w:sz w:val="24"/>
        </w:rPr>
        <w:t>自然人；</w:t>
      </w:r>
    </w:p>
    <w:p>
      <w:pPr>
        <w:spacing w:line="440" w:lineRule="exact"/>
        <w:ind w:firstLine="561"/>
        <w:rPr>
          <w:rFonts w:ascii="仿宋_GB2312" w:hAnsi="宋体" w:eastAsia="仿宋_GB2312"/>
          <w:b/>
          <w:color w:val="auto"/>
          <w:sz w:val="24"/>
        </w:rPr>
      </w:pPr>
      <w:r>
        <w:rPr>
          <w:rFonts w:hint="eastAsia" w:ascii="仿宋_GB2312" w:hAnsi="宋体" w:eastAsia="仿宋_GB2312"/>
          <w:b/>
          <w:color w:val="auto"/>
          <w:sz w:val="24"/>
        </w:rPr>
        <w:t xml:space="preserve">3.1.2符合《政府采购法》第二十二条第一款规定的条件： </w:t>
      </w:r>
    </w:p>
    <w:p>
      <w:pPr>
        <w:spacing w:line="440" w:lineRule="exact"/>
        <w:ind w:firstLine="561"/>
        <w:rPr>
          <w:rFonts w:ascii="仿宋_GB2312" w:hAnsi="宋体" w:eastAsia="仿宋_GB2312"/>
          <w:b/>
          <w:color w:val="auto"/>
          <w:sz w:val="24"/>
        </w:rPr>
      </w:pPr>
      <w:r>
        <w:rPr>
          <w:rFonts w:hint="eastAsia" w:ascii="仿宋_GB2312" w:hAnsi="宋体" w:eastAsia="仿宋_GB2312"/>
          <w:b/>
          <w:color w:val="auto"/>
          <w:sz w:val="24"/>
        </w:rPr>
        <w:t>3.1.3满足采购文件报价、商务和技术等实质性要求的；</w:t>
      </w:r>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3.2投标人的风险</w:t>
      </w:r>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color w:val="auto"/>
          <w:sz w:val="24"/>
        </w:rPr>
      </w:pPr>
      <w:r>
        <w:rPr>
          <w:rFonts w:hint="eastAsia" w:ascii="仿宋_GB2312" w:hAnsi="宋体" w:eastAsia="仿宋_GB2312"/>
          <w:b/>
          <w:color w:val="auto"/>
          <w:sz w:val="24"/>
        </w:rPr>
        <w:t>3.2.2投标人提交的投标文件内容有下列情形之一的，一经发现，视为无效投标，并依法上报监督部门处理</w:t>
      </w:r>
      <w:r>
        <w:rPr>
          <w:rFonts w:hint="eastAsia" w:ascii="仿宋_GB2312" w:hAnsi="宋体" w:eastAsia="仿宋_GB2312"/>
          <w:b/>
          <w:color w:val="auto"/>
          <w:kern w:val="0"/>
          <w:sz w:val="24"/>
        </w:rPr>
        <w:t>：</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（1）提供虚假的资料。</w:t>
      </w:r>
    </w:p>
    <w:p>
      <w:pPr>
        <w:spacing w:line="46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（2）在实质性方面失实。</w:t>
      </w:r>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3.2.3供应商享受政策优惠条件但提供的承诺资料失实的，视同投标文件提供虚假资料论处。</w:t>
      </w:r>
    </w:p>
    <w:p>
      <w:pPr>
        <w:spacing w:line="440" w:lineRule="exact"/>
        <w:ind w:firstLine="561"/>
        <w:rPr>
          <w:rFonts w:ascii="仿宋_GB2312" w:hAnsi="宋体" w:eastAsia="仿宋_GB2312"/>
          <w:b/>
          <w:color w:val="auto"/>
          <w:kern w:val="0"/>
          <w:sz w:val="24"/>
        </w:rPr>
      </w:pPr>
      <w:r>
        <w:rPr>
          <w:rFonts w:hint="eastAsia" w:ascii="仿宋_GB2312" w:hAnsi="宋体" w:eastAsia="仿宋_GB2312"/>
          <w:b/>
          <w:color w:val="auto"/>
          <w:kern w:val="0"/>
          <w:sz w:val="24"/>
        </w:rPr>
        <w:t>4、投标费用</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4.1无论投标过程中的做法和结果如何，投标人自行承担所有与参加投标活动有关的全部费用；</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4.2本次招标采购活动不收取任何</w:t>
      </w:r>
      <w:r>
        <w:rPr>
          <w:rFonts w:hint="eastAsia" w:ascii="仿宋_GB2312" w:hAnsi="宋体" w:eastAsia="仿宋_GB2312"/>
          <w:b/>
          <w:color w:val="auto"/>
          <w:sz w:val="24"/>
          <w:lang w:eastAsia="zh-CN"/>
        </w:rPr>
        <w:t>费用</w:t>
      </w:r>
      <w:r>
        <w:rPr>
          <w:rFonts w:hint="eastAsia" w:ascii="仿宋_GB2312" w:hAnsi="宋体" w:eastAsia="仿宋_GB2312"/>
          <w:b/>
          <w:color w:val="auto"/>
          <w:sz w:val="24"/>
        </w:rPr>
        <w:t>。</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5、政策优惠条件及要求:根据财政部、工业和信息化部关于《政府采购促进中小企业发展管理办法》（财库〔2020〕46号）、《财政部、司法部关于政府采购支持监狱企业发展有关问题的通知》（财库〔2014〕68号）和《财政部 民政部 中国残疾人联合会关于促进残疾人就业政府采购政策的通知》（财库〔2017〕141号）的文件精神，相应的政府采购政策优惠条件及要求如下。</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5.1关于符合上述规定的小微企业参与投标</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5.1.1监狱企业、残疾人福利性单位视同小型、微型企业；联合体各方均为小型、微型企业的，联合体视同为小型、微型企业。</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5.1.2本条款中；两种价格扣除优惠原则不同时使用。投标供应商为符合规定的小型或微型企业时，报价给予6%的价格扣除，用扣除后的价格参与评审；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5.1.3组成联合体或者接受分包的小微企业与联合体内其他企业、分包企业之间存在直接控股、管理关系的，不享受价格扣除优惠政策；</w:t>
      </w:r>
    </w:p>
    <w:p>
      <w:pPr>
        <w:spacing w:line="440" w:lineRule="exact"/>
        <w:rPr>
          <w:color w:val="auto"/>
        </w:rPr>
      </w:pPr>
      <w:r>
        <w:rPr>
          <w:rFonts w:hint="eastAsia" w:ascii="仿宋_GB2312" w:hAnsi="宋体" w:eastAsia="仿宋_GB2312"/>
          <w:b/>
          <w:color w:val="auto"/>
          <w:sz w:val="24"/>
        </w:rPr>
        <w:t>5.1.4投标供应商认为其为小型或微型企业的应提供合法有效的“小型、微型企业声明函”（附件2），并明确企业类型；投标供应商为符合条件的残疾人福利性单位在参加政府采购活动时，应当提供《残疾人福利性单位声明函》（附件4），并对声明的真实性负责；投标供应商认为其为监狱企业须提供由省级以上监狱管理局、戒毒管理局（含新疆生产建设兵团）出具的属于监狱企业的证明文件(附件3)， 否则评审时不能享受相应的价格扣除。</w:t>
      </w:r>
    </w:p>
    <w:p>
      <w:pPr>
        <w:spacing w:line="500" w:lineRule="exact"/>
        <w:rPr>
          <w:rFonts w:ascii="仿宋_GB2312" w:hAnsi="宋体" w:eastAsia="仿宋_GB2312"/>
          <w:b/>
          <w:color w:val="auto"/>
          <w:sz w:val="24"/>
        </w:rPr>
      </w:pPr>
      <w:r>
        <w:rPr>
          <w:rFonts w:hint="eastAsia" w:ascii="仿宋_GB2312" w:hAnsi="宋体" w:eastAsia="仿宋_GB2312"/>
          <w:b/>
          <w:color w:val="auto"/>
          <w:sz w:val="24"/>
        </w:rPr>
        <w:t>5.1.5 在货物采购项目中，供应商提供的货物既有小微企业制造货物，也有大中型企业制造货物的，不享受本办法规定的小微企业扶持政策。</w:t>
      </w:r>
    </w:p>
    <w:p>
      <w:pPr>
        <w:spacing w:line="500" w:lineRule="exact"/>
        <w:rPr>
          <w:rFonts w:ascii="仿宋_GB2312" w:hAnsi="宋体" w:eastAsia="仿宋_GB2312"/>
          <w:b/>
          <w:color w:val="auto"/>
          <w:sz w:val="24"/>
        </w:rPr>
      </w:pPr>
      <w:r>
        <w:rPr>
          <w:rFonts w:hint="eastAsia" w:ascii="仿宋_GB2312" w:hAnsi="宋体" w:eastAsia="仿宋_GB2312"/>
          <w:b/>
          <w:color w:val="auto"/>
          <w:sz w:val="24"/>
        </w:rPr>
        <w:t>5.1.6要求以联合体形式参加或者合同分包的，明确联合协议或者分包意向协议中中小企业合同金额应当达到的比例，并作为供应商资格条件；</w:t>
      </w:r>
    </w:p>
    <w:p>
      <w:pPr>
        <w:spacing w:line="500" w:lineRule="exact"/>
        <w:ind w:firstLine="590" w:firstLineChars="245"/>
        <w:rPr>
          <w:rFonts w:ascii="仿宋_GB2312" w:hAnsi="宋体" w:eastAsia="仿宋_GB2312"/>
          <w:b/>
          <w:color w:val="auto"/>
          <w:sz w:val="24"/>
        </w:rPr>
      </w:pPr>
      <w:r>
        <w:rPr>
          <w:rFonts w:hint="eastAsia" w:ascii="仿宋_GB2312" w:hAnsi="宋体" w:eastAsia="仿宋_GB2312"/>
          <w:b/>
          <w:color w:val="auto"/>
          <w:sz w:val="24"/>
        </w:rPr>
        <w:t>6、注意事项</w:t>
      </w:r>
    </w:p>
    <w:p>
      <w:pPr>
        <w:spacing w:line="500" w:lineRule="exact"/>
        <w:ind w:firstLine="590" w:firstLineChars="245"/>
        <w:rPr>
          <w:rFonts w:ascii="仿宋_GB2312" w:hAnsi="宋体" w:eastAsia="仿宋_GB2312"/>
          <w:b/>
          <w:color w:val="auto"/>
          <w:sz w:val="24"/>
        </w:rPr>
      </w:pPr>
      <w:r>
        <w:rPr>
          <w:rFonts w:hint="eastAsia" w:ascii="仿宋_GB2312" w:hAnsi="宋体" w:eastAsia="仿宋_GB2312"/>
          <w:b/>
          <w:color w:val="auto"/>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color w:val="auto"/>
          <w:sz w:val="24"/>
        </w:rPr>
      </w:pPr>
      <w:r>
        <w:rPr>
          <w:rFonts w:hint="eastAsia" w:ascii="仿宋_GB2312" w:hAnsi="宋体" w:eastAsia="仿宋_GB2312"/>
          <w:b/>
          <w:color w:val="auto"/>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color w:val="auto"/>
          <w:sz w:val="24"/>
        </w:rPr>
      </w:pPr>
      <w:r>
        <w:rPr>
          <w:rFonts w:hint="eastAsia" w:ascii="仿宋_GB2312" w:hAnsi="宋体" w:eastAsia="仿宋_GB2312"/>
          <w:b/>
          <w:color w:val="auto"/>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color w:val="auto"/>
          <w:sz w:val="24"/>
        </w:rPr>
      </w:pPr>
      <w:bookmarkStart w:id="64" w:name="_Toc246826107"/>
      <w:r>
        <w:rPr>
          <w:rFonts w:hint="eastAsia" w:ascii="仿宋_GB2312" w:hAnsi="宋体" w:eastAsia="仿宋_GB2312"/>
          <w:b/>
          <w:color w:val="auto"/>
          <w:sz w:val="24"/>
        </w:rPr>
        <w:t>二、采购文件</w:t>
      </w:r>
      <w:bookmarkEnd w:id="64"/>
    </w:p>
    <w:p>
      <w:pPr>
        <w:spacing w:line="44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7、采购文件的组成</w:t>
      </w:r>
    </w:p>
    <w:p>
      <w:pPr>
        <w:pStyle w:val="6"/>
        <w:snapToGrid w:val="0"/>
        <w:spacing w:line="44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6"/>
        <w:snapToGrid w:val="0"/>
        <w:spacing w:line="44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（1）投标邀请</w:t>
      </w:r>
    </w:p>
    <w:p>
      <w:pPr>
        <w:pStyle w:val="6"/>
        <w:snapToGrid w:val="0"/>
        <w:spacing w:line="44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（2）采购需求</w:t>
      </w:r>
    </w:p>
    <w:p>
      <w:pPr>
        <w:pStyle w:val="6"/>
        <w:snapToGrid w:val="0"/>
        <w:spacing w:line="44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（3）投标人须知</w:t>
      </w:r>
    </w:p>
    <w:p>
      <w:pPr>
        <w:pStyle w:val="6"/>
        <w:snapToGrid w:val="0"/>
        <w:spacing w:line="44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（4）资格审查标准和评标标准</w:t>
      </w:r>
    </w:p>
    <w:p>
      <w:pPr>
        <w:pStyle w:val="6"/>
        <w:snapToGrid w:val="0"/>
        <w:spacing w:line="440" w:lineRule="exact"/>
        <w:ind w:firstLine="561"/>
        <w:rPr>
          <w:rFonts w:ascii="仿宋_GB2312" w:hAnsi="宋体" w:eastAsia="仿宋_GB2312"/>
          <w:b/>
          <w:bCs/>
          <w:color w:val="auto"/>
          <w:sz w:val="24"/>
          <w:szCs w:val="24"/>
        </w:rPr>
      </w:pPr>
      <w:r>
        <w:rPr>
          <w:rFonts w:hint="eastAsia" w:ascii="仿宋_GB2312" w:hAnsi="宋体" w:eastAsia="仿宋_GB2312"/>
          <w:b/>
          <w:color w:val="auto"/>
          <w:sz w:val="24"/>
          <w:szCs w:val="24"/>
        </w:rPr>
        <w:t>（5）</w:t>
      </w:r>
      <w:r>
        <w:rPr>
          <w:rFonts w:hint="eastAsia" w:ascii="仿宋_GB2312" w:hAnsi="宋体" w:eastAsia="仿宋_GB2312"/>
          <w:b/>
          <w:bCs/>
          <w:color w:val="auto"/>
          <w:sz w:val="24"/>
          <w:szCs w:val="24"/>
        </w:rPr>
        <w:t>政府采购合同格式</w:t>
      </w:r>
    </w:p>
    <w:p>
      <w:pPr>
        <w:pStyle w:val="6"/>
        <w:snapToGrid w:val="0"/>
        <w:spacing w:line="44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（6）投标文件格式及附件</w:t>
      </w:r>
    </w:p>
    <w:p>
      <w:pPr>
        <w:tabs>
          <w:tab w:val="left" w:pos="720"/>
        </w:tabs>
        <w:spacing w:line="440" w:lineRule="exact"/>
        <w:ind w:firstLine="602" w:firstLineChars="250"/>
        <w:rPr>
          <w:rFonts w:ascii="仿宋_GB2312" w:hAnsi="宋体" w:eastAsia="仿宋_GB2312"/>
          <w:b/>
          <w:color w:val="auto"/>
          <w:sz w:val="24"/>
        </w:rPr>
      </w:pPr>
      <w:bookmarkStart w:id="65" w:name="_Toc183582211"/>
      <w:bookmarkStart w:id="66" w:name="_Toc183682348"/>
      <w:bookmarkStart w:id="67" w:name="_Toc217446040"/>
      <w:r>
        <w:rPr>
          <w:rFonts w:hint="eastAsia" w:ascii="仿宋_GB2312" w:hAnsi="宋体" w:eastAsia="仿宋_GB2312"/>
          <w:b/>
          <w:color w:val="auto"/>
          <w:sz w:val="24"/>
        </w:rPr>
        <w:t>8、采购文件的澄清</w:t>
      </w:r>
      <w:bookmarkEnd w:id="65"/>
      <w:bookmarkEnd w:id="66"/>
      <w:r>
        <w:rPr>
          <w:rFonts w:hint="eastAsia" w:ascii="仿宋_GB2312" w:hAnsi="宋体" w:eastAsia="仿宋_GB2312"/>
          <w:b/>
          <w:color w:val="auto"/>
          <w:sz w:val="24"/>
        </w:rPr>
        <w:t>和修改</w:t>
      </w:r>
      <w:bookmarkEnd w:id="67"/>
    </w:p>
    <w:p>
      <w:pPr>
        <w:tabs>
          <w:tab w:val="left" w:pos="720"/>
        </w:tabs>
        <w:spacing w:line="440" w:lineRule="exact"/>
        <w:ind w:firstLine="561"/>
        <w:rPr>
          <w:rFonts w:ascii="仿宋_GB2312" w:hAnsi="宋体" w:eastAsia="仿宋_GB2312"/>
          <w:b/>
          <w:color w:val="auto"/>
          <w:sz w:val="24"/>
        </w:rPr>
      </w:pPr>
      <w:r>
        <w:rPr>
          <w:rFonts w:hint="eastAsia" w:ascii="仿宋_GB2312" w:hAnsi="宋体" w:eastAsia="仿宋_GB2312"/>
          <w:b/>
          <w:color w:val="auto"/>
          <w:sz w:val="24"/>
        </w:rPr>
        <w:t>8.1 在投标截止时间前，采购代理机构无论出于何种原因，可以对采购文件进行澄清或者修改。</w:t>
      </w:r>
    </w:p>
    <w:p>
      <w:pPr>
        <w:spacing w:line="440" w:lineRule="exact"/>
        <w:ind w:firstLine="561"/>
        <w:rPr>
          <w:rFonts w:ascii="仿宋_GB2312" w:hAnsi="宋体" w:eastAsia="仿宋_GB2312"/>
          <w:b/>
          <w:color w:val="auto"/>
          <w:sz w:val="24"/>
        </w:rPr>
      </w:pPr>
      <w:r>
        <w:rPr>
          <w:rFonts w:hint="eastAsia" w:ascii="仿宋_GB2312" w:hAnsi="宋体" w:eastAsia="仿宋_GB2312"/>
          <w:b/>
          <w:color w:val="auto"/>
          <w:sz w:val="24"/>
        </w:rPr>
        <w:t>8.2</w:t>
      </w:r>
      <w:bookmarkStart w:id="68" w:name="_Toc430492127"/>
      <w:bookmarkStart w:id="69" w:name="_Toc415567498"/>
      <w:bookmarkStart w:id="70" w:name="_Toc430488645"/>
      <w:bookmarkStart w:id="71" w:name="_Toc430422414"/>
      <w:bookmarkStart w:id="72" w:name="_Toc430489120"/>
      <w:bookmarkStart w:id="73" w:name="_Toc430488852"/>
      <w:bookmarkStart w:id="74" w:name="_Toc430490613"/>
      <w:r>
        <w:rPr>
          <w:rFonts w:hint="eastAsia" w:ascii="仿宋_GB2312" w:hAnsi="宋体" w:eastAsia="仿宋_GB2312"/>
          <w:b/>
          <w:color w:val="auto"/>
          <w:sz w:val="24"/>
        </w:rPr>
        <w:t xml:space="preserve"> 采购文件的修改</w:t>
      </w:r>
      <w:bookmarkEnd w:id="68"/>
      <w:bookmarkEnd w:id="69"/>
      <w:bookmarkEnd w:id="70"/>
      <w:bookmarkEnd w:id="71"/>
      <w:bookmarkEnd w:id="72"/>
      <w:bookmarkEnd w:id="73"/>
      <w:bookmarkEnd w:id="74"/>
    </w:p>
    <w:p>
      <w:pPr>
        <w:pStyle w:val="9"/>
        <w:adjustRightInd w:val="0"/>
        <w:snapToGrid w:val="0"/>
        <w:spacing w:line="440" w:lineRule="exact"/>
        <w:ind w:left="420" w:leftChars="200"/>
        <w:rPr>
          <w:rFonts w:ascii="仿宋_GB2312" w:hAnsi="宋体" w:eastAsia="仿宋_GB2312"/>
          <w:b/>
          <w:color w:val="auto"/>
          <w:sz w:val="24"/>
          <w:szCs w:val="24"/>
        </w:rPr>
      </w:pPr>
      <w:bookmarkStart w:id="75" w:name="OLE_LINK5"/>
      <w:bookmarkStart w:id="76" w:name="_Toc217446041"/>
      <w:bookmarkStart w:id="77" w:name="_Toc208848971"/>
      <w:r>
        <w:rPr>
          <w:rFonts w:hint="eastAsia" w:ascii="仿宋_GB2312" w:hAnsi="宋体" w:eastAsia="仿宋_GB2312"/>
          <w:b/>
          <w:color w:val="auto"/>
          <w:sz w:val="24"/>
          <w:szCs w:val="24"/>
        </w:rPr>
        <w:t>（</w:t>
      </w:r>
      <w:bookmarkStart w:id="78" w:name="OLE_LINK4"/>
      <w:r>
        <w:rPr>
          <w:rFonts w:hint="eastAsia" w:ascii="仿宋_GB2312" w:hAnsi="宋体" w:eastAsia="仿宋_GB2312"/>
          <w:b/>
          <w:color w:val="auto"/>
          <w:sz w:val="24"/>
          <w:szCs w:val="24"/>
        </w:rPr>
        <w:t>1）在投标截止时间以前，采购代理机构可主动或依投标人要求澄清或质疑的问题对采购文件进行必要的补遗、澄清或修改；</w:t>
      </w:r>
    </w:p>
    <w:p>
      <w:pPr>
        <w:pStyle w:val="9"/>
        <w:adjustRightInd w:val="0"/>
        <w:snapToGrid w:val="0"/>
        <w:spacing w:line="440" w:lineRule="exact"/>
        <w:ind w:left="420" w:leftChars="200"/>
        <w:rPr>
          <w:rFonts w:ascii="仿宋_GB2312" w:hAnsi="宋体" w:eastAsia="仿宋_GB2312"/>
          <w:b/>
          <w:color w:val="auto"/>
          <w:sz w:val="24"/>
          <w:szCs w:val="24"/>
        </w:rPr>
      </w:pPr>
      <w:r>
        <w:rPr>
          <w:rFonts w:hint="eastAsia" w:ascii="仿宋_GB2312" w:hAnsi="宋体" w:eastAsia="仿宋_GB2312"/>
          <w:b/>
          <w:color w:val="auto"/>
          <w:sz w:val="24"/>
          <w:szCs w:val="24"/>
        </w:rPr>
        <w:t>（2）补遗、澄清或修改内容可能影响投标文件编制的，</w:t>
      </w:r>
      <w:bookmarkStart w:id="79" w:name="OLE_LINK3"/>
      <w:r>
        <w:rPr>
          <w:rFonts w:hint="eastAsia" w:ascii="仿宋_GB2312" w:hAnsi="宋体" w:eastAsia="仿宋_GB2312"/>
          <w:b/>
          <w:color w:val="auto"/>
          <w:sz w:val="24"/>
          <w:szCs w:val="24"/>
        </w:rPr>
        <w:t>采购代理机构</w:t>
      </w:r>
      <w:bookmarkEnd w:id="79"/>
      <w:r>
        <w:rPr>
          <w:rFonts w:hint="eastAsia" w:ascii="仿宋_GB2312" w:hAnsi="宋体" w:eastAsia="仿宋_GB2312"/>
          <w:b/>
          <w:color w:val="auto"/>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9"/>
        <w:adjustRightInd w:val="0"/>
        <w:snapToGrid w:val="0"/>
        <w:spacing w:line="470" w:lineRule="exact"/>
        <w:ind w:left="357" w:leftChars="170" w:firstLine="120" w:firstLineChars="50"/>
        <w:rPr>
          <w:rFonts w:ascii="仿宋_GB2312" w:hAnsi="宋体" w:eastAsia="仿宋_GB2312"/>
          <w:b/>
          <w:color w:val="auto"/>
          <w:sz w:val="24"/>
          <w:szCs w:val="24"/>
        </w:rPr>
      </w:pPr>
      <w:r>
        <w:rPr>
          <w:rFonts w:hint="eastAsia" w:ascii="仿宋_GB2312" w:hAnsi="宋体" w:eastAsia="仿宋_GB2312"/>
          <w:b/>
          <w:color w:val="auto"/>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75"/>
      <w:bookmarkEnd w:id="78"/>
    </w:p>
    <w:p>
      <w:pPr>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9、其他</w:t>
      </w:r>
    </w:p>
    <w:p>
      <w:pPr>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9.1标前答疑会和现场</w:t>
      </w:r>
      <w:bookmarkEnd w:id="76"/>
      <w:bookmarkEnd w:id="77"/>
      <w:r>
        <w:rPr>
          <w:rFonts w:hint="eastAsia" w:ascii="仿宋_GB2312" w:hAnsi="宋体" w:eastAsia="仿宋_GB2312"/>
          <w:b/>
          <w:color w:val="auto"/>
          <w:sz w:val="24"/>
        </w:rPr>
        <w:t>踏勘</w:t>
      </w:r>
    </w:p>
    <w:p>
      <w:pPr>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color w:val="auto"/>
          <w:sz w:val="24"/>
        </w:rPr>
        <w:t>。</w:t>
      </w:r>
      <w:r>
        <w:rPr>
          <w:rFonts w:hint="eastAsia" w:ascii="仿宋_GB2312" w:hAnsi="宋体" w:eastAsia="仿宋_GB2312"/>
          <w:b/>
          <w:color w:val="auto"/>
          <w:sz w:val="24"/>
        </w:rPr>
        <w:t>采购代理机构不组织踏勘现场的，投标人可以自行决定是否踏勘现场。</w:t>
      </w:r>
    </w:p>
    <w:p>
      <w:pPr>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9.1.2答疑会上，采购代理机构或/和采购人将解答供应商的疑问。</w:t>
      </w:r>
    </w:p>
    <w:p>
      <w:pPr>
        <w:spacing w:line="40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9.1.4采购代理机构不单独或者分别组织只有1个投标人参加的现场考察。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9.1.5投标人自行承担参加答疑或现场考察所发生的一切费用。</w:t>
      </w:r>
    </w:p>
    <w:p>
      <w:pPr>
        <w:spacing w:line="45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9.2述标和/或产（样）品演（展）示</w:t>
      </w:r>
    </w:p>
    <w:p>
      <w:pPr>
        <w:pStyle w:val="6"/>
        <w:spacing w:line="450" w:lineRule="exact"/>
        <w:ind w:firstLine="419" w:firstLineChars="174"/>
        <w:rPr>
          <w:rFonts w:ascii="仿宋_GB2312" w:hAnsi="宋体" w:eastAsia="仿宋_GB2312"/>
          <w:b/>
          <w:color w:val="auto"/>
          <w:sz w:val="24"/>
          <w:szCs w:val="24"/>
        </w:rPr>
      </w:pPr>
      <w:r>
        <w:rPr>
          <w:rFonts w:hint="eastAsia" w:ascii="仿宋_GB2312" w:hAnsi="宋体" w:eastAsia="仿宋_GB2312"/>
          <w:b/>
          <w:color w:val="auto"/>
          <w:sz w:val="24"/>
          <w:szCs w:val="24"/>
        </w:rPr>
        <w:t>具体要求详见第二章“采购需求”和/或“投标人须知前附表”有关规定。</w:t>
      </w:r>
    </w:p>
    <w:p>
      <w:pPr>
        <w:spacing w:line="470" w:lineRule="exact"/>
        <w:ind w:firstLine="561"/>
        <w:outlineLvl w:val="1"/>
        <w:rPr>
          <w:rFonts w:ascii="仿宋_GB2312" w:hAnsi="宋体" w:eastAsia="仿宋_GB2312"/>
          <w:b/>
          <w:color w:val="auto"/>
          <w:sz w:val="24"/>
        </w:rPr>
      </w:pPr>
      <w:bookmarkStart w:id="80" w:name="_Toc246826110"/>
      <w:r>
        <w:rPr>
          <w:rFonts w:hint="eastAsia" w:ascii="仿宋_GB2312" w:hAnsi="宋体" w:eastAsia="仿宋_GB2312"/>
          <w:b/>
          <w:color w:val="auto"/>
          <w:sz w:val="24"/>
        </w:rPr>
        <w:t>三、投标文件的编写</w:t>
      </w:r>
      <w:bookmarkEnd w:id="80"/>
    </w:p>
    <w:p>
      <w:pPr>
        <w:spacing w:line="47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10.2除非另有规定，第一章“采购内容”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10.4每一种规格的货物只允许有一个报价，否则将被视为无效投标。</w:t>
      </w:r>
    </w:p>
    <w:p>
      <w:pPr>
        <w:spacing w:line="47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10.6 投标人根据采购文件载明的采购项目实际情况，拟在中标后将中标项目的非主体、非关键性工作交由他人完成的，应当在投标文件中载明。</w:t>
      </w:r>
    </w:p>
    <w:p>
      <w:pPr>
        <w:spacing w:line="47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10.7投标文件的正本和副本数量应当符合采购文件的要求，否则视为无效投标。</w:t>
      </w:r>
    </w:p>
    <w:p>
      <w:pPr>
        <w:spacing w:line="47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10.8投标文件必须编页码，页码必须连续。</w:t>
      </w:r>
    </w:p>
    <w:p>
      <w:pPr>
        <w:spacing w:line="47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10.9投标文件应装订牢固不可拆卸（如：胶订），如因装订不牢固导致的任何损失由投标人承担。</w:t>
      </w:r>
    </w:p>
    <w:p>
      <w:pPr>
        <w:pStyle w:val="9"/>
        <w:tabs>
          <w:tab w:val="left" w:pos="8360"/>
        </w:tabs>
        <w:spacing w:line="460" w:lineRule="exact"/>
        <w:ind w:firstLine="561"/>
        <w:jc w:val="left"/>
        <w:rPr>
          <w:rFonts w:ascii="仿宋_GB2312" w:hAnsi="宋体" w:eastAsia="仿宋_GB2312"/>
          <w:b/>
          <w:color w:val="auto"/>
          <w:sz w:val="24"/>
          <w:szCs w:val="24"/>
        </w:rPr>
      </w:pPr>
      <w:r>
        <w:rPr>
          <w:rFonts w:hint="eastAsia" w:ascii="仿宋_GB2312" w:hAnsi="宋体" w:eastAsia="仿宋_GB2312"/>
          <w:b/>
          <w:color w:val="auto"/>
          <w:sz w:val="24"/>
          <w:szCs w:val="24"/>
        </w:rPr>
        <w:t>11. 投标文件语言、货物及计量单位</w:t>
      </w:r>
    </w:p>
    <w:p>
      <w:pPr>
        <w:pStyle w:val="9"/>
        <w:tabs>
          <w:tab w:val="left" w:pos="8360"/>
        </w:tabs>
        <w:spacing w:line="460" w:lineRule="exact"/>
        <w:ind w:firstLine="561"/>
        <w:jc w:val="left"/>
        <w:rPr>
          <w:rFonts w:ascii="仿宋_GB2312" w:hAnsi="宋体" w:eastAsia="仿宋_GB2312"/>
          <w:b/>
          <w:color w:val="auto"/>
          <w:sz w:val="24"/>
          <w:szCs w:val="24"/>
        </w:rPr>
      </w:pPr>
      <w:r>
        <w:rPr>
          <w:rFonts w:hint="eastAsia" w:ascii="仿宋_GB2312" w:hAnsi="宋体" w:eastAsia="仿宋_GB2312"/>
          <w:b/>
          <w:color w:val="auto"/>
          <w:sz w:val="24"/>
          <w:szCs w:val="24"/>
        </w:rPr>
        <w:t>11.1投标人提交的投标文件以及投标人与采购代理机构就有关投标的所有来往函电均应使用中文，非中文的投标文件</w:t>
      </w:r>
      <w:r>
        <w:rPr>
          <w:rFonts w:ascii="仿宋_GB2312" w:hAnsi="宋体" w:eastAsia="仿宋_GB2312"/>
          <w:b/>
          <w:color w:val="auto"/>
          <w:sz w:val="24"/>
          <w:szCs w:val="24"/>
        </w:rPr>
        <w:t>必须提供具有翻译资质的机构翻译的中文译本</w:t>
      </w:r>
      <w:r>
        <w:rPr>
          <w:rFonts w:hint="eastAsia" w:ascii="仿宋_GB2312" w:hAnsi="宋体" w:eastAsia="仿宋_GB2312"/>
          <w:b/>
          <w:color w:val="auto"/>
          <w:sz w:val="24"/>
          <w:szCs w:val="24"/>
        </w:rPr>
        <w:t>，否则该项资料不予认可，由此产生的风险由投标人自行承担。</w:t>
      </w:r>
      <w:r>
        <w:rPr>
          <w:rFonts w:ascii="仿宋_GB2312" w:hAnsi="宋体" w:eastAsia="仿宋_GB2312"/>
          <w:b/>
          <w:color w:val="auto"/>
          <w:sz w:val="24"/>
          <w:szCs w:val="24"/>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9"/>
        <w:tabs>
          <w:tab w:val="left" w:pos="8360"/>
        </w:tabs>
        <w:spacing w:line="460" w:lineRule="exact"/>
        <w:ind w:firstLine="561"/>
        <w:jc w:val="left"/>
        <w:rPr>
          <w:rFonts w:ascii="仿宋_GB2312" w:hAnsi="宋体" w:eastAsia="仿宋_GB2312"/>
          <w:b/>
          <w:color w:val="auto"/>
          <w:sz w:val="24"/>
          <w:szCs w:val="24"/>
        </w:rPr>
      </w:pPr>
      <w:r>
        <w:rPr>
          <w:rFonts w:hint="eastAsia" w:ascii="仿宋_GB2312" w:hAnsi="宋体" w:eastAsia="仿宋_GB2312"/>
          <w:b/>
          <w:color w:val="auto"/>
          <w:sz w:val="24"/>
          <w:szCs w:val="24"/>
        </w:rPr>
        <w:t>11.2货币单位：本次采购项目的投标均以人民币报价。</w:t>
      </w:r>
    </w:p>
    <w:p>
      <w:pPr>
        <w:pStyle w:val="9"/>
        <w:tabs>
          <w:tab w:val="left" w:pos="8360"/>
        </w:tabs>
        <w:spacing w:line="460" w:lineRule="exact"/>
        <w:ind w:firstLine="561"/>
        <w:jc w:val="left"/>
        <w:rPr>
          <w:rFonts w:ascii="仿宋_GB2312" w:hAnsi="宋体" w:eastAsia="仿宋_GB2312"/>
          <w:b/>
          <w:color w:val="auto"/>
          <w:sz w:val="24"/>
          <w:szCs w:val="24"/>
        </w:rPr>
      </w:pPr>
      <w:r>
        <w:rPr>
          <w:rFonts w:hint="eastAsia" w:ascii="仿宋_GB2312" w:hAnsi="宋体" w:eastAsia="仿宋_GB2312"/>
          <w:b/>
          <w:color w:val="auto"/>
          <w:sz w:val="24"/>
          <w:szCs w:val="24"/>
        </w:rPr>
        <w:t>11.3计量单位：除技术规格及要求中另有规定外，本采购项下的投标均采用国家法定的计量单位。</w:t>
      </w:r>
      <w:bookmarkStart w:id="81" w:name="_Toc217446046"/>
    </w:p>
    <w:bookmarkEnd w:id="81"/>
    <w:p>
      <w:pPr>
        <w:pStyle w:val="8"/>
        <w:spacing w:line="460" w:lineRule="exact"/>
        <w:ind w:firstLine="561" w:firstLineChars="0"/>
        <w:rPr>
          <w:rFonts w:hAnsi="宋体"/>
          <w:b/>
          <w:color w:val="auto"/>
          <w:sz w:val="24"/>
          <w:szCs w:val="24"/>
        </w:rPr>
      </w:pPr>
      <w:r>
        <w:rPr>
          <w:rFonts w:hint="eastAsia" w:hAnsi="宋体"/>
          <w:b/>
          <w:color w:val="auto"/>
          <w:sz w:val="24"/>
          <w:szCs w:val="24"/>
        </w:rPr>
        <w:t>12、投标文件的组成：所有证明材料、说明文件、投标要求详见“投标人须知前附表”的具体要求，供应商不提供或不按要求提供的则自行承担投标无效的风险。</w:t>
      </w:r>
    </w:p>
    <w:p>
      <w:pPr>
        <w:pStyle w:val="8"/>
        <w:spacing w:line="460" w:lineRule="exact"/>
        <w:ind w:firstLine="561" w:firstLineChars="0"/>
        <w:rPr>
          <w:rFonts w:hAnsi="宋体"/>
          <w:b/>
          <w:color w:val="auto"/>
          <w:sz w:val="24"/>
          <w:szCs w:val="24"/>
        </w:rPr>
      </w:pPr>
      <w:r>
        <w:rPr>
          <w:rFonts w:hint="eastAsia" w:hAnsi="宋体"/>
          <w:b/>
          <w:color w:val="auto"/>
          <w:sz w:val="24"/>
          <w:szCs w:val="24"/>
        </w:rPr>
        <w:t>12.1投标文件的商务部分</w:t>
      </w:r>
    </w:p>
    <w:p>
      <w:pPr>
        <w:pStyle w:val="8"/>
        <w:spacing w:line="460" w:lineRule="exact"/>
        <w:ind w:firstLine="561" w:firstLineChars="0"/>
        <w:rPr>
          <w:rFonts w:hAnsi="宋体"/>
          <w:b/>
          <w:color w:val="auto"/>
          <w:sz w:val="24"/>
          <w:szCs w:val="24"/>
        </w:rPr>
      </w:pPr>
      <w:r>
        <w:rPr>
          <w:rFonts w:hint="eastAsia" w:hAnsi="宋体"/>
          <w:b/>
          <w:color w:val="auto"/>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color w:val="auto"/>
          <w:sz w:val="24"/>
        </w:rPr>
      </w:pPr>
      <w:r>
        <w:rPr>
          <w:rFonts w:hint="eastAsia" w:ascii="仿宋_GB2312" w:hAnsi="宋体" w:eastAsia="仿宋_GB2312"/>
          <w:b/>
          <w:color w:val="auto"/>
          <w:sz w:val="24"/>
        </w:rPr>
        <w:t>12.2投标文件的技术部分</w:t>
      </w:r>
    </w:p>
    <w:p>
      <w:pPr>
        <w:pStyle w:val="8"/>
        <w:spacing w:line="460" w:lineRule="exact"/>
        <w:ind w:firstLine="561" w:firstLineChars="0"/>
        <w:rPr>
          <w:rFonts w:hAnsi="宋体"/>
          <w:b/>
          <w:color w:val="auto"/>
          <w:sz w:val="24"/>
          <w:szCs w:val="24"/>
        </w:rPr>
      </w:pPr>
      <w:r>
        <w:rPr>
          <w:rFonts w:hint="eastAsia" w:hAnsi="宋体"/>
          <w:b/>
          <w:color w:val="auto"/>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pacing w:line="460" w:lineRule="exact"/>
        <w:ind w:firstLine="561"/>
        <w:rPr>
          <w:rFonts w:ascii="仿宋_GB2312" w:hAnsi="宋体" w:eastAsia="仿宋_GB2312"/>
          <w:b/>
          <w:bCs/>
          <w:color w:val="auto"/>
          <w:sz w:val="24"/>
        </w:rPr>
      </w:pPr>
      <w:r>
        <w:rPr>
          <w:rFonts w:hint="eastAsia" w:ascii="仿宋_GB2312" w:hAnsi="宋体" w:eastAsia="仿宋_GB2312"/>
          <w:b/>
          <w:bCs/>
          <w:color w:val="auto"/>
          <w:sz w:val="24"/>
        </w:rPr>
        <w:t>12.3 投标文件的其他部分</w:t>
      </w:r>
    </w:p>
    <w:p>
      <w:pPr>
        <w:autoSpaceDE w:val="0"/>
        <w:autoSpaceDN w:val="0"/>
        <w:adjustRightInd w:val="0"/>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其他部分由投标人根据编制投标文件需要提供的其他相关文件组成。</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13、投标有效期</w:t>
      </w:r>
    </w:p>
    <w:p>
      <w:pPr>
        <w:autoSpaceDE w:val="0"/>
        <w:autoSpaceDN w:val="0"/>
        <w:adjustRightInd w:val="0"/>
        <w:spacing w:line="460" w:lineRule="exact"/>
        <w:rPr>
          <w:rFonts w:ascii="仿宋_GB2312" w:hAnsi="宋体" w:eastAsia="仿宋_GB2312"/>
          <w:b/>
          <w:color w:val="auto"/>
          <w:sz w:val="24"/>
        </w:rPr>
      </w:pPr>
      <w:r>
        <w:rPr>
          <w:rFonts w:hint="eastAsia" w:ascii="仿宋_GB2312" w:hAnsi="宋体" w:eastAsia="仿宋_GB2312"/>
          <w:b/>
          <w:color w:val="auto"/>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14、投标保证金</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14.1 投标保证金为投标文件的组成部分之一。</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14.3 投标保证金用于保护本次采购活动免受投标人的行为而引起的风险。</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14.4 未按规定交纳投标保证金的投标，视为无效投标。</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 xml:space="preserve">    14.5未中标供应商的投标保证金将在中标通知书发出后5个工作日内连息退还，中标供应商的投标保证金将在合同送达集中采购代理机构存档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14.6投标保证金的有效期与投标有效期一致，否则视为无效投标。</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14.7提交保证金的付款人名称须与系统注册的单位名称一致，否则视为无效投标。</w:t>
      </w:r>
    </w:p>
    <w:p>
      <w:pPr>
        <w:spacing w:line="460" w:lineRule="exact"/>
        <w:ind w:firstLine="472" w:firstLineChars="196"/>
        <w:rPr>
          <w:rFonts w:ascii="仿宋_GB2312" w:hAnsi="宋体" w:eastAsia="仿宋_GB2312"/>
          <w:b/>
          <w:color w:val="auto"/>
          <w:sz w:val="24"/>
        </w:rPr>
      </w:pPr>
      <w:r>
        <w:rPr>
          <w:rFonts w:hint="eastAsia" w:ascii="仿宋_GB2312" w:hAnsi="宋体" w:eastAsia="仿宋_GB2312"/>
          <w:b/>
          <w:color w:val="auto"/>
          <w:sz w:val="24"/>
        </w:rPr>
        <w:t>14.8 发生以下情况之一的，投标保证金将不予退还：</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（1）开标时间开始后供应商在投标有效期内撤回其投标的；</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（2）投标文件中提供伪造、虚假的材料或信息谋取中标的；</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（3）供应商有违反政府采购法律、法规和扰乱会场秩序的行为；</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（4）中标通知书发出后三十天内，中标供应商无正当理由不与采购人签订合同的；</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（5）拒绝履行合同义务的。</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上述不予退还投标保证金的情况给采购代理机构造成损失的，还要承担赔偿责任。</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 投标文件的格式及签署</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15.1投标文件正本一份，副本若干份，电子PDF版投标文件U盘一个。正本、副本必须打印装订，副本可以用正本的完整复印件，并在封面标明“正本”、“副本”字样。电子版PDF版响应文件为正本完整版的扫描件。正本与副本如有不一致，则以正本为准，未符合上述要求的视为无效投标。</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15.4投标文件中的任何行间插字，涂改和增删，须由法定代表人或经其正式授权的代表在旁边签字方可有效；</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15.5投标人应按照采购文件第六章中提供的“投标文件格式”编制投标文件，如自有格式并按其格式编制的投标文件，其内容必须包含“投标文件格式”中所有的实质性内容并受其约束。</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15.6投标人须将相关资料整合为一份投标文件，且分别制作目录、页码索引。</w:t>
      </w:r>
    </w:p>
    <w:p>
      <w:pPr>
        <w:spacing w:line="450" w:lineRule="exact"/>
        <w:ind w:firstLine="561"/>
        <w:rPr>
          <w:rFonts w:ascii="仿宋_GB2312" w:hAnsi="宋体" w:eastAsia="仿宋_GB2312"/>
          <w:b/>
          <w:color w:val="auto"/>
          <w:sz w:val="24"/>
        </w:rPr>
      </w:pPr>
      <w:r>
        <w:rPr>
          <w:rFonts w:hint="eastAsia" w:ascii="仿宋_GB2312" w:hAnsi="宋体" w:eastAsia="仿宋_GB2312"/>
          <w:b/>
          <w:color w:val="auto"/>
          <w:sz w:val="24"/>
        </w:rPr>
        <w:t>15.7投标文件因字迹潦草或表达不清所引起的后果由投标人负责。</w:t>
      </w:r>
    </w:p>
    <w:p>
      <w:pPr>
        <w:spacing w:line="450" w:lineRule="exact"/>
        <w:ind w:firstLine="561"/>
        <w:outlineLvl w:val="1"/>
        <w:rPr>
          <w:rFonts w:ascii="仿宋_GB2312" w:hAnsi="宋体" w:eastAsia="仿宋_GB2312"/>
          <w:b/>
          <w:color w:val="auto"/>
          <w:sz w:val="24"/>
        </w:rPr>
      </w:pPr>
      <w:bookmarkStart w:id="82" w:name="_Toc246826111"/>
      <w:r>
        <w:rPr>
          <w:rFonts w:hint="eastAsia" w:ascii="仿宋_GB2312" w:hAnsi="宋体" w:eastAsia="仿宋_GB2312"/>
          <w:b/>
          <w:color w:val="auto"/>
          <w:sz w:val="24"/>
        </w:rPr>
        <w:t>四、 投标文件的提交</w:t>
      </w:r>
      <w:bookmarkEnd w:id="82"/>
    </w:p>
    <w:p>
      <w:pPr>
        <w:spacing w:line="45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16.投标文件的密封和递交</w:t>
      </w:r>
    </w:p>
    <w:p>
      <w:pPr>
        <w:spacing w:line="45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16.1 投标人应将投标文件正本和全部副本密封并在密封处加盖单位公章或投标代表签名，否则视为无效投标文件。投标文件封套上标示“投标人须知前附表”所规定的内容。</w:t>
      </w:r>
    </w:p>
    <w:p>
      <w:pPr>
        <w:pStyle w:val="7"/>
        <w:ind w:firstLine="482" w:firstLineChars="200"/>
        <w:rPr>
          <w:rFonts w:ascii="仿宋_GB2312" w:hAnsi="宋体" w:eastAsia="仿宋_GB2312"/>
          <w:b/>
          <w:color w:val="auto"/>
          <w:sz w:val="24"/>
        </w:rPr>
      </w:pPr>
      <w:r>
        <w:rPr>
          <w:rFonts w:hint="eastAsia" w:ascii="仿宋_GB2312" w:hAnsi="宋体" w:eastAsia="仿宋_GB2312"/>
          <w:b/>
          <w:color w:val="auto"/>
          <w:sz w:val="24"/>
        </w:rPr>
        <w:t>16.2电子版投标文件U盘应密封提交。。</w:t>
      </w:r>
    </w:p>
    <w:p>
      <w:pPr>
        <w:spacing w:line="45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16.4如果未按上述规定进行密封和标记，视为无效投标。</w:t>
      </w:r>
    </w:p>
    <w:p>
      <w:pPr>
        <w:spacing w:line="45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16.6不接受邮寄或传真的投标文件。</w:t>
      </w:r>
      <w:bookmarkStart w:id="83" w:name="_Toc183682365"/>
      <w:bookmarkStart w:id="84" w:name="_Toc183582228"/>
      <w:bookmarkStart w:id="85" w:name="_Toc217446055"/>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17.投标文件的修改和撤</w:t>
      </w:r>
      <w:bookmarkEnd w:id="83"/>
      <w:bookmarkEnd w:id="84"/>
      <w:r>
        <w:rPr>
          <w:rFonts w:hint="eastAsia" w:ascii="仿宋_GB2312" w:hAnsi="宋体" w:eastAsia="仿宋_GB2312"/>
          <w:b/>
          <w:color w:val="auto"/>
          <w:sz w:val="24"/>
        </w:rPr>
        <w:t>回</w:t>
      </w:r>
      <w:bookmarkEnd w:id="85"/>
    </w:p>
    <w:p>
      <w:pPr>
        <w:spacing w:line="380" w:lineRule="exact"/>
        <w:ind w:firstLine="482" w:firstLineChars="200"/>
        <w:rPr>
          <w:rFonts w:ascii="仿宋_GB2312" w:hAnsi="仿宋" w:eastAsia="仿宋_GB2312"/>
          <w:b/>
          <w:color w:val="auto"/>
          <w:sz w:val="24"/>
        </w:rPr>
      </w:pPr>
      <w:bookmarkStart w:id="86" w:name="_Toc246826112"/>
      <w:r>
        <w:rPr>
          <w:rFonts w:hint="eastAsia" w:ascii="仿宋_GB2312" w:hAnsi="仿宋" w:eastAsia="仿宋_GB2312"/>
          <w:b/>
          <w:color w:val="auto"/>
          <w:sz w:val="24"/>
        </w:rPr>
        <w:t xml:space="preserve">17.l </w:t>
      </w:r>
      <w:r>
        <w:rPr>
          <w:rFonts w:hint="eastAsia" w:ascii="仿宋_GB2312" w:hAnsi="宋体" w:eastAsia="仿宋_GB2312"/>
          <w:b/>
          <w:color w:val="auto"/>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color w:val="auto"/>
          <w:sz w:val="24"/>
        </w:rPr>
      </w:pPr>
      <w:r>
        <w:rPr>
          <w:rFonts w:hint="eastAsia" w:ascii="仿宋_GB2312" w:hAnsi="仿宋" w:eastAsia="仿宋_GB2312"/>
          <w:b/>
          <w:color w:val="auto"/>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color w:val="auto"/>
          <w:sz w:val="24"/>
        </w:rPr>
      </w:pPr>
      <w:r>
        <w:rPr>
          <w:rFonts w:hint="eastAsia" w:ascii="仿宋_GB2312" w:hAnsi="仿宋" w:eastAsia="仿宋_GB2312"/>
          <w:b/>
          <w:color w:val="auto"/>
          <w:sz w:val="24"/>
        </w:rPr>
        <w:t>17.3 投标人不得在投标截止时间以后修改或/和撤回投标文件。</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五、开标与评标</w:t>
      </w:r>
      <w:bookmarkEnd w:id="86"/>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18．开标</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18.4开标程序：</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18.4.1主持人宣布开标会议开始；</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18.4.2介绍参加开标会议的人员；</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18.4.3宣读开标评标纪律；</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18.4.4检验各投标文件密封的完整性；</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18.4.5拆封投标文件；</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18.4.6记录开标过程；</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18.4.7主持人宣布开标会议结束。</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19、评标</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19.1评审委员会</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19.1.1采购代理机构根据采购货物和服务的特点依法组建评审委员会。评审委员会由</w:t>
      </w:r>
      <w:r>
        <w:rPr>
          <w:rFonts w:hint="eastAsia" w:ascii="仿宋_GB2312" w:hAnsi="宋体" w:eastAsia="仿宋_GB2312"/>
          <w:b/>
          <w:color w:val="auto"/>
          <w:sz w:val="24"/>
          <w:lang w:eastAsia="zh-CN"/>
        </w:rPr>
        <w:t>评审专家</w:t>
      </w:r>
      <w:r>
        <w:rPr>
          <w:rFonts w:hint="eastAsia" w:ascii="仿宋_GB2312" w:hAnsi="宋体" w:eastAsia="仿宋_GB2312"/>
          <w:b/>
          <w:color w:val="auto"/>
          <w:sz w:val="24"/>
        </w:rPr>
        <w:t>和采购人代表组成。</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 投标文件的评审</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19.2.1 要求</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 xml:space="preserve">19.2.2 资格性检查和符合性检查 </w:t>
      </w:r>
    </w:p>
    <w:p>
      <w:pPr>
        <w:pStyle w:val="7"/>
        <w:rPr>
          <w:color w:val="auto"/>
        </w:rPr>
      </w:pPr>
      <w:r>
        <w:rPr>
          <w:rFonts w:hint="eastAsia" w:ascii="仿宋_GB2312" w:hAnsi="宋体" w:eastAsia="仿宋_GB2312"/>
          <w:b/>
          <w:color w:val="auto"/>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 xml:space="preserve">19.2.3 投标文件的澄清 </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19.2.3．2算术错误将按以下方法更正：</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（一）投标文件中开标一览表（报价表）内容与投标文件中相应内容不一致的，以开标一览表（报价表）为准；</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（二）大写金额和小写金额不一致的，以大写金额为准；</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（三）单价金额小数点或者百分比有明显错位的，以开标一览表的总价为准，并修改单价；</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（四）总价金额与按单价汇总金额不一致的，以单价金额计算结果为准。</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同时出现两种以上不一致的，按照前款规定的顺序修正。</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如果投标人不接受按上述方法对投标文件中的算术错误进行更正，其投标无效。</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19.2.4 比较与评价</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color w:val="auto"/>
          <w:sz w:val="24"/>
        </w:rPr>
      </w:pPr>
      <w:r>
        <w:rPr>
          <w:rFonts w:ascii="仿宋_GB2312" w:hAnsi="宋体" w:eastAsia="仿宋_GB2312"/>
          <w:b/>
          <w:color w:val="auto"/>
          <w:sz w:val="24"/>
        </w:rPr>
        <w:t xml:space="preserve">19.2.4.2 </w:t>
      </w:r>
      <w:r>
        <w:rPr>
          <w:rFonts w:hint="eastAsia" w:ascii="仿宋_GB2312" w:hAnsi="宋体" w:eastAsia="仿宋_GB2312"/>
          <w:b/>
          <w:color w:val="auto"/>
          <w:sz w:val="24"/>
        </w:rPr>
        <w:t>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pStyle w:val="12"/>
        <w:pBdr>
          <w:bottom w:val="none" w:color="auto" w:sz="0" w:space="0"/>
        </w:pBdr>
        <w:rPr>
          <w:color w:val="auto"/>
        </w:rPr>
      </w:pPr>
    </w:p>
    <w:p>
      <w:pPr>
        <w:spacing w:line="440" w:lineRule="exact"/>
        <w:rPr>
          <w:rFonts w:ascii="仿宋_GB2312" w:hAnsi="宋体" w:eastAsia="仿宋_GB2312"/>
          <w:b/>
          <w:color w:val="auto"/>
          <w:sz w:val="24"/>
        </w:rPr>
      </w:pPr>
      <w:r>
        <w:rPr>
          <w:rFonts w:hint="eastAsia" w:ascii="仿宋_GB2312" w:hAnsi="宋体" w:eastAsia="仿宋_GB2312"/>
          <w:b/>
          <w:color w:val="auto"/>
          <w:sz w:val="24"/>
        </w:rPr>
        <w:t>19.2.5有下列情形之一的，视为投标人串通投标，其投标无效：</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（一）不同投标人的投标文件由同一单位或者个人编制；</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（二）不同投标人委托同一单位或者个人办理投标事宜；</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（三）不同投标人的投标文件载明的项目管理成员或者联系人员为同一人；</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（四）不同投标人的投标文件异常一致或者投标报价呈规律性差异；</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（五）不同投标人的投标文件相互混装；</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（六）不同投标人的投标保证金从同一单位或者个人的账户转出。</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20、废标</w:t>
      </w:r>
      <w:bookmarkStart w:id="87" w:name="_Toc217446072"/>
      <w:r>
        <w:rPr>
          <w:rFonts w:hint="eastAsia" w:ascii="仿宋_GB2312" w:hAnsi="宋体" w:eastAsia="仿宋_GB2312"/>
          <w:b/>
          <w:color w:val="auto"/>
          <w:sz w:val="24"/>
        </w:rPr>
        <w:t>的情形</w:t>
      </w:r>
      <w:bookmarkEnd w:id="87"/>
    </w:p>
    <w:p>
      <w:pPr>
        <w:pStyle w:val="6"/>
        <w:spacing w:line="46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招标采购中，出现下列情形之一的，予以废标：</w:t>
      </w:r>
    </w:p>
    <w:p>
      <w:pPr>
        <w:pStyle w:val="6"/>
        <w:spacing w:line="46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（1）符合专业条件的供应商或者对采购文件作实质响应的供应商不足三家的；</w:t>
      </w:r>
    </w:p>
    <w:p>
      <w:pPr>
        <w:pStyle w:val="6"/>
        <w:spacing w:line="46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（2）出现影响采购公正的违法、违规行为的；</w:t>
      </w:r>
    </w:p>
    <w:p>
      <w:pPr>
        <w:pStyle w:val="6"/>
        <w:spacing w:line="46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（3）投标人的报价均超过了采购预算，采购人不能支付的；</w:t>
      </w:r>
    </w:p>
    <w:p>
      <w:pPr>
        <w:pStyle w:val="6"/>
        <w:spacing w:line="46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（4）因重大变故，采购任务取消的。</w:t>
      </w:r>
    </w:p>
    <w:p>
      <w:pPr>
        <w:pStyle w:val="6"/>
        <w:spacing w:line="460" w:lineRule="exact"/>
        <w:ind w:firstLine="561"/>
        <w:rPr>
          <w:rFonts w:ascii="仿宋_GB2312" w:hAnsi="宋体" w:eastAsia="仿宋_GB2312"/>
          <w:b/>
          <w:color w:val="auto"/>
          <w:sz w:val="24"/>
          <w:szCs w:val="24"/>
        </w:rPr>
      </w:pPr>
      <w:r>
        <w:rPr>
          <w:rFonts w:hint="eastAsia" w:ascii="仿宋_GB2312" w:hAnsi="宋体" w:eastAsia="仿宋_GB2312"/>
          <w:b/>
          <w:color w:val="auto"/>
          <w:sz w:val="24"/>
          <w:szCs w:val="24"/>
        </w:rPr>
        <w:t>废标后，采购代理机构将在指定网站发布废标公告。</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21、纪律和监督</w:t>
      </w:r>
    </w:p>
    <w:p>
      <w:pPr>
        <w:spacing w:line="460" w:lineRule="exact"/>
        <w:ind w:firstLine="561"/>
        <w:rPr>
          <w:rFonts w:ascii="仿宋_GB2312" w:hAnsi="宋体" w:eastAsia="仿宋_GB2312"/>
          <w:b/>
          <w:color w:val="auto"/>
          <w:sz w:val="24"/>
        </w:rPr>
      </w:pPr>
      <w:bookmarkStart w:id="88" w:name="_Toc246996962"/>
      <w:bookmarkStart w:id="89" w:name="_Toc152042351"/>
      <w:bookmarkStart w:id="90" w:name="_Toc152045575"/>
      <w:bookmarkStart w:id="91" w:name="_Toc179632593"/>
      <w:bookmarkStart w:id="92" w:name="_Toc296602462"/>
      <w:bookmarkStart w:id="93" w:name="_Toc247085733"/>
      <w:bookmarkStart w:id="94" w:name="_Toc144974543"/>
      <w:bookmarkStart w:id="95" w:name="_Toc246996219"/>
      <w:bookmarkStart w:id="96" w:name="_Toc296590983"/>
      <w:r>
        <w:rPr>
          <w:rFonts w:hint="eastAsia" w:ascii="仿宋_GB2312" w:hAnsi="宋体" w:eastAsia="仿宋_GB2312"/>
          <w:b/>
          <w:color w:val="auto"/>
          <w:sz w:val="24"/>
        </w:rPr>
        <w:t>21.1 对采购代理机构的纪律要求</w:t>
      </w:r>
      <w:bookmarkEnd w:id="88"/>
      <w:bookmarkEnd w:id="89"/>
      <w:bookmarkEnd w:id="90"/>
      <w:bookmarkEnd w:id="91"/>
      <w:bookmarkEnd w:id="92"/>
      <w:bookmarkEnd w:id="93"/>
      <w:bookmarkEnd w:id="94"/>
      <w:bookmarkEnd w:id="95"/>
      <w:bookmarkEnd w:id="96"/>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color w:val="auto"/>
          <w:sz w:val="24"/>
        </w:rPr>
      </w:pPr>
      <w:bookmarkStart w:id="97" w:name="_Toc179632594"/>
      <w:bookmarkStart w:id="98" w:name="_Toc152045576"/>
      <w:bookmarkStart w:id="99" w:name="_Toc152042352"/>
      <w:bookmarkStart w:id="100" w:name="_Toc296602463"/>
      <w:bookmarkStart w:id="101" w:name="_Toc247085734"/>
      <w:bookmarkStart w:id="102" w:name="_Toc144974544"/>
      <w:bookmarkStart w:id="103" w:name="_Toc246996220"/>
      <w:bookmarkStart w:id="104" w:name="_Toc246996963"/>
      <w:r>
        <w:rPr>
          <w:rFonts w:hint="eastAsia" w:ascii="仿宋_GB2312" w:hAnsi="宋体" w:eastAsia="仿宋_GB2312"/>
          <w:b/>
          <w:color w:val="auto"/>
          <w:sz w:val="24"/>
        </w:rPr>
        <w:t>21.2对投标人的纪律要求</w:t>
      </w:r>
      <w:bookmarkEnd w:id="97"/>
      <w:bookmarkEnd w:id="98"/>
      <w:bookmarkEnd w:id="99"/>
      <w:bookmarkEnd w:id="100"/>
      <w:bookmarkEnd w:id="101"/>
      <w:bookmarkEnd w:id="102"/>
      <w:bookmarkEnd w:id="103"/>
      <w:bookmarkEnd w:id="104"/>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color w:val="auto"/>
          <w:sz w:val="24"/>
        </w:rPr>
      </w:pPr>
      <w:bookmarkStart w:id="105" w:name="_Toc152042353"/>
      <w:bookmarkStart w:id="106" w:name="_Toc179632595"/>
      <w:bookmarkStart w:id="107" w:name="_Toc152045577"/>
      <w:bookmarkStart w:id="108" w:name="_Toc247085735"/>
      <w:bookmarkStart w:id="109" w:name="_Toc144974545"/>
      <w:bookmarkStart w:id="110" w:name="_Toc246996964"/>
      <w:bookmarkStart w:id="111" w:name="_Toc296602464"/>
      <w:bookmarkStart w:id="112" w:name="_Toc246996221"/>
      <w:r>
        <w:rPr>
          <w:rFonts w:hint="eastAsia" w:ascii="仿宋_GB2312" w:hAnsi="宋体" w:eastAsia="仿宋_GB2312"/>
          <w:b/>
          <w:color w:val="auto"/>
          <w:sz w:val="24"/>
        </w:rPr>
        <w:t>21.3对评标委员会成员的纪律要求</w:t>
      </w:r>
      <w:bookmarkEnd w:id="105"/>
      <w:bookmarkEnd w:id="106"/>
      <w:bookmarkEnd w:id="107"/>
      <w:bookmarkEnd w:id="108"/>
      <w:bookmarkEnd w:id="109"/>
      <w:bookmarkEnd w:id="110"/>
      <w:bookmarkEnd w:id="111"/>
      <w:bookmarkEnd w:id="112"/>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color w:val="auto"/>
          <w:sz w:val="24"/>
        </w:rPr>
      </w:pPr>
      <w:bookmarkStart w:id="113" w:name="_Toc152042354"/>
      <w:bookmarkStart w:id="114" w:name="_Toc179632596"/>
      <w:bookmarkStart w:id="115" w:name="_Toc296602465"/>
      <w:bookmarkStart w:id="116" w:name="_Toc152045578"/>
      <w:bookmarkStart w:id="117" w:name="_Toc247085736"/>
      <w:bookmarkStart w:id="118" w:name="_Toc246996965"/>
      <w:bookmarkStart w:id="119" w:name="_Toc246996222"/>
      <w:r>
        <w:rPr>
          <w:rFonts w:hint="eastAsia" w:ascii="仿宋_GB2312" w:hAnsi="宋体" w:eastAsia="仿宋_GB2312"/>
          <w:b/>
          <w:color w:val="auto"/>
          <w:sz w:val="24"/>
        </w:rPr>
        <w:t>21.4对与评标活动有关的工作人员的纪律要求</w:t>
      </w:r>
      <w:bookmarkEnd w:id="113"/>
      <w:bookmarkEnd w:id="114"/>
      <w:bookmarkEnd w:id="115"/>
      <w:bookmarkEnd w:id="116"/>
      <w:bookmarkEnd w:id="117"/>
      <w:bookmarkEnd w:id="118"/>
      <w:bookmarkEnd w:id="119"/>
    </w:p>
    <w:p>
      <w:pPr>
        <w:spacing w:line="460" w:lineRule="exact"/>
        <w:ind w:firstLine="561"/>
        <w:rPr>
          <w:rFonts w:ascii="仿宋_GB2312" w:hAnsi="宋体" w:eastAsia="仿宋_GB2312"/>
          <w:b/>
          <w:color w:val="auto"/>
          <w:sz w:val="24"/>
        </w:rPr>
      </w:pPr>
      <w:bookmarkStart w:id="120" w:name="_Toc152042355"/>
      <w:r>
        <w:rPr>
          <w:rFonts w:hint="eastAsia" w:ascii="仿宋_GB2312" w:hAnsi="宋体" w:eastAsia="仿宋_GB2312"/>
          <w:b/>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20"/>
    </w:p>
    <w:p>
      <w:pPr>
        <w:spacing w:line="450" w:lineRule="exact"/>
        <w:ind w:firstLine="561"/>
        <w:outlineLvl w:val="1"/>
        <w:rPr>
          <w:rFonts w:ascii="仿宋_GB2312" w:hAnsi="宋体" w:eastAsia="仿宋_GB2312"/>
          <w:b/>
          <w:color w:val="auto"/>
          <w:sz w:val="24"/>
        </w:rPr>
      </w:pPr>
      <w:bookmarkStart w:id="121" w:name="_Toc246826113"/>
      <w:r>
        <w:rPr>
          <w:rFonts w:hint="eastAsia" w:ascii="仿宋_GB2312" w:hAnsi="宋体" w:eastAsia="仿宋_GB2312"/>
          <w:b/>
          <w:color w:val="auto"/>
          <w:sz w:val="24"/>
        </w:rPr>
        <w:t>六、定标、合同</w:t>
      </w:r>
      <w:bookmarkEnd w:id="121"/>
      <w:r>
        <w:rPr>
          <w:rFonts w:hint="eastAsia" w:ascii="仿宋_GB2312" w:hAnsi="宋体" w:eastAsia="仿宋_GB2312"/>
          <w:b/>
          <w:color w:val="auto"/>
          <w:sz w:val="24"/>
        </w:rPr>
        <w:t>与验收</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22、定标准则</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22.1最低投标价等任何单项因素的最优不能作为中标的保证。</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22.2评审委员会推荐排名前三名且经采购人确认的供应商即为中标供应商</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23中标通知</w:t>
      </w:r>
    </w:p>
    <w:p>
      <w:pPr>
        <w:spacing w:line="460" w:lineRule="exact"/>
        <w:ind w:firstLine="561"/>
        <w:rPr>
          <w:rFonts w:ascii="仿宋_GB2312" w:hAnsi="宋体" w:eastAsia="仿宋_GB2312"/>
          <w:b/>
          <w:color w:val="auto"/>
          <w:sz w:val="24"/>
        </w:rPr>
      </w:pPr>
      <w:r>
        <w:rPr>
          <w:rFonts w:hint="eastAsia" w:ascii="仿宋_GB2312" w:hAnsi="宋体" w:eastAsia="仿宋_GB2312"/>
          <w:b/>
          <w:color w:val="auto"/>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color w:val="auto"/>
          <w:sz w:val="24"/>
        </w:rPr>
      </w:pPr>
      <w:r>
        <w:rPr>
          <w:rFonts w:hint="eastAsia" w:ascii="仿宋_GB2312" w:hAnsi="宋体" w:eastAsia="仿宋_GB2312"/>
          <w:b/>
          <w:color w:val="auto"/>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color w:val="auto"/>
          <w:sz w:val="24"/>
        </w:rPr>
      </w:pPr>
      <w:r>
        <w:rPr>
          <w:rFonts w:hint="eastAsia" w:ascii="仿宋_GB2312" w:hAnsi="宋体" w:eastAsia="仿宋_GB2312"/>
          <w:b/>
          <w:color w:val="auto"/>
          <w:sz w:val="24"/>
        </w:rPr>
        <w:t>24、合同签订</w:t>
      </w:r>
    </w:p>
    <w:p>
      <w:pPr>
        <w:shd w:val="solid" w:color="FFFFFF" w:fill="auto"/>
        <w:autoSpaceDN w:val="0"/>
        <w:spacing w:line="450" w:lineRule="exact"/>
        <w:ind w:firstLine="482" w:firstLineChars="200"/>
        <w:jc w:val="left"/>
        <w:rPr>
          <w:rFonts w:ascii="仿宋_GB2312" w:hAnsi="宋体" w:eastAsia="仿宋_GB2312"/>
          <w:b/>
          <w:color w:val="auto"/>
          <w:sz w:val="24"/>
        </w:rPr>
      </w:pPr>
      <w:r>
        <w:rPr>
          <w:rFonts w:hint="eastAsia" w:ascii="仿宋_GB2312" w:hAnsi="宋体" w:eastAsia="仿宋_GB2312"/>
          <w:b/>
          <w:color w:val="auto"/>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color w:val="auto"/>
          <w:sz w:val="24"/>
        </w:rPr>
      </w:pPr>
      <w:r>
        <w:rPr>
          <w:rFonts w:hint="eastAsia" w:ascii="仿宋_GB2312" w:hAnsi="宋体" w:eastAsia="仿宋_GB2312"/>
          <w:b/>
          <w:color w:val="auto"/>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color w:val="auto"/>
          <w:sz w:val="24"/>
        </w:rPr>
      </w:pPr>
      <w:bookmarkStart w:id="122" w:name="_Toc217446069"/>
      <w:r>
        <w:rPr>
          <w:rFonts w:hint="eastAsia" w:ascii="仿宋_GB2312" w:hAnsi="宋体" w:eastAsia="仿宋_GB2312"/>
          <w:b/>
          <w:color w:val="auto"/>
          <w:sz w:val="24"/>
        </w:rPr>
        <w:t>25、合同</w:t>
      </w:r>
      <w:bookmarkEnd w:id="122"/>
      <w:r>
        <w:rPr>
          <w:rFonts w:hint="eastAsia" w:ascii="仿宋_GB2312" w:hAnsi="宋体" w:eastAsia="仿宋_GB2312"/>
          <w:b/>
          <w:color w:val="auto"/>
          <w:sz w:val="24"/>
        </w:rPr>
        <w:t>履行</w:t>
      </w:r>
    </w:p>
    <w:p>
      <w:pPr>
        <w:shd w:val="solid" w:color="FFFFFF" w:fill="auto"/>
        <w:autoSpaceDN w:val="0"/>
        <w:spacing w:line="450" w:lineRule="exact"/>
        <w:ind w:firstLine="482" w:firstLineChars="200"/>
        <w:jc w:val="left"/>
        <w:rPr>
          <w:rFonts w:ascii="仿宋_GB2312" w:hAnsi="宋体" w:eastAsia="仿宋_GB2312"/>
          <w:b/>
          <w:color w:val="auto"/>
          <w:sz w:val="24"/>
        </w:rPr>
      </w:pPr>
      <w:r>
        <w:rPr>
          <w:rFonts w:hint="eastAsia" w:ascii="仿宋_GB2312" w:hAnsi="宋体" w:eastAsia="仿宋_GB2312"/>
          <w:b/>
          <w:color w:val="auto"/>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color w:val="auto"/>
          <w:sz w:val="24"/>
        </w:rPr>
      </w:pPr>
      <w:r>
        <w:rPr>
          <w:rFonts w:hint="eastAsia" w:ascii="仿宋_GB2312" w:hAnsi="宋体" w:eastAsia="仿宋_GB2312"/>
          <w:b/>
          <w:color w:val="auto"/>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color w:val="auto"/>
          <w:sz w:val="24"/>
        </w:rPr>
      </w:pPr>
      <w:bookmarkStart w:id="123" w:name="_Toc217446070"/>
      <w:r>
        <w:rPr>
          <w:rFonts w:hint="eastAsia" w:ascii="仿宋_GB2312" w:hAnsi="宋体" w:eastAsia="仿宋_GB2312"/>
          <w:b/>
          <w:color w:val="auto"/>
          <w:sz w:val="24"/>
        </w:rPr>
        <w:t>26、验收</w:t>
      </w:r>
      <w:bookmarkEnd w:id="123"/>
      <w:r>
        <w:rPr>
          <w:rFonts w:hint="eastAsia" w:ascii="仿宋_GB2312" w:hAnsi="宋体" w:eastAsia="仿宋_GB2312"/>
          <w:b/>
          <w:color w:val="auto"/>
          <w:sz w:val="24"/>
        </w:rPr>
        <w:t>：中标人与采购人应严格按照要求进行验收。</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七、评标方法</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27、政府采购招标评标方法分为:最低评标价法和综合评分法。</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评标总得分＝F1×A1＋F2×A2＋……＋Fn×An</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投标报价得分＝（评标基准价／投标报价）×价格权值×100　　</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八、质疑</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接受质疑联系人和联系方式与</w:t>
      </w:r>
      <w:r>
        <w:rPr>
          <w:rFonts w:hint="eastAsia" w:ascii="仿宋_GB2312" w:hAnsi="仿宋_GB2312" w:eastAsia="仿宋_GB2312" w:cs="仿宋_GB2312"/>
          <w:b/>
          <w:color w:val="auto"/>
          <w:sz w:val="24"/>
        </w:rPr>
        <w:t>项目联系人、联系方式一致。</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九、无效投标的其他有关规定：</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30.4为采购项目提供整体设计、规范编制或者项目管理、监理、检测等服务的供应商，再参加该采购项目的其他采购活动的；</w:t>
      </w:r>
    </w:p>
    <w:p>
      <w:pPr>
        <w:pStyle w:val="9"/>
        <w:spacing w:line="440" w:lineRule="exact"/>
        <w:ind w:firstLine="472" w:firstLineChars="196"/>
        <w:rPr>
          <w:rFonts w:ascii="仿宋_GB2312" w:hAnsi="宋体" w:eastAsia="仿宋_GB2312"/>
          <w:b/>
          <w:color w:val="auto"/>
          <w:sz w:val="24"/>
          <w:szCs w:val="24"/>
        </w:rPr>
      </w:pPr>
      <w:r>
        <w:rPr>
          <w:rFonts w:hint="eastAsia" w:ascii="仿宋_GB2312" w:hAnsi="宋体" w:eastAsia="仿宋_GB2312"/>
          <w:b/>
          <w:color w:val="auto"/>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31.1存在恶意串通投标行为的；</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color w:val="auto"/>
          <w:sz w:val="24"/>
        </w:rPr>
      </w:pPr>
      <w:r>
        <w:rPr>
          <w:rFonts w:hint="eastAsia" w:ascii="仿宋_GB2312" w:hAnsi="宋体" w:eastAsia="仿宋_GB2312"/>
          <w:b/>
          <w:color w:val="auto"/>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十、适用法律</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32、采购人、政府采购代理机构及投标人的一切招标投标活动均适用《政府采购法》、《政府采购法实施条例》及其配套的法规、规章、政策。</w:t>
      </w:r>
    </w:p>
    <w:p>
      <w:pPr>
        <w:pStyle w:val="6"/>
        <w:snapToGrid w:val="0"/>
        <w:spacing w:line="460" w:lineRule="exact"/>
        <w:ind w:firstLine="0"/>
        <w:jc w:val="both"/>
        <w:outlineLvl w:val="0"/>
        <w:rPr>
          <w:rFonts w:ascii="黑体" w:hAnsi="宋体" w:eastAsia="黑体"/>
          <w:b/>
          <w:bCs/>
          <w:color w:val="auto"/>
          <w:sz w:val="24"/>
          <w:szCs w:val="24"/>
        </w:rPr>
      </w:pPr>
      <w:bookmarkStart w:id="124" w:name="_Toc246826115"/>
    </w:p>
    <w:p>
      <w:pPr>
        <w:pStyle w:val="6"/>
        <w:snapToGrid w:val="0"/>
        <w:spacing w:line="460" w:lineRule="exact"/>
        <w:ind w:firstLine="0"/>
        <w:jc w:val="center"/>
        <w:outlineLvl w:val="0"/>
        <w:rPr>
          <w:rFonts w:ascii="黑体" w:hAnsi="宋体" w:eastAsia="黑体"/>
          <w:b/>
          <w:bCs/>
          <w:color w:val="auto"/>
          <w:sz w:val="24"/>
          <w:szCs w:val="24"/>
        </w:rPr>
      </w:pPr>
      <w:r>
        <w:rPr>
          <w:rFonts w:hint="eastAsia" w:ascii="黑体" w:hAnsi="宋体" w:eastAsia="黑体"/>
          <w:b/>
          <w:bCs/>
          <w:color w:val="auto"/>
          <w:sz w:val="24"/>
          <w:szCs w:val="24"/>
        </w:rPr>
        <w:t>第四章  资格审查标准</w:t>
      </w:r>
      <w:bookmarkEnd w:id="124"/>
    </w:p>
    <w:p>
      <w:pPr>
        <w:spacing w:line="400" w:lineRule="exact"/>
        <w:ind w:firstLine="482" w:firstLineChars="200"/>
        <w:outlineLvl w:val="0"/>
        <w:rPr>
          <w:rFonts w:ascii="仿宋_GB2312" w:hAnsi="宋体" w:eastAsia="仿宋_GB2312"/>
          <w:b/>
          <w:color w:val="auto"/>
          <w:sz w:val="24"/>
        </w:rPr>
      </w:pPr>
      <w:bookmarkStart w:id="125" w:name="_Toc246826116"/>
      <w:r>
        <w:rPr>
          <w:rFonts w:hint="eastAsia" w:ascii="仿宋_GB2312" w:hAnsi="宋体" w:eastAsia="仿宋_GB2312"/>
          <w:b/>
          <w:color w:val="auto"/>
          <w:sz w:val="24"/>
        </w:rPr>
        <w:t>一、基本要求：</w:t>
      </w:r>
    </w:p>
    <w:p>
      <w:pPr>
        <w:spacing w:line="400" w:lineRule="exact"/>
        <w:ind w:firstLine="482" w:firstLineChars="200"/>
        <w:outlineLvl w:val="0"/>
        <w:rPr>
          <w:rFonts w:ascii="仿宋_GB2312" w:hAnsi="宋体" w:eastAsia="仿宋_GB2312"/>
          <w:b/>
          <w:color w:val="auto"/>
          <w:sz w:val="24"/>
        </w:rPr>
      </w:pPr>
      <w:r>
        <w:rPr>
          <w:rFonts w:hint="eastAsia" w:ascii="仿宋_GB2312" w:hAnsi="宋体" w:eastAsia="仿宋_GB2312"/>
          <w:b/>
          <w:color w:val="auto"/>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color w:val="auto"/>
          <w:sz w:val="24"/>
        </w:rPr>
      </w:pPr>
      <w:r>
        <w:rPr>
          <w:rFonts w:hint="eastAsia" w:ascii="仿宋_GB2312" w:hAnsi="宋体" w:eastAsia="仿宋_GB2312"/>
          <w:b/>
          <w:color w:val="auto"/>
          <w:sz w:val="24"/>
        </w:rPr>
        <w:t>（二）凡小微型企业产品参与投标的，依照第三章5.1款规定执行。</w:t>
      </w:r>
    </w:p>
    <w:p>
      <w:pPr>
        <w:pStyle w:val="6"/>
        <w:snapToGrid w:val="0"/>
        <w:spacing w:line="500" w:lineRule="exact"/>
        <w:ind w:firstLine="540"/>
        <w:outlineLvl w:val="1"/>
        <w:rPr>
          <w:rFonts w:ascii="仿宋_GB2312" w:hAnsi="宋体" w:eastAsia="仿宋_GB2312"/>
          <w:b/>
          <w:bCs/>
          <w:color w:val="auto"/>
          <w:sz w:val="24"/>
          <w:szCs w:val="24"/>
        </w:rPr>
      </w:pPr>
      <w:r>
        <w:rPr>
          <w:rFonts w:hint="eastAsia" w:ascii="仿宋_GB2312" w:hAnsi="宋体" w:eastAsia="仿宋_GB2312"/>
          <w:b/>
          <w:bCs/>
          <w:color w:val="auto"/>
          <w:sz w:val="24"/>
          <w:szCs w:val="24"/>
        </w:rPr>
        <w:t>二、资格审查标准</w:t>
      </w:r>
      <w:bookmarkEnd w:id="125"/>
    </w:p>
    <w:p>
      <w:pPr>
        <w:spacing w:line="50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要求：</w:t>
      </w:r>
    </w:p>
    <w:p>
      <w:pPr>
        <w:spacing w:line="400" w:lineRule="exact"/>
        <w:ind w:firstLine="482" w:firstLineChars="200"/>
        <w:outlineLvl w:val="0"/>
        <w:rPr>
          <w:rFonts w:ascii="仿宋_GB2312" w:hAnsi="宋体" w:eastAsia="仿宋_GB2312"/>
          <w:b/>
          <w:color w:val="auto"/>
          <w:sz w:val="24"/>
        </w:rPr>
      </w:pPr>
      <w:r>
        <w:rPr>
          <w:rFonts w:hint="eastAsia" w:ascii="仿宋_GB2312" w:hAnsi="宋体" w:eastAsia="仿宋_GB2312"/>
          <w:b/>
          <w:color w:val="auto"/>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color w:val="auto"/>
          <w:sz w:val="24"/>
        </w:rPr>
      </w:pPr>
      <w:r>
        <w:rPr>
          <w:rFonts w:hint="eastAsia" w:ascii="仿宋_GB2312" w:hAnsi="宋体" w:eastAsia="仿宋_GB2312"/>
          <w:b/>
          <w:color w:val="auto"/>
          <w:sz w:val="24"/>
        </w:rPr>
        <w:t>2、在资格性审查和符合性审查意见汇总的过程中，如存在不同审查意见，则按照少数服从多数的原则做出结论。</w:t>
      </w:r>
    </w:p>
    <w:p>
      <w:pPr>
        <w:spacing w:line="380" w:lineRule="exact"/>
        <w:ind w:firstLine="602" w:firstLineChars="250"/>
        <w:rPr>
          <w:rFonts w:hint="eastAsia" w:ascii="仿宋_GB2312" w:hAnsi="宋体" w:eastAsia="仿宋_GB2312"/>
          <w:b/>
          <w:color w:val="auto"/>
          <w:sz w:val="24"/>
        </w:rPr>
      </w:pPr>
      <w:r>
        <w:rPr>
          <w:rFonts w:hint="eastAsia" w:ascii="仿宋_GB2312" w:hAnsi="宋体" w:eastAsia="仿宋_GB2312"/>
          <w:b/>
          <w:color w:val="auto"/>
          <w:sz w:val="24"/>
        </w:rPr>
        <w:t>3、本表格“审查意见”栏默认“√”视为合格标示，“×”视为不合格标示。</w:t>
      </w:r>
    </w:p>
    <w:p>
      <w:pPr>
        <w:spacing w:line="380" w:lineRule="exact"/>
        <w:ind w:firstLine="602" w:firstLineChars="250"/>
        <w:rPr>
          <w:rFonts w:hint="eastAsia" w:ascii="仿宋_GB2312" w:hAnsi="宋体" w:eastAsia="仿宋_GB2312"/>
          <w:b/>
          <w:color w:val="auto"/>
          <w:sz w:val="24"/>
        </w:rPr>
      </w:pPr>
    </w:p>
    <w:p>
      <w:pPr>
        <w:spacing w:line="380" w:lineRule="exact"/>
        <w:ind w:firstLine="602" w:firstLineChars="250"/>
        <w:rPr>
          <w:rFonts w:ascii="仿宋_GB2312" w:hAnsi="宋体" w:eastAsia="仿宋_GB2312"/>
          <w:b/>
          <w:color w:val="auto"/>
          <w:sz w:val="24"/>
        </w:rPr>
      </w:pPr>
      <w:r>
        <w:rPr>
          <w:rFonts w:hint="eastAsia" w:ascii="仿宋_GB2312" w:hAnsi="宋体" w:eastAsia="仿宋_GB2312"/>
          <w:b/>
          <w:color w:val="auto"/>
          <w:sz w:val="24"/>
        </w:rPr>
        <w:t>一、资格性审查</w:t>
      </w:r>
    </w:p>
    <w:p>
      <w:pPr>
        <w:pStyle w:val="12"/>
        <w:pBdr>
          <w:bottom w:val="none" w:color="auto" w:sz="0" w:space="0"/>
        </w:pBdr>
        <w:rPr>
          <w:color w:val="auto"/>
        </w:rPr>
      </w:pPr>
    </w:p>
    <w:tbl>
      <w:tblPr>
        <w:tblStyle w:val="16"/>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2"/>
        <w:gridCol w:w="5708"/>
        <w:gridCol w:w="2309"/>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atLeast"/>
          <w:tblHeader/>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序号</w:t>
            </w:r>
          </w:p>
        </w:tc>
        <w:tc>
          <w:tcPr>
            <w:tcW w:w="5708"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资格审查内容</w:t>
            </w:r>
          </w:p>
        </w:tc>
        <w:tc>
          <w:tcPr>
            <w:tcW w:w="2309"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审查标准</w:t>
            </w:r>
          </w:p>
        </w:tc>
        <w:tc>
          <w:tcPr>
            <w:tcW w:w="728"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453"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1</w:t>
            </w:r>
          </w:p>
        </w:tc>
        <w:tc>
          <w:tcPr>
            <w:tcW w:w="5708" w:type="dxa"/>
            <w:vAlign w:val="center"/>
          </w:tcPr>
          <w:p>
            <w:pPr>
              <w:pStyle w:val="7"/>
              <w:rPr>
                <w:rFonts w:ascii="仿宋_GB2312" w:hAnsi="宋体" w:eastAsia="仿宋_GB2312"/>
                <w:b/>
                <w:color w:val="auto"/>
                <w:sz w:val="24"/>
              </w:rPr>
            </w:pPr>
            <w:r>
              <w:rPr>
                <w:rFonts w:hint="eastAsia" w:ascii="仿宋_GB2312" w:hAnsi="宋体" w:eastAsia="仿宋_GB2312"/>
                <w:b/>
                <w:color w:val="auto"/>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2.</w:t>
            </w:r>
            <w:bookmarkStart w:id="126" w:name="OLE_LINK10"/>
            <w:r>
              <w:rPr>
                <w:rFonts w:hint="eastAsia" w:ascii="仿宋_GB2312" w:hAnsi="宋体" w:eastAsia="仿宋_GB2312"/>
                <w:b/>
                <w:color w:val="auto"/>
                <w:sz w:val="24"/>
              </w:rPr>
              <w:t>如果投标人为自然人或其他组织，本项目资质证书符合有关法律法规要求（如身份证明文件或事业法人登记证复印件等）</w:t>
            </w:r>
            <w:bookmarkEnd w:id="126"/>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合法有效即可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730"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2</w:t>
            </w:r>
          </w:p>
        </w:tc>
        <w:tc>
          <w:tcPr>
            <w:tcW w:w="5708" w:type="dxa"/>
            <w:vAlign w:val="center"/>
          </w:tcPr>
          <w:p>
            <w:pPr>
              <w:pStyle w:val="9"/>
              <w:spacing w:line="500" w:lineRule="exact"/>
              <w:jc w:val="left"/>
              <w:outlineLvl w:val="0"/>
              <w:rPr>
                <w:rFonts w:ascii="仿宋_GB2312" w:hAnsi="宋体" w:eastAsia="仿宋_GB2312"/>
                <w:b/>
                <w:color w:val="auto"/>
                <w:sz w:val="24"/>
              </w:rPr>
            </w:pPr>
            <w:r>
              <w:rPr>
                <w:rFonts w:hint="eastAsia" w:ascii="仿宋_GB2312" w:hAnsi="仿宋_GB2312" w:eastAsia="仿宋_GB2312" w:cs="仿宋_GB2312"/>
                <w:b/>
                <w:color w:val="auto"/>
                <w:sz w:val="24"/>
                <w:szCs w:val="24"/>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合法有效即可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92"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3</w:t>
            </w:r>
          </w:p>
        </w:tc>
        <w:tc>
          <w:tcPr>
            <w:tcW w:w="5708" w:type="dxa"/>
            <w:vAlign w:val="center"/>
          </w:tcPr>
          <w:p>
            <w:pPr>
              <w:snapToGrid w:val="0"/>
              <w:rPr>
                <w:rFonts w:ascii="仿宋_GB2312" w:hAnsi="宋体" w:eastAsia="仿宋_GB2312"/>
                <w:b/>
                <w:color w:val="auto"/>
                <w:sz w:val="24"/>
              </w:rPr>
            </w:pPr>
            <w:r>
              <w:rPr>
                <w:rFonts w:hint="eastAsia" w:ascii="仿宋_GB2312" w:hAnsi="宋体" w:eastAsia="仿宋_GB2312"/>
                <w:b/>
                <w:color w:val="auto"/>
                <w:kern w:val="0"/>
                <w:sz w:val="24"/>
                <w:lang w:val="zh-CN"/>
              </w:rPr>
              <w:t>财务状况报告情况说明材料</w:t>
            </w:r>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合法有效即可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4</w:t>
            </w:r>
          </w:p>
        </w:tc>
        <w:tc>
          <w:tcPr>
            <w:tcW w:w="5708" w:type="dxa"/>
            <w:vAlign w:val="center"/>
          </w:tcPr>
          <w:p>
            <w:pPr>
              <w:spacing w:line="380" w:lineRule="exact"/>
              <w:jc w:val="left"/>
              <w:rPr>
                <w:rFonts w:ascii="仿宋_GB2312" w:hAnsi="仿宋_GB2312" w:eastAsia="仿宋_GB2312" w:cs="仿宋_GB2312"/>
                <w:b/>
                <w:color w:val="auto"/>
                <w:sz w:val="24"/>
                <w:szCs w:val="20"/>
              </w:rPr>
            </w:pPr>
            <w:r>
              <w:rPr>
                <w:rFonts w:hint="eastAsia" w:ascii="仿宋_GB2312" w:hAnsi="仿宋_GB2312" w:eastAsia="仿宋_GB2312" w:cs="仿宋_GB2312"/>
                <w:b/>
                <w:color w:val="auto"/>
                <w:sz w:val="24"/>
                <w:szCs w:val="20"/>
              </w:rPr>
              <w:t>依法（或依法不）缴纳税收的证明（说明）文件</w:t>
            </w:r>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合法有效即可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9"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5</w:t>
            </w:r>
          </w:p>
        </w:tc>
        <w:tc>
          <w:tcPr>
            <w:tcW w:w="5708" w:type="dxa"/>
            <w:vAlign w:val="center"/>
          </w:tcPr>
          <w:p>
            <w:pPr>
              <w:spacing w:line="380" w:lineRule="exact"/>
              <w:jc w:val="left"/>
              <w:rPr>
                <w:rFonts w:ascii="仿宋_GB2312" w:hAnsi="仿宋_GB2312" w:eastAsia="仿宋_GB2312" w:cs="仿宋_GB2312"/>
                <w:b/>
                <w:color w:val="auto"/>
                <w:sz w:val="24"/>
                <w:szCs w:val="20"/>
              </w:rPr>
            </w:pPr>
            <w:r>
              <w:rPr>
                <w:rFonts w:hint="eastAsia" w:ascii="仿宋_GB2312" w:hAnsi="仿宋_GB2312" w:eastAsia="仿宋_GB2312" w:cs="仿宋_GB2312"/>
                <w:b/>
                <w:color w:val="auto"/>
                <w:sz w:val="24"/>
                <w:szCs w:val="20"/>
              </w:rPr>
              <w:t>依法（或依法不）缴纳社会保障资金的证明（说明）文件</w:t>
            </w:r>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合法有效即可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72"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6</w:t>
            </w:r>
          </w:p>
        </w:tc>
        <w:tc>
          <w:tcPr>
            <w:tcW w:w="5708" w:type="dxa"/>
            <w:vAlign w:val="center"/>
          </w:tcPr>
          <w:p>
            <w:pPr>
              <w:tabs>
                <w:tab w:val="left" w:pos="425"/>
              </w:tabs>
              <w:rPr>
                <w:rFonts w:ascii="仿宋_GB2312" w:hAnsi="仿宋_GB2312" w:eastAsia="仿宋_GB2312"/>
                <w:b/>
                <w:color w:val="auto"/>
                <w:sz w:val="24"/>
              </w:rPr>
            </w:pPr>
            <w:r>
              <w:rPr>
                <w:rFonts w:hint="eastAsia" w:ascii="仿宋_GB2312" w:hAnsi="仿宋_GB2312" w:eastAsia="仿宋_GB2312"/>
                <w:b/>
                <w:color w:val="auto"/>
                <w:sz w:val="24"/>
              </w:rPr>
              <w:t>无重大违法记录声明</w:t>
            </w:r>
          </w:p>
        </w:tc>
        <w:tc>
          <w:tcPr>
            <w:tcW w:w="2309" w:type="dxa"/>
          </w:tcPr>
          <w:p>
            <w:pPr>
              <w:rPr>
                <w:b/>
                <w:color w:val="auto"/>
                <w:sz w:val="24"/>
              </w:rPr>
            </w:pPr>
            <w:r>
              <w:rPr>
                <w:rFonts w:hint="eastAsia" w:ascii="仿宋_GB2312" w:hAnsi="宋体" w:eastAsia="仿宋_GB2312"/>
                <w:b/>
                <w:color w:val="auto"/>
                <w:sz w:val="24"/>
              </w:rPr>
              <w:t>合法有效即可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64"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7</w:t>
            </w:r>
          </w:p>
        </w:tc>
        <w:tc>
          <w:tcPr>
            <w:tcW w:w="5708" w:type="dxa"/>
            <w:vAlign w:val="center"/>
          </w:tcPr>
          <w:p>
            <w:pPr>
              <w:spacing w:line="380" w:lineRule="exact"/>
              <w:jc w:val="left"/>
              <w:rPr>
                <w:rFonts w:ascii="仿宋_GB2312" w:hAnsi="仿宋_GB2312" w:eastAsia="仿宋_GB2312"/>
                <w:b/>
                <w:color w:val="auto"/>
                <w:sz w:val="24"/>
              </w:rPr>
            </w:pPr>
            <w:r>
              <w:rPr>
                <w:rFonts w:hint="eastAsia" w:ascii="仿宋_GB2312" w:hAnsi="宋体" w:eastAsia="仿宋_GB2312"/>
                <w:b/>
                <w:color w:val="auto"/>
                <w:sz w:val="24"/>
              </w:rPr>
              <w:t>是否按采购文件要求缴交投标保证金</w:t>
            </w:r>
          </w:p>
        </w:tc>
        <w:tc>
          <w:tcPr>
            <w:tcW w:w="2309" w:type="dxa"/>
            <w:vAlign w:val="center"/>
          </w:tcPr>
          <w:p>
            <w:pPr>
              <w:widowControl/>
              <w:numPr>
                <w:ilvl w:val="0"/>
                <w:numId w:val="4"/>
              </w:numPr>
              <w:snapToGrid w:val="0"/>
              <w:jc w:val="left"/>
              <w:rPr>
                <w:rFonts w:ascii="仿宋_GB2312" w:hAnsi="宋体" w:eastAsia="仿宋_GB2312"/>
                <w:b/>
                <w:color w:val="auto"/>
                <w:sz w:val="24"/>
              </w:rPr>
            </w:pPr>
            <w:r>
              <w:rPr>
                <w:rFonts w:hint="eastAsia" w:ascii="仿宋_GB2312" w:hAnsi="宋体" w:eastAsia="仿宋_GB2312"/>
                <w:b/>
                <w:color w:val="auto"/>
                <w:sz w:val="24"/>
              </w:rPr>
              <w:t>合法有效</w:t>
            </w:r>
          </w:p>
          <w:p>
            <w:pPr>
              <w:widowControl/>
              <w:numPr>
                <w:ilvl w:val="0"/>
                <w:numId w:val="4"/>
              </w:numPr>
              <w:snapToGrid w:val="0"/>
              <w:jc w:val="left"/>
              <w:rPr>
                <w:rFonts w:ascii="仿宋_GB2312" w:hAnsi="宋体" w:eastAsia="仿宋_GB2312"/>
                <w:b/>
                <w:color w:val="auto"/>
                <w:sz w:val="24"/>
              </w:rPr>
            </w:pPr>
            <w:r>
              <w:rPr>
                <w:rFonts w:hint="eastAsia" w:ascii="仿宋_GB2312" w:hAnsi="宋体" w:eastAsia="仿宋_GB2312"/>
                <w:b/>
                <w:color w:val="auto"/>
                <w:sz w:val="24"/>
              </w:rPr>
              <w:t>足额、按时</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8</w:t>
            </w:r>
          </w:p>
        </w:tc>
        <w:tc>
          <w:tcPr>
            <w:tcW w:w="5708"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交纳投标保证金及参与投标的单位名称</w:t>
            </w:r>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一致</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772"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9</w:t>
            </w:r>
          </w:p>
        </w:tc>
        <w:tc>
          <w:tcPr>
            <w:tcW w:w="5708"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本项目不接受联合体投标</w:t>
            </w:r>
          </w:p>
        </w:tc>
        <w:tc>
          <w:tcPr>
            <w:tcW w:w="2309" w:type="dxa"/>
            <w:vAlign w:val="center"/>
          </w:tcPr>
          <w:p>
            <w:pPr>
              <w:spacing w:line="380" w:lineRule="exact"/>
              <w:jc w:val="left"/>
              <w:rPr>
                <w:rFonts w:ascii="仿宋_GB2312" w:hAnsi="宋体" w:eastAsia="仿宋_GB2312"/>
                <w:b/>
                <w:color w:val="auto"/>
                <w:sz w:val="24"/>
              </w:rPr>
            </w:pPr>
            <w:r>
              <w:rPr>
                <w:rFonts w:hint="eastAsia" w:ascii="仿宋_GB2312" w:hAnsi="宋体" w:eastAsia="仿宋_GB2312"/>
                <w:b/>
                <w:color w:val="auto"/>
                <w:sz w:val="24"/>
              </w:rPr>
              <w:t>符合采购文件要求即可</w:t>
            </w:r>
          </w:p>
        </w:tc>
        <w:tc>
          <w:tcPr>
            <w:tcW w:w="728" w:type="dxa"/>
            <w:vAlign w:val="center"/>
          </w:tcPr>
          <w:p>
            <w:pPr>
              <w:spacing w:line="380" w:lineRule="exact"/>
              <w:ind w:firstLine="420" w:firstLineChars="200"/>
              <w:rPr>
                <w:rFonts w:ascii="华文仿宋" w:hAnsi="华文仿宋" w:eastAsia="华文仿宋" w:cs="华文仿宋"/>
                <w:color w:val="auto"/>
                <w:kern w:val="0"/>
                <w:szCs w:val="21"/>
              </w:rPr>
            </w:pPr>
          </w:p>
        </w:tc>
      </w:tr>
    </w:tbl>
    <w:p>
      <w:pPr>
        <w:spacing w:line="500" w:lineRule="exact"/>
        <w:rPr>
          <w:rFonts w:hint="eastAsia" w:ascii="仿宋_GB2312" w:hAnsi="宋体" w:eastAsia="仿宋_GB2312"/>
          <w:b/>
          <w:bCs/>
          <w:color w:val="auto"/>
          <w:sz w:val="24"/>
        </w:rPr>
      </w:pPr>
      <w:bookmarkStart w:id="127" w:name="_Toc246826117"/>
    </w:p>
    <w:p>
      <w:pPr>
        <w:spacing w:line="500" w:lineRule="exact"/>
        <w:rPr>
          <w:rFonts w:hint="eastAsia" w:ascii="仿宋_GB2312" w:hAnsi="宋体" w:eastAsia="仿宋_GB2312"/>
          <w:b/>
          <w:bCs/>
          <w:color w:val="auto"/>
          <w:sz w:val="24"/>
        </w:rPr>
      </w:pPr>
    </w:p>
    <w:p>
      <w:pPr>
        <w:spacing w:line="500" w:lineRule="exact"/>
        <w:rPr>
          <w:rFonts w:hint="eastAsia" w:ascii="仿宋_GB2312" w:hAnsi="宋体" w:eastAsia="仿宋_GB2312"/>
          <w:b/>
          <w:bCs/>
          <w:color w:val="auto"/>
          <w:sz w:val="24"/>
        </w:rPr>
      </w:pPr>
    </w:p>
    <w:p>
      <w:pPr>
        <w:spacing w:line="500" w:lineRule="exact"/>
        <w:rPr>
          <w:rFonts w:hint="eastAsia" w:ascii="仿宋_GB2312" w:hAnsi="宋体" w:eastAsia="仿宋_GB2312"/>
          <w:b/>
          <w:bCs/>
          <w:color w:val="auto"/>
          <w:sz w:val="24"/>
        </w:rPr>
      </w:pPr>
    </w:p>
    <w:p>
      <w:pPr>
        <w:spacing w:line="500" w:lineRule="exact"/>
        <w:rPr>
          <w:rFonts w:hint="eastAsia" w:ascii="仿宋_GB2312" w:hAnsi="宋体" w:eastAsia="仿宋_GB2312"/>
          <w:b/>
          <w:bCs/>
          <w:color w:val="auto"/>
          <w:sz w:val="24"/>
        </w:rPr>
      </w:pPr>
    </w:p>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二、符合性审查表</w:t>
      </w:r>
      <w:r>
        <w:rPr>
          <w:rFonts w:hint="eastAsia" w:ascii="仿宋_GB2312" w:hAnsi="宋体" w:eastAsia="仿宋_GB2312"/>
          <w:b/>
          <w:color w:val="auto"/>
          <w:sz w:val="24"/>
        </w:rPr>
        <w:t>（由评标委员会负责</w:t>
      </w:r>
      <w:r>
        <w:rPr>
          <w:rFonts w:ascii="仿宋_GB2312" w:hAnsi="宋体" w:eastAsia="仿宋_GB2312"/>
          <w:b/>
          <w:color w:val="auto"/>
          <w:sz w:val="24"/>
        </w:rPr>
        <w:t>）</w:t>
      </w:r>
    </w:p>
    <w:tbl>
      <w:tblPr>
        <w:tblStyle w:val="16"/>
        <w:tblpPr w:leftFromText="180" w:rightFromText="180" w:vertAnchor="text" w:tblpX="-111" w:tblpY="1"/>
        <w:tblOverlap w:val="never"/>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57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blHeader/>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序号</w:t>
            </w:r>
          </w:p>
        </w:tc>
        <w:tc>
          <w:tcPr>
            <w:tcW w:w="5514"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审查内容</w:t>
            </w:r>
          </w:p>
        </w:tc>
        <w:tc>
          <w:tcPr>
            <w:tcW w:w="2572"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审查标准</w:t>
            </w:r>
          </w:p>
        </w:tc>
        <w:tc>
          <w:tcPr>
            <w:tcW w:w="1157" w:type="dxa"/>
            <w:vAlign w:val="center"/>
          </w:tcPr>
          <w:p>
            <w:pPr>
              <w:spacing w:line="380" w:lineRule="exact"/>
              <w:jc w:val="center"/>
              <w:rPr>
                <w:rFonts w:ascii="仿宋_GB2312" w:hAnsi="宋体" w:eastAsia="仿宋_GB2312"/>
                <w:b/>
                <w:color w:val="auto"/>
                <w:sz w:val="24"/>
              </w:rPr>
            </w:pPr>
            <w:r>
              <w:rPr>
                <w:rFonts w:hint="eastAsia" w:ascii="仿宋_GB2312" w:hAnsi="宋体" w:eastAsia="仿宋_GB2312"/>
                <w:b/>
                <w:color w:val="auto"/>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9"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1</w:t>
            </w:r>
          </w:p>
        </w:tc>
        <w:tc>
          <w:tcPr>
            <w:tcW w:w="5514"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投标声明函</w:t>
            </w:r>
          </w:p>
        </w:tc>
        <w:tc>
          <w:tcPr>
            <w:tcW w:w="2572"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符合采购文件要求</w:t>
            </w:r>
          </w:p>
        </w:tc>
        <w:tc>
          <w:tcPr>
            <w:tcW w:w="1157" w:type="dxa"/>
            <w:vAlign w:val="center"/>
          </w:tcPr>
          <w:p>
            <w:pPr>
              <w:spacing w:line="380" w:lineRule="exact"/>
              <w:jc w:val="center"/>
              <w:rPr>
                <w:rFonts w:ascii="仿宋_GB2312" w:hAnsi="宋体"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69"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2</w:t>
            </w:r>
          </w:p>
        </w:tc>
        <w:tc>
          <w:tcPr>
            <w:tcW w:w="5514"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法定代表人身份证明书（提供法定代表身份证复印件，非中国国籍的则提供护照复印件）</w:t>
            </w:r>
          </w:p>
        </w:tc>
        <w:tc>
          <w:tcPr>
            <w:tcW w:w="2572"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合法有效即可</w:t>
            </w: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42"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3</w:t>
            </w:r>
          </w:p>
        </w:tc>
        <w:tc>
          <w:tcPr>
            <w:tcW w:w="5514"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法定代表人授权委托书</w:t>
            </w:r>
          </w:p>
        </w:tc>
        <w:tc>
          <w:tcPr>
            <w:tcW w:w="2572"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合法有效即可</w:t>
            </w: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2"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4</w:t>
            </w:r>
          </w:p>
        </w:tc>
        <w:tc>
          <w:tcPr>
            <w:tcW w:w="5514"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投标总价</w:t>
            </w:r>
          </w:p>
        </w:tc>
        <w:tc>
          <w:tcPr>
            <w:tcW w:w="2572" w:type="dxa"/>
            <w:vAlign w:val="center"/>
          </w:tcPr>
          <w:p>
            <w:pPr>
              <w:pStyle w:val="7"/>
              <w:rPr>
                <w:rFonts w:ascii="仿宋_GB2312" w:hAnsi="宋体" w:eastAsia="仿宋_GB2312"/>
                <w:b/>
                <w:bCs/>
                <w:color w:val="auto"/>
                <w:sz w:val="24"/>
              </w:rPr>
            </w:pPr>
            <w:r>
              <w:rPr>
                <w:rFonts w:hint="eastAsia" w:ascii="仿宋_GB2312" w:hAnsi="宋体" w:eastAsia="仿宋_GB2312"/>
                <w:b/>
                <w:bCs/>
                <w:color w:val="auto"/>
                <w:sz w:val="24"/>
              </w:rPr>
              <w:t>唯一且未超过预算金额</w:t>
            </w:r>
          </w:p>
          <w:p>
            <w:pPr>
              <w:spacing w:line="500" w:lineRule="exact"/>
              <w:rPr>
                <w:rFonts w:ascii="仿宋_GB2312" w:hAnsi="宋体" w:eastAsia="仿宋_GB2312"/>
                <w:b/>
                <w:bCs/>
                <w:color w:val="auto"/>
                <w:sz w:val="24"/>
              </w:rPr>
            </w:pP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43"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5</w:t>
            </w:r>
          </w:p>
        </w:tc>
        <w:tc>
          <w:tcPr>
            <w:tcW w:w="5514" w:type="dxa"/>
            <w:vAlign w:val="center"/>
          </w:tcPr>
          <w:p>
            <w:pPr>
              <w:snapToGrid w:val="0"/>
              <w:spacing w:line="500" w:lineRule="exact"/>
              <w:rPr>
                <w:rFonts w:ascii="仿宋_GB2312" w:hAnsi="宋体" w:eastAsia="仿宋_GB2312"/>
                <w:b/>
                <w:bCs/>
                <w:color w:val="auto"/>
                <w:sz w:val="24"/>
              </w:rPr>
            </w:pPr>
            <w:r>
              <w:rPr>
                <w:rFonts w:hint="eastAsia" w:ascii="仿宋_GB2312" w:hAnsi="宋体" w:eastAsia="仿宋_GB2312"/>
                <w:b/>
                <w:bCs/>
                <w:color w:val="auto"/>
                <w:sz w:val="24"/>
              </w:rPr>
              <w:t>投标有效期</w:t>
            </w:r>
          </w:p>
        </w:tc>
        <w:tc>
          <w:tcPr>
            <w:tcW w:w="2572" w:type="dxa"/>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符合采购文件要求即可</w:t>
            </w: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8"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6</w:t>
            </w:r>
          </w:p>
        </w:tc>
        <w:tc>
          <w:tcPr>
            <w:tcW w:w="5514" w:type="dxa"/>
            <w:vAlign w:val="center"/>
          </w:tcPr>
          <w:p>
            <w:pPr>
              <w:snapToGrid w:val="0"/>
              <w:spacing w:line="500" w:lineRule="exact"/>
              <w:rPr>
                <w:rFonts w:ascii="仿宋_GB2312" w:hAnsi="宋体" w:eastAsia="仿宋_GB2312"/>
                <w:b/>
                <w:bCs/>
                <w:color w:val="auto"/>
                <w:sz w:val="24"/>
              </w:rPr>
            </w:pPr>
            <w:r>
              <w:rPr>
                <w:rFonts w:hint="eastAsia" w:ascii="仿宋_GB2312" w:hAnsi="宋体" w:eastAsia="仿宋_GB2312"/>
                <w:b/>
                <w:bCs/>
                <w:color w:val="auto"/>
                <w:sz w:val="24"/>
              </w:rPr>
              <w:t>付款方式的响应</w:t>
            </w:r>
          </w:p>
        </w:tc>
        <w:tc>
          <w:tcPr>
            <w:tcW w:w="2572" w:type="dxa"/>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符合采购文件要求即可</w:t>
            </w: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7"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7</w:t>
            </w:r>
          </w:p>
        </w:tc>
        <w:tc>
          <w:tcPr>
            <w:tcW w:w="5514" w:type="dxa"/>
            <w:vAlign w:val="center"/>
          </w:tcPr>
          <w:p>
            <w:pPr>
              <w:autoSpaceDE w:val="0"/>
              <w:autoSpaceDN w:val="0"/>
              <w:snapToGrid w:val="0"/>
              <w:spacing w:line="500" w:lineRule="exact"/>
              <w:rPr>
                <w:rFonts w:ascii="仿宋_GB2312" w:hAnsi="宋体" w:eastAsia="仿宋_GB2312"/>
                <w:b/>
                <w:bCs/>
                <w:color w:val="auto"/>
                <w:sz w:val="24"/>
              </w:rPr>
            </w:pPr>
            <w:r>
              <w:rPr>
                <w:rFonts w:hint="eastAsia" w:ascii="仿宋_GB2312" w:hAnsi="宋体" w:eastAsia="仿宋_GB2312"/>
                <w:b/>
                <w:bCs/>
                <w:color w:val="auto"/>
                <w:sz w:val="24"/>
              </w:rPr>
              <w:t>是否存在其他法律、法规规定无效投标的情形</w:t>
            </w:r>
          </w:p>
        </w:tc>
        <w:tc>
          <w:tcPr>
            <w:tcW w:w="2572" w:type="dxa"/>
            <w:vAlign w:val="center"/>
          </w:tcPr>
          <w:p>
            <w:pPr>
              <w:snapToGrid w:val="0"/>
              <w:spacing w:line="500" w:lineRule="exact"/>
              <w:rPr>
                <w:rFonts w:ascii="仿宋_GB2312" w:hAnsi="宋体" w:eastAsia="仿宋_GB2312"/>
                <w:b/>
                <w:bCs/>
                <w:color w:val="auto"/>
                <w:sz w:val="24"/>
              </w:rPr>
            </w:pPr>
            <w:r>
              <w:rPr>
                <w:rFonts w:hint="eastAsia" w:ascii="仿宋_GB2312" w:hAnsi="宋体" w:eastAsia="仿宋_GB2312"/>
                <w:b/>
                <w:bCs/>
                <w:color w:val="auto"/>
                <w:sz w:val="24"/>
              </w:rPr>
              <w:t>不存在</w:t>
            </w: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exact"/>
        </w:trPr>
        <w:tc>
          <w:tcPr>
            <w:tcW w:w="779" w:type="dxa"/>
            <w:vAlign w:val="center"/>
          </w:tcPr>
          <w:p>
            <w:pPr>
              <w:spacing w:line="500" w:lineRule="exact"/>
              <w:rPr>
                <w:rFonts w:ascii="仿宋_GB2312" w:hAnsi="宋体" w:eastAsia="仿宋_GB2312"/>
                <w:b/>
                <w:bCs/>
                <w:color w:val="auto"/>
                <w:sz w:val="24"/>
              </w:rPr>
            </w:pPr>
            <w:r>
              <w:rPr>
                <w:rFonts w:hint="eastAsia" w:ascii="仿宋_GB2312" w:hAnsi="宋体" w:eastAsia="仿宋_GB2312"/>
                <w:b/>
                <w:bCs/>
                <w:color w:val="auto"/>
                <w:sz w:val="24"/>
              </w:rPr>
              <w:t>8</w:t>
            </w:r>
          </w:p>
        </w:tc>
        <w:tc>
          <w:tcPr>
            <w:tcW w:w="5514" w:type="dxa"/>
            <w:vAlign w:val="center"/>
          </w:tcPr>
          <w:p>
            <w:pPr>
              <w:autoSpaceDE w:val="0"/>
              <w:autoSpaceDN w:val="0"/>
              <w:snapToGrid w:val="0"/>
              <w:spacing w:line="500" w:lineRule="exact"/>
              <w:rPr>
                <w:rFonts w:ascii="仿宋_GB2312" w:hAnsi="宋体" w:eastAsia="仿宋_GB2312"/>
                <w:b/>
                <w:bCs/>
                <w:color w:val="auto"/>
                <w:sz w:val="24"/>
              </w:rPr>
            </w:pPr>
            <w:r>
              <w:rPr>
                <w:rFonts w:hint="eastAsia" w:ascii="仿宋_GB2312" w:hAnsi="宋体" w:eastAsia="仿宋_GB2312"/>
                <w:b/>
                <w:bCs/>
                <w:color w:val="auto"/>
                <w:sz w:val="24"/>
              </w:rPr>
              <w:t>是否存在采购文件规定无效投标的其它情形</w:t>
            </w:r>
          </w:p>
        </w:tc>
        <w:tc>
          <w:tcPr>
            <w:tcW w:w="2572" w:type="dxa"/>
            <w:vAlign w:val="center"/>
          </w:tcPr>
          <w:p>
            <w:pPr>
              <w:snapToGrid w:val="0"/>
              <w:spacing w:line="500" w:lineRule="exact"/>
              <w:rPr>
                <w:rFonts w:ascii="仿宋_GB2312" w:hAnsi="宋体" w:eastAsia="仿宋_GB2312"/>
                <w:b/>
                <w:bCs/>
                <w:color w:val="auto"/>
                <w:sz w:val="24"/>
              </w:rPr>
            </w:pPr>
            <w:r>
              <w:rPr>
                <w:rFonts w:hint="eastAsia" w:ascii="仿宋_GB2312" w:hAnsi="宋体" w:eastAsia="仿宋_GB2312"/>
                <w:b/>
                <w:bCs/>
                <w:color w:val="auto"/>
                <w:sz w:val="24"/>
              </w:rPr>
              <w:t>不存在</w:t>
            </w:r>
          </w:p>
        </w:tc>
        <w:tc>
          <w:tcPr>
            <w:tcW w:w="1157" w:type="dxa"/>
            <w:vAlign w:val="center"/>
          </w:tcPr>
          <w:p>
            <w:pPr>
              <w:spacing w:line="380" w:lineRule="exact"/>
              <w:ind w:firstLine="420" w:firstLineChars="200"/>
              <w:rPr>
                <w:rFonts w:ascii="华文仿宋" w:hAnsi="华文仿宋" w:eastAsia="华文仿宋" w:cs="华文仿宋"/>
                <w:color w:val="auto"/>
                <w:kern w:val="0"/>
                <w:szCs w:val="21"/>
              </w:rPr>
            </w:pPr>
          </w:p>
        </w:tc>
      </w:tr>
    </w:tbl>
    <w:p>
      <w:pPr>
        <w:spacing w:line="460" w:lineRule="exact"/>
        <w:outlineLvl w:val="1"/>
        <w:rPr>
          <w:rFonts w:ascii="仿宋_GB2312" w:hAnsi="宋体" w:eastAsia="仿宋_GB2312"/>
          <w:b/>
          <w:bCs/>
          <w:color w:val="auto"/>
          <w:sz w:val="24"/>
        </w:rPr>
      </w:pPr>
    </w:p>
    <w:p>
      <w:pPr>
        <w:spacing w:line="460" w:lineRule="exact"/>
        <w:ind w:firstLine="561"/>
        <w:outlineLvl w:val="1"/>
        <w:rPr>
          <w:rFonts w:hint="eastAsia" w:ascii="仿宋_GB2312" w:hAnsi="宋体" w:eastAsia="仿宋_GB2312"/>
          <w:b/>
          <w:bCs/>
          <w:color w:val="auto"/>
          <w:sz w:val="24"/>
        </w:rPr>
      </w:pPr>
    </w:p>
    <w:p>
      <w:pPr>
        <w:spacing w:line="460" w:lineRule="exact"/>
        <w:ind w:firstLine="561"/>
        <w:outlineLvl w:val="1"/>
        <w:rPr>
          <w:rFonts w:hint="eastAsia" w:ascii="仿宋_GB2312" w:hAnsi="宋体" w:eastAsia="仿宋_GB2312"/>
          <w:b/>
          <w:bCs/>
          <w:color w:val="auto"/>
          <w:sz w:val="24"/>
        </w:rPr>
      </w:pPr>
    </w:p>
    <w:p>
      <w:pPr>
        <w:spacing w:line="460" w:lineRule="exact"/>
        <w:ind w:firstLine="561"/>
        <w:outlineLvl w:val="1"/>
        <w:rPr>
          <w:rFonts w:hint="eastAsia" w:ascii="仿宋_GB2312" w:hAnsi="宋体" w:eastAsia="仿宋_GB2312"/>
          <w:b/>
          <w:bCs/>
          <w:color w:val="auto"/>
          <w:sz w:val="24"/>
        </w:rPr>
      </w:pPr>
    </w:p>
    <w:p>
      <w:pPr>
        <w:spacing w:line="460" w:lineRule="exact"/>
        <w:ind w:firstLine="561"/>
        <w:outlineLvl w:val="1"/>
        <w:rPr>
          <w:rFonts w:hint="eastAsia" w:ascii="仿宋_GB2312" w:hAnsi="宋体" w:eastAsia="仿宋_GB2312"/>
          <w:b/>
          <w:bCs/>
          <w:color w:val="auto"/>
          <w:sz w:val="24"/>
        </w:rPr>
      </w:pP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bCs/>
          <w:color w:val="auto"/>
          <w:sz w:val="24"/>
        </w:rPr>
        <w:t>三、</w:t>
      </w:r>
      <w:bookmarkEnd w:id="127"/>
      <w:bookmarkStart w:id="128" w:name="_Toc29648"/>
      <w:r>
        <w:rPr>
          <w:rFonts w:hint="eastAsia" w:ascii="仿宋_GB2312" w:hAnsi="宋体" w:eastAsia="仿宋_GB2312"/>
          <w:b/>
          <w:color w:val="auto"/>
          <w:sz w:val="24"/>
        </w:rPr>
        <w:t>（一）评标方法及评审结果排列顺序规定如下。</w:t>
      </w:r>
    </w:p>
    <w:p>
      <w:pPr>
        <w:spacing w:line="360" w:lineRule="auto"/>
        <w:ind w:firstLine="482" w:firstLineChars="200"/>
        <w:rPr>
          <w:rFonts w:ascii="仿宋_GB2312" w:hAnsi="宋体" w:eastAsia="仿宋_GB2312"/>
          <w:b/>
          <w:color w:val="auto"/>
          <w:sz w:val="24"/>
        </w:rPr>
      </w:pPr>
      <w:r>
        <w:rPr>
          <w:rFonts w:hint="eastAsia" w:ascii="仿宋_GB2312" w:hAnsi="宋体" w:eastAsia="仿宋_GB2312"/>
          <w:b/>
          <w:color w:val="auto"/>
          <w:sz w:val="24"/>
        </w:rPr>
        <w:t>采用综合评分法的，按评审后得分由高到低顺序排列。得分相同的，按投标报价由低到高顺序排列；得分且投标报价相同的，按公共秩序维护方案评价得分高低排列；如以上情况不能确认评审结果排列顺序的，评标委员会可根据投标情况推荐评审结果排列顺序或予以授标建议。</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评标因素及分配</w:t>
      </w:r>
    </w:p>
    <w:tbl>
      <w:tblPr>
        <w:tblStyle w:val="16"/>
        <w:tblW w:w="93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384"/>
        <w:gridCol w:w="47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2157" w:type="dxa"/>
            <w:vAlign w:val="center"/>
          </w:tcPr>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评分项目</w:t>
            </w:r>
          </w:p>
        </w:tc>
        <w:tc>
          <w:tcPr>
            <w:tcW w:w="2384" w:type="dxa"/>
            <w:vAlign w:val="center"/>
          </w:tcPr>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投标报价</w:t>
            </w:r>
          </w:p>
        </w:tc>
        <w:tc>
          <w:tcPr>
            <w:tcW w:w="4770" w:type="dxa"/>
            <w:vAlign w:val="center"/>
          </w:tcPr>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 xml:space="preserve">    技术商务评分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vAlign w:val="center"/>
          </w:tcPr>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分值</w:t>
            </w:r>
          </w:p>
        </w:tc>
        <w:tc>
          <w:tcPr>
            <w:tcW w:w="2384" w:type="dxa"/>
            <w:vAlign w:val="center"/>
          </w:tcPr>
          <w:p>
            <w:pPr>
              <w:spacing w:line="460" w:lineRule="exact"/>
              <w:ind w:firstLine="884" w:firstLineChars="367"/>
              <w:outlineLvl w:val="1"/>
              <w:rPr>
                <w:rFonts w:ascii="仿宋_GB2312" w:hAnsi="宋体" w:eastAsia="仿宋_GB2312"/>
                <w:b/>
                <w:color w:val="auto"/>
                <w:sz w:val="24"/>
              </w:rPr>
            </w:pPr>
            <w:r>
              <w:rPr>
                <w:rFonts w:hint="eastAsia" w:ascii="仿宋_GB2312" w:hAnsi="宋体" w:eastAsia="仿宋_GB2312"/>
                <w:b/>
                <w:color w:val="auto"/>
                <w:sz w:val="24"/>
              </w:rPr>
              <w:t>10</w:t>
            </w:r>
          </w:p>
        </w:tc>
        <w:tc>
          <w:tcPr>
            <w:tcW w:w="4770" w:type="dxa"/>
            <w:vAlign w:val="center"/>
          </w:tcPr>
          <w:p>
            <w:pPr>
              <w:spacing w:line="460" w:lineRule="exact"/>
              <w:ind w:firstLine="1848" w:firstLineChars="767"/>
              <w:outlineLvl w:val="1"/>
              <w:rPr>
                <w:rFonts w:ascii="仿宋_GB2312" w:hAnsi="宋体" w:eastAsia="仿宋_GB2312"/>
                <w:b/>
                <w:color w:val="auto"/>
                <w:sz w:val="24"/>
              </w:rPr>
            </w:pPr>
            <w:r>
              <w:rPr>
                <w:rFonts w:hint="eastAsia" w:ascii="仿宋_GB2312" w:hAnsi="宋体" w:eastAsia="仿宋_GB2312"/>
                <w:b/>
                <w:color w:val="auto"/>
                <w:sz w:val="24"/>
              </w:rPr>
              <w:t>90</w:t>
            </w:r>
          </w:p>
        </w:tc>
      </w:tr>
    </w:tbl>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（二）投标报价的评审要求</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1.价格核准：评标委员会对符合性审查合格的投标人的投标报价明细进行复核，看其是否有计算错误，如有则按投标人须知有关规定修正或澄清。</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2.价格评审：</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综合评分法，价格分统一采用低价优先法计算，即满足招标文件要求（通过资格性审查和符合性审查）且评标价(指修正及价格扣除后的价格，下同)最低的为评标基准价，其价格分为满分。其他投标人的价格分统一按照下列公式计算：</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价格评分=（评标基准价／评标价）×价格分值</w:t>
      </w:r>
    </w:p>
    <w:p>
      <w:pPr>
        <w:pStyle w:val="7"/>
        <w:spacing w:before="156" w:beforeLines="50" w:after="156" w:afterLines="50" w:line="480" w:lineRule="auto"/>
        <w:ind w:left="210" w:leftChars="100" w:right="210" w:rightChars="100" w:firstLine="482" w:firstLineChars="200"/>
        <w:rPr>
          <w:rFonts w:ascii="仿宋_GB2312" w:hAnsi="宋体" w:eastAsia="仿宋_GB2312"/>
          <w:b/>
          <w:color w:val="auto"/>
          <w:sz w:val="24"/>
        </w:rPr>
      </w:pPr>
      <w:r>
        <w:rPr>
          <w:rFonts w:hint="eastAsia" w:ascii="仿宋_GB2312" w:hAnsi="宋体" w:eastAsia="仿宋_GB2312"/>
          <w:b/>
          <w:color w:val="auto"/>
          <w:sz w:val="24"/>
        </w:rPr>
        <w:t>3.</w:t>
      </w:r>
      <w:r>
        <w:rPr>
          <w:rFonts w:hint="eastAsia" w:ascii="仿宋_GB2312" w:hAnsi="宋体" w:eastAsia="仿宋_GB2312"/>
          <w:b/>
          <w:sz w:val="24"/>
        </w:rPr>
        <w:t>投标报价对符合规定的小型、微型企业、监狱企业和</w:t>
      </w:r>
      <w:r>
        <w:rPr>
          <w:rFonts w:ascii="仿宋_GB2312" w:hAnsi="宋体" w:eastAsia="仿宋_GB2312"/>
          <w:b/>
          <w:sz w:val="24"/>
        </w:rPr>
        <w:t>残疾人福利性单位</w:t>
      </w:r>
      <w:r>
        <w:rPr>
          <w:rFonts w:hint="eastAsia" w:ascii="仿宋_GB2312" w:hAnsi="宋体" w:eastAsia="仿宋_GB2312"/>
          <w:b/>
          <w:sz w:val="24"/>
        </w:rPr>
        <w:t>的价格给予扣除，用扣除后的价格参与评审。</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4.在评标过程中，不得去掉报价中的最高报价和最低报价。</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评标细则</w:t>
      </w:r>
      <w:bookmarkEnd w:id="128"/>
      <w:bookmarkStart w:id="129" w:name="_Toc246826118"/>
      <w:r>
        <w:rPr>
          <w:rFonts w:hint="eastAsia" w:ascii="仿宋_GB2312" w:hAnsi="宋体" w:eastAsia="仿宋_GB2312"/>
          <w:b/>
          <w:color w:val="auto"/>
          <w:sz w:val="24"/>
        </w:rPr>
        <w:t xml:space="preserve">    </w:t>
      </w:r>
    </w:p>
    <w:tbl>
      <w:tblPr>
        <w:tblStyle w:val="16"/>
        <w:tblW w:w="9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164"/>
        <w:gridCol w:w="594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序号</w:t>
            </w:r>
          </w:p>
        </w:tc>
        <w:tc>
          <w:tcPr>
            <w:tcW w:w="2164" w:type="dxa"/>
            <w:vAlign w:val="center"/>
          </w:tcPr>
          <w:p>
            <w:pPr>
              <w:spacing w:line="460" w:lineRule="exact"/>
              <w:ind w:firstLine="561"/>
              <w:outlineLvl w:val="1"/>
              <w:rPr>
                <w:rFonts w:ascii="仿宋_GB2312" w:hAnsi="宋体" w:eastAsia="仿宋_GB2312"/>
                <w:b/>
                <w:color w:val="auto"/>
                <w:sz w:val="24"/>
                <w:szCs w:val="22"/>
              </w:rPr>
            </w:pPr>
            <w:r>
              <w:rPr>
                <w:rFonts w:hint="eastAsia" w:ascii="仿宋_GB2312" w:hAnsi="宋体" w:eastAsia="仿宋_GB2312"/>
                <w:b/>
                <w:color w:val="auto"/>
                <w:sz w:val="24"/>
                <w:szCs w:val="22"/>
              </w:rPr>
              <w:t>评比项目</w:t>
            </w:r>
          </w:p>
        </w:tc>
        <w:tc>
          <w:tcPr>
            <w:tcW w:w="5940" w:type="dxa"/>
            <w:vAlign w:val="center"/>
          </w:tcPr>
          <w:p>
            <w:pPr>
              <w:spacing w:line="460" w:lineRule="exact"/>
              <w:ind w:firstLine="561"/>
              <w:outlineLvl w:val="1"/>
              <w:rPr>
                <w:rFonts w:ascii="仿宋_GB2312" w:hAnsi="宋体" w:eastAsia="仿宋_GB2312"/>
                <w:b/>
                <w:color w:val="auto"/>
                <w:sz w:val="24"/>
                <w:szCs w:val="22"/>
              </w:rPr>
            </w:pPr>
            <w:r>
              <w:rPr>
                <w:rFonts w:hint="eastAsia" w:ascii="仿宋_GB2312" w:hAnsi="宋体" w:eastAsia="仿宋_GB2312"/>
                <w:b/>
                <w:color w:val="auto"/>
                <w:sz w:val="24"/>
                <w:szCs w:val="22"/>
              </w:rPr>
              <w:t>评分标准</w:t>
            </w:r>
          </w:p>
        </w:tc>
        <w:tc>
          <w:tcPr>
            <w:tcW w:w="96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rPr>
              <w:t>1</w:t>
            </w:r>
          </w:p>
        </w:tc>
        <w:tc>
          <w:tcPr>
            <w:tcW w:w="2164"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rPr>
              <w:t>报价</w:t>
            </w:r>
          </w:p>
        </w:tc>
        <w:tc>
          <w:tcPr>
            <w:tcW w:w="594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rPr>
              <w:t>满足招标文件要求且投标价格最低的投标报价为评标基准价，其价格分为满分。其他投标人的价格分统一按照下列公式计算：投标报价得分=(评标基准价／投标报价)×价格分值×100，价格分值为10分。</w:t>
            </w:r>
          </w:p>
        </w:tc>
        <w:tc>
          <w:tcPr>
            <w:tcW w:w="96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2</w:t>
            </w:r>
          </w:p>
        </w:tc>
        <w:tc>
          <w:tcPr>
            <w:tcW w:w="2164"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rPr>
              <w:t>物业救援能力</w:t>
            </w:r>
          </w:p>
        </w:tc>
        <w:tc>
          <w:tcPr>
            <w:tcW w:w="594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拟投入的物业管理服务人员中持有救护</w:t>
            </w:r>
            <w:r>
              <w:rPr>
                <w:rFonts w:hint="eastAsia" w:ascii="仿宋_GB2312" w:hAnsi="宋体" w:eastAsia="仿宋_GB2312"/>
                <w:b/>
                <w:color w:val="auto"/>
                <w:sz w:val="24"/>
                <w:szCs w:val="22"/>
                <w:lang w:eastAsia="zh-CN"/>
              </w:rPr>
              <w:t>员培训</w:t>
            </w:r>
            <w:r>
              <w:rPr>
                <w:rFonts w:hint="eastAsia" w:ascii="仿宋_GB2312" w:hAnsi="宋体" w:eastAsia="仿宋_GB2312"/>
                <w:b/>
                <w:color w:val="auto"/>
                <w:sz w:val="24"/>
                <w:szCs w:val="22"/>
              </w:rPr>
              <w:t>证</w:t>
            </w:r>
            <w:r>
              <w:rPr>
                <w:rFonts w:hint="eastAsia" w:ascii="仿宋_GB2312" w:hAnsi="宋体" w:eastAsia="仿宋_GB2312"/>
                <w:b/>
                <w:color w:val="auto"/>
                <w:sz w:val="24"/>
                <w:szCs w:val="22"/>
                <w:lang w:eastAsia="zh-CN"/>
              </w:rPr>
              <w:t>书</w:t>
            </w:r>
            <w:r>
              <w:rPr>
                <w:rFonts w:hint="eastAsia" w:ascii="仿宋_GB2312" w:hAnsi="宋体" w:eastAsia="仿宋_GB2312"/>
                <w:b/>
                <w:color w:val="auto"/>
                <w:sz w:val="24"/>
                <w:szCs w:val="22"/>
              </w:rPr>
              <w:t>的，每 1 人得 0.5 分，满分 2分（提供合法有效的救护员证复印件</w:t>
            </w:r>
            <w:r>
              <w:rPr>
                <w:rFonts w:hint="eastAsia" w:ascii="仿宋_GB2312" w:hAnsi="宋体" w:eastAsia="仿宋_GB2312"/>
                <w:b/>
                <w:color w:val="auto"/>
                <w:sz w:val="24"/>
                <w:szCs w:val="22"/>
                <w:lang w:eastAsia="zh-CN"/>
              </w:rPr>
              <w:t>或急救</w:t>
            </w:r>
            <w:r>
              <w:rPr>
                <w:rFonts w:hint="eastAsia" w:ascii="仿宋_GB2312" w:hAnsi="宋体" w:eastAsia="仿宋_GB2312"/>
                <w:b/>
                <w:color w:val="auto"/>
                <w:sz w:val="24"/>
                <w:szCs w:val="22"/>
              </w:rPr>
              <w:t>培训机构出具的书面证明复印件加盖公章）。</w:t>
            </w:r>
          </w:p>
        </w:tc>
        <w:tc>
          <w:tcPr>
            <w:tcW w:w="96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3</w:t>
            </w:r>
          </w:p>
        </w:tc>
        <w:tc>
          <w:tcPr>
            <w:tcW w:w="2164"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人员资质评价</w:t>
            </w:r>
          </w:p>
        </w:tc>
        <w:tc>
          <w:tcPr>
            <w:tcW w:w="594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1、拟投入物业</w:t>
            </w:r>
            <w:r>
              <w:rPr>
                <w:rFonts w:hint="eastAsia" w:ascii="仿宋_GB2312" w:hAnsi="宋体" w:eastAsia="仿宋_GB2312"/>
                <w:b/>
                <w:color w:val="auto"/>
                <w:sz w:val="24"/>
                <w:szCs w:val="22"/>
                <w:lang w:eastAsia="zh-CN"/>
              </w:rPr>
              <w:t>经理</w:t>
            </w:r>
            <w:r>
              <w:rPr>
                <w:rFonts w:hint="eastAsia" w:ascii="仿宋_GB2312" w:hAnsi="宋体" w:eastAsia="仿宋_GB2312"/>
                <w:b/>
                <w:color w:val="auto"/>
                <w:sz w:val="24"/>
                <w:szCs w:val="22"/>
              </w:rPr>
              <w:t>：</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（1）具有公安部消防局颁发的消防设施操作员（三级/高级工）证书得3分；</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（2）2016年至今被政府部门评为安全生产先进工作者得3分；</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（3）具有人力资源和社会保障厅颁发的保安员（二级/技师）职业资格证书得3分；</w:t>
            </w:r>
          </w:p>
          <w:p>
            <w:pPr>
              <w:spacing w:line="460" w:lineRule="exact"/>
              <w:ind w:firstLine="561"/>
              <w:outlineLvl w:val="1"/>
              <w:rPr>
                <w:rFonts w:ascii="仿宋_GB2312" w:hAnsi="宋体" w:eastAsia="仿宋_GB2312"/>
                <w:b/>
                <w:color w:val="auto"/>
                <w:sz w:val="24"/>
                <w:szCs w:val="22"/>
              </w:rPr>
            </w:pPr>
            <w:r>
              <w:rPr>
                <w:rFonts w:hint="eastAsia" w:ascii="仿宋_GB2312" w:hAnsi="宋体" w:eastAsia="仿宋_GB2312"/>
                <w:b/>
                <w:color w:val="auto"/>
                <w:sz w:val="24"/>
                <w:szCs w:val="22"/>
              </w:rPr>
              <w:t>本小项最高得9分。</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2、拟投入秩序维护人员具有建（构）筑物消防员证书每提供一个得1分，满分3分；消防设施操作员四级</w:t>
            </w:r>
            <w:r>
              <w:rPr>
                <w:rFonts w:hint="eastAsia" w:ascii="仿宋_GB2312" w:hAnsi="宋体" w:eastAsia="仿宋_GB2312"/>
                <w:b/>
                <w:color w:val="auto"/>
                <w:sz w:val="24"/>
                <w:szCs w:val="22"/>
                <w:lang w:eastAsia="zh-CN"/>
              </w:rPr>
              <w:t>或</w:t>
            </w:r>
            <w:r>
              <w:rPr>
                <w:rFonts w:hint="eastAsia" w:ascii="仿宋_GB2312" w:hAnsi="宋体" w:eastAsia="仿宋_GB2312"/>
                <w:b/>
                <w:color w:val="auto"/>
                <w:sz w:val="24"/>
                <w:szCs w:val="22"/>
              </w:rPr>
              <w:t>以上证书得2分；本小项满分5分。</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3、拟投入电工人员具有电工作业证的得0.5分，满分1分，不提供不得分。</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4、拟投入秩序维护人员队长具有人力资源和社会保障厅颁发的保安员（二级/技师）职业资格证书得3分；满分3分，不提供不得分。</w:t>
            </w:r>
          </w:p>
          <w:p>
            <w:pPr>
              <w:spacing w:line="460" w:lineRule="exact"/>
              <w:ind w:firstLine="561"/>
              <w:outlineLvl w:val="1"/>
              <w:rPr>
                <w:rFonts w:ascii="仿宋_GB2312" w:hAnsi="宋体" w:eastAsia="仿宋_GB2312"/>
                <w:b/>
                <w:color w:val="auto"/>
                <w:sz w:val="24"/>
                <w:szCs w:val="22"/>
              </w:rPr>
            </w:pPr>
            <w:r>
              <w:rPr>
                <w:rFonts w:hint="eastAsia" w:ascii="仿宋_GB2312" w:hAnsi="宋体" w:eastAsia="仿宋_GB2312"/>
                <w:b/>
                <w:color w:val="auto"/>
                <w:sz w:val="24"/>
                <w:szCs w:val="22"/>
              </w:rPr>
              <w:t>注：1.提供上述人员的资格证书复印件加盖公章，不提供不得分。</w:t>
            </w:r>
          </w:p>
        </w:tc>
        <w:tc>
          <w:tcPr>
            <w:tcW w:w="96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4</w:t>
            </w:r>
          </w:p>
        </w:tc>
        <w:tc>
          <w:tcPr>
            <w:tcW w:w="2164"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物业服务经验</w:t>
            </w:r>
            <w:r>
              <w:rPr>
                <w:rFonts w:hint="eastAsia" w:ascii="仿宋_GB2312" w:hAnsi="宋体" w:eastAsia="仿宋_GB2312"/>
                <w:b/>
                <w:color w:val="auto"/>
                <w:sz w:val="24"/>
                <w:szCs w:val="22"/>
                <w:lang w:eastAsia="zh-CN"/>
              </w:rPr>
              <w:t>业绩</w:t>
            </w:r>
          </w:p>
        </w:tc>
        <w:tc>
          <w:tcPr>
            <w:tcW w:w="594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具有</w:t>
            </w:r>
            <w:r>
              <w:rPr>
                <w:rFonts w:hint="eastAsia" w:ascii="仿宋_GB2312" w:hAnsi="宋体" w:eastAsia="仿宋_GB2312"/>
                <w:b/>
                <w:color w:val="auto"/>
                <w:sz w:val="24"/>
                <w:szCs w:val="22"/>
                <w:lang w:eastAsia="zh-CN"/>
              </w:rPr>
              <w:t>类似类型</w:t>
            </w:r>
            <w:r>
              <w:rPr>
                <w:rFonts w:hint="eastAsia" w:ascii="仿宋_GB2312" w:hAnsi="宋体" w:eastAsia="仿宋_GB2312"/>
                <w:b/>
                <w:color w:val="auto"/>
                <w:sz w:val="24"/>
                <w:szCs w:val="22"/>
              </w:rPr>
              <w:t>物业服务业绩的，每提供一项得1分；本项满分15分。（须提供物业服务合同复印件，不提供不得分）。</w:t>
            </w:r>
          </w:p>
        </w:tc>
        <w:tc>
          <w:tcPr>
            <w:tcW w:w="96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5</w:t>
            </w:r>
          </w:p>
        </w:tc>
        <w:tc>
          <w:tcPr>
            <w:tcW w:w="2164"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企业信誉</w:t>
            </w:r>
          </w:p>
        </w:tc>
        <w:tc>
          <w:tcPr>
            <w:tcW w:w="5940"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1、投标人获得政府部门颁发的“全国文明城市”“国家卫生城市”工作先进单位的得</w:t>
            </w:r>
            <w:r>
              <w:rPr>
                <w:rFonts w:hint="eastAsia" w:ascii="仿宋_GB2312" w:hAnsi="宋体" w:eastAsia="仿宋_GB2312"/>
                <w:b/>
                <w:color w:val="auto"/>
                <w:sz w:val="24"/>
                <w:szCs w:val="22"/>
                <w:lang w:val="en-US" w:eastAsia="zh-CN"/>
              </w:rPr>
              <w:t>5</w:t>
            </w:r>
            <w:r>
              <w:rPr>
                <w:rFonts w:hint="eastAsia" w:ascii="仿宋_GB2312" w:hAnsi="宋体" w:eastAsia="仿宋_GB2312"/>
                <w:b/>
                <w:color w:val="auto"/>
                <w:sz w:val="24"/>
                <w:szCs w:val="22"/>
              </w:rPr>
              <w:t>分，不提供不得分。 （提供相关复印件及相关证明材料）。</w:t>
            </w:r>
          </w:p>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2、投标人获得政府部门指导的</w:t>
            </w:r>
            <w:r>
              <w:rPr>
                <w:rFonts w:ascii="仿宋_GB2312" w:hAnsi="宋体" w:eastAsia="仿宋_GB2312"/>
                <w:b/>
                <w:color w:val="auto"/>
                <w:sz w:val="24"/>
                <w:szCs w:val="22"/>
              </w:rPr>
              <w:t>诚信先进企业或诚信示范企业的</w:t>
            </w:r>
            <w:r>
              <w:rPr>
                <w:rFonts w:hint="eastAsia" w:ascii="仿宋_GB2312" w:hAnsi="宋体" w:eastAsia="仿宋_GB2312"/>
                <w:b/>
                <w:color w:val="auto"/>
                <w:sz w:val="24"/>
                <w:szCs w:val="22"/>
              </w:rPr>
              <w:t>的得</w:t>
            </w:r>
            <w:r>
              <w:rPr>
                <w:rFonts w:hint="eastAsia" w:ascii="仿宋_GB2312" w:hAnsi="宋体" w:eastAsia="仿宋_GB2312"/>
                <w:b/>
                <w:color w:val="auto"/>
                <w:sz w:val="24"/>
                <w:szCs w:val="22"/>
                <w:lang w:val="en-US" w:eastAsia="zh-CN"/>
              </w:rPr>
              <w:t>5</w:t>
            </w:r>
            <w:r>
              <w:rPr>
                <w:rFonts w:hint="eastAsia" w:ascii="仿宋_GB2312" w:hAnsi="宋体" w:eastAsia="仿宋_GB2312"/>
                <w:b/>
                <w:color w:val="auto"/>
                <w:sz w:val="24"/>
                <w:szCs w:val="22"/>
              </w:rPr>
              <w:t>分，提供信用中国网</w:t>
            </w:r>
            <w:r>
              <w:rPr>
                <w:rFonts w:ascii="仿宋_GB2312" w:hAnsi="宋体" w:eastAsia="仿宋_GB2312"/>
                <w:b/>
                <w:color w:val="auto"/>
                <w:sz w:val="24"/>
                <w:szCs w:val="22"/>
              </w:rPr>
              <w:t>站的查询网页截图</w:t>
            </w:r>
            <w:r>
              <w:rPr>
                <w:rFonts w:hint="eastAsia" w:ascii="仿宋_GB2312" w:hAnsi="宋体" w:eastAsia="仿宋_GB2312"/>
                <w:b/>
                <w:color w:val="auto"/>
                <w:sz w:val="24"/>
                <w:szCs w:val="22"/>
              </w:rPr>
              <w:t>，不提供不得分。</w:t>
            </w:r>
          </w:p>
        </w:tc>
        <w:tc>
          <w:tcPr>
            <w:tcW w:w="960" w:type="dxa"/>
            <w:vAlign w:val="center"/>
          </w:tcPr>
          <w:p>
            <w:pPr>
              <w:spacing w:line="460" w:lineRule="exact"/>
              <w:outlineLvl w:val="1"/>
              <w:rPr>
                <w:rFonts w:hint="default" w:ascii="仿宋_GB2312" w:hAnsi="宋体" w:eastAsia="仿宋_GB2312"/>
                <w:b/>
                <w:color w:val="auto"/>
                <w:sz w:val="24"/>
                <w:szCs w:val="22"/>
                <w:lang w:val="en-US" w:eastAsia="zh-CN"/>
              </w:rPr>
            </w:pPr>
            <w:r>
              <w:rPr>
                <w:rFonts w:hint="eastAsia" w:ascii="仿宋_GB2312" w:hAnsi="宋体" w:eastAsia="仿宋_GB2312"/>
                <w:b/>
                <w:color w:val="auto"/>
                <w:sz w:val="24"/>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6</w:t>
            </w:r>
          </w:p>
        </w:tc>
        <w:tc>
          <w:tcPr>
            <w:tcW w:w="2164" w:type="dxa"/>
            <w:vAlign w:val="center"/>
          </w:tcPr>
          <w:p>
            <w:pPr>
              <w:spacing w:line="460" w:lineRule="exact"/>
              <w:outlineLvl w:val="1"/>
              <w:rPr>
                <w:rFonts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rPr>
              <w:t>管理体系认证</w:t>
            </w:r>
          </w:p>
        </w:tc>
        <w:tc>
          <w:tcPr>
            <w:tcW w:w="5940" w:type="dxa"/>
            <w:vAlign w:val="center"/>
          </w:tcPr>
          <w:p>
            <w:pPr>
              <w:spacing w:line="460" w:lineRule="exact"/>
              <w:outlineLvl w:val="1"/>
              <w:rPr>
                <w:rFonts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rPr>
              <w:t>投标人具有ISO质量管理、环境管理、职业健康安全认证的得</w:t>
            </w:r>
            <w:r>
              <w:rPr>
                <w:rFonts w:hint="eastAsia" w:ascii="仿宋_GB2312" w:hAnsi="宋体" w:eastAsia="仿宋_GB2312"/>
                <w:b/>
                <w:color w:val="auto"/>
                <w:sz w:val="24"/>
                <w:szCs w:val="22"/>
                <w:lang w:val="en-US" w:eastAsia="zh-CN"/>
              </w:rPr>
              <w:t>6</w:t>
            </w:r>
            <w:r>
              <w:rPr>
                <w:rFonts w:hint="eastAsia" w:ascii="仿宋_GB2312" w:hAnsi="宋体" w:eastAsia="仿宋_GB2312"/>
                <w:b/>
                <w:color w:val="auto"/>
                <w:sz w:val="24"/>
                <w:szCs w:val="22"/>
              </w:rPr>
              <w:t>分，具有其中二个认证得</w:t>
            </w:r>
            <w:r>
              <w:rPr>
                <w:rFonts w:hint="eastAsia" w:ascii="仿宋_GB2312" w:hAnsi="宋体" w:eastAsia="仿宋_GB2312"/>
                <w:b/>
                <w:color w:val="auto"/>
                <w:sz w:val="24"/>
                <w:szCs w:val="22"/>
                <w:lang w:val="en-US" w:eastAsia="zh-CN"/>
              </w:rPr>
              <w:t>3</w:t>
            </w:r>
            <w:r>
              <w:rPr>
                <w:rFonts w:hint="eastAsia" w:ascii="仿宋_GB2312" w:hAnsi="宋体" w:eastAsia="仿宋_GB2312"/>
                <w:b/>
                <w:color w:val="auto"/>
                <w:sz w:val="24"/>
                <w:szCs w:val="22"/>
              </w:rPr>
              <w:t>分，具有其中一个认证得1分。（提供证明材料，不提供不得分）</w:t>
            </w:r>
          </w:p>
        </w:tc>
        <w:tc>
          <w:tcPr>
            <w:tcW w:w="960"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7</w:t>
            </w:r>
          </w:p>
        </w:tc>
        <w:tc>
          <w:tcPr>
            <w:tcW w:w="2164" w:type="dxa"/>
            <w:vAlign w:val="center"/>
          </w:tcPr>
          <w:p>
            <w:pPr>
              <w:spacing w:line="460" w:lineRule="exact"/>
              <w:outlineLvl w:val="1"/>
              <w:rPr>
                <w:rFonts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rPr>
              <w:t>物业服务整体设想及策划</w:t>
            </w:r>
          </w:p>
        </w:tc>
        <w:tc>
          <w:tcPr>
            <w:tcW w:w="5940" w:type="dxa"/>
            <w:vAlign w:val="center"/>
          </w:tcPr>
          <w:p>
            <w:pPr>
              <w:spacing w:line="460" w:lineRule="exact"/>
              <w:outlineLvl w:val="1"/>
              <w:rPr>
                <w:rFonts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rPr>
              <w:t>与第二章采购需求进行比较。方案最优的得</w:t>
            </w:r>
            <w:r>
              <w:rPr>
                <w:rFonts w:hint="eastAsia" w:ascii="仿宋_GB2312" w:hAnsi="宋体" w:eastAsia="仿宋_GB2312"/>
                <w:b/>
                <w:color w:val="auto"/>
                <w:sz w:val="24"/>
                <w:lang w:val="en-US" w:eastAsia="zh-CN"/>
              </w:rPr>
              <w:t>8</w:t>
            </w:r>
            <w:r>
              <w:rPr>
                <w:rFonts w:hint="eastAsia" w:ascii="仿宋_GB2312" w:hAnsi="宋体" w:eastAsia="仿宋_GB2312"/>
                <w:b/>
                <w:color w:val="auto"/>
                <w:sz w:val="24"/>
              </w:rPr>
              <w:t>分,其余的得</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分，方案差或不提供的不得分。</w:t>
            </w:r>
          </w:p>
        </w:tc>
        <w:tc>
          <w:tcPr>
            <w:tcW w:w="960"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rPr>
              <w:t>8</w:t>
            </w:r>
          </w:p>
        </w:tc>
        <w:tc>
          <w:tcPr>
            <w:tcW w:w="2164" w:type="dxa"/>
            <w:vAlign w:val="center"/>
          </w:tcPr>
          <w:p>
            <w:pPr>
              <w:spacing w:line="460" w:lineRule="exact"/>
              <w:outlineLvl w:val="1"/>
              <w:rPr>
                <w:rFonts w:ascii="仿宋_GB2312" w:hAnsi="宋体" w:eastAsia="仿宋_GB2312" w:cs="Times New Roman"/>
                <w:b/>
                <w:color w:val="auto"/>
                <w:kern w:val="2"/>
                <w:sz w:val="24"/>
                <w:szCs w:val="22"/>
                <w:lang w:val="en-US" w:eastAsia="zh-CN" w:bidi="ar-SA"/>
              </w:rPr>
            </w:pPr>
            <w:r>
              <w:rPr>
                <w:rFonts w:hint="eastAsia" w:ascii="仿宋_GB2312" w:hAnsi="宋体" w:eastAsia="仿宋_GB2312" w:cs="Times New Roman"/>
                <w:b/>
                <w:color w:val="auto"/>
                <w:sz w:val="24"/>
                <w:szCs w:val="22"/>
              </w:rPr>
              <w:t>设施设备维修养护</w:t>
            </w:r>
          </w:p>
        </w:tc>
        <w:tc>
          <w:tcPr>
            <w:tcW w:w="5940" w:type="dxa"/>
            <w:vAlign w:val="center"/>
          </w:tcPr>
          <w:p>
            <w:pPr>
              <w:spacing w:line="460" w:lineRule="exact"/>
              <w:outlineLvl w:val="1"/>
              <w:rPr>
                <w:rFonts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rPr>
              <w:t>与第二章采购需求进行比较。方案最优的得</w:t>
            </w:r>
            <w:r>
              <w:rPr>
                <w:rFonts w:hint="eastAsia" w:ascii="仿宋_GB2312" w:hAnsi="宋体" w:eastAsia="仿宋_GB2312"/>
                <w:b/>
                <w:color w:val="auto"/>
                <w:sz w:val="24"/>
                <w:lang w:val="en-US" w:eastAsia="zh-CN"/>
              </w:rPr>
              <w:t>8</w:t>
            </w:r>
            <w:r>
              <w:rPr>
                <w:rFonts w:hint="eastAsia" w:ascii="仿宋_GB2312" w:hAnsi="宋体" w:eastAsia="仿宋_GB2312"/>
                <w:b/>
                <w:color w:val="auto"/>
                <w:sz w:val="24"/>
              </w:rPr>
              <w:t>分,其余的得</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分，方案差或不提供的不得分。</w:t>
            </w:r>
          </w:p>
        </w:tc>
        <w:tc>
          <w:tcPr>
            <w:tcW w:w="960" w:type="dxa"/>
            <w:vAlign w:val="center"/>
          </w:tcPr>
          <w:p>
            <w:pPr>
              <w:spacing w:line="460" w:lineRule="exact"/>
              <w:outlineLvl w:val="1"/>
              <w:rPr>
                <w:rFonts w:hint="default"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36" w:type="dxa"/>
            <w:vAlign w:val="center"/>
          </w:tcPr>
          <w:p>
            <w:pPr>
              <w:spacing w:line="460" w:lineRule="exact"/>
              <w:outlineLvl w:val="1"/>
              <w:rPr>
                <w:rFonts w:ascii="仿宋_GB2312" w:hAnsi="宋体" w:eastAsia="仿宋_GB2312"/>
                <w:b/>
                <w:color w:val="auto"/>
                <w:sz w:val="24"/>
                <w:szCs w:val="22"/>
              </w:rPr>
            </w:pPr>
            <w:r>
              <w:rPr>
                <w:rFonts w:hint="eastAsia" w:ascii="仿宋_GB2312" w:hAnsi="宋体" w:eastAsia="仿宋_GB2312"/>
                <w:b/>
                <w:color w:val="auto"/>
                <w:sz w:val="24"/>
                <w:szCs w:val="22"/>
                <w:lang w:val="en-US" w:eastAsia="zh-CN"/>
              </w:rPr>
              <w:t>9</w:t>
            </w:r>
          </w:p>
        </w:tc>
        <w:tc>
          <w:tcPr>
            <w:tcW w:w="2164"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cs="Times New Roman"/>
                <w:b/>
                <w:color w:val="auto"/>
                <w:sz w:val="24"/>
                <w:szCs w:val="22"/>
                <w:lang w:val="en-US" w:eastAsia="zh-CN"/>
              </w:rPr>
              <w:t>公共秩序维护</w:t>
            </w:r>
          </w:p>
        </w:tc>
        <w:tc>
          <w:tcPr>
            <w:tcW w:w="5940"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rPr>
              <w:t>与第二章采购需求进行比较。方案最优的得</w:t>
            </w:r>
            <w:r>
              <w:rPr>
                <w:rFonts w:hint="eastAsia" w:ascii="仿宋_GB2312" w:hAnsi="宋体" w:eastAsia="仿宋_GB2312"/>
                <w:b/>
                <w:color w:val="auto"/>
                <w:sz w:val="24"/>
                <w:lang w:val="en-US" w:eastAsia="zh-CN"/>
              </w:rPr>
              <w:t>8</w:t>
            </w:r>
            <w:r>
              <w:rPr>
                <w:rFonts w:hint="eastAsia" w:ascii="仿宋_GB2312" w:hAnsi="宋体" w:eastAsia="仿宋_GB2312"/>
                <w:b/>
                <w:color w:val="auto"/>
                <w:sz w:val="24"/>
              </w:rPr>
              <w:t>分,其余的得</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分，方案差或不提供的不得分。</w:t>
            </w:r>
          </w:p>
        </w:tc>
        <w:tc>
          <w:tcPr>
            <w:tcW w:w="960" w:type="dxa"/>
            <w:vAlign w:val="center"/>
          </w:tcPr>
          <w:p>
            <w:pPr>
              <w:spacing w:line="460" w:lineRule="exact"/>
              <w:outlineLvl w:val="1"/>
              <w:rPr>
                <w:rFonts w:hint="default"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36" w:type="dxa"/>
            <w:vAlign w:val="center"/>
          </w:tcPr>
          <w:p>
            <w:pPr>
              <w:spacing w:line="460" w:lineRule="exact"/>
              <w:outlineLvl w:val="1"/>
              <w:rPr>
                <w:rFonts w:hint="eastAsia" w:ascii="仿宋_GB2312" w:hAnsi="宋体" w:eastAsia="仿宋_GB2312"/>
                <w:b/>
                <w:color w:val="auto"/>
                <w:sz w:val="24"/>
                <w:szCs w:val="22"/>
              </w:rPr>
            </w:pPr>
            <w:r>
              <w:rPr>
                <w:rFonts w:hint="eastAsia" w:ascii="仿宋_GB2312" w:hAnsi="宋体" w:eastAsia="仿宋_GB2312"/>
                <w:b/>
                <w:color w:val="auto"/>
                <w:sz w:val="24"/>
                <w:szCs w:val="22"/>
                <w:lang w:val="en-US" w:eastAsia="zh-CN"/>
              </w:rPr>
              <w:t>10</w:t>
            </w:r>
          </w:p>
        </w:tc>
        <w:tc>
          <w:tcPr>
            <w:tcW w:w="2164"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cs="Times New Roman"/>
                <w:b/>
                <w:color w:val="auto"/>
                <w:sz w:val="24"/>
                <w:szCs w:val="22"/>
                <w:lang w:val="en-US" w:eastAsia="zh-CN"/>
              </w:rPr>
              <w:t>卫生保洁服务</w:t>
            </w:r>
          </w:p>
        </w:tc>
        <w:tc>
          <w:tcPr>
            <w:tcW w:w="5940"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rPr>
              <w:t>与第二章采购需求进行比较。方案最优的得</w:t>
            </w:r>
            <w:r>
              <w:rPr>
                <w:rFonts w:hint="eastAsia" w:ascii="仿宋_GB2312" w:hAnsi="宋体" w:eastAsia="仿宋_GB2312"/>
                <w:b/>
                <w:color w:val="auto"/>
                <w:sz w:val="24"/>
                <w:lang w:val="en-US" w:eastAsia="zh-CN"/>
              </w:rPr>
              <w:t>8</w:t>
            </w:r>
            <w:r>
              <w:rPr>
                <w:rFonts w:hint="eastAsia" w:ascii="仿宋_GB2312" w:hAnsi="宋体" w:eastAsia="仿宋_GB2312"/>
                <w:b/>
                <w:color w:val="auto"/>
                <w:sz w:val="24"/>
              </w:rPr>
              <w:t>分,其余的得</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分，方案差或不提供的不得分。</w:t>
            </w:r>
          </w:p>
        </w:tc>
        <w:tc>
          <w:tcPr>
            <w:tcW w:w="960" w:type="dxa"/>
            <w:vAlign w:val="center"/>
          </w:tcPr>
          <w:p>
            <w:pPr>
              <w:spacing w:line="460" w:lineRule="exact"/>
              <w:outlineLvl w:val="1"/>
              <w:rPr>
                <w:rFonts w:hint="default"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36" w:type="dxa"/>
            <w:vAlign w:val="center"/>
          </w:tcPr>
          <w:p>
            <w:pPr>
              <w:spacing w:line="460" w:lineRule="exact"/>
              <w:outlineLvl w:val="1"/>
              <w:rPr>
                <w:rFonts w:hint="eastAsia" w:ascii="仿宋_GB2312" w:hAnsi="宋体" w:eastAsia="仿宋_GB2312"/>
                <w:b/>
                <w:color w:val="auto"/>
                <w:sz w:val="24"/>
                <w:szCs w:val="22"/>
              </w:rPr>
            </w:pPr>
            <w:r>
              <w:rPr>
                <w:rFonts w:hint="eastAsia" w:ascii="仿宋_GB2312" w:hAnsi="宋体" w:eastAsia="仿宋_GB2312"/>
                <w:b/>
                <w:color w:val="auto"/>
                <w:sz w:val="24"/>
                <w:szCs w:val="22"/>
                <w:lang w:val="en-US" w:eastAsia="zh-CN"/>
              </w:rPr>
              <w:t>11</w:t>
            </w:r>
          </w:p>
        </w:tc>
        <w:tc>
          <w:tcPr>
            <w:tcW w:w="2164"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cs="Times New Roman"/>
                <w:b/>
                <w:color w:val="auto"/>
                <w:sz w:val="24"/>
                <w:szCs w:val="22"/>
                <w:lang w:val="en-US" w:eastAsia="zh-CN"/>
              </w:rPr>
              <w:t>物业服务应急预案</w:t>
            </w:r>
          </w:p>
        </w:tc>
        <w:tc>
          <w:tcPr>
            <w:tcW w:w="5940" w:type="dxa"/>
            <w:vAlign w:val="center"/>
          </w:tcPr>
          <w:p>
            <w:pPr>
              <w:spacing w:line="460" w:lineRule="exact"/>
              <w:outlineLvl w:val="1"/>
              <w:rPr>
                <w:rFonts w:hint="eastAsia" w:ascii="仿宋_GB2312" w:hAnsi="宋体" w:eastAsia="仿宋_GB2312" w:cs="Times New Roman"/>
                <w:b/>
                <w:color w:val="auto"/>
                <w:kern w:val="2"/>
                <w:sz w:val="24"/>
                <w:szCs w:val="22"/>
                <w:lang w:val="en-US" w:eastAsia="zh-CN" w:bidi="ar-SA"/>
              </w:rPr>
            </w:pPr>
            <w:r>
              <w:rPr>
                <w:rFonts w:hint="eastAsia" w:ascii="仿宋_GB2312" w:hAnsi="宋体" w:eastAsia="仿宋_GB2312"/>
                <w:b/>
                <w:color w:val="auto"/>
                <w:sz w:val="24"/>
              </w:rPr>
              <w:t>与第二章采购需求进行比较。方案最优的得</w:t>
            </w:r>
            <w:r>
              <w:rPr>
                <w:rFonts w:hint="eastAsia" w:ascii="仿宋_GB2312" w:hAnsi="宋体" w:eastAsia="仿宋_GB2312"/>
                <w:b/>
                <w:color w:val="auto"/>
                <w:sz w:val="24"/>
                <w:lang w:val="en-US" w:eastAsia="zh-CN"/>
              </w:rPr>
              <w:t>7</w:t>
            </w:r>
            <w:r>
              <w:rPr>
                <w:rFonts w:hint="eastAsia" w:ascii="仿宋_GB2312" w:hAnsi="宋体" w:eastAsia="仿宋_GB2312"/>
                <w:b/>
                <w:color w:val="auto"/>
                <w:sz w:val="24"/>
              </w:rPr>
              <w:t>分,其余的得</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分，方案差或不提供的不得分。</w:t>
            </w:r>
          </w:p>
        </w:tc>
        <w:tc>
          <w:tcPr>
            <w:tcW w:w="960" w:type="dxa"/>
            <w:vAlign w:val="center"/>
          </w:tcPr>
          <w:p>
            <w:pPr>
              <w:spacing w:line="460" w:lineRule="exact"/>
              <w:outlineLvl w:val="1"/>
              <w:rPr>
                <w:rFonts w:hint="default" w:ascii="仿宋_GB2312" w:hAnsi="宋体" w:eastAsia="仿宋_GB2312" w:cs="Times New Roman"/>
                <w:b/>
                <w:color w:val="auto"/>
                <w:kern w:val="2"/>
                <w:sz w:val="24"/>
                <w:szCs w:val="22"/>
                <w:lang w:val="en-US" w:eastAsia="zh-CN" w:bidi="ar-SA"/>
              </w:rPr>
            </w:pPr>
            <w:r>
              <w:rPr>
                <w:rFonts w:hint="eastAsia" w:ascii="仿宋_GB2312" w:hAnsi="宋体" w:eastAsia="仿宋_GB2312" w:cs="Times New Roman"/>
                <w:b/>
                <w:color w:val="auto"/>
                <w:kern w:val="2"/>
                <w:sz w:val="24"/>
                <w:szCs w:val="22"/>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36" w:type="dxa"/>
            <w:vAlign w:val="center"/>
          </w:tcPr>
          <w:p>
            <w:pPr>
              <w:spacing w:line="460" w:lineRule="exact"/>
              <w:outlineLvl w:val="1"/>
              <w:rPr>
                <w:rFonts w:hint="default" w:ascii="仿宋_GB2312" w:hAnsi="宋体" w:eastAsia="仿宋_GB2312"/>
                <w:b/>
                <w:color w:val="auto"/>
                <w:sz w:val="24"/>
                <w:szCs w:val="22"/>
                <w:lang w:val="en-US" w:eastAsia="zh-CN"/>
              </w:rPr>
            </w:pPr>
            <w:r>
              <w:rPr>
                <w:rFonts w:hint="eastAsia" w:ascii="仿宋_GB2312" w:hAnsi="宋体" w:eastAsia="仿宋_GB2312"/>
                <w:b/>
                <w:color w:val="auto"/>
                <w:sz w:val="24"/>
                <w:szCs w:val="22"/>
                <w:lang w:val="en-US" w:eastAsia="zh-CN"/>
              </w:rPr>
              <w:t>12</w:t>
            </w:r>
          </w:p>
        </w:tc>
        <w:tc>
          <w:tcPr>
            <w:tcW w:w="8104" w:type="dxa"/>
            <w:gridSpan w:val="2"/>
            <w:vAlign w:val="center"/>
          </w:tcPr>
          <w:p>
            <w:pPr>
              <w:spacing w:line="460" w:lineRule="exact"/>
              <w:jc w:val="center"/>
              <w:outlineLvl w:val="1"/>
              <w:rPr>
                <w:rFonts w:hint="eastAsia" w:ascii="仿宋_GB2312" w:hAnsi="宋体" w:eastAsia="仿宋_GB2312"/>
                <w:b/>
                <w:color w:val="auto"/>
                <w:sz w:val="24"/>
                <w:lang w:eastAsia="zh-CN"/>
              </w:rPr>
            </w:pPr>
            <w:r>
              <w:rPr>
                <w:rFonts w:hint="eastAsia" w:ascii="仿宋_GB2312" w:hAnsi="宋体" w:eastAsia="仿宋_GB2312"/>
                <w:b/>
                <w:color w:val="auto"/>
                <w:sz w:val="24"/>
                <w:lang w:eastAsia="zh-CN"/>
              </w:rPr>
              <w:t>合计</w:t>
            </w:r>
          </w:p>
        </w:tc>
        <w:tc>
          <w:tcPr>
            <w:tcW w:w="960" w:type="dxa"/>
            <w:vAlign w:val="center"/>
          </w:tcPr>
          <w:p>
            <w:pPr>
              <w:spacing w:line="460" w:lineRule="exact"/>
              <w:outlineLvl w:val="1"/>
              <w:rPr>
                <w:rFonts w:hint="default" w:ascii="仿宋_GB2312" w:hAnsi="宋体" w:eastAsia="仿宋_GB2312" w:cs="Times New Roman"/>
                <w:b/>
                <w:color w:val="auto"/>
                <w:kern w:val="2"/>
                <w:sz w:val="24"/>
                <w:szCs w:val="22"/>
                <w:lang w:val="en-US" w:eastAsia="zh-CN" w:bidi="ar-SA"/>
              </w:rPr>
            </w:pPr>
            <w:r>
              <w:rPr>
                <w:rFonts w:hint="eastAsia" w:ascii="仿宋_GB2312" w:hAnsi="宋体" w:eastAsia="仿宋_GB2312" w:cs="Times New Roman"/>
                <w:b/>
                <w:color w:val="auto"/>
                <w:kern w:val="2"/>
                <w:sz w:val="24"/>
                <w:szCs w:val="22"/>
                <w:lang w:val="en-US" w:eastAsia="zh-CN" w:bidi="ar-SA"/>
              </w:rPr>
              <w:t>100</w:t>
            </w:r>
          </w:p>
        </w:tc>
      </w:tr>
    </w:tbl>
    <w:p>
      <w:pPr>
        <w:rPr>
          <w:color w:val="auto"/>
        </w:rPr>
      </w:pPr>
    </w:p>
    <w:p>
      <w:pPr>
        <w:spacing w:line="460" w:lineRule="exact"/>
        <w:ind w:firstLine="561"/>
        <w:outlineLvl w:val="1"/>
        <w:rPr>
          <w:rFonts w:ascii="仿宋_GB2312" w:hAnsi="宋体" w:eastAsia="仿宋_GB2312"/>
          <w:b/>
          <w:color w:val="auto"/>
          <w:sz w:val="24"/>
        </w:rPr>
      </w:pP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 xml:space="preserve">   </w:t>
      </w:r>
    </w:p>
    <w:p>
      <w:pPr>
        <w:spacing w:line="460" w:lineRule="exact"/>
        <w:ind w:firstLine="561"/>
        <w:outlineLvl w:val="1"/>
        <w:rPr>
          <w:rFonts w:ascii="仿宋_GB2312" w:hAnsi="宋体" w:eastAsia="仿宋_GB2312"/>
          <w:b/>
          <w:color w:val="auto"/>
          <w:sz w:val="24"/>
        </w:rPr>
      </w:pPr>
      <w:r>
        <w:rPr>
          <w:rFonts w:hint="eastAsia" w:ascii="仿宋_GB2312" w:hAnsi="宋体" w:eastAsia="仿宋_GB2312"/>
          <w:b/>
          <w:color w:val="auto"/>
          <w:sz w:val="24"/>
        </w:rPr>
        <w:t xml:space="preserve">       </w:t>
      </w:r>
    </w:p>
    <w:p>
      <w:pPr>
        <w:spacing w:line="460" w:lineRule="exact"/>
        <w:ind w:firstLine="2891" w:firstLineChars="1200"/>
        <w:outlineLvl w:val="1"/>
        <w:rPr>
          <w:rFonts w:ascii="仿宋_GB2312" w:hAnsi="宋体" w:eastAsia="仿宋_GB2312"/>
          <w:b/>
          <w:color w:val="auto"/>
          <w:sz w:val="24"/>
        </w:rPr>
      </w:pPr>
    </w:p>
    <w:p>
      <w:pPr>
        <w:spacing w:line="460" w:lineRule="exact"/>
        <w:ind w:firstLine="2891" w:firstLineChars="1200"/>
        <w:outlineLvl w:val="1"/>
        <w:rPr>
          <w:rFonts w:ascii="仿宋_GB2312" w:hAnsi="宋体" w:eastAsia="仿宋_GB2312"/>
          <w:b/>
          <w:color w:val="auto"/>
          <w:sz w:val="24"/>
        </w:rPr>
      </w:pPr>
    </w:p>
    <w:p>
      <w:pPr>
        <w:pStyle w:val="12"/>
        <w:pBdr>
          <w:bottom w:val="none" w:color="auto" w:sz="0" w:space="0"/>
        </w:pBdr>
        <w:rPr>
          <w:rFonts w:ascii="仿宋_GB2312" w:hAnsi="宋体" w:eastAsia="仿宋_GB2312"/>
          <w:b/>
          <w:color w:val="auto"/>
          <w:sz w:val="24"/>
        </w:rPr>
      </w:pPr>
    </w:p>
    <w:p>
      <w:pPr>
        <w:pStyle w:val="12"/>
        <w:pBdr>
          <w:bottom w:val="none" w:color="auto" w:sz="0" w:space="0"/>
        </w:pBdr>
        <w:rPr>
          <w:rFonts w:ascii="仿宋_GB2312" w:hAnsi="宋体" w:eastAsia="仿宋_GB2312"/>
          <w:b/>
          <w:color w:val="auto"/>
          <w:sz w:val="24"/>
        </w:rPr>
      </w:pPr>
    </w:p>
    <w:p>
      <w:pPr>
        <w:pStyle w:val="12"/>
        <w:pBdr>
          <w:bottom w:val="none" w:color="auto" w:sz="0" w:space="0"/>
        </w:pBdr>
        <w:rPr>
          <w:rFonts w:ascii="仿宋_GB2312" w:hAnsi="宋体" w:eastAsia="仿宋_GB2312"/>
          <w:b/>
          <w:color w:val="auto"/>
          <w:sz w:val="24"/>
        </w:rPr>
      </w:pPr>
    </w:p>
    <w:p>
      <w:pPr>
        <w:pStyle w:val="12"/>
        <w:pBdr>
          <w:bottom w:val="none" w:color="auto" w:sz="0" w:space="0"/>
        </w:pBdr>
        <w:rPr>
          <w:rFonts w:ascii="仿宋_GB2312" w:hAnsi="宋体" w:eastAsia="仿宋_GB2312"/>
          <w:b/>
          <w:color w:val="auto"/>
          <w:sz w:val="24"/>
        </w:rPr>
      </w:pPr>
    </w:p>
    <w:p>
      <w:pPr>
        <w:spacing w:line="460" w:lineRule="exact"/>
        <w:outlineLvl w:val="1"/>
        <w:rPr>
          <w:rFonts w:hint="eastAsia" w:ascii="仿宋_GB2312" w:hAnsi="宋体" w:eastAsia="仿宋_GB2312"/>
          <w:b/>
          <w:color w:val="auto"/>
          <w:sz w:val="24"/>
        </w:rPr>
      </w:pPr>
    </w:p>
    <w:p>
      <w:pPr>
        <w:spacing w:line="460" w:lineRule="exact"/>
        <w:ind w:firstLine="2891" w:firstLineChars="1200"/>
        <w:outlineLvl w:val="1"/>
        <w:rPr>
          <w:rFonts w:ascii="仿宋_GB2312" w:hAnsi="宋体" w:eastAsia="仿宋_GB2312"/>
          <w:b/>
          <w:color w:val="auto"/>
          <w:sz w:val="24"/>
        </w:rPr>
      </w:pPr>
      <w:r>
        <w:rPr>
          <w:rFonts w:hint="eastAsia" w:ascii="仿宋_GB2312" w:hAnsi="宋体" w:eastAsia="仿宋_GB2312"/>
          <w:b/>
          <w:color w:val="auto"/>
          <w:sz w:val="24"/>
        </w:rPr>
        <w:t>第五章  政府采购合同</w:t>
      </w:r>
      <w:bookmarkEnd w:id="129"/>
      <w:r>
        <w:rPr>
          <w:rFonts w:hint="eastAsia" w:ascii="仿宋_GB2312" w:hAnsi="宋体" w:eastAsia="仿宋_GB2312"/>
          <w:b/>
          <w:color w:val="auto"/>
          <w:sz w:val="24"/>
        </w:rPr>
        <w:t>格式</w:t>
      </w:r>
    </w:p>
    <w:p>
      <w:pPr>
        <w:spacing w:line="460" w:lineRule="exact"/>
        <w:outlineLvl w:val="1"/>
        <w:rPr>
          <w:rFonts w:ascii="仿宋_GB2312" w:hAnsi="宋体" w:eastAsia="仿宋_GB2312"/>
          <w:b/>
          <w:color w:val="auto"/>
          <w:sz w:val="24"/>
        </w:rPr>
      </w:pP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 xml:space="preserve">采购人：               （以下简称甲方）    </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中标方：               （以下简称乙方）</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第一条 项目名称、服务内容及合同价。</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第二条 交付地点、时间（或服务期限）。</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第四条  权利瑕疵担保</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4．1 乙方保证对其出售的标的物享有合法的权利；</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4．3 乙方应保证其所出售的标的物没有侵犯任何第三人的知识产权和商业秘密等权利。</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4．4 如甲方使用该标的物构成上述侵权的，则由乙方承担全部责任。</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第五条  甲方权利和义务</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第六条  乙方权利与义务</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第七条  验收要求</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第八条  付款</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8．1 本合同以人民币付款。</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8．2 具体的付款条件、方式与期限</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第九条  合同转让和分包</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9. 1 乙方不得全部或部分转让合同。除甲方事先书面同意外，不得分包其应履行的合同义务。</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第十条  违约责任</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第十一条 解决争议的方法</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11.1合同各方应通过友好协商，解决在执行本合同过程中所发生的或与本合同有关的一切争端。</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11.2 如从协商开始十天内仍不能解决，可以向            提请调解。</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11.3调解不成则提交海口市仲裁委员会根据其仲裁规则和程序进行仲裁，仲裁是终局的。</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第十二条  不可抗力</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第十三条  合同生效</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13．1本合同自双方签字及盖章之日起生效。</w:t>
      </w:r>
      <w:bookmarkStart w:id="130" w:name="_Toc246825837"/>
      <w:bookmarkStart w:id="131" w:name="_Toc246826142"/>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13.2本合同一式四份，甲乙双方各一份，财政部门和海口市政府采购中心各存档一份。</w:t>
      </w:r>
      <w:bookmarkEnd w:id="130"/>
      <w:bookmarkEnd w:id="131"/>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第十四条  合同附件</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14. 1 本合同附件包括：</w:t>
      </w:r>
      <w:bookmarkStart w:id="132" w:name="_Toc246826125"/>
      <w:bookmarkStart w:id="133" w:name="_Toc246825820"/>
      <w:r>
        <w:rPr>
          <w:rFonts w:hint="eastAsia" w:ascii="仿宋_GB2312" w:hAnsi="宋体" w:eastAsia="仿宋_GB2312"/>
          <w:b/>
          <w:color w:val="auto"/>
          <w:sz w:val="24"/>
        </w:rPr>
        <w:t>本项目的采购文件、中标（成交）方投标文件、中标（成交）通知书</w:t>
      </w:r>
      <w:bookmarkEnd w:id="132"/>
      <w:bookmarkEnd w:id="133"/>
      <w:bookmarkStart w:id="134" w:name="_Toc246825823"/>
      <w:bookmarkStart w:id="135" w:name="_Toc246826128"/>
      <w:r>
        <w:rPr>
          <w:rFonts w:hint="eastAsia" w:ascii="仿宋_GB2312" w:hAnsi="宋体" w:eastAsia="仿宋_GB2312"/>
          <w:b/>
          <w:color w:val="auto"/>
          <w:sz w:val="24"/>
        </w:rPr>
        <w:t>等，本合同附件与合同具有同等效力。</w:t>
      </w:r>
    </w:p>
    <w:bookmarkEnd w:id="134"/>
    <w:bookmarkEnd w:id="135"/>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14. 2  本合同格式未尽事宜可签订补充协议，补充协议具有同等法律效力。</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签约各方：</w:t>
      </w:r>
    </w:p>
    <w:p>
      <w:pPr>
        <w:spacing w:line="460" w:lineRule="exact"/>
        <w:outlineLvl w:val="1"/>
        <w:rPr>
          <w:rFonts w:ascii="仿宋_GB2312" w:hAnsi="宋体" w:eastAsia="仿宋_GB2312"/>
          <w:b/>
          <w:color w:val="auto"/>
          <w:sz w:val="24"/>
        </w:rPr>
      </w:pPr>
      <w:r>
        <w:rPr>
          <w:rFonts w:hint="eastAsia" w:ascii="仿宋_GB2312" w:hAnsi="宋体" w:eastAsia="仿宋_GB2312"/>
          <w:b/>
          <w:color w:val="auto"/>
          <w:sz w:val="24"/>
        </w:rPr>
        <w:t>签约时间：</w:t>
      </w:r>
    </w:p>
    <w:p>
      <w:pPr>
        <w:rPr>
          <w:color w:val="auto"/>
        </w:rPr>
      </w:pPr>
    </w:p>
    <w:p>
      <w:pPr>
        <w:spacing w:line="360" w:lineRule="exact"/>
        <w:ind w:firstLine="2249" w:firstLineChars="800"/>
        <w:rPr>
          <w:rFonts w:ascii="楷体_GB2312" w:hAnsi="宋体" w:eastAsia="楷体_GB2312"/>
          <w:b/>
          <w:color w:val="auto"/>
          <w:sz w:val="28"/>
          <w:szCs w:val="28"/>
        </w:rPr>
      </w:pPr>
      <w:r>
        <w:rPr>
          <w:rFonts w:hint="eastAsia" w:ascii="楷体_GB2312" w:hAnsi="宋体" w:eastAsia="楷体_GB2312"/>
          <w:b/>
          <w:color w:val="auto"/>
          <w:sz w:val="28"/>
          <w:szCs w:val="28"/>
        </w:rPr>
        <w:t>第六章  投标文件格式及附件</w:t>
      </w:r>
    </w:p>
    <w:p>
      <w:pPr>
        <w:spacing w:line="360" w:lineRule="exact"/>
        <w:ind w:firstLine="561"/>
        <w:rPr>
          <w:rFonts w:ascii="楷体_GB2312" w:hAnsi="宋体" w:eastAsia="楷体_GB2312"/>
          <w:b/>
          <w:color w:val="auto"/>
          <w:sz w:val="24"/>
        </w:rPr>
      </w:pP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格式1 :</w:t>
      </w:r>
    </w:p>
    <w:p>
      <w:pPr>
        <w:spacing w:line="360" w:lineRule="exact"/>
        <w:ind w:firstLine="561"/>
        <w:jc w:val="center"/>
        <w:rPr>
          <w:rFonts w:ascii="楷体_GB2312" w:hAnsi="宋体" w:eastAsia="楷体_GB2312"/>
          <w:b/>
          <w:color w:val="auto"/>
          <w:sz w:val="24"/>
        </w:rPr>
      </w:pPr>
      <w:r>
        <w:rPr>
          <w:rFonts w:hint="eastAsia" w:ascii="楷体_GB2312" w:hAnsi="宋体" w:eastAsia="楷体_GB2312"/>
          <w:b/>
          <w:color w:val="auto"/>
          <w:sz w:val="24"/>
        </w:rPr>
        <w:t>投 标 声 明 函</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致：海口市政府采购中心</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根据贵方  （项目名称） 项目（项目编号：）的投标邀请，本签字代表（全名、职务）代表投标人（投标人单位名称、地址。如联合投标，需要各方的）提交下述文件正本一份和副本</w:t>
      </w:r>
      <w:r>
        <w:rPr>
          <w:rFonts w:hint="eastAsia" w:ascii="楷体_GB2312" w:hAnsi="宋体" w:eastAsia="楷体_GB2312"/>
          <w:b/>
          <w:color w:val="auto"/>
          <w:sz w:val="24"/>
          <w:u w:val="single"/>
        </w:rPr>
        <w:t xml:space="preserve">    </w:t>
      </w:r>
      <w:r>
        <w:rPr>
          <w:rFonts w:hint="eastAsia" w:ascii="楷体_GB2312" w:hAnsi="宋体" w:eastAsia="楷体_GB2312"/>
          <w:b/>
          <w:color w:val="auto"/>
          <w:sz w:val="24"/>
        </w:rPr>
        <w:t>份及电子版</w:t>
      </w:r>
      <w:r>
        <w:rPr>
          <w:rFonts w:hint="eastAsia"/>
          <w:color w:val="auto"/>
        </w:rPr>
        <w:t>U盘</w:t>
      </w:r>
      <w:r>
        <w:rPr>
          <w:rFonts w:hint="eastAsia" w:ascii="楷体_GB2312" w:hAnsi="宋体" w:eastAsia="楷体_GB2312"/>
          <w:b/>
          <w:color w:val="auto"/>
          <w:sz w:val="24"/>
        </w:rPr>
        <w:t>一份。</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我方是符合本项目采购文件“第二章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3、我方接受采购文件所表述的付款条件；</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4、我方在《开标一览表》中的报价为唯一报价；</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8、如果发生采购文件第二章《投标人须知》正文第14.9条所述情况，我方同意不予退还投标保证金或接受政府采购监督管理部门所作出的惩戒处理决定。</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9、与本投标有关的一切正式往来通讯请寄：</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        地址：                  邮编：                  </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        电话：                  传真：                  </w:t>
      </w:r>
    </w:p>
    <w:p>
      <w:pPr>
        <w:spacing w:line="360" w:lineRule="exact"/>
        <w:ind w:firstLine="561"/>
        <w:rPr>
          <w:rFonts w:ascii="楷体_GB2312" w:hAnsi="宋体" w:eastAsia="楷体_GB2312"/>
          <w:b/>
          <w:color w:val="auto"/>
          <w:sz w:val="24"/>
        </w:rPr>
      </w:pP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      投标人代表签字：                 </w:t>
      </w:r>
    </w:p>
    <w:p>
      <w:pPr>
        <w:spacing w:line="360" w:lineRule="exact"/>
        <w:ind w:firstLine="561"/>
        <w:rPr>
          <w:rFonts w:ascii="楷体_GB2312" w:hAnsi="宋体" w:eastAsia="楷体_GB2312"/>
          <w:b/>
          <w:color w:val="auto"/>
          <w:sz w:val="24"/>
        </w:rPr>
      </w:pP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      投标人（全称并加盖公章）</w:t>
      </w:r>
    </w:p>
    <w:p>
      <w:pPr>
        <w:spacing w:line="360" w:lineRule="exact"/>
        <w:ind w:firstLine="561"/>
        <w:rPr>
          <w:rFonts w:ascii="楷体_GB2312" w:hAnsi="宋体" w:eastAsia="楷体_GB2312"/>
          <w:b/>
          <w:color w:val="auto"/>
          <w:sz w:val="24"/>
        </w:rPr>
      </w:pP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格式2 :</w:t>
      </w:r>
    </w:p>
    <w:p>
      <w:pPr>
        <w:spacing w:line="360" w:lineRule="exact"/>
        <w:ind w:firstLine="561"/>
        <w:rPr>
          <w:rFonts w:ascii="楷体_GB2312" w:hAnsi="宋体" w:eastAsia="楷体_GB2312"/>
          <w:b/>
          <w:color w:val="auto"/>
          <w:sz w:val="24"/>
        </w:rPr>
      </w:pPr>
    </w:p>
    <w:p>
      <w:pPr>
        <w:spacing w:line="360" w:lineRule="exact"/>
        <w:ind w:firstLine="561"/>
        <w:jc w:val="center"/>
        <w:rPr>
          <w:rFonts w:ascii="楷体_GB2312" w:hAnsi="宋体" w:eastAsia="楷体_GB2312"/>
          <w:b/>
          <w:color w:val="auto"/>
          <w:sz w:val="24"/>
        </w:rPr>
      </w:pPr>
      <w:r>
        <w:rPr>
          <w:rFonts w:hint="eastAsia" w:ascii="楷体_GB2312" w:hAnsi="宋体" w:eastAsia="楷体_GB2312"/>
          <w:b/>
          <w:color w:val="auto"/>
          <w:sz w:val="24"/>
        </w:rPr>
        <w:t>法定代表人身份证明书</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投标人名称：</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单位性质：</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地址：</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成立时间： 年月日</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经营期限：</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姓名：性别：年龄：  职务：</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系（投标人名称）的法定代表人。</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特此证明。</w:t>
      </w:r>
    </w:p>
    <w:p>
      <w:pPr>
        <w:spacing w:line="360" w:lineRule="exact"/>
        <w:ind w:firstLine="561"/>
        <w:rPr>
          <w:rFonts w:ascii="楷体_GB2312" w:hAnsi="宋体" w:eastAsia="楷体_GB2312"/>
          <w:b/>
          <w:color w:val="auto"/>
          <w:sz w:val="24"/>
        </w:rPr>
      </w:pP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附：法定代表人身份证复印件。</w:t>
      </w:r>
    </w:p>
    <w:p>
      <w:pPr>
        <w:spacing w:line="36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                          投标人：                 （盖单位章）</w:t>
      </w:r>
    </w:p>
    <w:p>
      <w:pPr>
        <w:spacing w:line="360" w:lineRule="exact"/>
        <w:ind w:firstLine="561"/>
        <w:rPr>
          <w:rFonts w:ascii="宋体" w:hAnsi="宋体"/>
          <w:b/>
          <w:color w:val="auto"/>
          <w:sz w:val="24"/>
        </w:rPr>
      </w:pPr>
      <w:r>
        <w:rPr>
          <w:rFonts w:hint="eastAsia" w:ascii="楷体_GB2312" w:hAnsi="宋体" w:eastAsia="楷体_GB2312"/>
          <w:b/>
          <w:color w:val="auto"/>
          <w:sz w:val="24"/>
        </w:rPr>
        <w:t xml:space="preserve">                                                 年     月    日         </w:t>
      </w: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r>
        <w:rPr>
          <w:rFonts w:hint="eastAsia" w:ascii="仿宋_GB2312" w:hAnsi="宋体" w:eastAsia="仿宋_GB2312"/>
          <w:b/>
          <w:color w:val="auto"/>
          <w:sz w:val="24"/>
        </w:rPr>
        <w:t xml:space="preserve">格式3:  </w:t>
      </w:r>
    </w:p>
    <w:p>
      <w:pPr>
        <w:spacing w:line="360" w:lineRule="exact"/>
        <w:ind w:firstLine="561"/>
        <w:jc w:val="center"/>
        <w:rPr>
          <w:rFonts w:ascii="楷体_GB2312" w:hAnsi="宋体" w:eastAsia="楷体_GB2312"/>
          <w:b/>
          <w:color w:val="auto"/>
          <w:sz w:val="24"/>
        </w:rPr>
      </w:pPr>
      <w:r>
        <w:rPr>
          <w:rFonts w:hint="eastAsia" w:ascii="楷体_GB2312" w:hAnsi="宋体" w:eastAsia="楷体_GB2312"/>
          <w:b/>
          <w:color w:val="auto"/>
          <w:sz w:val="24"/>
        </w:rPr>
        <w:t>法定代表人授权委托书</w:t>
      </w:r>
    </w:p>
    <w:p>
      <w:pPr>
        <w:spacing w:line="360" w:lineRule="exact"/>
        <w:ind w:firstLine="561"/>
        <w:rPr>
          <w:rFonts w:ascii="楷体_GB2312" w:hAnsi="宋体" w:eastAsia="楷体_GB2312"/>
          <w:b/>
          <w:color w:val="auto"/>
          <w:sz w:val="24"/>
        </w:rPr>
      </w:pPr>
    </w:p>
    <w:p>
      <w:pPr>
        <w:spacing w:line="360" w:lineRule="exact"/>
        <w:rPr>
          <w:rFonts w:ascii="楷体_GB2312" w:hAnsi="宋体" w:eastAsia="楷体_GB2312"/>
          <w:b/>
          <w:color w:val="auto"/>
          <w:sz w:val="24"/>
        </w:rPr>
      </w:pPr>
      <w:r>
        <w:rPr>
          <w:rFonts w:hint="eastAsia" w:ascii="楷体_GB2312" w:hAnsi="宋体" w:eastAsia="楷体_GB2312"/>
          <w:b/>
          <w:color w:val="auto"/>
          <w:sz w:val="24"/>
        </w:rPr>
        <w:t>海口市政府采购中心：</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本人（姓名）系（投标人名称）的法定代表人，现委托（姓名）为我方代理人。代理人根据授权，以我方名义签署、澄清</w:t>
      </w:r>
      <w:r>
        <w:rPr>
          <w:rFonts w:hint="eastAsia" w:ascii="楷体_GB2312" w:hAnsi="宋体" w:eastAsia="楷体_GB2312"/>
          <w:b/>
          <w:color w:val="auto"/>
          <w:sz w:val="24"/>
        </w:rPr>
        <w:t>、说明、补正</w:t>
      </w:r>
      <w:r>
        <w:rPr>
          <w:rFonts w:ascii="楷体_GB2312" w:hAnsi="宋体" w:eastAsia="楷体_GB2312"/>
          <w:b/>
          <w:color w:val="auto"/>
          <w:sz w:val="24"/>
        </w:rPr>
        <w:t>、递交、撤回、修改</w:t>
      </w:r>
      <w:r>
        <w:rPr>
          <w:rFonts w:hint="eastAsia" w:ascii="楷体_GB2312" w:hAnsi="宋体" w:eastAsia="楷体_GB2312"/>
          <w:b/>
          <w:color w:val="auto"/>
          <w:sz w:val="24"/>
        </w:rPr>
        <w:t xml:space="preserve"> (项目名称) 项目（项目编号：）</w:t>
      </w:r>
      <w:r>
        <w:rPr>
          <w:rFonts w:ascii="楷体_GB2312" w:hAnsi="宋体" w:eastAsia="楷体_GB2312"/>
          <w:b/>
          <w:color w:val="auto"/>
          <w:sz w:val="24"/>
        </w:rPr>
        <w:t>投标文件、签订合同和处理有关事宜，其法律后果由我方承担。</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 xml:space="preserve">委托期限：             </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代理人无转委托权。</w:t>
      </w:r>
    </w:p>
    <w:p>
      <w:pPr>
        <w:spacing w:line="360" w:lineRule="exact"/>
        <w:ind w:firstLine="561"/>
        <w:rPr>
          <w:rFonts w:ascii="楷体_GB2312" w:hAnsi="宋体" w:eastAsia="楷体_GB2312"/>
          <w:b/>
          <w:color w:val="auto"/>
          <w:sz w:val="24"/>
        </w:rPr>
      </w:pP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投标人：                               （盖单位章）</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法定代表人：                               （签字）</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 xml:space="preserve">身份证号码：                                     </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 xml:space="preserve">委托代理人：                                   （签字） </w:t>
      </w:r>
    </w:p>
    <w:p>
      <w:pPr>
        <w:spacing w:line="360" w:lineRule="exact"/>
        <w:ind w:firstLine="561"/>
        <w:rPr>
          <w:rFonts w:ascii="楷体_GB2312" w:hAnsi="宋体" w:eastAsia="楷体_GB2312"/>
          <w:b/>
          <w:color w:val="auto"/>
          <w:sz w:val="24"/>
        </w:rPr>
      </w:pPr>
      <w:r>
        <w:rPr>
          <w:rFonts w:ascii="楷体_GB2312" w:hAnsi="宋体" w:eastAsia="楷体_GB2312"/>
          <w:b/>
          <w:color w:val="auto"/>
          <w:sz w:val="24"/>
        </w:rPr>
        <w:t xml:space="preserve">身份证号码：             </w:t>
      </w:r>
      <w:r>
        <w:rPr>
          <w:rFonts w:hint="eastAsia" w:ascii="楷体_GB2312" w:hAnsi="宋体" w:eastAsia="楷体_GB2312"/>
          <w:b/>
          <w:color w:val="auto"/>
          <w:sz w:val="24"/>
        </w:rPr>
        <w:t>附身份证复印件</w:t>
      </w:r>
    </w:p>
    <w:p>
      <w:pPr>
        <w:spacing w:line="360" w:lineRule="exact"/>
        <w:rPr>
          <w:rFonts w:ascii="楷体_GB2312" w:hAnsi="宋体" w:eastAsia="楷体_GB2312"/>
          <w:b/>
          <w:color w:val="auto"/>
          <w:sz w:val="24"/>
        </w:rPr>
      </w:pPr>
    </w:p>
    <w:p>
      <w:pPr>
        <w:spacing w:line="360" w:lineRule="exact"/>
        <w:ind w:firstLine="561"/>
        <w:jc w:val="right"/>
        <w:rPr>
          <w:rFonts w:ascii="楷体_GB2312" w:hAnsi="宋体" w:eastAsia="楷体_GB2312"/>
          <w:b/>
          <w:color w:val="auto"/>
          <w:sz w:val="24"/>
        </w:rPr>
      </w:pPr>
      <w:r>
        <w:rPr>
          <w:rFonts w:ascii="楷体_GB2312" w:hAnsi="宋体" w:eastAsia="楷体_GB2312"/>
          <w:b/>
          <w:color w:val="auto"/>
          <w:sz w:val="24"/>
        </w:rPr>
        <w:t>年       月       日</w:t>
      </w:r>
    </w:p>
    <w:p>
      <w:pPr>
        <w:spacing w:line="360" w:lineRule="exact"/>
        <w:ind w:firstLine="561"/>
        <w:rPr>
          <w:rFonts w:ascii="楷体_GB2312" w:hAnsi="宋体" w:eastAsia="楷体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pStyle w:val="22"/>
        <w:spacing w:line="500" w:lineRule="exact"/>
        <w:rPr>
          <w:rFonts w:ascii="仿宋_GB2312" w:hAnsi="宋体" w:eastAsia="仿宋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r>
        <w:rPr>
          <w:rFonts w:hint="eastAsia" w:ascii="楷体_GB2312" w:hAnsi="宋体" w:eastAsia="楷体_GB2312"/>
          <w:b/>
          <w:color w:val="auto"/>
          <w:sz w:val="24"/>
        </w:rPr>
        <w:t>格式4</w:t>
      </w:r>
    </w:p>
    <w:p>
      <w:pPr>
        <w:pStyle w:val="22"/>
        <w:spacing w:line="500" w:lineRule="exact"/>
        <w:jc w:val="center"/>
        <w:rPr>
          <w:rFonts w:ascii="楷体_GB2312" w:hAnsi="宋体" w:eastAsia="楷体_GB2312"/>
          <w:b/>
          <w:color w:val="auto"/>
          <w:sz w:val="24"/>
        </w:rPr>
      </w:pPr>
      <w:r>
        <w:rPr>
          <w:rFonts w:hint="eastAsia" w:ascii="楷体_GB2312" w:hAnsi="宋体" w:eastAsia="楷体_GB2312"/>
          <w:b/>
          <w:color w:val="auto"/>
          <w:sz w:val="24"/>
        </w:rPr>
        <w:t>开 标 一 览 表</w:t>
      </w:r>
    </w:p>
    <w:p>
      <w:pPr>
        <w:pStyle w:val="22"/>
        <w:spacing w:line="500" w:lineRule="exact"/>
        <w:jc w:val="left"/>
        <w:rPr>
          <w:rFonts w:ascii="楷体_GB2312" w:hAnsi="宋体" w:eastAsia="楷体_GB2312"/>
          <w:b/>
          <w:color w:val="auto"/>
          <w:sz w:val="24"/>
        </w:rPr>
      </w:pPr>
    </w:p>
    <w:p>
      <w:pPr>
        <w:spacing w:line="520" w:lineRule="exact"/>
        <w:rPr>
          <w:rFonts w:ascii="楷体_GB2312" w:hAnsi="宋体" w:eastAsia="楷体_GB2312"/>
          <w:b/>
          <w:color w:val="auto"/>
          <w:sz w:val="24"/>
        </w:rPr>
      </w:pPr>
    </w:p>
    <w:p>
      <w:pPr>
        <w:spacing w:line="520" w:lineRule="exact"/>
        <w:rPr>
          <w:rFonts w:ascii="楷体_GB2312" w:hAnsi="宋体" w:eastAsia="楷体_GB2312"/>
          <w:b/>
          <w:color w:val="auto"/>
          <w:sz w:val="24"/>
        </w:rPr>
      </w:pPr>
      <w:r>
        <w:rPr>
          <w:rFonts w:hint="eastAsia" w:ascii="楷体_GB2312" w:hAnsi="宋体" w:eastAsia="楷体_GB2312"/>
          <w:b/>
          <w:color w:val="auto"/>
          <w:sz w:val="24"/>
        </w:rPr>
        <w:t>项目名称;                               项目编号：</w:t>
      </w:r>
    </w:p>
    <w:tbl>
      <w:tblPr>
        <w:tblStyle w:val="16"/>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1"/>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931" w:type="dxa"/>
            <w:vAlign w:val="center"/>
          </w:tcPr>
          <w:p>
            <w:pPr>
              <w:widowControl/>
              <w:spacing w:line="460" w:lineRule="exact"/>
              <w:jc w:val="center"/>
              <w:rPr>
                <w:rFonts w:ascii="楷体_GB2312" w:hAnsi="宋体" w:eastAsia="楷体_GB2312"/>
                <w:b/>
                <w:color w:val="auto"/>
                <w:sz w:val="24"/>
              </w:rPr>
            </w:pPr>
            <w:r>
              <w:rPr>
                <w:rFonts w:hint="eastAsia" w:ascii="楷体_GB2312" w:hAnsi="宋体" w:eastAsia="楷体_GB2312"/>
                <w:b/>
                <w:color w:val="auto"/>
                <w:sz w:val="24"/>
              </w:rPr>
              <w:t>项目名称</w:t>
            </w:r>
          </w:p>
        </w:tc>
        <w:tc>
          <w:tcPr>
            <w:tcW w:w="3106" w:type="dxa"/>
            <w:vAlign w:val="center"/>
          </w:tcPr>
          <w:p>
            <w:pPr>
              <w:widowControl/>
              <w:spacing w:line="460" w:lineRule="exact"/>
              <w:jc w:val="center"/>
              <w:rPr>
                <w:rFonts w:ascii="楷体_GB2312" w:hAnsi="宋体" w:eastAsia="楷体_GB2312"/>
                <w:b/>
                <w:color w:val="auto"/>
                <w:sz w:val="24"/>
              </w:rPr>
            </w:pPr>
            <w:r>
              <w:rPr>
                <w:rFonts w:hint="eastAsia" w:ascii="楷体_GB2312" w:hAnsi="宋体" w:eastAsia="楷体_GB2312"/>
                <w:b/>
                <w:color w:val="auto"/>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931" w:type="dxa"/>
            <w:vAlign w:val="center"/>
          </w:tcPr>
          <w:p>
            <w:pPr>
              <w:widowControl/>
              <w:spacing w:line="460" w:lineRule="exact"/>
              <w:jc w:val="center"/>
              <w:rPr>
                <w:rFonts w:ascii="楷体_GB2312" w:hAnsi="宋体" w:eastAsia="楷体_GB2312"/>
                <w:b/>
                <w:color w:val="auto"/>
                <w:sz w:val="24"/>
              </w:rPr>
            </w:pPr>
          </w:p>
        </w:tc>
        <w:tc>
          <w:tcPr>
            <w:tcW w:w="3106" w:type="dxa"/>
            <w:vAlign w:val="center"/>
          </w:tcPr>
          <w:p>
            <w:pPr>
              <w:widowControl/>
              <w:spacing w:line="460" w:lineRule="exact"/>
              <w:jc w:val="center"/>
              <w:rPr>
                <w:rFonts w:ascii="楷体_GB2312" w:hAnsi="宋体" w:eastAsia="楷体_GB2312"/>
                <w:b/>
                <w:color w:val="auto"/>
                <w:sz w:val="24"/>
              </w:rPr>
            </w:pPr>
            <w:r>
              <w:rPr>
                <w:rFonts w:hint="eastAsia" w:ascii="楷体_GB2312" w:hAnsi="宋体" w:eastAsia="楷体_GB2312"/>
                <w:b/>
                <w:color w:val="auto"/>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2"/>
            <w:vAlign w:val="center"/>
          </w:tcPr>
          <w:p>
            <w:pPr>
              <w:widowControl/>
              <w:spacing w:line="460" w:lineRule="exact"/>
              <w:rPr>
                <w:rFonts w:ascii="楷体_GB2312" w:hAnsi="宋体" w:eastAsia="楷体_GB2312"/>
                <w:b/>
                <w:color w:val="auto"/>
                <w:sz w:val="24"/>
              </w:rPr>
            </w:pPr>
            <w:r>
              <w:rPr>
                <w:rFonts w:hint="eastAsia" w:ascii="楷体_GB2312" w:hAnsi="宋体" w:eastAsia="楷体_GB2312"/>
                <w:b/>
                <w:color w:val="auto"/>
                <w:sz w:val="24"/>
              </w:rPr>
              <w:t>投标总价（大小写）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2"/>
            <w:vAlign w:val="center"/>
          </w:tcPr>
          <w:p>
            <w:pPr>
              <w:widowControl/>
              <w:spacing w:line="460" w:lineRule="exact"/>
              <w:rPr>
                <w:rFonts w:ascii="楷体_GB2312" w:hAnsi="宋体" w:eastAsia="楷体_GB2312"/>
                <w:b/>
                <w:color w:val="auto"/>
                <w:sz w:val="24"/>
              </w:rPr>
            </w:pPr>
            <w:r>
              <w:rPr>
                <w:rFonts w:hint="eastAsia" w:ascii="楷体_GB2312" w:hAnsi="宋体" w:eastAsia="楷体_GB2312"/>
                <w:b/>
                <w:color w:val="auto"/>
                <w:sz w:val="24"/>
              </w:rPr>
              <w:t>是否为符合条件的小微型企业:（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2"/>
            <w:vAlign w:val="center"/>
          </w:tcPr>
          <w:p>
            <w:pPr>
              <w:widowControl/>
              <w:spacing w:line="460" w:lineRule="exact"/>
              <w:rPr>
                <w:rFonts w:ascii="楷体_GB2312" w:hAnsi="宋体" w:eastAsia="楷体_GB2312"/>
                <w:b/>
                <w:color w:val="auto"/>
                <w:sz w:val="24"/>
              </w:rPr>
            </w:pPr>
            <w:r>
              <w:rPr>
                <w:rFonts w:hint="eastAsia" w:ascii="仿宋_GB2312" w:hAnsi="宋体" w:eastAsia="仿宋_GB2312"/>
                <w:b/>
                <w:color w:val="auto"/>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2"/>
            <w:vAlign w:val="center"/>
          </w:tcPr>
          <w:p>
            <w:pPr>
              <w:widowControl/>
              <w:spacing w:line="460" w:lineRule="exact"/>
              <w:rPr>
                <w:rFonts w:ascii="仿宋_GB2312" w:hAnsi="宋体" w:eastAsia="仿宋_GB2312"/>
                <w:b/>
                <w:color w:val="auto"/>
                <w:sz w:val="24"/>
              </w:rPr>
            </w:pPr>
            <w:r>
              <w:rPr>
                <w:rFonts w:hint="eastAsia" w:ascii="仿宋_GB2312" w:hAnsi="宋体" w:eastAsia="仿宋_GB2312"/>
                <w:b/>
                <w:color w:val="auto"/>
                <w:sz w:val="24"/>
              </w:rPr>
              <w:t>是否符合条件的残疾人福利性单位：是（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2"/>
            <w:vAlign w:val="center"/>
          </w:tcPr>
          <w:p>
            <w:pPr>
              <w:widowControl/>
              <w:spacing w:line="460" w:lineRule="exact"/>
              <w:rPr>
                <w:rFonts w:ascii="楷体_GB2312" w:hAnsi="宋体" w:eastAsia="楷体_GB2312"/>
                <w:b/>
                <w:color w:val="auto"/>
                <w:sz w:val="24"/>
              </w:rPr>
            </w:pPr>
            <w:r>
              <w:rPr>
                <w:rFonts w:hint="eastAsia" w:ascii="楷体_GB2312" w:hAnsi="宋体" w:eastAsia="楷体_GB2312"/>
                <w:b/>
                <w:color w:val="auto"/>
                <w:sz w:val="24"/>
              </w:rPr>
              <w:t>备注</w:t>
            </w:r>
          </w:p>
        </w:tc>
      </w:tr>
    </w:tbl>
    <w:p>
      <w:pPr>
        <w:spacing w:line="520" w:lineRule="exact"/>
        <w:ind w:firstLine="560"/>
        <w:rPr>
          <w:rFonts w:ascii="楷体_GB2312" w:hAnsi="宋体" w:eastAsia="楷体_GB2312"/>
          <w:b/>
          <w:color w:val="auto"/>
          <w:sz w:val="24"/>
        </w:rPr>
      </w:pPr>
      <w:r>
        <w:rPr>
          <w:rFonts w:hint="eastAsia" w:ascii="楷体_GB2312" w:hAnsi="宋体" w:eastAsia="楷体_GB2312"/>
          <w:b/>
          <w:color w:val="auto"/>
          <w:sz w:val="24"/>
        </w:rPr>
        <w:t>供应商名称：                 （公章）</w:t>
      </w:r>
    </w:p>
    <w:p>
      <w:pPr>
        <w:spacing w:line="520" w:lineRule="exact"/>
        <w:ind w:firstLine="482" w:firstLineChars="200"/>
        <w:rPr>
          <w:rFonts w:ascii="楷体_GB2312" w:hAnsi="宋体" w:eastAsia="楷体_GB2312"/>
          <w:b/>
          <w:color w:val="auto"/>
          <w:sz w:val="24"/>
        </w:rPr>
      </w:pPr>
      <w:r>
        <w:rPr>
          <w:rFonts w:hint="eastAsia" w:ascii="楷体_GB2312" w:hAnsi="宋体" w:eastAsia="楷体_GB2312"/>
          <w:b/>
          <w:color w:val="auto"/>
          <w:sz w:val="24"/>
        </w:rPr>
        <w:t xml:space="preserve">授权代表签名：                日期：               </w:t>
      </w:r>
    </w:p>
    <w:p>
      <w:pPr>
        <w:spacing w:line="400" w:lineRule="exact"/>
        <w:rPr>
          <w:rFonts w:ascii="楷体_GB2312" w:hAnsi="宋体" w:eastAsia="楷体_GB2312"/>
          <w:b/>
          <w:color w:val="auto"/>
          <w:sz w:val="24"/>
        </w:rPr>
      </w:pPr>
      <w:r>
        <w:rPr>
          <w:rFonts w:hint="eastAsia" w:ascii="楷体_GB2312" w:hAnsi="宋体" w:eastAsia="楷体_GB2312"/>
          <w:b/>
          <w:color w:val="auto"/>
          <w:sz w:val="24"/>
        </w:rPr>
        <w:t>要求：</w:t>
      </w:r>
    </w:p>
    <w:p>
      <w:pPr>
        <w:spacing w:line="520" w:lineRule="exact"/>
        <w:ind w:firstLine="560"/>
        <w:rPr>
          <w:rFonts w:ascii="楷体_GB2312" w:hAnsi="宋体" w:eastAsia="楷体_GB2312"/>
          <w:b/>
          <w:color w:val="auto"/>
          <w:sz w:val="24"/>
        </w:rPr>
      </w:pPr>
      <w:r>
        <w:rPr>
          <w:rFonts w:hint="eastAsia" w:ascii="楷体_GB2312" w:hAnsi="宋体" w:eastAsia="楷体_GB2312"/>
          <w:b/>
          <w:color w:val="auto"/>
          <w:sz w:val="24"/>
        </w:rPr>
        <w:t>1、以上为开标会议唱标的内容，投标人不得自行增减；</w:t>
      </w:r>
    </w:p>
    <w:p>
      <w:pPr>
        <w:spacing w:line="520" w:lineRule="exact"/>
        <w:ind w:firstLine="560"/>
        <w:rPr>
          <w:rFonts w:ascii="楷体_GB2312" w:hAnsi="宋体" w:eastAsia="楷体_GB2312"/>
          <w:b/>
          <w:color w:val="auto"/>
          <w:sz w:val="24"/>
        </w:rPr>
      </w:pPr>
      <w:r>
        <w:rPr>
          <w:rFonts w:hint="eastAsia" w:ascii="楷体_GB2312" w:hAnsi="宋体" w:eastAsia="楷体_GB2312"/>
          <w:b/>
          <w:color w:val="auto"/>
          <w:sz w:val="24"/>
        </w:rPr>
        <w:t>2、投标总价必须与“投标报价明细表”当中的“合计（总价）”保持一致。</w:t>
      </w:r>
    </w:p>
    <w:p>
      <w:pPr>
        <w:spacing w:line="520" w:lineRule="exact"/>
        <w:ind w:firstLine="560"/>
        <w:rPr>
          <w:rFonts w:ascii="楷体_GB2312" w:hAnsi="宋体" w:eastAsia="楷体_GB2312"/>
          <w:b/>
          <w:color w:val="auto"/>
          <w:sz w:val="24"/>
        </w:rPr>
      </w:pPr>
      <w:r>
        <w:rPr>
          <w:rFonts w:hint="eastAsia" w:ascii="楷体_GB2312" w:hAnsi="宋体" w:eastAsia="楷体_GB2312"/>
          <w:b/>
          <w:color w:val="auto"/>
          <w:sz w:val="24"/>
        </w:rPr>
        <w:t>3、投标总价不得高于采购预算；</w:t>
      </w:r>
    </w:p>
    <w:p>
      <w:pPr>
        <w:spacing w:line="520" w:lineRule="exact"/>
        <w:ind w:firstLine="560"/>
        <w:rPr>
          <w:rFonts w:ascii="楷体_GB2312" w:hAnsi="宋体" w:eastAsia="楷体_GB2312"/>
          <w:b/>
          <w:color w:val="auto"/>
          <w:sz w:val="24"/>
        </w:rPr>
      </w:pPr>
      <w:r>
        <w:rPr>
          <w:rFonts w:hint="eastAsia" w:ascii="楷体_GB2312" w:hAnsi="宋体" w:eastAsia="楷体_GB2312"/>
          <w:b/>
          <w:color w:val="auto"/>
          <w:sz w:val="24"/>
        </w:rPr>
        <w:t>4、是否小微企业、监狱企业、残疾人福利性单位，在相应的括弧里打勾（√）,空白则默认为非小微型产品投标。</w:t>
      </w:r>
    </w:p>
    <w:p>
      <w:pPr>
        <w:spacing w:line="520" w:lineRule="exact"/>
        <w:ind w:firstLine="560"/>
        <w:rPr>
          <w:rFonts w:ascii="楷体_GB2312" w:hAnsi="宋体" w:eastAsia="楷体_GB2312"/>
          <w:b/>
          <w:color w:val="auto"/>
          <w:sz w:val="24"/>
        </w:rPr>
      </w:pPr>
      <w:r>
        <w:rPr>
          <w:rFonts w:hint="eastAsia" w:ascii="楷体_GB2312" w:hAnsi="宋体" w:eastAsia="楷体_GB2312"/>
          <w:b/>
          <w:color w:val="auto"/>
          <w:sz w:val="24"/>
        </w:rPr>
        <w:t>5、此表必须由供应商代表签名及加盖公章；</w:t>
      </w: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6、本表格需按照以上要求填写，否则其投标无效。</w:t>
      </w: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br w:type="page"/>
      </w:r>
      <w:r>
        <w:rPr>
          <w:rFonts w:hint="eastAsia" w:ascii="楷体_GB2312" w:hAnsi="宋体" w:eastAsia="楷体_GB2312"/>
          <w:b/>
          <w:color w:val="auto"/>
          <w:sz w:val="24"/>
        </w:rPr>
        <w:t>格式5投标报价明细表</w:t>
      </w: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投标人名称：     </w:t>
      </w: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项目名称;             项目编号∶         </w:t>
      </w:r>
    </w:p>
    <w:tbl>
      <w:tblPr>
        <w:tblStyle w:val="16"/>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767"/>
        <w:gridCol w:w="281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序号</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服务内容的费用明细</w:t>
            </w: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单项总价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1</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2</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3</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91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合计（大小写）：</w:t>
            </w:r>
          </w:p>
        </w:tc>
      </w:tr>
    </w:tbl>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供应商名称：                 （公章）</w:t>
      </w: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授权代表签名：                日期：</w:t>
      </w: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联系电话：      </w:t>
      </w:r>
    </w:p>
    <w:p>
      <w:pPr>
        <w:spacing w:line="400" w:lineRule="exact"/>
        <w:ind w:firstLine="561"/>
        <w:rPr>
          <w:rFonts w:ascii="楷体_GB2312" w:hAnsi="宋体" w:eastAsia="楷体_GB2312"/>
          <w:b/>
          <w:color w:val="auto"/>
          <w:sz w:val="24"/>
        </w:rPr>
      </w:pPr>
    </w:p>
    <w:p>
      <w:pPr>
        <w:pStyle w:val="7"/>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pStyle w:val="7"/>
        <w:rPr>
          <w:rFonts w:ascii="楷体_GB2312" w:hAnsi="宋体" w:eastAsia="楷体_GB2312"/>
          <w:b/>
          <w:color w:val="auto"/>
          <w:sz w:val="24"/>
        </w:rPr>
      </w:pPr>
      <w:r>
        <w:rPr>
          <w:rFonts w:hint="eastAsia" w:ascii="楷体_GB2312" w:hAnsi="宋体" w:eastAsia="楷体_GB2312"/>
          <w:b/>
          <w:color w:val="auto"/>
          <w:sz w:val="24"/>
        </w:rPr>
        <w:t>要求：服务内容的费用明细参照第二章物业管理费组成要求</w:t>
      </w: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p>
    <w:p>
      <w:pPr>
        <w:spacing w:line="400" w:lineRule="exact"/>
        <w:ind w:firstLine="561"/>
        <w:rPr>
          <w:rFonts w:ascii="楷体_GB2312" w:hAnsi="宋体" w:eastAsia="楷体_GB2312"/>
          <w:b/>
          <w:color w:val="auto"/>
          <w:sz w:val="24"/>
        </w:rPr>
      </w:pPr>
      <w:r>
        <w:rPr>
          <w:rFonts w:hint="eastAsia" w:ascii="楷体_GB2312" w:hAnsi="宋体" w:eastAsia="楷体_GB2312"/>
          <w:b/>
          <w:color w:val="auto"/>
          <w:sz w:val="24"/>
        </w:rPr>
        <w:t xml:space="preserve">        </w:t>
      </w:r>
    </w:p>
    <w:p>
      <w:pPr>
        <w:spacing w:line="400" w:lineRule="exact"/>
        <w:ind w:firstLine="561"/>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p>
    <w:p>
      <w:pPr>
        <w:spacing w:line="360" w:lineRule="exact"/>
        <w:rPr>
          <w:rFonts w:ascii="楷体_GB2312" w:hAnsi="宋体" w:eastAsia="楷体_GB2312"/>
          <w:b/>
          <w:color w:val="auto"/>
          <w:sz w:val="24"/>
        </w:rPr>
      </w:pPr>
      <w:r>
        <w:rPr>
          <w:rFonts w:hint="eastAsia" w:ascii="楷体_GB2312" w:hAnsi="宋体" w:eastAsia="楷体_GB2312"/>
          <w:b/>
          <w:color w:val="auto"/>
          <w:sz w:val="24"/>
        </w:rPr>
        <w:t xml:space="preserve">              </w:t>
      </w:r>
    </w:p>
    <w:p>
      <w:pPr>
        <w:spacing w:line="360" w:lineRule="exact"/>
        <w:ind w:left="239" w:leftChars="114" w:firstLine="8674" w:firstLineChars="3600"/>
        <w:rPr>
          <w:rFonts w:ascii="楷体_GB2312" w:hAnsi="宋体" w:eastAsia="楷体_GB2312"/>
          <w:b/>
          <w:color w:val="auto"/>
          <w:sz w:val="24"/>
        </w:rPr>
      </w:pPr>
      <w:r>
        <w:rPr>
          <w:rFonts w:hint="eastAsia" w:ascii="楷体_GB2312" w:hAnsi="宋体" w:eastAsia="楷体_GB2312"/>
          <w:b/>
          <w:color w:val="auto"/>
          <w:sz w:val="24"/>
        </w:rPr>
        <w:t xml:space="preserve"> </w:t>
      </w:r>
    </w:p>
    <w:p>
      <w:pPr>
        <w:spacing w:line="360" w:lineRule="exact"/>
        <w:ind w:left="239" w:leftChars="114" w:firstLine="8674" w:firstLineChars="3600"/>
        <w:rPr>
          <w:rFonts w:ascii="楷体_GB2312" w:hAnsi="宋体" w:eastAsia="楷体_GB2312"/>
          <w:b/>
          <w:color w:val="auto"/>
          <w:sz w:val="24"/>
        </w:rPr>
      </w:pPr>
    </w:p>
    <w:p>
      <w:pPr>
        <w:spacing w:line="360" w:lineRule="exact"/>
        <w:ind w:left="239" w:leftChars="114" w:firstLine="8674" w:firstLineChars="3600"/>
        <w:rPr>
          <w:rFonts w:ascii="楷体_GB2312" w:hAnsi="宋体" w:eastAsia="楷体_GB2312"/>
          <w:b/>
          <w:color w:val="auto"/>
          <w:sz w:val="24"/>
        </w:rPr>
      </w:pPr>
    </w:p>
    <w:p>
      <w:pPr>
        <w:spacing w:line="360" w:lineRule="exact"/>
        <w:ind w:left="239" w:leftChars="114" w:firstLine="8674" w:firstLineChars="3600"/>
        <w:rPr>
          <w:rFonts w:ascii="楷体_GB2312" w:hAnsi="宋体" w:eastAsia="楷体_GB2312"/>
          <w:b/>
          <w:color w:val="auto"/>
          <w:sz w:val="24"/>
        </w:rPr>
      </w:pPr>
    </w:p>
    <w:p>
      <w:pPr>
        <w:spacing w:line="360" w:lineRule="exact"/>
        <w:rPr>
          <w:rFonts w:ascii="楷体_GB2312" w:hAnsi="宋体" w:eastAsia="楷体_GB2312"/>
          <w:b/>
          <w:color w:val="auto"/>
          <w:sz w:val="24"/>
        </w:rPr>
      </w:pPr>
      <w:r>
        <w:rPr>
          <w:rFonts w:hint="eastAsia" w:ascii="楷体_GB2312" w:hAnsi="宋体" w:eastAsia="楷体_GB2312"/>
          <w:b/>
          <w:color w:val="auto"/>
          <w:sz w:val="24"/>
        </w:rPr>
        <w:t>格式6 无重大违法记录声明</w:t>
      </w:r>
    </w:p>
    <w:p>
      <w:pPr>
        <w:pStyle w:val="22"/>
        <w:spacing w:line="500" w:lineRule="exact"/>
        <w:jc w:val="left"/>
        <w:rPr>
          <w:rFonts w:ascii="楷体_GB2312" w:hAnsi="宋体" w:eastAsia="楷体_GB2312"/>
          <w:b/>
          <w:color w:val="auto"/>
          <w:sz w:val="24"/>
        </w:rPr>
      </w:pPr>
    </w:p>
    <w:p>
      <w:pPr>
        <w:pStyle w:val="22"/>
        <w:spacing w:line="500" w:lineRule="exact"/>
        <w:jc w:val="left"/>
        <w:rPr>
          <w:rFonts w:ascii="楷体_GB2312" w:hAnsi="宋体" w:eastAsia="楷体_GB2312"/>
          <w:b/>
          <w:color w:val="auto"/>
          <w:sz w:val="24"/>
        </w:rPr>
      </w:pPr>
      <w:r>
        <w:rPr>
          <w:rFonts w:hint="eastAsia" w:ascii="楷体_GB2312" w:hAnsi="宋体" w:eastAsia="楷体_GB2312"/>
          <w:b/>
          <w:color w:val="auto"/>
          <w:sz w:val="24"/>
        </w:rPr>
        <w:t>项目名称及编号（包号）：</w:t>
      </w:r>
    </w:p>
    <w:p>
      <w:pPr>
        <w:pStyle w:val="22"/>
        <w:spacing w:line="500" w:lineRule="exact"/>
        <w:jc w:val="left"/>
        <w:rPr>
          <w:rFonts w:ascii="楷体_GB2312" w:hAnsi="宋体" w:eastAsia="楷体_GB2312"/>
          <w:b/>
          <w:color w:val="auto"/>
          <w:sz w:val="24"/>
        </w:rPr>
      </w:pPr>
    </w:p>
    <w:p>
      <w:pPr>
        <w:pStyle w:val="22"/>
        <w:spacing w:line="500" w:lineRule="exact"/>
        <w:jc w:val="left"/>
        <w:rPr>
          <w:rFonts w:ascii="楷体_GB2312" w:hAnsi="宋体" w:eastAsia="楷体_GB2312"/>
          <w:b/>
          <w:color w:val="auto"/>
          <w:sz w:val="24"/>
        </w:rPr>
      </w:pPr>
      <w:r>
        <w:rPr>
          <w:rFonts w:hint="eastAsia" w:ascii="楷体_GB2312" w:hAnsi="宋体" w:eastAsia="楷体_GB2312"/>
          <w:b/>
          <w:color w:val="auto"/>
          <w:sz w:val="24"/>
        </w:rPr>
        <w:t>海口市政府采购中心：</w:t>
      </w:r>
    </w:p>
    <w:p>
      <w:pPr>
        <w:pStyle w:val="22"/>
        <w:spacing w:line="500" w:lineRule="exact"/>
        <w:jc w:val="left"/>
        <w:rPr>
          <w:rFonts w:ascii="楷体_GB2312" w:hAnsi="宋体" w:eastAsia="楷体_GB2312"/>
          <w:b/>
          <w:color w:val="auto"/>
          <w:sz w:val="24"/>
        </w:rPr>
      </w:pPr>
      <w:r>
        <w:rPr>
          <w:rFonts w:hint="eastAsia" w:ascii="楷体_GB2312" w:hAnsi="宋体" w:eastAsia="楷体_GB2312"/>
          <w:b/>
          <w:color w:val="auto"/>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22"/>
        <w:spacing w:line="500" w:lineRule="exact"/>
        <w:ind w:firstLine="570"/>
        <w:jc w:val="left"/>
        <w:rPr>
          <w:rFonts w:ascii="楷体_GB2312" w:hAnsi="宋体" w:eastAsia="楷体_GB2312"/>
          <w:b/>
          <w:color w:val="auto"/>
          <w:sz w:val="24"/>
        </w:rPr>
      </w:pPr>
      <w:r>
        <w:rPr>
          <w:rFonts w:hint="eastAsia" w:ascii="楷体_GB2312" w:hAnsi="宋体" w:eastAsia="楷体_GB2312"/>
          <w:b/>
          <w:color w:val="auto"/>
          <w:sz w:val="24"/>
        </w:rPr>
        <w:t>特此声明。</w:t>
      </w:r>
    </w:p>
    <w:p>
      <w:pPr>
        <w:pStyle w:val="22"/>
        <w:spacing w:line="500" w:lineRule="exact"/>
        <w:ind w:firstLine="570"/>
        <w:jc w:val="left"/>
        <w:rPr>
          <w:rFonts w:ascii="楷体_GB2312" w:hAnsi="宋体" w:eastAsia="楷体_GB2312"/>
          <w:b/>
          <w:color w:val="auto"/>
          <w:sz w:val="24"/>
        </w:rPr>
      </w:pPr>
    </w:p>
    <w:p>
      <w:pPr>
        <w:spacing w:line="500" w:lineRule="exact"/>
        <w:rPr>
          <w:rFonts w:ascii="楷体_GB2312" w:hAnsi="宋体" w:eastAsia="楷体_GB2312"/>
          <w:b/>
          <w:color w:val="auto"/>
          <w:sz w:val="24"/>
        </w:rPr>
      </w:pPr>
    </w:p>
    <w:p>
      <w:pPr>
        <w:rPr>
          <w:color w:val="auto"/>
        </w:rPr>
      </w:pPr>
    </w:p>
    <w:p>
      <w:pPr>
        <w:spacing w:line="500" w:lineRule="exact"/>
        <w:jc w:val="center"/>
        <w:rPr>
          <w:rFonts w:ascii="楷体_GB2312" w:hAnsi="宋体" w:eastAsia="楷体_GB2312"/>
          <w:b/>
          <w:color w:val="auto"/>
          <w:sz w:val="24"/>
        </w:rPr>
      </w:pPr>
      <w:r>
        <w:rPr>
          <w:rFonts w:hint="eastAsia" w:ascii="楷体_GB2312" w:hAnsi="宋体" w:eastAsia="楷体_GB2312"/>
          <w:b/>
          <w:color w:val="auto"/>
          <w:sz w:val="24"/>
        </w:rPr>
        <w:t>投标人代表签字：</w:t>
      </w:r>
    </w:p>
    <w:p>
      <w:pPr>
        <w:spacing w:line="500" w:lineRule="exact"/>
        <w:jc w:val="center"/>
        <w:rPr>
          <w:rFonts w:ascii="楷体_GB2312" w:hAnsi="宋体" w:eastAsia="楷体_GB2312"/>
          <w:b/>
          <w:color w:val="auto"/>
          <w:sz w:val="24"/>
        </w:rPr>
      </w:pPr>
      <w:r>
        <w:rPr>
          <w:rFonts w:hint="eastAsia" w:ascii="楷体_GB2312" w:hAnsi="宋体" w:eastAsia="楷体_GB2312"/>
          <w:b/>
          <w:color w:val="auto"/>
          <w:sz w:val="24"/>
        </w:rPr>
        <w:t>投标人（全称并加盖公章）</w:t>
      </w:r>
    </w:p>
    <w:p>
      <w:pPr>
        <w:spacing w:line="500" w:lineRule="exact"/>
        <w:ind w:firstLine="1424" w:firstLineChars="591"/>
        <w:jc w:val="center"/>
        <w:rPr>
          <w:rFonts w:ascii="楷体_GB2312" w:hAnsi="宋体" w:eastAsia="楷体_GB2312"/>
          <w:b/>
          <w:color w:val="auto"/>
          <w:sz w:val="24"/>
        </w:rPr>
      </w:pPr>
      <w:r>
        <w:rPr>
          <w:rFonts w:hint="eastAsia" w:ascii="楷体_GB2312" w:hAnsi="宋体" w:eastAsia="楷体_GB2312"/>
          <w:b/>
          <w:color w:val="auto"/>
          <w:sz w:val="24"/>
        </w:rPr>
        <w:t>日  期</w:t>
      </w:r>
    </w:p>
    <w:p>
      <w:pPr>
        <w:pStyle w:val="22"/>
        <w:spacing w:line="500" w:lineRule="exact"/>
        <w:ind w:firstLine="2024" w:firstLineChars="840"/>
        <w:jc w:val="left"/>
        <w:rPr>
          <w:rFonts w:ascii="楷体_GB2312" w:hAnsi="宋体" w:eastAsia="楷体_GB2312"/>
          <w:b/>
          <w:color w:val="auto"/>
          <w:sz w:val="24"/>
        </w:rPr>
      </w:pPr>
    </w:p>
    <w:p>
      <w:pPr>
        <w:spacing w:line="440" w:lineRule="exact"/>
        <w:rPr>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eastAsia="仿宋_GB2312"/>
          <w:b/>
          <w:color w:val="auto"/>
          <w:sz w:val="24"/>
        </w:rPr>
      </w:pPr>
    </w:p>
    <w:p>
      <w:pPr>
        <w:spacing w:line="460" w:lineRule="exact"/>
        <w:rPr>
          <w:rFonts w:ascii="仿宋_GB2312" w:hAnsi="宋体" w:eastAsia="仿宋_GB2312"/>
          <w:b/>
          <w:color w:val="auto"/>
          <w:sz w:val="24"/>
        </w:rPr>
      </w:pPr>
      <w:r>
        <w:rPr>
          <w:rFonts w:hint="eastAsia" w:ascii="仿宋_GB2312" w:eastAsia="仿宋_GB2312"/>
          <w:b/>
          <w:color w:val="auto"/>
          <w:sz w:val="24"/>
        </w:rPr>
        <w:t>附件1：</w:t>
      </w:r>
      <w:bookmarkStart w:id="136" w:name="_Toc251742866"/>
      <w:r>
        <w:rPr>
          <w:rFonts w:hint="eastAsia" w:ascii="仿宋_GB2312" w:eastAsia="仿宋_GB2312"/>
          <w:b/>
          <w:color w:val="auto"/>
          <w:sz w:val="24"/>
        </w:rPr>
        <w:t>质疑函</w:t>
      </w:r>
      <w:bookmarkEnd w:id="136"/>
      <w:r>
        <w:rPr>
          <w:rFonts w:hint="eastAsia" w:ascii="仿宋_GB2312" w:eastAsia="仿宋_GB2312"/>
          <w:b/>
          <w:color w:val="auto"/>
          <w:sz w:val="24"/>
        </w:rPr>
        <w:t>格式</w:t>
      </w:r>
    </w:p>
    <w:p>
      <w:pPr>
        <w:pStyle w:val="22"/>
        <w:spacing w:line="500" w:lineRule="exact"/>
        <w:ind w:firstLine="2402" w:firstLineChars="1000"/>
        <w:jc w:val="left"/>
        <w:rPr>
          <w:rFonts w:ascii="华文仿宋" w:hAnsi="华文仿宋" w:eastAsia="华文仿宋"/>
          <w:b/>
          <w:bCs/>
          <w:color w:val="auto"/>
          <w:sz w:val="24"/>
        </w:rPr>
      </w:pPr>
      <w:r>
        <w:rPr>
          <w:rFonts w:hint="eastAsia" w:ascii="华文仿宋" w:hAnsi="华文仿宋" w:eastAsia="华文仿宋"/>
          <w:b/>
          <w:bCs/>
          <w:color w:val="auto"/>
          <w:sz w:val="24"/>
        </w:rPr>
        <w:t>关于（项目名称）的质疑函</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海口市政府采购中心：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一、质疑供应商基本信息</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质疑供应商：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地址：                                             邮编：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联系人：                       联系电话：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授权代表：                     联系电话：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地址：                                             邮编：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二、质疑项目基本情况</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质疑项目的名称：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质疑项目的编号：                   包号：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采购人名称：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采购文件获取日期：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三、质疑事项具体内容</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质疑事项1：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事实依据：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法律依据：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质疑事项2</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四、与质疑事项相关的质疑请求</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请求：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签字(签章)：                       公章：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 xml:space="preserve">日期：    </w:t>
      </w:r>
    </w:p>
    <w:p>
      <w:pPr>
        <w:pStyle w:val="22"/>
        <w:spacing w:line="500" w:lineRule="exact"/>
        <w:jc w:val="left"/>
        <w:rPr>
          <w:rFonts w:ascii="华文仿宋" w:hAnsi="华文仿宋" w:eastAsia="华文仿宋"/>
          <w:b/>
          <w:bCs/>
          <w:color w:val="auto"/>
          <w:sz w:val="24"/>
        </w:rPr>
      </w:pPr>
      <w:r>
        <w:rPr>
          <w:rFonts w:hint="eastAsia" w:ascii="华文仿宋" w:hAnsi="华文仿宋" w:eastAsia="华文仿宋"/>
          <w:b/>
          <w:bCs/>
          <w:color w:val="auto"/>
          <w:sz w:val="24"/>
        </w:rPr>
        <w:t>质疑函制作说明：</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1.供应商提出质疑时，应提交质疑函原件，法定代表人身份证复印件、营业执照副本复印件和必要的证明材料。</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3.质疑供应商若对项目的某一分包进行质疑，质疑函中应列明具体分包号。</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4.质疑函的质疑事项应具体、明确，并有必要的事实依据和法律依据。</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5.质疑函的质疑请求应与质疑事项相关。</w:t>
      </w:r>
    </w:p>
    <w:p>
      <w:pPr>
        <w:pStyle w:val="7"/>
        <w:rPr>
          <w:color w:val="auto"/>
        </w:rPr>
      </w:pPr>
      <w:r>
        <w:rPr>
          <w:rFonts w:hint="eastAsia" w:ascii="仿宋_GB2312" w:hAnsi="宋体" w:eastAsia="仿宋_GB2312"/>
          <w:b/>
          <w:color w:val="auto"/>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7.不按以上质疑函格式要求填写或不符合质疑函制作说明的，集中采购代理机构将不予受理。</w:t>
      </w:r>
    </w:p>
    <w:p>
      <w:pPr>
        <w:pStyle w:val="7"/>
        <w:rPr>
          <w:color w:val="auto"/>
        </w:rPr>
        <w:sectPr>
          <w:pgSz w:w="11906" w:h="16838"/>
          <w:pgMar w:top="1440" w:right="1800" w:bottom="1440" w:left="1800" w:header="851" w:footer="992" w:gutter="0"/>
          <w:cols w:space="425" w:num="1"/>
          <w:docGrid w:type="lines" w:linePitch="312" w:charSpace="0"/>
        </w:sectPr>
      </w:pPr>
    </w:p>
    <w:p>
      <w:pPr>
        <w:pStyle w:val="7"/>
        <w:rPr>
          <w:color w:val="auto"/>
        </w:rPr>
      </w:pPr>
    </w:p>
    <w:p>
      <w:pPr>
        <w:spacing w:line="440" w:lineRule="exact"/>
        <w:rPr>
          <w:rFonts w:ascii="仿宋_GB2312" w:hAnsi="宋体" w:eastAsia="仿宋_GB2312"/>
          <w:b/>
          <w:color w:val="auto"/>
          <w:sz w:val="24"/>
        </w:rPr>
      </w:pPr>
      <w:r>
        <w:rPr>
          <w:rFonts w:hint="eastAsia" w:ascii="仿宋_GB2312" w:hAnsi="宋体" w:eastAsia="仿宋_GB2312"/>
          <w:b/>
          <w:color w:val="auto"/>
          <w:sz w:val="24"/>
        </w:rPr>
        <w:t>附件2 小微</w:t>
      </w:r>
      <w:r>
        <w:rPr>
          <w:rFonts w:ascii="仿宋_GB2312" w:hAnsi="宋体" w:eastAsia="仿宋_GB2312"/>
          <w:b/>
          <w:color w:val="auto"/>
          <w:sz w:val="24"/>
        </w:rPr>
        <w:t>企业声明函</w:t>
      </w:r>
    </w:p>
    <w:p>
      <w:pPr>
        <w:spacing w:line="440" w:lineRule="exact"/>
        <w:jc w:val="center"/>
        <w:rPr>
          <w:rFonts w:ascii="仿宋_GB2312" w:hAnsi="宋体" w:eastAsia="仿宋_GB2312"/>
          <w:b/>
          <w:color w:val="auto"/>
          <w:sz w:val="24"/>
        </w:rPr>
      </w:pPr>
      <w:r>
        <w:rPr>
          <w:rFonts w:hint="eastAsia" w:ascii="仿宋_GB2312" w:hAnsi="宋体" w:eastAsia="仿宋_GB2312"/>
          <w:b/>
          <w:color w:val="auto"/>
          <w:sz w:val="24"/>
        </w:rPr>
        <w:t>小微</w:t>
      </w:r>
      <w:r>
        <w:rPr>
          <w:rFonts w:ascii="仿宋_GB2312" w:hAnsi="宋体" w:eastAsia="仿宋_GB2312"/>
          <w:b/>
          <w:color w:val="auto"/>
          <w:sz w:val="24"/>
        </w:rPr>
        <w:t>企业声明函</w:t>
      </w:r>
      <w:r>
        <w:rPr>
          <w:rFonts w:hint="eastAsia" w:ascii="仿宋_GB2312" w:hAnsi="宋体" w:eastAsia="仿宋_GB2312"/>
          <w:b/>
          <w:color w:val="auto"/>
          <w:sz w:val="24"/>
        </w:rPr>
        <w:t>（服务类）</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　　 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 xml:space="preserve">1. </w:t>
      </w:r>
      <w:r>
        <w:rPr>
          <w:rFonts w:hint="eastAsia" w:ascii="仿宋_GB2312" w:hAnsi="宋体" w:eastAsia="仿宋_GB2312"/>
          <w:b/>
          <w:color w:val="auto"/>
          <w:sz w:val="24"/>
          <w:u w:val="single"/>
        </w:rPr>
        <w:t xml:space="preserve">（标的名称）   </w:t>
      </w:r>
      <w:r>
        <w:rPr>
          <w:rFonts w:hint="eastAsia" w:ascii="仿宋_GB2312" w:hAnsi="宋体" w:eastAsia="仿宋_GB2312"/>
          <w:b/>
          <w:color w:val="auto"/>
          <w:sz w:val="24"/>
        </w:rPr>
        <w:t>，属于</w:t>
      </w:r>
      <w:r>
        <w:rPr>
          <w:rFonts w:hint="eastAsia" w:ascii="仿宋_GB2312" w:hAnsi="宋体" w:eastAsia="仿宋_GB2312"/>
          <w:b/>
          <w:color w:val="auto"/>
          <w:sz w:val="24"/>
          <w:u w:val="single"/>
        </w:rPr>
        <w:t xml:space="preserve">（采购文件中明确的所属行业）  </w:t>
      </w:r>
      <w:r>
        <w:rPr>
          <w:rFonts w:hint="eastAsia" w:ascii="仿宋_GB2312" w:hAnsi="宋体" w:eastAsia="仿宋_GB2312"/>
          <w:b/>
          <w:color w:val="auto"/>
          <w:sz w:val="24"/>
        </w:rPr>
        <w:t>；承接企业为</w:t>
      </w:r>
      <w:r>
        <w:rPr>
          <w:rFonts w:hint="eastAsia" w:ascii="仿宋_GB2312" w:hAnsi="宋体" w:eastAsia="仿宋_GB2312"/>
          <w:b/>
          <w:color w:val="auto"/>
          <w:sz w:val="24"/>
          <w:u w:val="single"/>
        </w:rPr>
        <w:t xml:space="preserve">（企业名称）  </w:t>
      </w:r>
      <w:r>
        <w:rPr>
          <w:rFonts w:hint="eastAsia" w:ascii="仿宋_GB2312" w:hAnsi="宋体" w:eastAsia="仿宋_GB2312"/>
          <w:b/>
          <w:color w:val="auto"/>
          <w:sz w:val="24"/>
        </w:rPr>
        <w:t>，从业人员</w:t>
      </w:r>
      <w:r>
        <w:rPr>
          <w:rFonts w:hint="eastAsia" w:ascii="仿宋_GB2312" w:hAnsi="宋体" w:eastAsia="仿宋_GB2312"/>
          <w:b/>
          <w:color w:val="auto"/>
          <w:sz w:val="24"/>
          <w:u w:val="single"/>
        </w:rPr>
        <w:t xml:space="preserve">     </w:t>
      </w:r>
      <w:r>
        <w:rPr>
          <w:rFonts w:hint="eastAsia" w:ascii="仿宋_GB2312" w:hAnsi="宋体" w:eastAsia="仿宋_GB2312"/>
          <w:b/>
          <w:color w:val="auto"/>
          <w:sz w:val="24"/>
        </w:rPr>
        <w:t>人，营业收入为</w:t>
      </w:r>
      <w:r>
        <w:rPr>
          <w:rFonts w:hint="eastAsia" w:ascii="仿宋_GB2312" w:hAnsi="宋体" w:eastAsia="仿宋_GB2312"/>
          <w:b/>
          <w:color w:val="auto"/>
          <w:sz w:val="24"/>
          <w:u w:val="single"/>
        </w:rPr>
        <w:t xml:space="preserve">      </w:t>
      </w:r>
      <w:r>
        <w:rPr>
          <w:rFonts w:hint="eastAsia" w:ascii="仿宋_GB2312" w:hAnsi="宋体" w:eastAsia="仿宋_GB2312"/>
          <w:b/>
          <w:color w:val="auto"/>
          <w:sz w:val="24"/>
        </w:rPr>
        <w:t>万元，资产总额为</w:t>
      </w:r>
      <w:r>
        <w:rPr>
          <w:rFonts w:hint="eastAsia" w:ascii="仿宋_GB2312" w:hAnsi="宋体" w:eastAsia="仿宋_GB2312"/>
          <w:b/>
          <w:color w:val="auto"/>
          <w:sz w:val="24"/>
          <w:u w:val="single"/>
        </w:rPr>
        <w:t xml:space="preserve">      </w:t>
      </w:r>
      <w:r>
        <w:rPr>
          <w:rFonts w:hint="eastAsia" w:ascii="仿宋_GB2312" w:hAnsi="宋体" w:eastAsia="仿宋_GB2312"/>
          <w:b/>
          <w:color w:val="auto"/>
          <w:sz w:val="24"/>
        </w:rPr>
        <w:t>万元，属于</w:t>
      </w:r>
      <w:r>
        <w:rPr>
          <w:rFonts w:hint="eastAsia" w:ascii="仿宋_GB2312" w:hAnsi="宋体" w:eastAsia="仿宋_GB2312"/>
          <w:b/>
          <w:color w:val="auto"/>
          <w:sz w:val="24"/>
          <w:u w:val="single"/>
        </w:rPr>
        <w:t>（小型企业、微型企业）</w:t>
      </w:r>
      <w:r>
        <w:rPr>
          <w:rFonts w:hint="eastAsia" w:ascii="仿宋_GB2312" w:hAnsi="宋体" w:eastAsia="仿宋_GB2312"/>
          <w:b/>
          <w:color w:val="auto"/>
          <w:sz w:val="24"/>
        </w:rPr>
        <w:t>；</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 xml:space="preserve">2. </w:t>
      </w:r>
      <w:r>
        <w:rPr>
          <w:rFonts w:hint="eastAsia" w:ascii="仿宋_GB2312" w:hAnsi="宋体" w:eastAsia="仿宋_GB2312"/>
          <w:b/>
          <w:color w:val="auto"/>
          <w:sz w:val="24"/>
          <w:u w:val="single"/>
        </w:rPr>
        <w:t xml:space="preserve">（标的名称）   </w:t>
      </w:r>
      <w:r>
        <w:rPr>
          <w:rFonts w:hint="eastAsia" w:ascii="仿宋_GB2312" w:hAnsi="宋体" w:eastAsia="仿宋_GB2312"/>
          <w:b/>
          <w:color w:val="auto"/>
          <w:sz w:val="24"/>
        </w:rPr>
        <w:t>，属于</w:t>
      </w:r>
      <w:r>
        <w:rPr>
          <w:rFonts w:hint="eastAsia" w:ascii="仿宋_GB2312" w:hAnsi="宋体" w:eastAsia="仿宋_GB2312"/>
          <w:b/>
          <w:color w:val="auto"/>
          <w:sz w:val="24"/>
          <w:u w:val="single"/>
        </w:rPr>
        <w:t xml:space="preserve">（采购文件中明确的所属行业）  </w:t>
      </w:r>
      <w:r>
        <w:rPr>
          <w:rFonts w:hint="eastAsia" w:ascii="仿宋_GB2312" w:hAnsi="宋体" w:eastAsia="仿宋_GB2312"/>
          <w:b/>
          <w:color w:val="auto"/>
          <w:sz w:val="24"/>
        </w:rPr>
        <w:t>；承接企业为</w:t>
      </w:r>
      <w:r>
        <w:rPr>
          <w:rFonts w:hint="eastAsia" w:ascii="仿宋_GB2312" w:hAnsi="宋体" w:eastAsia="仿宋_GB2312"/>
          <w:b/>
          <w:color w:val="auto"/>
          <w:sz w:val="24"/>
          <w:u w:val="single"/>
        </w:rPr>
        <w:t xml:space="preserve">（企业名称）  </w:t>
      </w:r>
      <w:r>
        <w:rPr>
          <w:rFonts w:hint="eastAsia" w:ascii="仿宋_GB2312" w:hAnsi="宋体" w:eastAsia="仿宋_GB2312"/>
          <w:b/>
          <w:color w:val="auto"/>
          <w:sz w:val="24"/>
        </w:rPr>
        <w:t>，从业人员</w:t>
      </w:r>
      <w:r>
        <w:rPr>
          <w:rFonts w:hint="eastAsia" w:ascii="仿宋_GB2312" w:hAnsi="宋体" w:eastAsia="仿宋_GB2312"/>
          <w:b/>
          <w:color w:val="auto"/>
          <w:sz w:val="24"/>
          <w:u w:val="single"/>
        </w:rPr>
        <w:t xml:space="preserve">     </w:t>
      </w:r>
      <w:r>
        <w:rPr>
          <w:rFonts w:hint="eastAsia" w:ascii="仿宋_GB2312" w:hAnsi="宋体" w:eastAsia="仿宋_GB2312"/>
          <w:b/>
          <w:color w:val="auto"/>
          <w:sz w:val="24"/>
        </w:rPr>
        <w:t>人，营业收入为</w:t>
      </w:r>
      <w:r>
        <w:rPr>
          <w:rFonts w:hint="eastAsia" w:ascii="仿宋_GB2312" w:hAnsi="宋体" w:eastAsia="仿宋_GB2312"/>
          <w:b/>
          <w:color w:val="auto"/>
          <w:sz w:val="24"/>
          <w:u w:val="single"/>
        </w:rPr>
        <w:t xml:space="preserve">      </w:t>
      </w:r>
      <w:r>
        <w:rPr>
          <w:rFonts w:hint="eastAsia" w:ascii="仿宋_GB2312" w:hAnsi="宋体" w:eastAsia="仿宋_GB2312"/>
          <w:b/>
          <w:color w:val="auto"/>
          <w:sz w:val="24"/>
        </w:rPr>
        <w:t>万元，资产总额为</w:t>
      </w:r>
      <w:r>
        <w:rPr>
          <w:rFonts w:hint="eastAsia" w:ascii="仿宋_GB2312" w:hAnsi="宋体" w:eastAsia="仿宋_GB2312"/>
          <w:b/>
          <w:color w:val="auto"/>
          <w:sz w:val="24"/>
          <w:u w:val="single"/>
        </w:rPr>
        <w:t xml:space="preserve">      </w:t>
      </w:r>
      <w:r>
        <w:rPr>
          <w:rFonts w:hint="eastAsia" w:ascii="仿宋_GB2312" w:hAnsi="宋体" w:eastAsia="仿宋_GB2312"/>
          <w:b/>
          <w:color w:val="auto"/>
          <w:sz w:val="24"/>
        </w:rPr>
        <w:t>万元，属于</w:t>
      </w:r>
      <w:r>
        <w:rPr>
          <w:rFonts w:hint="eastAsia" w:ascii="仿宋_GB2312" w:hAnsi="宋体" w:eastAsia="仿宋_GB2312"/>
          <w:b/>
          <w:color w:val="auto"/>
          <w:sz w:val="24"/>
          <w:u w:val="single"/>
        </w:rPr>
        <w:t>（小型企业、微型企业）</w:t>
      </w:r>
      <w:r>
        <w:rPr>
          <w:rFonts w:hint="eastAsia" w:ascii="仿宋_GB2312" w:hAnsi="宋体" w:eastAsia="仿宋_GB2312"/>
          <w:b/>
          <w:color w:val="auto"/>
          <w:sz w:val="24"/>
        </w:rPr>
        <w:t>；</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w:t>
      </w:r>
    </w:p>
    <w:p>
      <w:pPr>
        <w:spacing w:line="44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以上企业，不属于大企业的分支机构，不存在控股股东为大企业的情形，也不存在与大企业的负责人为同一人的情形。</w:t>
      </w:r>
    </w:p>
    <w:p>
      <w:pPr>
        <w:spacing w:line="440" w:lineRule="exact"/>
        <w:ind w:firstLine="482" w:firstLineChars="200"/>
        <w:rPr>
          <w:rFonts w:ascii="仿宋_GB2312" w:hAnsi="宋体" w:eastAsia="仿宋_GB2312"/>
          <w:b/>
          <w:color w:val="auto"/>
          <w:sz w:val="24"/>
        </w:rPr>
      </w:pPr>
      <w:r>
        <w:rPr>
          <w:rFonts w:hint="eastAsia" w:ascii="仿宋_GB2312" w:hAnsi="宋体" w:eastAsia="仿宋_GB2312"/>
          <w:b/>
          <w:color w:val="auto"/>
          <w:sz w:val="24"/>
        </w:rPr>
        <w:t>本企业对上述声明内容的真实性负责。如有虚假，将依法承担相应责任。</w:t>
      </w:r>
    </w:p>
    <w:p>
      <w:pPr>
        <w:spacing w:line="440" w:lineRule="exact"/>
        <w:ind w:firstLine="3373" w:firstLineChars="1400"/>
        <w:rPr>
          <w:rFonts w:ascii="仿宋_GB2312" w:hAnsi="宋体" w:eastAsia="仿宋_GB2312"/>
          <w:b/>
          <w:color w:val="auto"/>
          <w:sz w:val="24"/>
        </w:rPr>
      </w:pPr>
    </w:p>
    <w:p>
      <w:pPr>
        <w:spacing w:line="440" w:lineRule="exact"/>
        <w:ind w:firstLine="4578" w:firstLineChars="1900"/>
        <w:rPr>
          <w:rFonts w:ascii="仿宋_GB2312" w:hAnsi="宋体" w:eastAsia="仿宋_GB2312"/>
          <w:b/>
          <w:color w:val="auto"/>
          <w:sz w:val="24"/>
        </w:rPr>
      </w:pPr>
      <w:r>
        <w:rPr>
          <w:rFonts w:hint="eastAsia" w:ascii="仿宋_GB2312" w:hAnsi="宋体" w:eastAsia="仿宋_GB2312"/>
          <w:b/>
          <w:color w:val="auto"/>
          <w:sz w:val="24"/>
        </w:rPr>
        <w:t>企业名称（盖章）：</w:t>
      </w:r>
    </w:p>
    <w:p>
      <w:pPr>
        <w:spacing w:line="440" w:lineRule="exact"/>
        <w:ind w:firstLine="5060" w:firstLineChars="2100"/>
        <w:rPr>
          <w:rFonts w:ascii="仿宋_GB2312" w:hAnsi="宋体" w:eastAsia="仿宋_GB2312"/>
          <w:b/>
          <w:color w:val="auto"/>
          <w:sz w:val="24"/>
        </w:rPr>
      </w:pPr>
      <w:r>
        <w:rPr>
          <w:rFonts w:hint="eastAsia" w:ascii="仿宋_GB2312" w:hAnsi="宋体" w:eastAsia="仿宋_GB2312"/>
          <w:b/>
          <w:color w:val="auto"/>
          <w:sz w:val="24"/>
        </w:rPr>
        <w:t>日 期：</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备注：从业人员、营业收入、资产总额填报上一年度数据，无上一年度数据的新成立企业可不填报。</w:t>
      </w:r>
    </w:p>
    <w:p>
      <w:pPr>
        <w:spacing w:line="440" w:lineRule="exact"/>
        <w:rPr>
          <w:rFonts w:ascii="仿宋_GB2312" w:hAnsi="宋体" w:eastAsia="仿宋_GB2312"/>
          <w:b/>
          <w:color w:val="auto"/>
          <w:sz w:val="24"/>
        </w:rPr>
      </w:pPr>
    </w:p>
    <w:p>
      <w:pPr>
        <w:spacing w:line="500" w:lineRule="exact"/>
        <w:jc w:val="left"/>
        <w:rPr>
          <w:rFonts w:ascii="仿宋_GB2312" w:hAnsi="宋体" w:eastAsia="仿宋_GB2312"/>
          <w:b/>
          <w:color w:val="auto"/>
          <w:sz w:val="24"/>
        </w:rPr>
      </w:pPr>
    </w:p>
    <w:p>
      <w:pPr>
        <w:spacing w:line="500" w:lineRule="exact"/>
        <w:jc w:val="center"/>
        <w:rPr>
          <w:rFonts w:ascii="仿宋_GB2312" w:hAnsi="宋体" w:eastAsia="仿宋_GB2312"/>
          <w:b/>
          <w:color w:val="auto"/>
          <w:sz w:val="24"/>
        </w:rPr>
      </w:pPr>
    </w:p>
    <w:p>
      <w:pPr>
        <w:spacing w:line="500" w:lineRule="exact"/>
        <w:jc w:val="center"/>
        <w:rPr>
          <w:rFonts w:ascii="仿宋_GB2312" w:hAnsi="宋体" w:eastAsia="仿宋_GB2312"/>
          <w:b/>
          <w:color w:val="auto"/>
          <w:sz w:val="24"/>
        </w:rPr>
      </w:pPr>
    </w:p>
    <w:p>
      <w:pPr>
        <w:spacing w:line="500" w:lineRule="exact"/>
        <w:jc w:val="center"/>
        <w:rPr>
          <w:rFonts w:ascii="仿宋_GB2312" w:hAnsi="宋体" w:eastAsia="仿宋_GB2312"/>
          <w:b/>
          <w:color w:val="auto"/>
          <w:sz w:val="24"/>
        </w:rPr>
      </w:pPr>
    </w:p>
    <w:p>
      <w:pPr>
        <w:spacing w:line="500" w:lineRule="exact"/>
        <w:jc w:val="center"/>
        <w:rPr>
          <w:rFonts w:ascii="仿宋_GB2312" w:hAnsi="宋体" w:eastAsia="仿宋_GB2312"/>
          <w:b/>
          <w:color w:val="auto"/>
          <w:sz w:val="24"/>
        </w:rPr>
      </w:pPr>
    </w:p>
    <w:p>
      <w:pPr>
        <w:snapToGrid w:val="0"/>
        <w:rPr>
          <w:rFonts w:ascii="宋体" w:hAnsi="宋体" w:cs="宋体"/>
          <w:bCs/>
          <w:color w:val="auto"/>
          <w:kern w:val="0"/>
          <w:szCs w:val="21"/>
          <w:lang w:val="zh-CN"/>
        </w:rPr>
      </w:pPr>
    </w:p>
    <w:p>
      <w:pPr>
        <w:snapToGrid w:val="0"/>
        <w:rPr>
          <w:rFonts w:ascii="宋体" w:hAnsi="宋体" w:cs="宋体"/>
          <w:bCs/>
          <w:color w:val="auto"/>
          <w:kern w:val="0"/>
          <w:szCs w:val="21"/>
          <w:lang w:val="zh-CN"/>
        </w:rPr>
      </w:pPr>
    </w:p>
    <w:p>
      <w:pPr>
        <w:snapToGrid w:val="0"/>
        <w:rPr>
          <w:rFonts w:ascii="宋体" w:hAnsi="宋体" w:cs="宋体"/>
          <w:b/>
          <w:color w:val="auto"/>
          <w:kern w:val="0"/>
          <w:szCs w:val="21"/>
          <w:lang w:val="zh-CN"/>
        </w:rPr>
      </w:pPr>
    </w:p>
    <w:p>
      <w:pPr>
        <w:snapToGrid w:val="0"/>
        <w:rPr>
          <w:rFonts w:ascii="宋体" w:hAnsi="宋体" w:cs="宋体"/>
          <w:b/>
          <w:color w:val="auto"/>
          <w:kern w:val="0"/>
          <w:szCs w:val="21"/>
          <w:lang w:val="zh-CN"/>
        </w:rPr>
      </w:pPr>
    </w:p>
    <w:p>
      <w:pPr>
        <w:snapToGrid w:val="0"/>
        <w:rPr>
          <w:rFonts w:ascii="宋体" w:hAnsi="宋体" w:cs="宋体"/>
          <w:b/>
          <w:color w:val="auto"/>
          <w:kern w:val="0"/>
          <w:szCs w:val="21"/>
          <w:lang w:val="zh-CN"/>
        </w:rPr>
      </w:pPr>
    </w:p>
    <w:p>
      <w:pPr>
        <w:spacing w:line="440" w:lineRule="exact"/>
        <w:rPr>
          <w:rFonts w:ascii="仿宋_GB2312" w:hAnsi="宋体" w:eastAsia="仿宋_GB2312"/>
          <w:b/>
          <w:color w:val="auto"/>
          <w:sz w:val="24"/>
          <w:lang w:val="zh-CN"/>
        </w:rPr>
      </w:pPr>
      <w:r>
        <w:rPr>
          <w:rFonts w:hint="eastAsia" w:ascii="仿宋_GB2312" w:hAnsi="宋体" w:eastAsia="仿宋_GB2312"/>
          <w:b/>
          <w:color w:val="auto"/>
          <w:sz w:val="24"/>
          <w:lang w:val="zh-CN"/>
        </w:rPr>
        <w:t>附件3：监狱企业证明文件</w:t>
      </w:r>
    </w:p>
    <w:p>
      <w:pPr>
        <w:spacing w:line="440" w:lineRule="exact"/>
        <w:rPr>
          <w:color w:val="auto"/>
        </w:rPr>
      </w:pPr>
      <w:r>
        <w:rPr>
          <w:rFonts w:hint="eastAsia" w:ascii="仿宋_GB2312" w:hAnsi="宋体" w:eastAsia="仿宋_GB2312"/>
          <w:b/>
          <w:color w:val="auto"/>
          <w:sz w:val="24"/>
          <w:lang w:val="zh-CN"/>
        </w:rPr>
        <w:t>享受政策优惠的监狱企业须提供由省级以上监狱管理局、戒毒管理局（含新疆生产建设兵团）出具的属于监狱企业的证明文件。</w:t>
      </w:r>
    </w:p>
    <w:p>
      <w:pPr>
        <w:rPr>
          <w:color w:val="auto"/>
        </w:rPr>
      </w:pPr>
      <w:r>
        <w:rPr>
          <w:rFonts w:hint="eastAsia"/>
          <w:color w:val="auto"/>
        </w:rPr>
        <w:t xml:space="preserve">         </w:t>
      </w: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jc w:val="both"/>
        <w:rPr>
          <w:rFonts w:ascii="仿宋_GB2312" w:hAnsi="宋体" w:eastAsia="仿宋_GB2312"/>
          <w:b/>
          <w:color w:val="auto"/>
          <w:sz w:val="24"/>
          <w:szCs w:val="24"/>
        </w:rPr>
      </w:pPr>
      <w:r>
        <w:rPr>
          <w:rFonts w:ascii="仿宋_GB2312" w:hAnsi="宋体" w:eastAsia="仿宋_GB2312"/>
          <w:b/>
          <w:color w:val="auto"/>
          <w:sz w:val="24"/>
          <w:szCs w:val="24"/>
        </w:rPr>
        <w:t>附件4残疾人福利性单位声明函</w:t>
      </w:r>
    </w:p>
    <w:p>
      <w:pPr>
        <w:pStyle w:val="12"/>
        <w:spacing w:line="500" w:lineRule="exact"/>
        <w:rPr>
          <w:rFonts w:ascii="仿宋_GB2312" w:hAnsi="宋体" w:eastAsia="仿宋_GB2312"/>
          <w:b/>
          <w:color w:val="auto"/>
          <w:sz w:val="24"/>
          <w:szCs w:val="24"/>
        </w:rPr>
      </w:pPr>
      <w:r>
        <w:rPr>
          <w:rFonts w:hint="eastAsia" w:ascii="仿宋_GB2312" w:hAnsi="宋体" w:eastAsia="仿宋_GB2312"/>
          <w:b/>
          <w:color w:val="auto"/>
          <w:sz w:val="24"/>
          <w:szCs w:val="24"/>
        </w:rPr>
        <w:t xml:space="preserve">  </w:t>
      </w:r>
      <w:r>
        <w:rPr>
          <w:rFonts w:ascii="仿宋_GB2312" w:hAnsi="宋体" w:eastAsia="仿宋_GB2312"/>
          <w:b/>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
        <w:spacing w:line="500" w:lineRule="exact"/>
        <w:rPr>
          <w:rFonts w:ascii="仿宋_GB2312" w:hAnsi="宋体" w:eastAsia="仿宋_GB2312"/>
          <w:b/>
          <w:color w:val="auto"/>
          <w:sz w:val="24"/>
          <w:szCs w:val="24"/>
        </w:rPr>
      </w:pPr>
      <w:r>
        <w:rPr>
          <w:rFonts w:ascii="仿宋_GB2312" w:hAnsi="宋体" w:eastAsia="仿宋_GB2312"/>
          <w:b/>
          <w:color w:val="auto"/>
          <w:sz w:val="24"/>
          <w:szCs w:val="24"/>
        </w:rPr>
        <w:t> </w:t>
      </w:r>
    </w:p>
    <w:p>
      <w:pPr>
        <w:pStyle w:val="12"/>
        <w:spacing w:line="500" w:lineRule="exact"/>
        <w:rPr>
          <w:rFonts w:ascii="仿宋_GB2312" w:hAnsi="宋体" w:eastAsia="仿宋_GB2312"/>
          <w:b/>
          <w:color w:val="auto"/>
          <w:sz w:val="24"/>
          <w:szCs w:val="24"/>
        </w:rPr>
      </w:pPr>
      <w:r>
        <w:rPr>
          <w:rFonts w:ascii="仿宋_GB2312" w:hAnsi="宋体" w:eastAsia="仿宋_GB2312"/>
          <w:b/>
          <w:color w:val="auto"/>
          <w:sz w:val="24"/>
          <w:szCs w:val="24"/>
        </w:rPr>
        <w:t> </w:t>
      </w:r>
    </w:p>
    <w:p>
      <w:pPr>
        <w:pStyle w:val="12"/>
        <w:spacing w:line="500" w:lineRule="exact"/>
        <w:rPr>
          <w:rFonts w:ascii="仿宋_GB2312" w:hAnsi="宋体" w:eastAsia="仿宋_GB2312"/>
          <w:b/>
          <w:color w:val="auto"/>
          <w:sz w:val="24"/>
          <w:szCs w:val="24"/>
        </w:rPr>
      </w:pPr>
      <w:r>
        <w:rPr>
          <w:rFonts w:ascii="仿宋_GB2312" w:hAnsi="宋体" w:eastAsia="仿宋_GB2312"/>
          <w:b/>
          <w:color w:val="auto"/>
          <w:sz w:val="24"/>
          <w:szCs w:val="24"/>
        </w:rPr>
        <w:t>本单位对上述声明的真实性负责。如有虚假，将依法承担相应责任。</w:t>
      </w:r>
    </w:p>
    <w:p>
      <w:pPr>
        <w:pStyle w:val="12"/>
        <w:spacing w:line="500" w:lineRule="exact"/>
        <w:rPr>
          <w:rFonts w:ascii="仿宋_GB2312" w:hAnsi="宋体" w:eastAsia="仿宋_GB2312"/>
          <w:b/>
          <w:color w:val="auto"/>
          <w:sz w:val="24"/>
          <w:szCs w:val="24"/>
        </w:rPr>
      </w:pPr>
      <w:r>
        <w:rPr>
          <w:rFonts w:ascii="仿宋_GB2312" w:hAnsi="宋体" w:eastAsia="仿宋_GB2312"/>
          <w:b/>
          <w:color w:val="auto"/>
          <w:sz w:val="24"/>
          <w:szCs w:val="24"/>
        </w:rPr>
        <w:t>企业名称（盖章）：　　　　　　　　　</w:t>
      </w:r>
    </w:p>
    <w:p>
      <w:pPr>
        <w:pStyle w:val="12"/>
        <w:spacing w:line="500" w:lineRule="exact"/>
        <w:rPr>
          <w:rFonts w:ascii="仿宋_GB2312" w:hAnsi="宋体" w:eastAsia="仿宋_GB2312"/>
          <w:b/>
          <w:color w:val="auto"/>
          <w:sz w:val="24"/>
          <w:szCs w:val="24"/>
        </w:rPr>
      </w:pPr>
      <w:r>
        <w:rPr>
          <w:rFonts w:ascii="仿宋_GB2312" w:hAnsi="宋体" w:eastAsia="仿宋_GB2312"/>
          <w:b/>
          <w:color w:val="auto"/>
          <w:sz w:val="24"/>
          <w:szCs w:val="24"/>
        </w:rPr>
        <w:t>日　　　　　　期：</w:t>
      </w: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rPr>
          <w:rFonts w:ascii="仿宋_GB2312" w:hAnsi="宋体" w:eastAsia="仿宋_GB2312"/>
          <w:b/>
          <w:color w:val="auto"/>
          <w:sz w:val="24"/>
          <w:szCs w:val="24"/>
        </w:rPr>
      </w:pPr>
    </w:p>
    <w:p>
      <w:pPr>
        <w:pStyle w:val="12"/>
        <w:spacing w:line="500" w:lineRule="exact"/>
        <w:jc w:val="both"/>
        <w:rPr>
          <w:rFonts w:ascii="仿宋_GB2312" w:hAnsi="宋体" w:eastAsia="仿宋_GB2312"/>
          <w:b/>
          <w:color w:val="auto"/>
          <w:sz w:val="24"/>
          <w:szCs w:val="24"/>
        </w:rPr>
      </w:pPr>
    </w:p>
    <w:p>
      <w:pPr>
        <w:pStyle w:val="2"/>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大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42</w:t>
    </w:r>
    <w:r>
      <w:rPr>
        <w:lang w:val="zh-CN"/>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402688"/>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402682"/>
    </w:sdtPr>
    <w:sdtContent>
      <w:p>
        <w:pPr>
          <w:pStyle w:val="11"/>
          <w:jc w:val="center"/>
        </w:pPr>
        <w:r>
          <w:fldChar w:fldCharType="begin"/>
        </w:r>
        <w:r>
          <w:instrText xml:space="preserve"> PAGE   \* MERGEFORMAT </w:instrText>
        </w:r>
        <w:r>
          <w:fldChar w:fldCharType="separate"/>
        </w:r>
        <w:r>
          <w:rPr>
            <w:lang w:val="zh-CN"/>
          </w:rPr>
          <w:t>48</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 w:val="18"/>
        <w:szCs w:val="18"/>
      </w:rPr>
    </w:pPr>
    <w:r>
      <w:rPr>
        <w:rFonts w:hint="eastAsia" w:ascii="宋体" w:hAnsi="宋体"/>
        <w:sz w:val="18"/>
        <w:szCs w:val="18"/>
      </w:rPr>
      <w:t>海口市政府采购中心              海口市疾病预防控制中心2021-2022物业管理项目/HKGP-2020-0030</w:t>
    </w:r>
  </w:p>
  <w:p>
    <w:pPr>
      <w:pStyle w:val="12"/>
      <w:jc w:val="both"/>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18"/>
        <w:szCs w:val="18"/>
      </w:rPr>
    </w:pPr>
    <w:r>
      <w:rPr>
        <w:rFonts w:hint="eastAsia" w:ascii="宋体" w:hAnsi="宋体"/>
        <w:sz w:val="18"/>
        <w:szCs w:val="18"/>
      </w:rPr>
      <w:t>海口市政府采购中心       海口市疾病预防控制中心2021-2022物业管理项目/HKGP-2020-0030</w:t>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42ED7"/>
    <w:multiLevelType w:val="singleLevel"/>
    <w:tmpl w:val="D8342ED7"/>
    <w:lvl w:ilvl="0" w:tentative="0">
      <w:start w:val="1"/>
      <w:numFmt w:val="decimal"/>
      <w:suff w:val="nothing"/>
      <w:lvlText w:val="%1、"/>
      <w:lvlJc w:val="left"/>
    </w:lvl>
  </w:abstractNum>
  <w:abstractNum w:abstractNumId="1">
    <w:nsid w:val="0000000F"/>
    <w:multiLevelType w:val="singleLevel"/>
    <w:tmpl w:val="0000000F"/>
    <w:lvl w:ilvl="0" w:tentative="0">
      <w:start w:val="1"/>
      <w:numFmt w:val="decimal"/>
      <w:lvlText w:val="%1."/>
      <w:lvlJc w:val="left"/>
      <w:pPr>
        <w:tabs>
          <w:tab w:val="left" w:pos="425"/>
        </w:tabs>
        <w:ind w:left="425" w:hanging="425"/>
      </w:pPr>
      <w:rPr>
        <w:rFonts w:hint="default" w:cs="Times New Roman"/>
      </w:rPr>
    </w:lvl>
  </w:abstractNum>
  <w:abstractNum w:abstractNumId="2">
    <w:nsid w:val="2AF4E903"/>
    <w:multiLevelType w:val="singleLevel"/>
    <w:tmpl w:val="2AF4E903"/>
    <w:lvl w:ilvl="0" w:tentative="0">
      <w:start w:val="2"/>
      <w:numFmt w:val="chineseCounting"/>
      <w:suff w:val="space"/>
      <w:lvlText w:val="第%1章"/>
      <w:lvlJc w:val="left"/>
      <w:rPr>
        <w:rFonts w:hint="eastAsia"/>
      </w:rPr>
    </w:lvl>
  </w:abstractNum>
  <w:abstractNum w:abstractNumId="3">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73F9D"/>
    <w:rsid w:val="0000170F"/>
    <w:rsid w:val="0006731F"/>
    <w:rsid w:val="000F67CE"/>
    <w:rsid w:val="001B4CED"/>
    <w:rsid w:val="002823BD"/>
    <w:rsid w:val="004A55D3"/>
    <w:rsid w:val="005108A5"/>
    <w:rsid w:val="005A077C"/>
    <w:rsid w:val="006B7516"/>
    <w:rsid w:val="007266E2"/>
    <w:rsid w:val="00876840"/>
    <w:rsid w:val="008E4EF8"/>
    <w:rsid w:val="00DB4532"/>
    <w:rsid w:val="00E96905"/>
    <w:rsid w:val="00EB1811"/>
    <w:rsid w:val="00EB3714"/>
    <w:rsid w:val="00FC4B05"/>
    <w:rsid w:val="00FD694A"/>
    <w:rsid w:val="020050CB"/>
    <w:rsid w:val="040D3C69"/>
    <w:rsid w:val="09B7788B"/>
    <w:rsid w:val="0BD90EE9"/>
    <w:rsid w:val="12AA37BE"/>
    <w:rsid w:val="132D6E78"/>
    <w:rsid w:val="137C0484"/>
    <w:rsid w:val="15342B09"/>
    <w:rsid w:val="15C97FF1"/>
    <w:rsid w:val="195A634B"/>
    <w:rsid w:val="1DD6590F"/>
    <w:rsid w:val="1F8362F0"/>
    <w:rsid w:val="1FF54530"/>
    <w:rsid w:val="24333921"/>
    <w:rsid w:val="24346E9F"/>
    <w:rsid w:val="245E5334"/>
    <w:rsid w:val="25B06D46"/>
    <w:rsid w:val="264F15E3"/>
    <w:rsid w:val="27460791"/>
    <w:rsid w:val="2F5D1792"/>
    <w:rsid w:val="2FF50600"/>
    <w:rsid w:val="32B27ACC"/>
    <w:rsid w:val="3E1F34C9"/>
    <w:rsid w:val="40172C0E"/>
    <w:rsid w:val="406B4CD0"/>
    <w:rsid w:val="44CB7C61"/>
    <w:rsid w:val="4A170AA1"/>
    <w:rsid w:val="4ED72540"/>
    <w:rsid w:val="502B260A"/>
    <w:rsid w:val="529B479D"/>
    <w:rsid w:val="53E73F9D"/>
    <w:rsid w:val="542B47E5"/>
    <w:rsid w:val="56E93C26"/>
    <w:rsid w:val="57340E32"/>
    <w:rsid w:val="596801AA"/>
    <w:rsid w:val="5C495DD3"/>
    <w:rsid w:val="5E27220C"/>
    <w:rsid w:val="5FB72636"/>
    <w:rsid w:val="640929F0"/>
    <w:rsid w:val="6E465867"/>
    <w:rsid w:val="6F3326BD"/>
    <w:rsid w:val="72440D8F"/>
    <w:rsid w:val="72890BE1"/>
    <w:rsid w:val="7C025169"/>
    <w:rsid w:val="7F037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link w:val="2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qFormat/>
    <w:uiPriority w:val="0"/>
    <w:pPr>
      <w:snapToGrid w:val="0"/>
      <w:spacing w:line="360" w:lineRule="auto"/>
      <w:ind w:firstLine="538" w:firstLineChars="192"/>
    </w:pPr>
    <w:rPr>
      <w:rFonts w:ascii="仿宋_GB2312" w:eastAsia="仿宋_GB2312"/>
      <w:bCs/>
      <w:sz w:val="28"/>
      <w:szCs w:val="28"/>
    </w:rPr>
  </w:style>
  <w:style w:type="paragraph" w:styleId="9">
    <w:name w:val="Plain Text"/>
    <w:basedOn w:val="1"/>
    <w:qFormat/>
    <w:uiPriority w:val="0"/>
    <w:rPr>
      <w:rFonts w:ascii="宋体" w:hAnsi="Courier New"/>
      <w:szCs w:val="20"/>
    </w:rPr>
  </w:style>
  <w:style w:type="paragraph" w:styleId="10">
    <w:name w:val="Balloon Text"/>
    <w:basedOn w:val="1"/>
    <w:link w:val="25"/>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5">
    <w:name w:val="Body Text First Indent 2"/>
    <w:basedOn w:val="8"/>
    <w:unhideWhenUsed/>
    <w:qFormat/>
    <w:uiPriority w:val="0"/>
    <w:pPr>
      <w:spacing w:after="120" w:line="240" w:lineRule="auto"/>
      <w:ind w:left="420" w:leftChars="200" w:firstLine="420" w:firstLineChars="200"/>
    </w:pPr>
    <w:rPr>
      <w:sz w:val="21"/>
      <w:szCs w:val="21"/>
    </w:rPr>
  </w:style>
  <w:style w:type="character" w:styleId="18">
    <w:name w:val="page number"/>
    <w:basedOn w:val="17"/>
    <w:qFormat/>
    <w:uiPriority w:val="0"/>
  </w:style>
  <w:style w:type="character" w:styleId="19">
    <w:name w:val="Hyperlink"/>
    <w:basedOn w:val="17"/>
    <w:qFormat/>
    <w:uiPriority w:val="0"/>
    <w:rPr>
      <w:color w:val="013F7C"/>
      <w:u w:val="none"/>
    </w:rPr>
  </w:style>
  <w:style w:type="character" w:styleId="20">
    <w:name w:val="annotation reference"/>
    <w:basedOn w:val="17"/>
    <w:qFormat/>
    <w:uiPriority w:val="0"/>
    <w:rPr>
      <w:sz w:val="21"/>
      <w:szCs w:val="21"/>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样式3"/>
    <w:basedOn w:val="9"/>
    <w:qFormat/>
    <w:uiPriority w:val="0"/>
    <w:pPr>
      <w:spacing w:line="0" w:lineRule="atLeast"/>
      <w:outlineLvl w:val="0"/>
    </w:pPr>
    <w:rPr>
      <w:sz w:val="28"/>
      <w:szCs w:val="24"/>
    </w:rPr>
  </w:style>
  <w:style w:type="paragraph" w:customStyle="1" w:styleId="23">
    <w:name w:val="正文1"/>
    <w:qFormat/>
    <w:uiPriority w:val="0"/>
    <w:pPr>
      <w:jc w:val="both"/>
    </w:pPr>
    <w:rPr>
      <w:rFonts w:ascii="Calibri" w:hAnsi="Calibri" w:eastAsia="宋体" w:cs="宋体"/>
      <w:kern w:val="2"/>
      <w:sz w:val="21"/>
      <w:szCs w:val="21"/>
      <w:lang w:val="en-US" w:eastAsia="zh-CN" w:bidi="ar-SA"/>
    </w:rPr>
  </w:style>
  <w:style w:type="paragraph" w:customStyle="1" w:styleId="24">
    <w:name w:val="Normal_18"/>
    <w:qFormat/>
    <w:uiPriority w:val="0"/>
    <w:rPr>
      <w:rFonts w:ascii="Times New Roman" w:hAnsi="Times New Roman" w:eastAsia="宋体" w:cs="Times New Roman"/>
      <w:sz w:val="21"/>
      <w:lang w:val="en-US" w:eastAsia="zh-CN" w:bidi="ar-SA"/>
    </w:rPr>
  </w:style>
  <w:style w:type="character" w:customStyle="1" w:styleId="25">
    <w:name w:val="批注框文本 Char"/>
    <w:basedOn w:val="17"/>
    <w:link w:val="10"/>
    <w:qFormat/>
    <w:uiPriority w:val="0"/>
    <w:rPr>
      <w:kern w:val="2"/>
      <w:sz w:val="18"/>
      <w:szCs w:val="18"/>
    </w:rPr>
  </w:style>
  <w:style w:type="character" w:customStyle="1" w:styleId="26">
    <w:name w:val="标题 4 Char"/>
    <w:basedOn w:val="17"/>
    <w:link w:val="5"/>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50</Pages>
  <Words>25104</Words>
  <Characters>5761</Characters>
  <Lines>48</Lines>
  <Paragraphs>61</Paragraphs>
  <TotalTime>36</TotalTime>
  <ScaleCrop>false</ScaleCrop>
  <LinksUpToDate>false</LinksUpToDate>
  <CharactersWithSpaces>30804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2021-01-12T03:16:00Z</dcterms:created>
  <dc:creator>随风</dc:creator>
  <cp:lastModifiedBy>Administrator</cp:lastModifiedBy>
  <dcterms:modified xsi:type="dcterms:W3CDTF">2021-01-18T08:44:46Z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