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line="400" w:lineRule="exact"/>
        <w:jc w:val="center"/>
        <w:rPr>
          <w:rFonts w:hAnsi="宋体"/>
          <w:sz w:val="40"/>
        </w:rPr>
      </w:pPr>
      <w:r>
        <w:rPr>
          <w:rFonts w:hAnsi="宋体"/>
          <w:sz w:val="40"/>
        </w:rPr>
        <w:t>工程量清单</w:t>
      </w:r>
    </w:p>
    <w:p>
      <w:pPr>
        <w:jc w:val="center"/>
        <w:rPr>
          <w:rFonts w:hint="eastAsia"/>
          <w:b/>
          <w:sz w:val="40"/>
          <w:szCs w:val="44"/>
        </w:rPr>
      </w:pPr>
      <w:r>
        <w:rPr>
          <w:rFonts w:hint="eastAsia"/>
          <w:b/>
          <w:sz w:val="40"/>
          <w:szCs w:val="44"/>
        </w:rPr>
        <w:t>编 制 说 明</w:t>
      </w:r>
    </w:p>
    <w:p>
      <w:pPr>
        <w:widowControl/>
        <w:numPr>
          <w:ilvl w:val="0"/>
          <w:numId w:val="1"/>
        </w:numPr>
        <w:spacing w:after="200" w:line="312" w:lineRule="auto"/>
        <w:jc w:val="left"/>
        <w:rPr>
          <w:rFonts w:ascii="宋体" w:hAnsi="宋体" w:cs="宋体"/>
          <w:b/>
          <w:bCs/>
        </w:rPr>
      </w:pPr>
      <w:r>
        <w:rPr>
          <w:rFonts w:hint="eastAsia" w:ascii="宋体" w:hAnsi="宋体" w:cs="宋体"/>
          <w:b/>
          <w:bCs/>
        </w:rPr>
        <w:t>委托人：儋州市民族事务局</w:t>
      </w:r>
    </w:p>
    <w:p>
      <w:pPr>
        <w:widowControl/>
        <w:numPr>
          <w:ilvl w:val="0"/>
          <w:numId w:val="1"/>
        </w:numPr>
        <w:spacing w:after="200" w:line="312" w:lineRule="auto"/>
        <w:jc w:val="left"/>
        <w:rPr>
          <w:rFonts w:ascii="宋体" w:hAnsi="宋体" w:cs="宋体"/>
          <w:b/>
          <w:bCs/>
        </w:rPr>
      </w:pPr>
      <w:r>
        <w:rPr>
          <w:rFonts w:hint="eastAsia" w:ascii="宋体" w:hAnsi="宋体" w:cs="宋体"/>
          <w:b/>
          <w:bCs/>
        </w:rPr>
        <w:t>工程概况</w:t>
      </w:r>
    </w:p>
    <w:p>
      <w:pPr>
        <w:widowControl/>
        <w:numPr>
          <w:ilvl w:val="0"/>
          <w:numId w:val="2"/>
        </w:numPr>
        <w:spacing w:after="200" w:line="312" w:lineRule="auto"/>
        <w:jc w:val="left"/>
        <w:rPr>
          <w:rFonts w:ascii="宋体" w:hAnsi="宋体" w:cs="宋体"/>
        </w:rPr>
      </w:pPr>
      <w:r>
        <w:rPr>
          <w:rFonts w:hint="eastAsia" w:ascii="宋体" w:hAnsi="宋体" w:cs="宋体"/>
        </w:rPr>
        <w:t>工程名称：兰洋镇番新村委会新发村苗族特色村寨立面改造建设项目</w:t>
      </w:r>
    </w:p>
    <w:p>
      <w:pPr>
        <w:widowControl/>
        <w:numPr>
          <w:ilvl w:val="0"/>
          <w:numId w:val="2"/>
        </w:numPr>
        <w:spacing w:after="200" w:line="312" w:lineRule="auto"/>
        <w:jc w:val="left"/>
        <w:rPr>
          <w:rFonts w:ascii="宋体" w:hAnsi="宋体" w:cs="宋体"/>
        </w:rPr>
      </w:pPr>
      <w:r>
        <w:rPr>
          <w:rFonts w:hint="eastAsia" w:ascii="宋体" w:hAnsi="宋体" w:cs="宋体"/>
        </w:rPr>
        <w:t>建设地点：儋州市兰洋镇</w:t>
      </w:r>
    </w:p>
    <w:p>
      <w:pPr>
        <w:widowControl/>
        <w:numPr>
          <w:ilvl w:val="0"/>
          <w:numId w:val="2"/>
        </w:numPr>
        <w:spacing w:after="200" w:line="312" w:lineRule="auto"/>
        <w:jc w:val="left"/>
        <w:rPr>
          <w:rFonts w:ascii="宋体" w:hAnsi="宋体" w:cs="宋体"/>
        </w:rPr>
      </w:pPr>
      <w:r>
        <w:rPr>
          <w:rFonts w:hint="eastAsia" w:ascii="宋体" w:hAnsi="宋体" w:cs="宋体"/>
        </w:rPr>
        <w:t>工程用途：公用建筑</w:t>
      </w:r>
    </w:p>
    <w:p>
      <w:pPr>
        <w:spacing w:line="312" w:lineRule="auto"/>
        <w:rPr>
          <w:rFonts w:ascii="宋体" w:hAnsi="宋体" w:cs="宋体"/>
        </w:rPr>
      </w:pPr>
      <w:r>
        <w:rPr>
          <w:rFonts w:hint="eastAsia" w:ascii="宋体" w:hAnsi="宋体" w:cs="宋体"/>
        </w:rPr>
        <w:t>4、情况说明：本工程主要用于兰洋镇番新村委会新发村苗族特色村寨立面改造建设项目。</w:t>
      </w:r>
    </w:p>
    <w:p>
      <w:pPr>
        <w:widowControl/>
        <w:numPr>
          <w:ilvl w:val="0"/>
          <w:numId w:val="1"/>
        </w:numPr>
        <w:spacing w:after="200" w:line="312" w:lineRule="auto"/>
        <w:jc w:val="left"/>
        <w:rPr>
          <w:rFonts w:ascii="宋体" w:hAnsi="宋体" w:cs="宋体"/>
          <w:b/>
          <w:bCs/>
        </w:rPr>
      </w:pPr>
      <w:r>
        <w:rPr>
          <w:rFonts w:hint="eastAsia" w:ascii="宋体" w:hAnsi="宋体" w:cs="宋体"/>
          <w:b/>
          <w:bCs/>
        </w:rPr>
        <w:t>編制范围</w:t>
      </w:r>
    </w:p>
    <w:p>
      <w:pPr>
        <w:spacing w:line="312" w:lineRule="auto"/>
        <w:rPr>
          <w:rFonts w:ascii="宋体" w:hAnsi="宋体" w:cs="宋体"/>
        </w:rPr>
      </w:pPr>
      <w:r>
        <w:rPr>
          <w:rFonts w:hint="eastAsia" w:ascii="宋体" w:hAnsi="宋体" w:cs="宋体"/>
        </w:rPr>
        <w:t>本工程编制范围为兰洋镇番新村委会新发村苗族特色村寨立面改造建设项目工程量清单。</w:t>
      </w:r>
    </w:p>
    <w:p>
      <w:pPr>
        <w:widowControl/>
        <w:numPr>
          <w:ilvl w:val="0"/>
          <w:numId w:val="1"/>
        </w:numPr>
        <w:spacing w:after="200" w:line="312" w:lineRule="auto"/>
        <w:jc w:val="left"/>
        <w:rPr>
          <w:rFonts w:ascii="宋体" w:hAnsi="宋体" w:cs="宋体"/>
          <w:b/>
          <w:bCs/>
        </w:rPr>
      </w:pPr>
      <w:r>
        <w:rPr>
          <w:rFonts w:hint="eastAsia" w:ascii="宋体" w:hAnsi="宋体" w:cs="宋体"/>
          <w:b/>
          <w:bCs/>
        </w:rPr>
        <w:t>编制原则</w:t>
      </w:r>
    </w:p>
    <w:p>
      <w:pPr>
        <w:spacing w:line="312" w:lineRule="auto"/>
        <w:rPr>
          <w:rFonts w:ascii="宋体" w:hAnsi="宋体" w:cs="宋体"/>
        </w:rPr>
      </w:pPr>
      <w:r>
        <w:rPr>
          <w:rFonts w:hint="eastAsia" w:ascii="宋体" w:hAnsi="宋体" w:cs="宋体"/>
        </w:rPr>
        <w:t>1、严格执行国家及海南省的建设方针、法律法规和造价管理有关规定的原则。</w:t>
      </w:r>
    </w:p>
    <w:p>
      <w:pPr>
        <w:spacing w:line="312" w:lineRule="auto"/>
        <w:rPr>
          <w:rFonts w:ascii="宋体" w:hAnsi="宋体" w:cs="宋体"/>
        </w:rPr>
      </w:pPr>
      <w:r>
        <w:rPr>
          <w:rFonts w:hint="eastAsia" w:ascii="宋体" w:hAnsi="宋体" w:cs="宋体"/>
        </w:rPr>
        <w:t>2、严格按照有关部门颁布的定额及发布的造价信息价格、相关文件的原则。</w:t>
      </w:r>
    </w:p>
    <w:p>
      <w:pPr>
        <w:spacing w:line="312" w:lineRule="auto"/>
        <w:rPr>
          <w:rFonts w:ascii="宋体" w:hAnsi="宋体" w:cs="宋体"/>
        </w:rPr>
      </w:pPr>
      <w:r>
        <w:rPr>
          <w:rFonts w:hint="eastAsia" w:ascii="宋体" w:hAnsi="宋体" w:cs="宋体"/>
        </w:rPr>
        <w:t>3、客观、公正、公平的原则。</w:t>
      </w:r>
    </w:p>
    <w:p>
      <w:pPr>
        <w:spacing w:line="312" w:lineRule="auto"/>
        <w:rPr>
          <w:rFonts w:ascii="宋体" w:hAnsi="宋体" w:cs="宋体"/>
          <w:b/>
          <w:bCs/>
        </w:rPr>
      </w:pPr>
      <w:r>
        <w:rPr>
          <w:rFonts w:hint="eastAsia" w:ascii="宋体" w:hAnsi="宋体" w:cs="宋体"/>
          <w:b/>
          <w:bCs/>
        </w:rPr>
        <w:t>五、编制依据</w:t>
      </w:r>
    </w:p>
    <w:p>
      <w:pPr>
        <w:spacing w:line="312" w:lineRule="auto"/>
        <w:rPr>
          <w:rFonts w:ascii="宋体" w:hAnsi="宋体" w:cs="宋体"/>
        </w:rPr>
      </w:pPr>
      <w:r>
        <w:rPr>
          <w:rFonts w:hint="eastAsia" w:ascii="宋体" w:hAnsi="宋体" w:cs="宋体"/>
        </w:rPr>
        <w:t>1、《兰洋镇番新村委会新发村苗族特色村寨立面改造建设项目》（中伦建筑工程设计有限公司）施工设计图纸；</w:t>
      </w:r>
    </w:p>
    <w:p>
      <w:pPr>
        <w:spacing w:line="312" w:lineRule="auto"/>
        <w:rPr>
          <w:rFonts w:ascii="宋体" w:hAnsi="宋体" w:cs="宋体"/>
        </w:rPr>
      </w:pPr>
      <w:r>
        <w:rPr>
          <w:rFonts w:hint="eastAsia" w:ascii="宋体" w:hAnsi="宋体" w:cs="宋体"/>
        </w:rPr>
        <w:t>2、相关标准图集及国家地方颁布的施工规范；</w:t>
      </w:r>
    </w:p>
    <w:p>
      <w:pPr>
        <w:spacing w:line="312" w:lineRule="auto"/>
        <w:rPr>
          <w:rFonts w:ascii="宋体" w:hAnsi="宋体" w:cs="宋体"/>
        </w:rPr>
      </w:pPr>
      <w:r>
        <w:rPr>
          <w:rFonts w:hint="eastAsia" w:ascii="宋体" w:hAnsi="宋体" w:cs="宋体"/>
        </w:rPr>
        <w:t>3、《建筑工程建筑面积计算规范》（GB/T 50353-2013）；</w:t>
      </w:r>
    </w:p>
    <w:p>
      <w:pPr>
        <w:spacing w:line="312" w:lineRule="auto"/>
        <w:rPr>
          <w:rFonts w:ascii="宋体" w:hAnsi="宋体" w:cs="宋体"/>
        </w:rPr>
      </w:pPr>
      <w:r>
        <w:rPr>
          <w:rFonts w:hint="eastAsia" w:ascii="宋体" w:hAnsi="宋体" w:cs="宋体"/>
        </w:rPr>
        <w:t>4、中华人民共和国国家标准《建设工程工程量清单计价规范》（GB50500-2013)；</w:t>
      </w:r>
    </w:p>
    <w:p>
      <w:pPr>
        <w:spacing w:line="312" w:lineRule="auto"/>
        <w:rPr>
          <w:rFonts w:ascii="宋体" w:hAnsi="宋体" w:cs="宋体"/>
        </w:rPr>
      </w:pPr>
      <w:r>
        <w:rPr>
          <w:rFonts w:hint="eastAsia" w:ascii="宋体" w:hAnsi="宋体" w:cs="宋体"/>
        </w:rPr>
        <w:t>5、国家及地方行业颁发的相关计费标准。</w:t>
      </w:r>
    </w:p>
    <w:p>
      <w:pPr>
        <w:spacing w:line="312" w:lineRule="auto"/>
        <w:rPr>
          <w:rFonts w:ascii="宋体" w:hAnsi="宋体" w:cs="宋体"/>
        </w:rPr>
      </w:pPr>
      <w:r>
        <w:rPr>
          <w:rFonts w:hint="eastAsia" w:ascii="宋体" w:hAnsi="宋体" w:cs="宋体"/>
          <w:b/>
          <w:bCs/>
        </w:rPr>
        <w:t>六、编制方法</w:t>
      </w:r>
      <w:r>
        <w:rPr>
          <w:rFonts w:hint="eastAsia" w:ascii="宋体" w:hAnsi="宋体" w:cs="宋体"/>
        </w:rPr>
        <w:t>（工程量清单计价法）</w:t>
      </w:r>
    </w:p>
    <w:p>
      <w:pPr>
        <w:spacing w:line="312" w:lineRule="auto"/>
        <w:rPr>
          <w:rFonts w:ascii="宋体" w:hAnsi="宋体" w:cs="宋体"/>
        </w:rPr>
      </w:pPr>
      <w:r>
        <w:rPr>
          <w:rFonts w:hint="eastAsia" w:ascii="宋体" w:hAnsi="宋体" w:cs="宋体"/>
        </w:rPr>
        <w:t>1、收集业务资料，熟悉施工图纸及相关文件；</w:t>
      </w:r>
    </w:p>
    <w:p>
      <w:pPr>
        <w:spacing w:line="312" w:lineRule="auto"/>
        <w:rPr>
          <w:rFonts w:ascii="宋体" w:hAnsi="宋体" w:cs="宋体"/>
        </w:rPr>
      </w:pPr>
      <w:r>
        <w:rPr>
          <w:rFonts w:hint="eastAsia" w:ascii="宋体" w:hAnsi="宋体" w:cs="宋体"/>
        </w:rPr>
        <w:t>2、撰写招标工程量清单编制成果文件初稿；</w:t>
      </w:r>
    </w:p>
    <w:p>
      <w:pPr>
        <w:spacing w:line="312" w:lineRule="auto"/>
        <w:rPr>
          <w:rFonts w:ascii="宋体" w:hAnsi="宋体" w:cs="宋体"/>
        </w:rPr>
      </w:pPr>
      <w:r>
        <w:rPr>
          <w:rFonts w:hint="eastAsia" w:ascii="宋体" w:hAnsi="宋体" w:cs="宋体"/>
        </w:rPr>
        <w:t>3、内部三级复核；</w:t>
      </w:r>
    </w:p>
    <w:p>
      <w:pPr>
        <w:spacing w:line="312" w:lineRule="auto"/>
        <w:rPr>
          <w:rFonts w:ascii="宋体" w:hAnsi="宋体" w:cs="宋体"/>
        </w:rPr>
      </w:pPr>
      <w:r>
        <w:rPr>
          <w:rFonts w:hint="eastAsia" w:ascii="宋体" w:hAnsi="宋体" w:cs="宋体"/>
        </w:rPr>
        <w:t>4、征求委托方意见，并进行必要的修改、完善；</w:t>
      </w:r>
    </w:p>
    <w:p>
      <w:pPr>
        <w:spacing w:line="312" w:lineRule="auto"/>
        <w:rPr>
          <w:rFonts w:ascii="宋体" w:hAnsi="宋体" w:cs="宋体"/>
        </w:rPr>
      </w:pPr>
      <w:r>
        <w:rPr>
          <w:rFonts w:hint="eastAsia" w:ascii="宋体" w:hAnsi="宋体" w:cs="宋体"/>
        </w:rPr>
        <w:t>5、进行编制结果的信息化处理，出具工程量清单报告。</w:t>
      </w:r>
    </w:p>
    <w:p>
      <w:pPr>
        <w:spacing w:line="312" w:lineRule="auto"/>
        <w:rPr>
          <w:rFonts w:ascii="宋体" w:hAnsi="宋体" w:cs="宋体"/>
          <w:b/>
          <w:bCs/>
        </w:rPr>
      </w:pPr>
      <w:r>
        <w:rPr>
          <w:rFonts w:hint="eastAsia" w:ascii="宋体" w:hAnsi="宋体" w:cs="宋体"/>
          <w:b/>
          <w:bCs/>
        </w:rPr>
        <w:t>六、有关问题说明</w:t>
      </w:r>
    </w:p>
    <w:p>
      <w:pPr>
        <w:spacing w:line="312" w:lineRule="auto"/>
        <w:rPr>
          <w:rFonts w:ascii="宋体" w:hAnsi="宋体" w:cs="宋体"/>
          <w:b/>
          <w:bCs/>
        </w:rPr>
      </w:pPr>
      <w:r>
        <w:rPr>
          <w:rFonts w:hint="eastAsia" w:ascii="宋体" w:hAnsi="宋体" w:cs="宋体"/>
          <w:b/>
          <w:bCs/>
        </w:rPr>
        <w:t>1、取费标准：</w:t>
      </w:r>
    </w:p>
    <w:p>
      <w:pPr>
        <w:spacing w:line="312" w:lineRule="auto"/>
        <w:rPr>
          <w:rFonts w:ascii="宋体" w:hAnsi="宋体" w:cs="宋体"/>
        </w:rPr>
      </w:pPr>
      <w:r>
        <w:rPr>
          <w:rFonts w:hint="eastAsia" w:ascii="宋体" w:hAnsi="宋体" w:cs="宋体"/>
        </w:rPr>
        <w:t>1）管理费、利润按各专业定额章节相应计入；</w:t>
      </w:r>
    </w:p>
    <w:p>
      <w:pPr>
        <w:spacing w:line="312" w:lineRule="auto"/>
        <w:rPr>
          <w:rFonts w:ascii="宋体" w:hAnsi="宋体" w:cs="宋体"/>
        </w:rPr>
      </w:pPr>
      <w:r>
        <w:rPr>
          <w:rFonts w:hint="eastAsia" w:ascii="宋体" w:hAnsi="宋体" w:cs="宋体"/>
        </w:rPr>
        <w:t>2）赶工费、场地二次搬运及建筑垃圾费暂不考虑计入；</w:t>
      </w:r>
    </w:p>
    <w:p>
      <w:pPr>
        <w:spacing w:line="312" w:lineRule="auto"/>
        <w:rPr>
          <w:rFonts w:ascii="宋体" w:hAnsi="宋体" w:cs="宋体"/>
        </w:rPr>
      </w:pPr>
      <w:r>
        <w:rPr>
          <w:rFonts w:hint="eastAsia" w:ascii="宋体" w:hAnsi="宋体" w:cs="宋体"/>
        </w:rPr>
        <w:t>3）安全文明施工费浮动部分暂按优秀工程100％计。</w:t>
      </w:r>
    </w:p>
    <w:p>
      <w:pPr>
        <w:spacing w:line="312" w:lineRule="auto"/>
        <w:rPr>
          <w:rFonts w:ascii="宋体" w:hAnsi="宋体" w:cs="宋体"/>
          <w:b/>
          <w:bCs/>
        </w:rPr>
      </w:pPr>
      <w:r>
        <w:rPr>
          <w:rFonts w:hint="eastAsia" w:ascii="宋体" w:hAnsi="宋体" w:cs="宋体"/>
          <w:b/>
          <w:bCs/>
        </w:rPr>
        <w:t>七、其他声明</w:t>
      </w:r>
    </w:p>
    <w:p>
      <w:pPr>
        <w:spacing w:line="312" w:lineRule="auto"/>
        <w:rPr>
          <w:rFonts w:ascii="宋体" w:hAnsi="宋体" w:cs="宋体"/>
        </w:rPr>
      </w:pPr>
      <w:r>
        <w:rPr>
          <w:rFonts w:hint="eastAsia" w:ascii="宋体" w:hAnsi="宋体" w:cs="宋体"/>
        </w:rPr>
        <w:t>1、除合同另有规定，工程量清单中有标价的单价和总额价均已包括了为实施和完成合同工程所需的劳务、材料、机械、质检、安装、缺陷修复、剔凿，洞口修补、报建、验收、第三方检测费、管理、保险、税费、利润等费用，以及合同明示或暗示的所有责任、义务和一般风险。</w:t>
      </w:r>
    </w:p>
    <w:p>
      <w:pPr>
        <w:spacing w:line="312" w:lineRule="auto"/>
        <w:rPr>
          <w:rFonts w:ascii="宋体" w:hAnsi="宋体" w:cs="宋体"/>
        </w:rPr>
      </w:pPr>
      <w:r>
        <w:rPr>
          <w:rFonts w:hint="eastAsia" w:ascii="宋体" w:hAnsi="宋体" w:cs="宋体"/>
        </w:rPr>
        <w:t>2、工程量清单中投标人未填入单价或价格的子目，其费用视为已分摊在工程量清单中其他相关子目的单价或价格之中。投标人必须按发包人指令完成工程量清单中未填入单价或价格的子目，但不能得到结算与支付。</w:t>
      </w:r>
    </w:p>
    <w:p>
      <w:pPr>
        <w:spacing w:line="312" w:lineRule="auto"/>
        <w:rPr>
          <w:rFonts w:ascii="宋体" w:hAnsi="宋体" w:cs="宋体"/>
        </w:rPr>
      </w:pPr>
      <w:r>
        <w:rPr>
          <w:rFonts w:hint="eastAsia" w:ascii="宋体" w:hAnsi="宋体" w:cs="宋体"/>
        </w:rPr>
        <w:t>3、符合合同条款规定的全部费用应认为已被计入有标价的工程量清单所列各子目之中，未列子目不予计量的工作，其费用应视为已分摊在本合同工程的有关子目的单价或总额价之中。</w:t>
      </w:r>
    </w:p>
    <w:p>
      <w:pPr>
        <w:spacing w:line="312" w:lineRule="auto"/>
        <w:rPr>
          <w:rFonts w:ascii="宋体" w:hAnsi="宋体" w:cs="宋体"/>
        </w:rPr>
      </w:pPr>
      <w:r>
        <w:rPr>
          <w:rFonts w:hint="eastAsia" w:ascii="宋体" w:hAnsi="宋体" w:cs="宋体"/>
        </w:rPr>
        <w:t>4、承包人用于本合同工程的各类装备的提供、运输、维护、拆卸、拼装等支付的费用，已包括在工程量清单的单价与总额价之中。</w:t>
      </w:r>
    </w:p>
    <w:p>
      <w:pPr>
        <w:spacing w:line="312" w:lineRule="auto"/>
        <w:rPr>
          <w:rFonts w:ascii="宋体" w:hAnsi="宋体" w:cs="宋体"/>
        </w:rPr>
      </w:pPr>
      <w:r>
        <w:rPr>
          <w:rFonts w:hint="eastAsia" w:ascii="宋体" w:hAnsi="宋体" w:cs="宋体"/>
        </w:rPr>
        <w:t>5、暂列金额及专业暂估价说明：由招标人列出，投标人按招标人提供的金额计入投标总价。</w:t>
      </w:r>
    </w:p>
    <w:p>
      <w:pPr>
        <w:spacing w:line="312" w:lineRule="auto"/>
        <w:rPr>
          <w:rFonts w:ascii="宋体" w:hAnsi="宋体" w:cs="宋体"/>
        </w:rPr>
      </w:pPr>
      <w:r>
        <w:rPr>
          <w:rFonts w:hint="eastAsia" w:ascii="宋体" w:hAnsi="宋体" w:cs="宋体"/>
        </w:rPr>
        <w:t>6、计日工说明：招标人提供相应工程量，投标人自主报价，计入投标总价。</w:t>
      </w:r>
    </w:p>
    <w:p>
      <w:pPr>
        <w:spacing w:line="312" w:lineRule="auto"/>
        <w:rPr>
          <w:rFonts w:ascii="宋体" w:hAnsi="宋体" w:cs="宋体"/>
        </w:rPr>
      </w:pPr>
      <w:r>
        <w:rPr>
          <w:rFonts w:hint="eastAsia" w:ascii="宋体" w:hAnsi="宋体" w:cs="宋体"/>
        </w:rPr>
        <w:t>7、材料暂估价按建设方招标书的要求计入。</w:t>
      </w:r>
    </w:p>
    <w:p>
      <w:pPr>
        <w:spacing w:line="312" w:lineRule="auto"/>
        <w:rPr>
          <w:rFonts w:ascii="宋体" w:hAnsi="宋体" w:cs="宋体"/>
        </w:rPr>
      </w:pPr>
      <w:r>
        <w:rPr>
          <w:rFonts w:hint="eastAsia" w:ascii="宋体" w:hAnsi="宋体" w:cs="宋体"/>
        </w:rPr>
        <w:t>8、工程量清单及其计价格式中的任何内容不得删除或涂改。（业主出具书面更正的除外）</w:t>
      </w:r>
    </w:p>
    <w:p>
      <w:pPr>
        <w:spacing w:line="312" w:lineRule="auto"/>
        <w:rPr>
          <w:rFonts w:ascii="宋体" w:hAnsi="宋体" w:cs="宋体"/>
        </w:rPr>
      </w:pPr>
      <w:r>
        <w:rPr>
          <w:rFonts w:hint="eastAsia" w:ascii="宋体" w:hAnsi="宋体" w:cs="宋体"/>
        </w:rPr>
        <w:t>9、金额（价格）均应以人民币表示。</w:t>
      </w:r>
    </w:p>
    <w:p>
      <w:pPr>
        <w:spacing w:line="312" w:lineRule="auto"/>
        <w:rPr>
          <w:rFonts w:ascii="宋体" w:hAnsi="宋体" w:cs="宋体"/>
          <w:b/>
          <w:bCs/>
        </w:rPr>
      </w:pPr>
      <w:r>
        <w:rPr>
          <w:rFonts w:hint="eastAsia" w:ascii="宋体" w:hAnsi="宋体" w:cs="宋体"/>
          <w:b/>
          <w:bCs/>
        </w:rPr>
        <w:t>八、咨询成果：</w:t>
      </w:r>
      <w:r>
        <w:rPr>
          <w:rFonts w:hint="eastAsia" w:ascii="宋体" w:hAnsi="宋体" w:cs="宋体"/>
        </w:rPr>
        <w:t>见工程量清单报告</w:t>
      </w:r>
    </w:p>
    <w:p>
      <w:pPr>
        <w:spacing w:line="312" w:lineRule="auto"/>
        <w:rPr>
          <w:rFonts w:ascii="宋体" w:hAnsi="宋体" w:cs="宋体"/>
          <w:b/>
          <w:bCs/>
        </w:rPr>
      </w:pPr>
      <w:r>
        <w:rPr>
          <w:rFonts w:hint="eastAsia" w:ascii="宋体" w:hAnsi="宋体" w:cs="宋体"/>
          <w:b/>
          <w:bCs/>
        </w:rPr>
        <w:t>九、报告附件</w:t>
      </w:r>
    </w:p>
    <w:p>
      <w:pPr>
        <w:spacing w:line="312" w:lineRule="auto"/>
        <w:rPr>
          <w:rFonts w:ascii="宋体" w:hAnsi="宋体" w:cs="宋体"/>
        </w:rPr>
      </w:pPr>
      <w:r>
        <w:rPr>
          <w:rFonts w:hint="eastAsia" w:ascii="宋体" w:hAnsi="宋体" w:cs="宋体"/>
        </w:rPr>
        <w:t>1、单项工程汇总表；</w:t>
      </w:r>
    </w:p>
    <w:p>
      <w:pPr>
        <w:spacing w:line="312" w:lineRule="auto"/>
        <w:rPr>
          <w:rFonts w:ascii="宋体" w:hAnsi="宋体" w:cs="宋体"/>
        </w:rPr>
      </w:pPr>
      <w:r>
        <w:rPr>
          <w:rFonts w:hint="eastAsia" w:ascii="宋体" w:hAnsi="宋体" w:cs="宋体"/>
        </w:rPr>
        <w:t>2、单位工程招标控制价汇总表；</w:t>
      </w:r>
    </w:p>
    <w:p>
      <w:pPr>
        <w:spacing w:line="312" w:lineRule="auto"/>
        <w:rPr>
          <w:rFonts w:ascii="宋体" w:hAnsi="宋体" w:cs="宋体"/>
        </w:rPr>
      </w:pPr>
      <w:r>
        <w:rPr>
          <w:rFonts w:hint="eastAsia" w:ascii="宋体" w:hAnsi="宋体" w:cs="宋体"/>
        </w:rPr>
        <w:t>3、分部分项工程量清单与计价表；</w:t>
      </w:r>
    </w:p>
    <w:p>
      <w:pPr>
        <w:spacing w:line="312" w:lineRule="auto"/>
        <w:rPr>
          <w:rFonts w:ascii="宋体" w:hAnsi="宋体" w:cs="宋体"/>
        </w:rPr>
      </w:pPr>
      <w:r>
        <w:rPr>
          <w:rFonts w:hint="eastAsia" w:ascii="宋体" w:hAnsi="宋体" w:cs="宋体"/>
        </w:rPr>
        <w:t>4、总价措施项目清单与计价表；</w:t>
      </w:r>
    </w:p>
    <w:p>
      <w:pPr>
        <w:spacing w:line="312" w:lineRule="auto"/>
        <w:rPr>
          <w:rFonts w:ascii="宋体" w:hAnsi="宋体" w:cs="宋体"/>
        </w:rPr>
      </w:pPr>
      <w:r>
        <w:rPr>
          <w:rFonts w:hint="eastAsia" w:ascii="宋体" w:hAnsi="宋体" w:cs="宋体"/>
        </w:rPr>
        <w:t>5、规费、税金项目清单与计价表。</w:t>
      </w:r>
    </w:p>
    <w:p>
      <w:pPr>
        <w:spacing w:line="312" w:lineRule="auto"/>
      </w:pPr>
      <w:r>
        <w:drawing>
          <wp:inline distT="0" distB="0" distL="114300" distR="114300">
            <wp:extent cx="6120130" cy="7290435"/>
            <wp:effectExtent l="0" t="0" r="13970" b="571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4"/>
                    <a:stretch>
                      <a:fillRect/>
                    </a:stretch>
                  </pic:blipFill>
                  <pic:spPr>
                    <a:xfrm>
                      <a:off x="0" y="0"/>
                      <a:ext cx="6120130" cy="7290435"/>
                    </a:xfrm>
                    <a:prstGeom prst="rect">
                      <a:avLst/>
                    </a:prstGeom>
                    <a:noFill/>
                    <a:ln>
                      <a:noFill/>
                    </a:ln>
                  </pic:spPr>
                </pic:pic>
              </a:graphicData>
            </a:graphic>
          </wp:inline>
        </w:drawing>
      </w:r>
    </w:p>
    <w:p>
      <w:pPr>
        <w:spacing w:line="312" w:lineRule="auto"/>
        <w:rPr>
          <w:rFonts w:ascii="宋体" w:hAnsi="宋体" w:cs="宋体"/>
        </w:rPr>
      </w:pPr>
      <w:r>
        <w:br w:type="page"/>
      </w:r>
      <w:r>
        <w:drawing>
          <wp:inline distT="0" distB="0" distL="114300" distR="114300">
            <wp:extent cx="6116955" cy="7560310"/>
            <wp:effectExtent l="0" t="0" r="171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116955" cy="7560310"/>
                    </a:xfrm>
                    <a:prstGeom prst="rect">
                      <a:avLst/>
                    </a:prstGeom>
                    <a:noFill/>
                    <a:ln>
                      <a:noFill/>
                    </a:ln>
                  </pic:spPr>
                </pic:pic>
              </a:graphicData>
            </a:graphic>
          </wp:inline>
        </w:drawing>
      </w:r>
      <w:r>
        <w:t xml:space="preserve"> </w:t>
      </w:r>
      <w:r>
        <w:drawing>
          <wp:inline distT="0" distB="0" distL="114300" distR="114300">
            <wp:extent cx="5209540" cy="8883015"/>
            <wp:effectExtent l="0" t="0" r="10160" b="133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6"/>
                    <a:stretch>
                      <a:fillRect/>
                    </a:stretch>
                  </pic:blipFill>
                  <pic:spPr>
                    <a:xfrm>
                      <a:off x="0" y="0"/>
                      <a:ext cx="5209540" cy="8883015"/>
                    </a:xfrm>
                    <a:prstGeom prst="rect">
                      <a:avLst/>
                    </a:prstGeom>
                    <a:noFill/>
                    <a:ln>
                      <a:noFill/>
                    </a:ln>
                  </pic:spPr>
                </pic:pic>
              </a:graphicData>
            </a:graphic>
          </wp:inline>
        </w:drawing>
      </w:r>
      <w:r>
        <w:t xml:space="preserve"> </w:t>
      </w:r>
      <w:r>
        <w:drawing>
          <wp:inline distT="0" distB="0" distL="114300" distR="114300">
            <wp:extent cx="6116955" cy="8449310"/>
            <wp:effectExtent l="0" t="0" r="1714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116955" cy="8449310"/>
                    </a:xfrm>
                    <a:prstGeom prst="rect">
                      <a:avLst/>
                    </a:prstGeom>
                    <a:noFill/>
                    <a:ln>
                      <a:noFill/>
                    </a:ln>
                  </pic:spPr>
                </pic:pic>
              </a:graphicData>
            </a:graphic>
          </wp:inline>
        </w:drawing>
      </w:r>
      <w:r>
        <w:t xml:space="preserve"> </w:t>
      </w:r>
      <w:r>
        <w:drawing>
          <wp:inline distT="0" distB="0" distL="114300" distR="114300">
            <wp:extent cx="6120130" cy="3380740"/>
            <wp:effectExtent l="0" t="0" r="13970" b="1016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8"/>
                    <a:stretch>
                      <a:fillRect/>
                    </a:stretch>
                  </pic:blipFill>
                  <pic:spPr>
                    <a:xfrm>
                      <a:off x="0" y="0"/>
                      <a:ext cx="6120130" cy="3380740"/>
                    </a:xfrm>
                    <a:prstGeom prst="rect">
                      <a:avLst/>
                    </a:prstGeom>
                    <a:noFill/>
                    <a:ln>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9BEF"/>
    <w:multiLevelType w:val="singleLevel"/>
    <w:tmpl w:val="144B9BEF"/>
    <w:lvl w:ilvl="0" w:tentative="0">
      <w:start w:val="1"/>
      <w:numFmt w:val="decimal"/>
      <w:suff w:val="nothing"/>
      <w:lvlText w:val="%1、"/>
      <w:lvlJc w:val="left"/>
    </w:lvl>
  </w:abstractNum>
  <w:abstractNum w:abstractNumId="1">
    <w:nsid w:val="75BD2B83"/>
    <w:multiLevelType w:val="singleLevel"/>
    <w:tmpl w:val="75BD2B8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755B0"/>
    <w:rsid w:val="55C7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2021-01-20T08:16:00Z</dcterms:created>
  <dc:creator>Administrator</dc:creator>
  <cp:lastModifiedBy>Administrator</cp:lastModifiedBy>
  <dcterms:modified xsi:type="dcterms:W3CDTF">2021-01-20T08:17:16Z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