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用户需求书</w:t>
      </w:r>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leftChars="0" w:firstLine="643" w:firstLineChars="200"/>
        <w:textAlignment w:val="auto"/>
        <w:rPr>
          <w:rFonts w:hint="eastAsia" w:ascii="宋体" w:hAnsi="宋体" w:eastAsia="宋体" w:cs="宋体"/>
          <w:lang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val="0"/>
        <w:spacing w:before="157" w:beforeLines="50" w:after="157" w:afterLines="50" w:line="600" w:lineRule="exact"/>
        <w:ind w:leftChars="0" w:firstLine="643" w:firstLineChars="200"/>
        <w:textAlignment w:val="auto"/>
        <w:rPr>
          <w:rFonts w:ascii="宋体" w:hAnsi="宋体" w:eastAsia="宋体" w:cs="宋体"/>
        </w:rPr>
      </w:pPr>
      <w:r>
        <w:rPr>
          <w:rFonts w:hint="eastAsia" w:ascii="宋体" w:hAnsi="宋体" w:eastAsia="宋体" w:cs="宋体"/>
          <w:lang w:eastAsia="zh-CN"/>
        </w:rPr>
        <w:t>一、</w:t>
      </w:r>
      <w:r>
        <w:rPr>
          <w:rFonts w:hint="eastAsia" w:ascii="宋体" w:hAnsi="宋体" w:eastAsia="宋体" w:cs="宋体"/>
        </w:rPr>
        <w:t>项目概况</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一）本次项目建设内容包含：“三农”服务平台支撑环境（包括硬件配置、系统软件配置）、数字“三农”服务平台（一期）、数字“三农”移动应用（一期）、已建业务应用整合、“三农”数据收集、“三农”数据整合、平台安全服务。</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（二）项目名称：海南数字“三农”服务平台（一期）——海南省农业农村综合管理信息化系统项目</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（三）建设周期：12个月</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（四）服务地点：海南省海口市</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（五）采购预算金额：1150.14万元</w:t>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157" w:beforeLines="50" w:after="157" w:afterLines="50" w:line="600" w:lineRule="exact"/>
        <w:ind w:firstLine="643" w:firstLineChars="200"/>
        <w:textAlignment w:val="auto"/>
        <w:rPr>
          <w:rFonts w:ascii="宋体" w:hAnsi="宋体" w:eastAsia="宋体" w:cs="宋体"/>
        </w:rPr>
      </w:pPr>
      <w:r>
        <w:rPr>
          <w:rFonts w:hint="eastAsia" w:ascii="宋体" w:hAnsi="宋体" w:eastAsia="宋体" w:cs="宋体"/>
          <w:lang w:eastAsia="zh-CN"/>
        </w:rPr>
        <w:t>二、</w:t>
      </w:r>
      <w:r>
        <w:rPr>
          <w:rFonts w:hint="eastAsia" w:ascii="宋体" w:hAnsi="宋体" w:eastAsia="宋体" w:cs="宋体"/>
        </w:rPr>
        <w:t>技术参数</w:t>
      </w:r>
    </w:p>
    <w:tbl>
      <w:tblPr>
        <w:tblStyle w:val="9"/>
        <w:tblW w:w="5000" w:type="pct"/>
        <w:tblInd w:w="0" w:type="dxa"/>
        <w:tblLayout w:type="fixed"/>
        <w:tblCellMar>
          <w:top w:w="0" w:type="dxa"/>
          <w:left w:w="108" w:type="dxa"/>
          <w:bottom w:w="0" w:type="dxa"/>
          <w:right w:w="108" w:type="dxa"/>
        </w:tblCellMar>
      </w:tblPr>
      <w:tblGrid>
        <w:gridCol w:w="744"/>
        <w:gridCol w:w="1829"/>
        <w:gridCol w:w="689"/>
        <w:gridCol w:w="721"/>
        <w:gridCol w:w="4539"/>
      </w:tblGrid>
      <w:tr>
        <w:tblPrEx>
          <w:tblCellMar>
            <w:top w:w="0" w:type="dxa"/>
            <w:left w:w="108" w:type="dxa"/>
            <w:bottom w:w="0" w:type="dxa"/>
            <w:right w:w="108" w:type="dxa"/>
          </w:tblCellMar>
        </w:tblPrEx>
        <w:trPr>
          <w:trHeight w:val="425" w:hRule="atLeast"/>
          <w:tblHeader/>
        </w:trPr>
        <w:tc>
          <w:tcPr>
            <w:tcW w:w="436" w:type="pct"/>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p>
        </w:tc>
        <w:tc>
          <w:tcPr>
            <w:tcW w:w="1073"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项目名称</w:t>
            </w:r>
          </w:p>
        </w:tc>
        <w:tc>
          <w:tcPr>
            <w:tcW w:w="404"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单位</w:t>
            </w:r>
          </w:p>
        </w:tc>
        <w:tc>
          <w:tcPr>
            <w:tcW w:w="423"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数量</w:t>
            </w:r>
          </w:p>
        </w:tc>
        <w:tc>
          <w:tcPr>
            <w:tcW w:w="2663"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技术参数</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硬件配置</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充分应用政务云平台资源，不</w:t>
            </w:r>
            <w:r>
              <w:rPr>
                <w:rFonts w:hint="eastAsia" w:ascii="宋体" w:hAnsi="宋体" w:eastAsia="宋体" w:cs="宋体"/>
                <w:kern w:val="0"/>
                <w:sz w:val="18"/>
                <w:szCs w:val="18"/>
              </w:rPr>
              <w:t>再</w:t>
            </w:r>
            <w:r>
              <w:rPr>
                <w:rFonts w:hint="eastAsia" w:ascii="宋体" w:hAnsi="宋体" w:eastAsia="宋体" w:cs="宋体"/>
                <w:sz w:val="18"/>
                <w:szCs w:val="18"/>
              </w:rPr>
              <w:t>另行采购</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（一）</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sz w:val="18"/>
                <w:szCs w:val="18"/>
              </w:rPr>
              <w:t>网络设备</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负载均衡设备</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（二）</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sz w:val="18"/>
                <w:szCs w:val="18"/>
              </w:rPr>
              <w:t>服务器和计算机设备</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　</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数据库集群服务器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CPU：64核</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内存：512G</w:t>
            </w:r>
          </w:p>
          <w:p>
            <w:pPr>
              <w:widowControl/>
              <w:jc w:val="left"/>
              <w:rPr>
                <w:rFonts w:ascii="宋体" w:hAnsi="宋体" w:eastAsia="宋体" w:cs="宋体"/>
                <w:sz w:val="18"/>
                <w:szCs w:val="18"/>
              </w:rPr>
            </w:pPr>
            <w:r>
              <w:rPr>
                <w:rFonts w:hint="eastAsia" w:ascii="宋体" w:hAnsi="宋体" w:eastAsia="宋体" w:cs="宋体"/>
                <w:kern w:val="0"/>
                <w:sz w:val="18"/>
                <w:szCs w:val="18"/>
              </w:rPr>
              <w:t>硬盘：2T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应用服务器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46</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虚拟机配置（8c，256G，500G)</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空间数据发布服务器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16</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虚拟机配置（8c，256G，500G)</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缓存服务器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4</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虚拟机配置（4c，8G，200G)</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备份服务器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虚拟机配置（4c，16G，200G)</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6</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lang w:eastAsia="zh-Hans"/>
              </w:rPr>
            </w:pPr>
            <w:r>
              <w:rPr>
                <w:rFonts w:hint="eastAsia" w:ascii="宋体" w:hAnsi="宋体" w:eastAsia="宋体" w:cs="宋体"/>
                <w:bCs/>
                <w:color w:val="000000"/>
                <w:sz w:val="18"/>
                <w:szCs w:val="18"/>
                <w:lang w:eastAsia="zh-Hans"/>
              </w:rPr>
              <w:t>测试服务器</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lang w:eastAsia="zh-Hans"/>
              </w:rPr>
            </w:pPr>
            <w:r>
              <w:rPr>
                <w:rFonts w:hint="eastAsia" w:ascii="宋体" w:hAnsi="宋体" w:eastAsia="宋体" w:cs="宋体"/>
                <w:kern w:val="0"/>
                <w:sz w:val="18"/>
                <w:szCs w:val="18"/>
                <w:lang w:eastAsia="zh-Hans"/>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rPr>
            </w:pPr>
            <w:r>
              <w:rPr>
                <w:rFonts w:ascii="宋体" w:hAnsi="宋体" w:eastAsia="宋体" w:cs="宋体"/>
                <w:b/>
                <w:bCs/>
                <w:color w:val="000000"/>
                <w:sz w:val="18"/>
                <w:szCs w:val="18"/>
              </w:rPr>
              <w:t>2</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虚拟机配置（4c，16G，200G)</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（三）</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lang w:eastAsia="zh-Hans"/>
              </w:rPr>
            </w:pPr>
            <w:r>
              <w:rPr>
                <w:rFonts w:hint="eastAsia" w:ascii="宋体" w:hAnsi="宋体" w:eastAsia="宋体" w:cs="宋体"/>
                <w:bCs/>
                <w:color w:val="000000"/>
                <w:sz w:val="18"/>
                <w:szCs w:val="18"/>
                <w:lang w:eastAsia="zh-Hans"/>
              </w:rPr>
              <w:t>存储设备</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lang w:eastAsia="zh-Hans"/>
              </w:rPr>
            </w:pPr>
            <w:r>
              <w:rPr>
                <w:rFonts w:hint="eastAsia" w:ascii="宋体" w:hAnsi="宋体" w:eastAsia="宋体" w:cs="宋体"/>
                <w:bCs/>
                <w:color w:val="000000"/>
                <w:sz w:val="18"/>
                <w:szCs w:val="18"/>
                <w:lang w:eastAsia="zh-Hans"/>
              </w:rPr>
              <w:t>核心数据库区存储系统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lang w:eastAsia="zh-Hans"/>
              </w:rPr>
            </w:pPr>
            <w:r>
              <w:rPr>
                <w:rFonts w:hint="eastAsia" w:ascii="宋体" w:hAnsi="宋体" w:eastAsia="宋体" w:cs="宋体"/>
                <w:kern w:val="0"/>
                <w:sz w:val="18"/>
                <w:szCs w:val="18"/>
                <w:lang w:eastAsia="zh-Hans"/>
              </w:rPr>
              <w:t>套</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lang w:eastAsia="zh-Hans"/>
              </w:rPr>
            </w:pPr>
            <w:r>
              <w:rPr>
                <w:rFonts w:hint="eastAsia" w:ascii="宋体" w:hAnsi="宋体" w:eastAsia="宋体" w:cs="宋体"/>
                <w:b/>
                <w:bCs/>
                <w:color w:val="000000"/>
                <w:sz w:val="18"/>
                <w:szCs w:val="18"/>
                <w:lang w:eastAsia="zh-Hans"/>
              </w:rPr>
              <w:t>——</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中高端存储系统</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lang w:eastAsia="zh-Hans"/>
              </w:rPr>
            </w:pPr>
            <w:r>
              <w:rPr>
                <w:rFonts w:hint="eastAsia" w:ascii="宋体" w:hAnsi="宋体" w:eastAsia="宋体" w:cs="宋体"/>
                <w:bCs/>
                <w:color w:val="000000"/>
                <w:sz w:val="18"/>
                <w:szCs w:val="18"/>
                <w:lang w:eastAsia="zh-Hans"/>
              </w:rPr>
              <w:t>备份存储系统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lang w:eastAsia="zh-Hans"/>
              </w:rPr>
            </w:pPr>
            <w:r>
              <w:rPr>
                <w:rFonts w:hint="eastAsia" w:ascii="宋体" w:hAnsi="宋体" w:eastAsia="宋体" w:cs="宋体"/>
                <w:kern w:val="0"/>
                <w:sz w:val="18"/>
                <w:szCs w:val="18"/>
                <w:lang w:eastAsia="zh-Hans"/>
              </w:rPr>
              <w:t>套</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中低端存储系统</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lang w:eastAsia="zh-Hans"/>
              </w:rPr>
            </w:pPr>
            <w:r>
              <w:rPr>
                <w:rFonts w:ascii="宋体" w:hAnsi="宋体" w:eastAsia="宋体" w:cs="宋体"/>
                <w:bCs/>
                <w:color w:val="000000"/>
                <w:sz w:val="18"/>
                <w:szCs w:val="18"/>
                <w:lang w:eastAsia="zh-Hans"/>
              </w:rPr>
              <w:t>FC</w:t>
            </w:r>
            <w:r>
              <w:rPr>
                <w:rFonts w:hint="eastAsia" w:ascii="宋体" w:hAnsi="宋体" w:eastAsia="宋体" w:cs="宋体"/>
                <w:bCs/>
                <w:color w:val="000000"/>
                <w:sz w:val="18"/>
                <w:szCs w:val="18"/>
                <w:lang w:eastAsia="zh-Hans"/>
              </w:rPr>
              <w:t>交换机</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lang w:eastAsia="zh-Hans"/>
              </w:rPr>
            </w:pPr>
            <w:r>
              <w:rPr>
                <w:rFonts w:hint="eastAsia" w:ascii="宋体" w:hAnsi="宋体" w:eastAsia="宋体" w:cs="宋体"/>
                <w:kern w:val="0"/>
                <w:sz w:val="18"/>
                <w:szCs w:val="18"/>
                <w:lang w:eastAsia="zh-Hans"/>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rPr>
            </w:pPr>
            <w:r>
              <w:rPr>
                <w:rFonts w:ascii="宋体" w:hAnsi="宋体" w:eastAsia="宋体" w:cs="宋体"/>
                <w:b/>
                <w:bCs/>
                <w:color w:val="000000"/>
                <w:sz w:val="18"/>
                <w:szCs w:val="18"/>
              </w:rPr>
              <w:t>2</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无</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Hans"/>
              </w:rPr>
              <w:t>四</w:t>
            </w:r>
            <w:r>
              <w:rPr>
                <w:rFonts w:hint="eastAsia" w:ascii="宋体" w:hAnsi="宋体" w:eastAsia="宋体" w:cs="宋体"/>
                <w:color w:val="000000"/>
                <w:sz w:val="18"/>
                <w:szCs w:val="18"/>
              </w:rPr>
              <w:t>）</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sz w:val="18"/>
                <w:szCs w:val="18"/>
              </w:rPr>
              <w:t>安全设备</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　</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堡垒主机</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数据库安全审计</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系统软件配置</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数据库及应用软件</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数据库</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大型关系型数据库,含集群服务</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应用软件</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工作流引擎、消息中间件、统一用户管理组件、报表定制组件BI分析组件、GIS服务组件等</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工作流引擎</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“三农”工作流引擎包括流程的节点管理、流向管理、流程样例管理等重要功能。</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消息中间件</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包括队列管理器、消息队列、消息发送器、消息接收器、文件传输组件、监控系统组件、节点管理器和配置组件。</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统一用户管理组件</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统一用户管理组件用于提高业务系统的访问安全性，以及信息资源访问的灵活性，并保证其中各类用户、信息资源的可管理性，且降低用户、资源管理工作的复杂度，最终保证满足应用系统对跨平台、跨部门、跨应用的信息采集、信息处理、信息分析、监测预警等业务对用户身份管理的实际需求</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报表定制组件</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支持报表模板自定义、类WPS，支持通用Sql定义，支持web端自适应</w:t>
            </w:r>
          </w:p>
        </w:tc>
      </w:tr>
      <w:tr>
        <w:tblPrEx>
          <w:tblCellMar>
            <w:top w:w="0" w:type="dxa"/>
            <w:left w:w="108" w:type="dxa"/>
            <w:bottom w:w="0" w:type="dxa"/>
            <w:right w:w="108" w:type="dxa"/>
          </w:tblCellMar>
        </w:tblPrEx>
        <w:trPr>
          <w:trHeight w:val="830"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BI分析组件</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支持领导驾驶舱、图形化建模、自助式即席查询、BI设计器、统计图库、智能钻取、地图分析等功能。</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GIS服务组件</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通过当前空间服务系统来实现对农业大数据的空间存储管理、空间查询、空间分析，另一方面将空间服务作为一种应用，与其他业务系统相结合，来实现他系统空间数据的查询和浏览。</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数字“三农”服务平台（一期）</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数字“三农”服务平台（一期）主要包括数字农业、数字农村、数字农民、数字服务、数字分析、数字“三农”移动应用（一期）、已建业务应用整合等部分。</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数字农业</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建设农产品产销管理系统、种植业管理系统、渔业管理系统、农产品质量安全智慧监管升级系统等；</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农产品产销管理系统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农产品产销管理信息系统设计目标是实现滞销信息管理、农牧业投入品经营主体、供给信息管理、需求信息管理、价格行情管理。农产品产销管理以为农业经营主体解决因各类突发因素及市场波动所造成农产品滞销、供需不平衡问题为核心，借助移动互联等技术手段为农业经营主体、需方市场及农业农村厅相关部门整合资源，从而打通运销渠道，解决农产品供需滞销、不平衡的问题。</w:t>
            </w:r>
          </w:p>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主要功能包括：滞销信息管理、供给信息管理、需求信息管理、价格行情管理、查询统计等。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种植业管理系统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种植业管理主要实现种植业基础信息管理，信息员通过“三农”信息收集、“三农”信息一表通等手段获取种植业的基础信息，并按照标准规范的字段内容进行登记录入，并以村镇、市县为单位生成档案。为了更好的监管海南省种植业生产、管理过程，将建设种植业管理从而满足种植面积管理、农情信息管理、种植计划管理、肥料使用管理、田间定点数据查询以及种植主体管理的全方面信息化提升的需求。</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主要功能包括：种植面积管理、种植计划管理、农情信息管理、肥料监督管理、种植主体管理等。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渔业管理系统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按照现代渔业管理整体要求，结合当代最新信息技术建设渔业管理信息化平台。立足渔业服务，为渔业管理服务建设“统筹规划、统一平台、资源共享、面向服务、统一管理、着眼业务”的渔业管理模式，实现渔业管理的信息化建设。</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主要功能包括：渔业养殖区标绘、渔业养殖信息管理、海洋功能区划管理、渔业资源管理、渔港视频实时监控、渔港渔船安全监控与报警等。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农产品质量安全智慧监管升级系统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严格执行农产品持证出岛和畜产品“两证一标两单”制度，与全国重点农产品批发市场建立协调机制，对海南农产品严格市场准入。农产品质量安全智慧监管升级系统建设的目标是在海南重要农产品质量安全监管、水产品质量安全追溯、海南省农产品质量安全检测监管三个已建系统的基础上，利用农产品质量安全监管应用已有的监管检测体系，结合《海南省试行食用农产品合格证制度实施方案》要求，为食用农产品生产者、产地收购者、屠宰厂（场）等主体从产地向批发、零售市场或生产加工企业提供蔬菜、水果、畜禽产品（生鲜乳、生猪除外）及养殖水产品时应开具或出具食用农产品合格证，同时提供农产品质量安全监管、追溯、检测服务。</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主要功能包括：合格证管理（含小程序）、合格证查询统计、检验检测系统升级、港口数据分析展示等。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数字农村</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建设“一村一档”信息管理系统、美丽海南百镇千村信息管理系统、乡村治理系统、农村三资管理系统等；</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“一村一档”信息管理系统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通过“一村一档”信息管理系统的建设，定义海南乡村标签，基于农村基础数据和行政单位统计管理，实现对包括乡村自然资源、地理环境、人口状况、经济作物、人均收入、基础设施、文教卫生、社会保障、基层政务、特色产业及传统村落进行数据采集，保障数据的真实性、及时性，形成乡村画像，实现农业农村基础数据的信息化管理水平。</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主要功能包括：乡村自然资源、乡村人口状况、乡村经济情况、乡村文教卫生、乡村基础设施、乡村社会保障、乡村特色产业、乡村画像等。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美丽海南百镇千村信息管理系统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通过美丽海南百镇千村信息管理系统建设，以乡村为单位面向全省的美丽乡村和特色产业小镇，实现美丽乡村/特色产业小镇名录收集，实现综合评分排名、竞争力排行、竞争力雷达图分析统计结果展示，为未来推进美丽乡村建设，不断提高新农村建设水平及推动城乡一体化和就地城镇化，走出海南特色的城镇化道路提供决策依据和参考。</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w:t>
            </w:r>
            <w:r>
              <w:rPr>
                <w:rFonts w:hint="eastAsia" w:ascii="宋体" w:hAnsi="宋体" w:cs="宋体"/>
                <w:sz w:val="18"/>
                <w:szCs w:val="18"/>
                <w:lang w:eastAsia="zh-Hans"/>
              </w:rPr>
              <w:t>美丽乡村信息管理、特色产业小镇</w:t>
            </w:r>
            <w:r>
              <w:rPr>
                <w:rFonts w:hint="eastAsia" w:ascii="宋体" w:hAnsi="宋体" w:cs="宋体"/>
                <w:sz w:val="18"/>
                <w:szCs w:val="18"/>
              </w:rPr>
              <w:t>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乡村治理系统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通过乡村治理系统建设，实现乡村党建管理、阳光村务管理、治理项目管理、人居环境管理等功能，遵循乡村社会治理全局层面的统一规划和部署，把资源通过系统真正整合到位，实现资源合力共治，强化村民自治和服务型、数字型政府的有效结合，推动线上管理和线下服务的深度结合。</w:t>
            </w:r>
          </w:p>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主要功能包括：乡村党建管理、阳光村务管理、治理项目管理以及人居环境管理等。</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农村三资管理系统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建设农村三资管理系统，以农村财务管理为突破口，重点建立财务收入管理和开支审批、财务预决算、债权债务管理、财务公开等管理制度。同时，建立集体资产经营制度，健全监管长效机制，通过对村级集体资产实行规范管理，防止资产流失，达到村级非经营性资产保值，经营性资产增值，资源性资产增效的目的。</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主要功能包括：资金管理、资产管理、资源管理、经济合同管理、资产财务全程监控、与全国农村集体资产监管平台对接等。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数字农民</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建设“一户一档”信息管理系统、脱贫攻坚管理升级系统等；</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“一户一档”管理系统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一户一档”管理系统主要面向全省2561个村、约124万户农户，通过“三农”信息一表通等渠道，收集农户信息，以农户为核心对象生成信息档案，实现农户信息的数字化统一管理，解决目前农村户籍基础数据没有全面数字化管理的问题，形成农户画像，从而为精准扶贫、脱贫攻坚等工作规划部署、管理决策等提供基础数据支撑。</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主要功能包括：“一户一档”信息管理、乡村人员管理、农户画像等。</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脱贫攻坚管理升级系统</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sz w:val="18"/>
                <w:szCs w:val="18"/>
              </w:rPr>
            </w:pPr>
            <w:r>
              <w:rPr>
                <w:rFonts w:hint="eastAsia" w:ascii="宋体" w:hAnsi="宋体" w:cs="宋体"/>
                <w:sz w:val="18"/>
                <w:szCs w:val="18"/>
              </w:rPr>
              <w:t>脱贫攻坚管理升级系统，充分整合海南省扶贫办已有资源，进一步改善扶贫信息化建设应用基础环境，实现省市、县、乡、村四级高速接入，建成全省统一、数据集中、服务下延、互联互通、信息共享、动态管理的脱贫攻坚管理，提升海南省农业农村厅产业扶贫工程项目实施管理的规范性、进度管控的及时性，保障工程获得成效。</w:t>
            </w:r>
          </w:p>
          <w:p>
            <w:pPr>
              <w:pStyle w:val="3"/>
              <w:spacing w:line="240" w:lineRule="auto"/>
              <w:ind w:firstLine="360"/>
              <w:jc w:val="left"/>
              <w:rPr>
                <w:rFonts w:ascii="宋体" w:hAnsi="宋体" w:cs="宋体"/>
                <w:kern w:val="0"/>
                <w:sz w:val="18"/>
                <w:szCs w:val="18"/>
              </w:rPr>
            </w:pPr>
            <w:r>
              <w:rPr>
                <w:rFonts w:hint="eastAsia" w:ascii="宋体" w:hAnsi="宋体" w:cs="宋体"/>
                <w:sz w:val="18"/>
                <w:szCs w:val="18"/>
              </w:rPr>
              <w:t>主要功能包括：扶贫对象管理、扶贫资金管理、扶贫产业园管理、扶贫政策资讯管理、扶贫信息分析等。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数字服务</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240" w:lineRule="auto"/>
              <w:ind w:firstLine="360"/>
              <w:jc w:val="left"/>
              <w:rPr>
                <w:rFonts w:ascii="宋体" w:hAnsi="宋体" w:cs="宋体"/>
                <w:kern w:val="0"/>
                <w:sz w:val="18"/>
                <w:szCs w:val="18"/>
              </w:rPr>
            </w:pPr>
            <w:r>
              <w:rPr>
                <w:rFonts w:hint="eastAsia" w:ascii="宋体" w:hAnsi="宋体" w:cs="宋体"/>
                <w:sz w:val="18"/>
                <w:szCs w:val="18"/>
              </w:rPr>
              <w:t>建设办公门户、公众门户、“三农”信息一表通、“三农”一张图等；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办公门户</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kinsoku/>
              <w:wordWrap/>
              <w:overflowPunct/>
              <w:topLinePunct w:val="0"/>
              <w:autoSpaceDE/>
              <w:autoSpaceDN/>
              <w:bidi w:val="0"/>
              <w:adjustRightInd w:val="0"/>
              <w:snapToGrid w:val="0"/>
              <w:spacing w:line="240" w:lineRule="auto"/>
              <w:ind w:firstLine="360"/>
              <w:jc w:val="left"/>
              <w:textAlignment w:val="auto"/>
              <w:rPr>
                <w:rFonts w:ascii="宋体" w:hAnsi="宋体" w:cs="宋体"/>
                <w:sz w:val="18"/>
                <w:szCs w:val="18"/>
              </w:rPr>
            </w:pPr>
            <w:r>
              <w:rPr>
                <w:rFonts w:hint="eastAsia" w:ascii="宋体" w:hAnsi="宋体" w:cs="宋体"/>
                <w:sz w:val="18"/>
                <w:szCs w:val="18"/>
              </w:rPr>
              <w:t>建立海南省农业农村厅内部统一办公门户，通过统一办公门户整合海南省农业农村厅内部业务应用。</w:t>
            </w:r>
          </w:p>
          <w:p>
            <w:pPr>
              <w:pStyle w:val="3"/>
              <w:keepNext w:val="0"/>
              <w:keepLines w:val="0"/>
              <w:pageBreakBefore w:val="0"/>
              <w:widowControl/>
              <w:kinsoku/>
              <w:wordWrap/>
              <w:overflowPunct/>
              <w:topLinePunct w:val="0"/>
              <w:autoSpaceDE/>
              <w:autoSpaceDN/>
              <w:bidi w:val="0"/>
              <w:adjustRightInd w:val="0"/>
              <w:snapToGrid w:val="0"/>
              <w:spacing w:line="240" w:lineRule="auto"/>
              <w:ind w:firstLine="360"/>
              <w:jc w:val="left"/>
              <w:textAlignment w:val="auto"/>
              <w:rPr>
                <w:rFonts w:ascii="宋体" w:hAnsi="宋体" w:eastAsia="宋体" w:cs="宋体"/>
                <w:kern w:val="0"/>
                <w:sz w:val="18"/>
                <w:szCs w:val="18"/>
              </w:rPr>
            </w:pPr>
            <w:r>
              <w:rPr>
                <w:rFonts w:hint="eastAsia" w:ascii="宋体" w:hAnsi="宋体" w:cs="宋体"/>
                <w:sz w:val="18"/>
                <w:szCs w:val="18"/>
              </w:rPr>
              <w:t>主要功能包括：应用系统导航、个人工作台、通知公告、待办任务、门户栏目管理、信息发布管理、内容管理、模板管理等。</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公众门户</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sz w:val="18"/>
                <w:szCs w:val="18"/>
              </w:rPr>
            </w:pPr>
            <w:r>
              <w:rPr>
                <w:rFonts w:hint="eastAsia" w:ascii="宋体" w:hAnsi="宋体" w:cs="宋体"/>
                <w:sz w:val="18"/>
                <w:szCs w:val="18"/>
              </w:rPr>
              <w:t>建立海南省农业农村公众门户，为海南省农民及社会公众提供“三农”政策、价格行情、美丽乡村建设等信息服务和互动交流。</w:t>
            </w: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kern w:val="0"/>
                <w:sz w:val="18"/>
                <w:szCs w:val="18"/>
              </w:rPr>
            </w:pPr>
            <w:r>
              <w:rPr>
                <w:rFonts w:hint="eastAsia" w:ascii="宋体" w:hAnsi="宋体" w:cs="宋体"/>
                <w:sz w:val="18"/>
                <w:szCs w:val="18"/>
              </w:rPr>
              <w:t>主要功能包括：“三农”资讯、供求信息、农业气象预警、价格行情、村务公开、政务服务在线办理、政务服务在线查询、综合查询等。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“三农”信息一表通</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sz w:val="18"/>
                <w:szCs w:val="18"/>
              </w:rPr>
            </w:pPr>
            <w:r>
              <w:rPr>
                <w:rFonts w:hint="eastAsia" w:ascii="宋体" w:hAnsi="宋体" w:cs="宋体"/>
                <w:sz w:val="18"/>
                <w:szCs w:val="18"/>
              </w:rPr>
              <w:t>构建“三农”信息一表通，完成海南省基于报表制度、调查和监测模式的农业统计填报任务。</w:t>
            </w: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kern w:val="0"/>
                <w:sz w:val="18"/>
                <w:szCs w:val="18"/>
              </w:rPr>
            </w:pPr>
            <w:r>
              <w:rPr>
                <w:rFonts w:hint="eastAsia" w:ascii="宋体" w:hAnsi="宋体" w:cs="宋体"/>
                <w:sz w:val="18"/>
                <w:szCs w:val="18"/>
              </w:rPr>
              <w:t>主要功能包括：采集任务管理、采集指标管理、基础数据管理、报表管理、在线填报、查询统计等。</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“三农”一张图</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kinsoku/>
              <w:wordWrap/>
              <w:overflowPunct/>
              <w:topLinePunct w:val="0"/>
              <w:autoSpaceDE/>
              <w:autoSpaceDN/>
              <w:bidi w:val="0"/>
              <w:adjustRightInd w:val="0"/>
              <w:snapToGrid w:val="0"/>
              <w:spacing w:line="240" w:lineRule="auto"/>
              <w:ind w:firstLine="360"/>
              <w:jc w:val="left"/>
              <w:textAlignment w:val="auto"/>
              <w:rPr>
                <w:rFonts w:ascii="宋体" w:hAnsi="宋体" w:cs="宋体"/>
                <w:sz w:val="18"/>
                <w:szCs w:val="18"/>
              </w:rPr>
            </w:pPr>
            <w:r>
              <w:rPr>
                <w:rFonts w:hint="eastAsia" w:ascii="宋体" w:hAnsi="宋体" w:cs="宋体"/>
                <w:sz w:val="18"/>
                <w:szCs w:val="18"/>
              </w:rPr>
              <w:t>整合“三农”数据资源，依托“三农”数据资源和GIS地理信息底图实现“三农”数据一张图的专题应用。</w:t>
            </w:r>
          </w:p>
          <w:p>
            <w:pPr>
              <w:keepNext w:val="0"/>
              <w:keepLines w:val="0"/>
              <w:pageBreakBefore w:val="0"/>
              <w:widowControl/>
              <w:kinsoku/>
              <w:wordWrap/>
              <w:overflowPunct/>
              <w:topLinePunct w:val="0"/>
              <w:autoSpaceDE/>
              <w:autoSpaceDN/>
              <w:bidi w:val="0"/>
              <w:adjustRightInd w:val="0"/>
              <w:snapToGrid w:val="0"/>
              <w:ind w:firstLine="360" w:firstLineChars="200"/>
              <w:jc w:val="left"/>
              <w:textAlignment w:val="auto"/>
              <w:rPr>
                <w:rFonts w:ascii="宋体" w:hAnsi="宋体" w:eastAsia="宋体" w:cs="宋体"/>
                <w:kern w:val="0"/>
                <w:sz w:val="18"/>
                <w:szCs w:val="18"/>
              </w:rPr>
            </w:pPr>
            <w:r>
              <w:rPr>
                <w:rFonts w:hint="eastAsia" w:ascii="宋体" w:hAnsi="宋体" w:eastAsia="宋体" w:cs="宋体"/>
                <w:sz w:val="18"/>
                <w:szCs w:val="18"/>
              </w:rPr>
              <w:t>主要功能包括：“三农”资源专题图、“三农”服务专题图、“三农”监督专题图等。</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（五）</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数字分析</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建设部分数字“三农”主题分析模型及各类主题分析应用。</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领导驾驶舱（含大屏展示）</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sz w:val="18"/>
                <w:szCs w:val="18"/>
              </w:rPr>
            </w:pPr>
            <w:r>
              <w:rPr>
                <w:rFonts w:hint="eastAsia" w:ascii="宋体" w:hAnsi="宋体" w:cs="宋体"/>
                <w:sz w:val="18"/>
                <w:szCs w:val="18"/>
              </w:rPr>
              <w:t>在海南省数字“三农”服务平台整合和集成数据的基础之上，基于行业现有信息网络基础，建立开发数据查询、报表统计、数据分析、决策支持平台，从而建立海南省农业数字分析系统，通过本系统能够全面、及时、准确、掌握全省农业、农村、农民的相关基础数据、产业数据、扶贫工作数据等，实现对“三农”业务数据全面、及时、准确的监控管理，实现产业优化、生产经营管理、政府决策的科学性、即时性。</w:t>
            </w: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kern w:val="0"/>
                <w:sz w:val="18"/>
                <w:szCs w:val="18"/>
              </w:rPr>
            </w:pPr>
            <w:r>
              <w:rPr>
                <w:rFonts w:hint="eastAsia" w:ascii="宋体" w:hAnsi="宋体" w:cs="宋体"/>
                <w:sz w:val="18"/>
                <w:szCs w:val="18"/>
              </w:rPr>
              <w:t>主要功能包括：综合大屏、数字农业、数字农村、数字农民、数字服务、数字分析等。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数据分析主题</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sz w:val="18"/>
                <w:szCs w:val="18"/>
              </w:rPr>
            </w:pPr>
            <w:r>
              <w:rPr>
                <w:rFonts w:hint="eastAsia" w:ascii="宋体" w:hAnsi="宋体" w:cs="宋体"/>
                <w:sz w:val="18"/>
                <w:szCs w:val="18"/>
              </w:rPr>
              <w:t>系统通过数据仓库、数据挖掘等方式将“汇总、查询、分析、评价、预警、辅助决策”等功能通过有机的集成，形成报表生成及查询、数据的分析及挖掘、提供辅助决策信息等。</w:t>
            </w: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360"/>
              <w:jc w:val="left"/>
              <w:textAlignment w:val="auto"/>
              <w:rPr>
                <w:rFonts w:ascii="宋体" w:hAnsi="宋体" w:cs="宋体"/>
                <w:kern w:val="0"/>
                <w:sz w:val="18"/>
                <w:szCs w:val="18"/>
              </w:rPr>
            </w:pPr>
            <w:r>
              <w:rPr>
                <w:rFonts w:hint="eastAsia" w:ascii="宋体" w:hAnsi="宋体" w:cs="宋体"/>
                <w:sz w:val="18"/>
                <w:szCs w:val="18"/>
              </w:rPr>
              <w:t>主要功能包括：种植结构优化分析、畜牧业产量分析、农业防灾减灾等。</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四</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数字“三农”移动应用（一期）</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建设政务服务在线查询、“三农”资讯、“三农”预警、“三农”服务、移动端系统管理、移动应用对接服务等。</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（一）</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政务服务在线查询</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lang w:val="en-US" w:eastAsia="zh-Hans"/>
              </w:rPr>
              <w:t>主要功能包括：办事指南、“三品一标”事项、农机补贴事项、现代农业产业园事项。</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（二）</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“三农”资讯</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主要功能包括“三农”政策、市场行情、出岛情况、村务公开、 “三农”头条、特色小镇、美丽乡村、脱贫攻坚。</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（三）</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“三农”预警</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主要功能包括农业气象预警、农业灾情上报、农产品滞销上报。</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（四）</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“三农”服务</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主要功能包括农业百科、测土配方查询、肥料登记证查询、农机服务点查询、农药售卖点、兽药售买点、农村医疗、保险信贷、供需发布。</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（五）</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移动端系统管理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主要功能包括基础信息管理、用户注册管理、用户画像、沟通协作、用户行为分析、身份识别认证。</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（六）</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移动应用对接服务</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hint="eastAsia" w:ascii="宋体" w:hAnsi="宋体" w:eastAsia="宋体" w:cs="宋体"/>
                <w:kern w:val="0"/>
                <w:sz w:val="18"/>
                <w:szCs w:val="18"/>
                <w:lang w:eastAsia="zh-Hans"/>
              </w:rPr>
            </w:pPr>
            <w:r>
              <w:rPr>
                <w:rFonts w:hint="eastAsia" w:ascii="宋体" w:hAnsi="宋体" w:eastAsia="宋体" w:cs="宋体"/>
                <w:kern w:val="0"/>
                <w:sz w:val="18"/>
                <w:szCs w:val="18"/>
                <w:lang w:eastAsia="zh-Hans"/>
              </w:rPr>
              <w:t>要求实现与南繁硅谷综合服务平台、海南省级政务服务移动端对接。</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五</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已建业务应用整合</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本次项目对</w:t>
            </w:r>
            <w:r>
              <w:rPr>
                <w:rFonts w:hint="default" w:ascii="宋体" w:hAnsi="宋体" w:eastAsia="宋体" w:cs="宋体"/>
                <w:kern w:val="0"/>
                <w:sz w:val="18"/>
                <w:szCs w:val="18"/>
              </w:rPr>
              <w:t>14</w:t>
            </w:r>
            <w:r>
              <w:rPr>
                <w:rFonts w:hint="eastAsia" w:ascii="宋体" w:hAnsi="宋体" w:eastAsia="宋体" w:cs="宋体"/>
                <w:kern w:val="0"/>
                <w:sz w:val="18"/>
                <w:szCs w:val="18"/>
              </w:rPr>
              <w:t>个</w:t>
            </w:r>
            <w:r>
              <w:rPr>
                <w:rFonts w:hint="eastAsia" w:ascii="宋体" w:hAnsi="宋体" w:eastAsia="宋体" w:cs="宋体"/>
                <w:kern w:val="0"/>
                <w:sz w:val="18"/>
                <w:szCs w:val="18"/>
                <w:lang w:eastAsia="zh-CN"/>
              </w:rPr>
              <w:t>已建</w:t>
            </w:r>
            <w:r>
              <w:rPr>
                <w:rFonts w:hint="eastAsia" w:ascii="宋体" w:hAnsi="宋体" w:eastAsia="宋体" w:cs="宋体"/>
                <w:kern w:val="0"/>
                <w:sz w:val="18"/>
                <w:szCs w:val="18"/>
              </w:rPr>
              <w:t>业务应用进行整合，具体包括：省级现代农业产业园申报及监测评价、海南重要农产品质量安全监管、海南省水产品质量安全追溯、海南省水产养殖信息管理、海南省海洋渔业安全通信网管理、海南省海洋与渔业通信指挥中心、海南省畜牧业统计监测、海南农产品质量检测、海南省海洋与渔业统计、海南农产品市场预警管理分析信息、动物检疫合格证明电子出证、县域测土配方施肥数据应用、海南省肥料登记证查询、实验室信息综合管理。</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07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已建业务应用整合</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含</w:t>
            </w:r>
            <w:r>
              <w:rPr>
                <w:rFonts w:ascii="宋体" w:hAnsi="宋体" w:eastAsia="宋体" w:cs="宋体"/>
                <w:kern w:val="0"/>
                <w:sz w:val="18"/>
                <w:szCs w:val="18"/>
              </w:rPr>
              <w:t>14</w:t>
            </w:r>
            <w:r>
              <w:rPr>
                <w:rFonts w:hint="eastAsia" w:ascii="宋体" w:hAnsi="宋体" w:eastAsia="宋体" w:cs="宋体"/>
                <w:kern w:val="0"/>
                <w:sz w:val="18"/>
                <w:szCs w:val="18"/>
              </w:rPr>
              <w:t>个已建业务应用数据、用户整合和单点登录</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六</w:t>
            </w:r>
          </w:p>
        </w:tc>
        <w:tc>
          <w:tcPr>
            <w:tcW w:w="1900"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“三农”数据收集</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pStyle w:val="3"/>
              <w:spacing w:line="240" w:lineRule="auto"/>
              <w:ind w:firstLine="360"/>
              <w:jc w:val="left"/>
              <w:rPr>
                <w:rFonts w:hint="eastAsia" w:ascii="宋体" w:hAnsi="宋体" w:cs="宋体"/>
                <w:kern w:val="0"/>
                <w:sz w:val="18"/>
                <w:szCs w:val="18"/>
              </w:rPr>
            </w:pPr>
            <w:r>
              <w:rPr>
                <w:rFonts w:hint="eastAsia" w:ascii="宋体" w:hAnsi="宋体" w:cs="宋体"/>
                <w:kern w:val="0"/>
                <w:sz w:val="18"/>
                <w:szCs w:val="18"/>
              </w:rPr>
              <w:t>开展数据收集，摸清海南省农业、农村、农民的基本状况，主要包括：</w:t>
            </w:r>
            <w:r>
              <w:rPr>
                <w:rFonts w:hint="eastAsia" w:ascii="宋体" w:hAnsi="宋体" w:cs="宋体"/>
                <w:kern w:val="0"/>
                <w:sz w:val="18"/>
                <w:szCs w:val="18"/>
                <w:lang w:eastAsia="zh-CN"/>
              </w:rPr>
              <w:t>基础数据抽查与核验、数据收集培训服务</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（一）</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基础数据抽查与核验</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384</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乡村的数据调查由信息员负责，基于上报数据按15%实地抽查。</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（二）</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数据收集培训服务</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2177</w:t>
            </w:r>
          </w:p>
        </w:tc>
        <w:tc>
          <w:tcPr>
            <w:tcW w:w="26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对全省各级信息员大规模数据采集录入工作进行业务指导和培训。</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七</w:t>
            </w:r>
          </w:p>
        </w:tc>
        <w:tc>
          <w:tcPr>
            <w:tcW w:w="1900"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“三农”数据整合</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根据实际的业务需求进行海南省“三农”数据整合平台的建设，实现数据共享，业务逻辑共享</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“三农”数据标准规范</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根据信息技术标准规范，搭建一套关于数字“三农”服务平台的基础数据标准、数据交换与共享标准规范</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总体标准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编制内容应包括海南数字“三农”服务平台有关的农产品产销、乡村治理、特色产业、农村三资、扶贫攻坚、应用支撑、网络、安全、管理等方面的术语</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基础数据标准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ascii="宋体" w:hAnsi="宋体" w:eastAsia="宋体" w:cs="宋体"/>
                <w:kern w:val="0"/>
                <w:sz w:val="18"/>
                <w:szCs w:val="18"/>
              </w:rPr>
            </w:pPr>
            <w:r>
              <w:rPr>
                <w:rFonts w:hint="eastAsia" w:ascii="宋体" w:hAnsi="宋体" w:eastAsia="宋体" w:cs="宋体"/>
                <w:sz w:val="18"/>
                <w:szCs w:val="18"/>
              </w:rPr>
              <w:t>包括数据主题分类，并做出每一个主题分类的明确定义、包括的主题边界定义及其子类别等</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数据交换与共享标准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包括海南省数字“三农”数据接入规范、海南省数字“三农”数据服务规范。</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color w:val="000000" w:themeColor="text1"/>
                <w:kern w:val="0"/>
                <w:sz w:val="18"/>
                <w:szCs w:val="18"/>
                <w14:textFill>
                  <w14:solidFill>
                    <w14:schemeClr w14:val="tx1"/>
                  </w14:solidFill>
                </w14:textFill>
              </w:rPr>
              <w:t>“三农”信息资源目录</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整理农业农村厅内部各科室、管理单位的相关数据资源，按照统一的标准规范进行整理，形成数据资源目录，实现数据资源采集、管理、查询服务以及共享。包括：资源目录设计、资源目录分类、资源目录管理等</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资源目录设计</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0" w:firstLineChars="200"/>
              <w:jc w:val="both"/>
              <w:rPr>
                <w:rFonts w:hint="eastAsia" w:ascii="宋体" w:hAnsi="宋体" w:eastAsia="宋体" w:cs="宋体"/>
                <w:kern w:val="0"/>
                <w:sz w:val="18"/>
                <w:szCs w:val="18"/>
                <w:lang w:eastAsia="zh-CN"/>
              </w:rPr>
            </w:pPr>
            <w:r>
              <w:rPr>
                <w:rFonts w:hint="eastAsia" w:ascii="宋体" w:hAnsi="宋体" w:eastAsia="宋体" w:cs="宋体"/>
                <w:sz w:val="18"/>
                <w:szCs w:val="18"/>
              </w:rPr>
              <w:t>包括信息资源目录设计及元数据识别与设计等</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资源目录分类</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0" w:firstLineChars="200"/>
              <w:jc w:val="both"/>
              <w:rPr>
                <w:rFonts w:hint="eastAsia" w:ascii="宋体" w:hAnsi="宋体" w:eastAsia="宋体" w:cs="宋体"/>
                <w:kern w:val="0"/>
                <w:sz w:val="18"/>
                <w:szCs w:val="18"/>
                <w:lang w:eastAsia="zh-CN"/>
              </w:rPr>
            </w:pPr>
            <w:r>
              <w:rPr>
                <w:rFonts w:hint="eastAsia" w:ascii="宋体" w:hAnsi="宋体" w:eastAsia="宋体" w:cs="宋体"/>
                <w:sz w:val="18"/>
                <w:szCs w:val="18"/>
              </w:rPr>
              <w:t>详细描述业务目录、资源目录、共享需求目录等</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资源目录管理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包括但不限于元数据组织、元数据维护、资源目录维护、资源目录审核、数据版本管理、资源目录权限管理管理、资源目录查询与统计等</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2"/>
                <w:sz w:val="18"/>
                <w:szCs w:val="18"/>
              </w:rPr>
              <w:t>“三农”数据汇集录入</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根据数据更新的频率、数据来源不同，建立不同数据汇集渠道。通过打通数据汇集渠道，为海南数字“三农”服务平台（一期）保持“活力”提供持续的数据来源</w:t>
            </w:r>
            <w:r>
              <w:rPr>
                <w:rFonts w:hint="eastAsia" w:ascii="宋体" w:hAnsi="宋体" w:eastAsia="宋体" w:cs="宋体"/>
                <w:sz w:val="18"/>
                <w:szCs w:val="18"/>
                <w:lang w:eastAsia="zh-CN"/>
              </w:rPr>
              <w:t>，主要包括：</w:t>
            </w:r>
            <w:r>
              <w:rPr>
                <w:rFonts w:hint="eastAsia" w:ascii="宋体" w:hAnsi="宋体" w:eastAsia="宋体" w:cs="宋体"/>
                <w:sz w:val="18"/>
                <w:szCs w:val="18"/>
              </w:rPr>
              <w:t>汇集前的检验、标准化处理</w:t>
            </w:r>
            <w:r>
              <w:rPr>
                <w:rFonts w:hint="eastAsia" w:ascii="宋体" w:hAnsi="宋体" w:eastAsia="宋体" w:cs="宋体"/>
                <w:sz w:val="18"/>
                <w:szCs w:val="18"/>
                <w:lang w:eastAsia="zh-CN"/>
              </w:rPr>
              <w:t>、</w:t>
            </w:r>
            <w:r>
              <w:rPr>
                <w:rFonts w:hint="eastAsia" w:ascii="宋体" w:hAnsi="宋体" w:eastAsia="宋体" w:cs="宋体"/>
                <w:sz w:val="18"/>
                <w:szCs w:val="18"/>
              </w:rPr>
              <w:t>数据入库及预处理</w:t>
            </w:r>
            <w:r>
              <w:rPr>
                <w:rFonts w:hint="eastAsia" w:ascii="宋体" w:hAnsi="宋体" w:eastAsia="宋体" w:cs="宋体"/>
                <w:sz w:val="18"/>
                <w:szCs w:val="18"/>
                <w:lang w:eastAsia="zh-CN"/>
              </w:rPr>
              <w:t>、</w:t>
            </w:r>
            <w:r>
              <w:rPr>
                <w:rFonts w:hint="eastAsia" w:ascii="宋体" w:hAnsi="宋体" w:eastAsia="宋体" w:cs="宋体"/>
                <w:sz w:val="18"/>
                <w:szCs w:val="18"/>
              </w:rPr>
              <w:t>数据纠错内容查询</w:t>
            </w:r>
            <w:r>
              <w:rPr>
                <w:rFonts w:hint="eastAsia" w:ascii="宋体" w:hAnsi="宋体" w:eastAsia="宋体" w:cs="宋体"/>
                <w:sz w:val="18"/>
                <w:szCs w:val="18"/>
                <w:lang w:eastAsia="zh-CN"/>
              </w:rPr>
              <w:t>、</w:t>
            </w:r>
            <w:r>
              <w:rPr>
                <w:rFonts w:hint="eastAsia" w:ascii="宋体" w:hAnsi="宋体" w:eastAsia="宋体" w:cs="宋体"/>
                <w:sz w:val="18"/>
                <w:szCs w:val="18"/>
              </w:rPr>
              <w:t>多播传输机制</w:t>
            </w:r>
            <w:r>
              <w:rPr>
                <w:rFonts w:hint="eastAsia" w:ascii="宋体" w:hAnsi="宋体" w:eastAsia="宋体" w:cs="宋体"/>
                <w:sz w:val="18"/>
                <w:szCs w:val="18"/>
                <w:lang w:eastAsia="zh-CN"/>
              </w:rPr>
              <w:t>、</w:t>
            </w:r>
            <w:r>
              <w:rPr>
                <w:rFonts w:hint="eastAsia" w:ascii="宋体" w:hAnsi="宋体" w:eastAsia="宋体" w:cs="宋体"/>
                <w:kern w:val="0"/>
                <w:sz w:val="18"/>
                <w:szCs w:val="18"/>
              </w:rPr>
              <w:t>数据断点续传机制</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2"/>
                <w:sz w:val="18"/>
                <w:szCs w:val="18"/>
              </w:rPr>
            </w:pPr>
            <w:r>
              <w:rPr>
                <w:rFonts w:hint="eastAsia" w:ascii="宋体" w:hAnsi="宋体" w:eastAsia="宋体" w:cs="宋体"/>
                <w:kern w:val="2"/>
                <w:sz w:val="18"/>
                <w:szCs w:val="18"/>
              </w:rPr>
              <w:t>“三农”数据监管管理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提供对各类采集解析数据的收发状态、同步分发等各类资源进行实时监控以及简单的维护，为管理人员统计数据收发情况</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系统状态查询统计</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2"/>
                <w:sz w:val="18"/>
                <w:szCs w:val="18"/>
                <w:lang w:eastAsia="zh-CN"/>
              </w:rPr>
            </w:pPr>
            <w:r>
              <w:rPr>
                <w:rFonts w:hint="eastAsia" w:ascii="宋体" w:hAnsi="宋体" w:eastAsia="宋体" w:cs="宋体"/>
                <w:color w:val="000000"/>
                <w:kern w:val="2"/>
                <w:sz w:val="18"/>
                <w:szCs w:val="18"/>
              </w:rPr>
              <w:t>系统状态查询</w:t>
            </w:r>
            <w:r>
              <w:rPr>
                <w:rFonts w:hint="eastAsia" w:ascii="宋体" w:hAnsi="宋体" w:eastAsia="宋体" w:cs="宋体"/>
                <w:color w:val="000000"/>
                <w:kern w:val="2"/>
                <w:sz w:val="18"/>
                <w:szCs w:val="18"/>
                <w:lang w:eastAsia="zh-CN"/>
              </w:rPr>
              <w:t>、</w:t>
            </w:r>
            <w:r>
              <w:rPr>
                <w:rFonts w:hint="eastAsia" w:ascii="宋体" w:hAnsi="宋体" w:eastAsia="宋体" w:cs="宋体"/>
                <w:color w:val="000000"/>
                <w:kern w:val="2"/>
                <w:sz w:val="18"/>
                <w:szCs w:val="18"/>
              </w:rPr>
              <w:t>资源使用统计</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运行状态管理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2"/>
                <w:sz w:val="18"/>
                <w:szCs w:val="18"/>
                <w:lang w:eastAsia="zh-CN"/>
              </w:rPr>
            </w:pPr>
            <w:r>
              <w:rPr>
                <w:rFonts w:hint="eastAsia" w:ascii="宋体" w:hAnsi="宋体" w:eastAsia="宋体" w:cs="宋体"/>
                <w:color w:val="000000"/>
                <w:kern w:val="2"/>
                <w:sz w:val="18"/>
                <w:szCs w:val="18"/>
              </w:rPr>
              <w:t>运行状态查询</w:t>
            </w:r>
            <w:r>
              <w:rPr>
                <w:rFonts w:hint="eastAsia" w:ascii="宋体" w:hAnsi="宋体" w:eastAsia="宋体" w:cs="宋体"/>
                <w:color w:val="000000"/>
                <w:kern w:val="2"/>
                <w:sz w:val="18"/>
                <w:szCs w:val="18"/>
                <w:lang w:eastAsia="zh-CN"/>
              </w:rPr>
              <w:t>、</w:t>
            </w:r>
            <w:r>
              <w:rPr>
                <w:rFonts w:hint="eastAsia" w:ascii="宋体" w:hAnsi="宋体" w:eastAsia="宋体" w:cs="宋体"/>
                <w:color w:val="000000"/>
                <w:kern w:val="2"/>
                <w:sz w:val="18"/>
                <w:szCs w:val="18"/>
              </w:rPr>
              <w:t>运行管理</w:t>
            </w:r>
            <w:r>
              <w:rPr>
                <w:rFonts w:hint="eastAsia" w:ascii="宋体" w:hAnsi="宋体" w:eastAsia="宋体" w:cs="宋体"/>
                <w:color w:val="000000"/>
                <w:kern w:val="2"/>
                <w:sz w:val="18"/>
                <w:szCs w:val="18"/>
                <w:lang w:eastAsia="zh-CN"/>
              </w:rPr>
              <w:t>、</w:t>
            </w:r>
            <w:r>
              <w:rPr>
                <w:rFonts w:hint="eastAsia" w:ascii="宋体" w:hAnsi="宋体" w:eastAsia="宋体" w:cs="宋体"/>
                <w:color w:val="000000"/>
                <w:kern w:val="2"/>
                <w:sz w:val="18"/>
                <w:szCs w:val="18"/>
              </w:rPr>
              <w:t>统计分析</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采集服务管理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2"/>
                <w:sz w:val="18"/>
                <w:szCs w:val="18"/>
                <w:lang w:eastAsia="zh-CN"/>
              </w:rPr>
            </w:pPr>
            <w:r>
              <w:rPr>
                <w:rFonts w:hint="eastAsia" w:ascii="宋体" w:hAnsi="宋体" w:eastAsia="宋体" w:cs="宋体"/>
                <w:color w:val="000000"/>
                <w:kern w:val="2"/>
                <w:sz w:val="18"/>
                <w:szCs w:val="18"/>
              </w:rPr>
              <w:t>采集管理</w:t>
            </w:r>
            <w:r>
              <w:rPr>
                <w:rFonts w:hint="eastAsia" w:ascii="宋体" w:hAnsi="宋体" w:eastAsia="宋体" w:cs="宋体"/>
                <w:color w:val="000000"/>
                <w:kern w:val="2"/>
                <w:sz w:val="18"/>
                <w:szCs w:val="18"/>
                <w:lang w:eastAsia="zh-CN"/>
              </w:rPr>
              <w:t>、</w:t>
            </w:r>
            <w:r>
              <w:rPr>
                <w:rFonts w:hint="eastAsia" w:ascii="宋体" w:hAnsi="宋体" w:eastAsia="宋体" w:cs="宋体"/>
                <w:color w:val="000000"/>
                <w:kern w:val="2"/>
                <w:sz w:val="18"/>
                <w:szCs w:val="18"/>
              </w:rPr>
              <w:t>采集控制</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同步分发管理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2"/>
                <w:sz w:val="18"/>
                <w:szCs w:val="18"/>
                <w:lang w:eastAsia="zh-CN"/>
              </w:rPr>
            </w:pPr>
            <w:r>
              <w:rPr>
                <w:rFonts w:hint="eastAsia" w:ascii="宋体" w:hAnsi="宋体" w:eastAsia="宋体" w:cs="宋体"/>
                <w:color w:val="000000"/>
                <w:kern w:val="2"/>
                <w:sz w:val="18"/>
                <w:szCs w:val="18"/>
              </w:rPr>
              <w:t>同步管理</w:t>
            </w:r>
            <w:r>
              <w:rPr>
                <w:rFonts w:hint="eastAsia" w:ascii="宋体" w:hAnsi="宋体" w:eastAsia="宋体" w:cs="宋体"/>
                <w:color w:val="000000"/>
                <w:kern w:val="2"/>
                <w:sz w:val="18"/>
                <w:szCs w:val="18"/>
                <w:lang w:eastAsia="zh-CN"/>
              </w:rPr>
              <w:t>、</w:t>
            </w:r>
            <w:r>
              <w:rPr>
                <w:rFonts w:hint="eastAsia" w:ascii="宋体" w:hAnsi="宋体" w:eastAsia="宋体" w:cs="宋体"/>
                <w:color w:val="000000"/>
                <w:kern w:val="2"/>
                <w:sz w:val="18"/>
                <w:szCs w:val="18"/>
              </w:rPr>
              <w:t>同步控制</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数据备份配置管理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ascii="宋体" w:hAnsi="宋体" w:eastAsia="宋体" w:cs="宋体"/>
                <w:kern w:val="0"/>
                <w:sz w:val="18"/>
                <w:szCs w:val="18"/>
              </w:rPr>
            </w:pPr>
            <w:r>
              <w:rPr>
                <w:rFonts w:hint="eastAsia" w:ascii="宋体" w:hAnsi="宋体" w:eastAsia="宋体" w:cs="宋体"/>
                <w:color w:val="000000"/>
                <w:kern w:val="2"/>
                <w:sz w:val="18"/>
                <w:szCs w:val="18"/>
              </w:rPr>
              <w:t>数据备份配置管理</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（五）</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2"/>
                <w:sz w:val="18"/>
                <w:szCs w:val="18"/>
              </w:rPr>
            </w:pPr>
            <w:r>
              <w:rPr>
                <w:rFonts w:hint="eastAsia" w:ascii="宋体" w:hAnsi="宋体" w:eastAsia="宋体" w:cs="宋体"/>
                <w:kern w:val="2"/>
                <w:sz w:val="18"/>
                <w:szCs w:val="18"/>
              </w:rPr>
              <w:t>“三农”数据预警管理</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根据数据采集上报情况、横向部门数据共享到报情况，在数据入库时，建立相应的判别规则，识别出不合理数据，并进行预警</w:t>
            </w:r>
            <w:r>
              <w:rPr>
                <w:rFonts w:hint="eastAsia" w:ascii="宋体" w:hAnsi="宋体" w:eastAsia="宋体" w:cs="宋体"/>
                <w:sz w:val="18"/>
                <w:szCs w:val="18"/>
                <w:lang w:eastAsia="zh-CN"/>
              </w:rPr>
              <w:t>，主要包括：</w:t>
            </w:r>
            <w:r>
              <w:rPr>
                <w:rFonts w:hint="eastAsia" w:ascii="宋体" w:hAnsi="宋体" w:eastAsia="宋体" w:cs="宋体"/>
                <w:sz w:val="18"/>
                <w:szCs w:val="18"/>
              </w:rPr>
              <w:t>规则配置管理</w:t>
            </w:r>
            <w:r>
              <w:rPr>
                <w:rFonts w:hint="eastAsia" w:ascii="宋体" w:hAnsi="宋体" w:eastAsia="宋体" w:cs="宋体"/>
                <w:sz w:val="18"/>
                <w:szCs w:val="18"/>
                <w:lang w:eastAsia="zh-CN"/>
              </w:rPr>
              <w:t>、</w:t>
            </w:r>
            <w:r>
              <w:rPr>
                <w:rFonts w:hint="eastAsia" w:ascii="宋体" w:hAnsi="宋体" w:eastAsia="宋体" w:cs="宋体"/>
                <w:sz w:val="18"/>
                <w:szCs w:val="18"/>
              </w:rPr>
              <w:t>数据到报率</w:t>
            </w:r>
            <w:r>
              <w:rPr>
                <w:rFonts w:hint="eastAsia" w:ascii="宋体" w:hAnsi="宋体" w:eastAsia="宋体" w:cs="宋体"/>
                <w:sz w:val="18"/>
                <w:szCs w:val="18"/>
                <w:lang w:eastAsia="zh-CN"/>
              </w:rPr>
              <w:t>、</w:t>
            </w:r>
            <w:r>
              <w:rPr>
                <w:rFonts w:hint="eastAsia" w:ascii="宋体" w:hAnsi="宋体" w:eastAsia="宋体" w:cs="宋体"/>
                <w:sz w:val="18"/>
                <w:szCs w:val="18"/>
              </w:rPr>
              <w:t>数据预警</w:t>
            </w:r>
            <w:r>
              <w:rPr>
                <w:rFonts w:hint="eastAsia" w:ascii="宋体" w:hAnsi="宋体" w:eastAsia="宋体" w:cs="宋体"/>
                <w:sz w:val="18"/>
                <w:szCs w:val="18"/>
                <w:lang w:eastAsia="zh-CN"/>
              </w:rPr>
              <w:t>、</w:t>
            </w:r>
            <w:r>
              <w:rPr>
                <w:rFonts w:hint="eastAsia" w:ascii="宋体" w:hAnsi="宋体" w:eastAsia="宋体" w:cs="宋体"/>
                <w:sz w:val="18"/>
                <w:szCs w:val="18"/>
              </w:rPr>
              <w:t>数据统计</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（六）</w:t>
            </w: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2"/>
                <w:sz w:val="18"/>
                <w:szCs w:val="18"/>
              </w:rPr>
            </w:pPr>
            <w:r>
              <w:rPr>
                <w:rFonts w:hint="eastAsia" w:ascii="宋体" w:hAnsi="宋体" w:eastAsia="宋体" w:cs="宋体"/>
                <w:kern w:val="2"/>
                <w:sz w:val="18"/>
                <w:szCs w:val="18"/>
              </w:rPr>
              <w:t>“三农”数据服务接口</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firstLine="360" w:firstLineChars="200"/>
              <w:jc w:val="left"/>
              <w:rPr>
                <w:rFonts w:hint="eastAsia" w:ascii="宋体" w:hAnsi="宋体" w:eastAsia="宋体" w:cs="宋体"/>
                <w:kern w:val="0"/>
                <w:sz w:val="18"/>
                <w:szCs w:val="18"/>
                <w:lang w:eastAsia="zh-CN"/>
              </w:rPr>
            </w:pPr>
            <w:r>
              <w:rPr>
                <w:rFonts w:hint="eastAsia" w:ascii="宋体" w:hAnsi="宋体" w:eastAsia="宋体" w:cs="宋体"/>
                <w:sz w:val="18"/>
                <w:szCs w:val="18"/>
              </w:rPr>
              <w:t>通过数据服务平台的管理和数据接口的设计实现“三农”数据服务和交换。主要包括：服务目录、服务审批、服务管理、使用分析、数据服务、接口设计、与农业农村厅外部系统对接等</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八</w:t>
            </w:r>
          </w:p>
        </w:tc>
        <w:tc>
          <w:tcPr>
            <w:tcW w:w="19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系统集成</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25"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p>
        </w:tc>
        <w:tc>
          <w:tcPr>
            <w:tcW w:w="10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系统集成</w:t>
            </w:r>
          </w:p>
        </w:tc>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项</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66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p>
        </w:tc>
      </w:tr>
    </w:tbl>
    <w:p>
      <w:pPr>
        <w:pStyle w:val="4"/>
        <w:pageBreakBefore w:val="0"/>
        <w:widowControl w:val="0"/>
        <w:numPr>
          <w:ilvl w:val="1"/>
          <w:numId w:val="0"/>
        </w:numPr>
        <w:kinsoku/>
        <w:wordWrap/>
        <w:overflowPunct/>
        <w:topLinePunct w:val="0"/>
        <w:autoSpaceDE/>
        <w:autoSpaceDN/>
        <w:bidi w:val="0"/>
        <w:adjustRightInd w:val="0"/>
        <w:snapToGrid w:val="0"/>
        <w:spacing w:before="0" w:after="0" w:line="240" w:lineRule="auto"/>
        <w:ind w:leftChars="0" w:firstLine="643" w:firstLineChars="200"/>
        <w:textAlignment w:val="auto"/>
        <w:rPr>
          <w:rFonts w:hint="eastAsia" w:ascii="宋体" w:hAnsi="宋体" w:cs="宋体"/>
          <w:kern w:val="44"/>
          <w:sz w:val="32"/>
          <w:szCs w:val="44"/>
        </w:rPr>
      </w:pPr>
    </w:p>
    <w:p>
      <w:pPr>
        <w:pStyle w:val="4"/>
        <w:keepNext/>
        <w:keepLines/>
        <w:pageBreakBefore w:val="0"/>
        <w:widowControl w:val="0"/>
        <w:numPr>
          <w:ilvl w:val="1"/>
          <w:numId w:val="0"/>
        </w:numPr>
        <w:kinsoku/>
        <w:wordWrap/>
        <w:overflowPunct/>
        <w:topLinePunct w:val="0"/>
        <w:autoSpaceDE/>
        <w:autoSpaceDN/>
        <w:bidi w:val="0"/>
        <w:adjustRightInd w:val="0"/>
        <w:snapToGrid w:val="0"/>
        <w:spacing w:before="157" w:beforeLines="50" w:after="157" w:afterLines="50" w:line="600" w:lineRule="exact"/>
        <w:ind w:leftChars="0" w:firstLine="643" w:firstLineChars="200"/>
        <w:textAlignment w:val="auto"/>
        <w:rPr>
          <w:rFonts w:ascii="宋体" w:hAnsi="宋体" w:cs="宋体"/>
          <w:kern w:val="44"/>
          <w:sz w:val="32"/>
          <w:szCs w:val="44"/>
        </w:rPr>
      </w:pPr>
      <w:r>
        <w:rPr>
          <w:rFonts w:hint="eastAsia" w:ascii="宋体" w:hAnsi="宋体" w:cs="宋体"/>
          <w:kern w:val="44"/>
          <w:sz w:val="32"/>
          <w:szCs w:val="44"/>
          <w:lang w:eastAsia="zh-CN"/>
        </w:rPr>
        <w:t>三、</w:t>
      </w:r>
      <w:r>
        <w:rPr>
          <w:rFonts w:hint="eastAsia" w:ascii="宋体" w:hAnsi="宋体" w:cs="宋体"/>
          <w:kern w:val="44"/>
          <w:sz w:val="32"/>
          <w:szCs w:val="44"/>
        </w:rPr>
        <w:t>其他要求</w:t>
      </w:r>
      <w:bookmarkStart w:id="0" w:name="_Toc59608561"/>
      <w:bookmarkStart w:id="1" w:name="_Toc45724625"/>
    </w:p>
    <w:bookmarkEnd w:id="0"/>
    <w:bookmarkEnd w:id="1"/>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（一）“三农”数据整合要求</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已建业务应用整合除了对14个业务应用进行整合外，还需对正在建设的南繁硅谷综合服务平台、海南省农业大数据服务平台进行整合。</w:t>
      </w:r>
    </w:p>
    <w:p>
      <w:pPr>
        <w:pStyle w:val="3"/>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（二）“三农”数据收集要求</w:t>
      </w:r>
    </w:p>
    <w:p>
      <w:pPr>
        <w:pStyle w:val="3"/>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“三农”数据收集包括了厅属处室业务梳理、横向厅局数据调研、基础数据抽检与核验、现有空间数据优化。</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（三）“三农”数据库表设计要求</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数据库表类型包括不限于：空间地理数据库、农村基础数据库、农业专题数据库、多媒体数据库、农业气象数据库、实时监测数据库、业务管理数据库的建设。</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default" w:ascii="宋体" w:hAnsi="宋体" w:cs="宋体"/>
          <w:sz w:val="28"/>
          <w:szCs w:val="28"/>
          <w:lang w:val="en-US" w:eastAsia="zh-CN"/>
        </w:rPr>
      </w:pPr>
      <w:r>
        <w:rPr>
          <w:rFonts w:hint="eastAsia" w:ascii="宋体" w:hAnsi="宋体" w:cs="宋体"/>
          <w:sz w:val="28"/>
          <w:szCs w:val="28"/>
          <w:lang w:val="en-US" w:eastAsia="zh-CN"/>
        </w:rPr>
        <w:t>（四）平台安全服务要求</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对平台进行安全风险评估服务、渗透测试服务、安全管理制度体系建设服务、应急响应服务、漏洞</w:t>
      </w:r>
      <w:bookmarkStart w:id="2" w:name="_GoBack"/>
      <w:bookmarkEnd w:id="2"/>
      <w:r>
        <w:rPr>
          <w:rFonts w:hint="eastAsia" w:ascii="宋体" w:hAnsi="宋体" w:cs="宋体"/>
          <w:sz w:val="28"/>
          <w:szCs w:val="28"/>
          <w:lang w:val="en-US" w:eastAsia="zh-CN"/>
        </w:rPr>
        <w:t>扫描及管理服务等。</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rPr>
      </w:pPr>
      <w:r>
        <w:rPr>
          <w:rFonts w:hint="eastAsia" w:ascii="宋体" w:hAnsi="宋体" w:cs="宋体"/>
          <w:sz w:val="28"/>
          <w:szCs w:val="28"/>
          <w:lang w:eastAsia="zh-CN"/>
        </w:rPr>
        <w:t>（五）</w:t>
      </w:r>
      <w:r>
        <w:rPr>
          <w:rFonts w:hint="eastAsia" w:ascii="宋体" w:hAnsi="宋体" w:cs="宋体"/>
          <w:sz w:val="28"/>
          <w:szCs w:val="28"/>
        </w:rPr>
        <w:t>运维服务提供方式</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rPr>
      </w:pPr>
      <w:r>
        <w:rPr>
          <w:rFonts w:hint="eastAsia" w:ascii="宋体" w:hAnsi="宋体" w:cs="宋体"/>
          <w:sz w:val="28"/>
          <w:szCs w:val="28"/>
        </w:rPr>
        <w:t>项目</w:t>
      </w:r>
      <w:r>
        <w:rPr>
          <w:rFonts w:hint="eastAsia" w:ascii="宋体" w:hAnsi="宋体" w:cs="宋体"/>
          <w:sz w:val="28"/>
          <w:szCs w:val="28"/>
          <w:lang w:eastAsia="zh-CN"/>
        </w:rPr>
        <w:t>维护期：二年，</w:t>
      </w:r>
      <w:r>
        <w:rPr>
          <w:rFonts w:hint="eastAsia" w:ascii="宋体" w:hAnsi="宋体" w:cs="宋体"/>
          <w:sz w:val="28"/>
          <w:szCs w:val="28"/>
        </w:rPr>
        <w:t>系统维护期，提供现场运维服务，同时提供</w:t>
      </w:r>
      <w:r>
        <w:rPr>
          <w:rFonts w:hint="eastAsia" w:ascii="宋体" w:hAnsi="宋体" w:cs="宋体"/>
          <w:sz w:val="28"/>
          <w:szCs w:val="28"/>
          <w:lang w:val="en-US" w:eastAsia="zh-CN"/>
        </w:rPr>
        <w:t>2</w:t>
      </w:r>
      <w:r>
        <w:rPr>
          <w:rFonts w:hint="eastAsia" w:ascii="宋体" w:hAnsi="宋体" w:cs="宋体"/>
          <w:sz w:val="28"/>
          <w:szCs w:val="28"/>
        </w:rPr>
        <w:t>年7×24小时免费技术支持服务（包括免费升级、故障排除、性能调优、技术咨询等，并负责处理、协调与各硬件设备及系统软件等提供商的关系）。</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rPr>
      </w:pPr>
      <w:r>
        <w:rPr>
          <w:rFonts w:hint="eastAsia" w:ascii="宋体" w:hAnsi="宋体" w:cs="宋体"/>
          <w:sz w:val="28"/>
          <w:szCs w:val="28"/>
          <w:lang w:eastAsia="zh-CN"/>
        </w:rPr>
        <w:t>（六）</w:t>
      </w:r>
      <w:r>
        <w:rPr>
          <w:rFonts w:hint="eastAsia" w:ascii="宋体" w:hAnsi="宋体" w:cs="宋体"/>
          <w:sz w:val="28"/>
          <w:szCs w:val="28"/>
        </w:rPr>
        <w:t>人员配置与培训要求</w:t>
      </w:r>
    </w:p>
    <w:p>
      <w:pPr>
        <w:pStyle w:val="3"/>
        <w:pageBreakBefore w:val="0"/>
        <w:widowControl w:val="0"/>
        <w:kinsoku/>
        <w:wordWrap/>
        <w:overflowPunct/>
        <w:topLinePunct w:val="0"/>
        <w:autoSpaceDE/>
        <w:autoSpaceDN/>
        <w:bidi w:val="0"/>
        <w:adjustRightInd w:val="0"/>
        <w:snapToGrid w:val="0"/>
        <w:spacing w:line="600" w:lineRule="exact"/>
        <w:ind w:leftChars="0" w:firstLine="420"/>
        <w:textAlignment w:val="auto"/>
        <w:rPr>
          <w:rFonts w:hint="eastAsia" w:ascii="宋体" w:hAnsi="宋体" w:cs="宋体"/>
          <w:sz w:val="28"/>
          <w:szCs w:val="28"/>
          <w:lang w:val="en-US" w:eastAsia="zh-CN"/>
        </w:rPr>
      </w:pPr>
      <w:r>
        <w:rPr>
          <w:rFonts w:hint="eastAsia" w:ascii="宋体" w:hAnsi="宋体" w:cs="宋体"/>
          <w:sz w:val="28"/>
          <w:szCs w:val="28"/>
          <w:lang w:val="en-US" w:eastAsia="zh-CN"/>
        </w:rPr>
        <w:t>要求开发单位针对海南数字“三农”服务平台（一期）项目进行人员配置与培训方案的制定，须配备专人负责系统用户使用咨询、问题处理、数据整理及后台管理、硬件维护、网络安全及数据安全等方面日常事务性工作。主要内容包括但不限于培训内容、培训范围对象及预期效果、培训计划等。</w:t>
      </w:r>
    </w:p>
    <w:p>
      <w:pPr>
        <w:pStyle w:val="3"/>
        <w:spacing w:line="240" w:lineRule="auto"/>
        <w:ind w:firstLine="420"/>
        <w:rPr>
          <w:rFonts w:ascii="宋体" w:hAnsi="宋体" w:cs="宋体"/>
          <w:sz w:val="21"/>
          <w:szCs w:val="21"/>
        </w:rPr>
      </w:pPr>
    </w:p>
    <w:p>
      <w:pPr>
        <w:rPr>
          <w:rFonts w:ascii="宋体" w:hAnsi="宋体" w:eastAsia="宋体" w:cs="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573"/>
    <w:multiLevelType w:val="multilevel"/>
    <w:tmpl w:val="273A0573"/>
    <w:lvl w:ilvl="0" w:tentative="0">
      <w:start w:val="1"/>
      <w:numFmt w:val="decimal"/>
      <w:lvlText w:val="%1"/>
      <w:lvlJc w:val="left"/>
      <w:pPr>
        <w:ind w:left="425" w:hanging="425"/>
      </w:pPr>
      <w:rPr>
        <w:rFonts w:hint="eastAsia"/>
      </w:rPr>
    </w:lvl>
    <w:lvl w:ilvl="1" w:tentative="0">
      <w:start w:val="1"/>
      <w:numFmt w:val="chineseCountingThousand"/>
      <w:pStyle w:val="4"/>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F1C605A"/>
    <w:multiLevelType w:val="multilevel"/>
    <w:tmpl w:val="3F1C605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decimal"/>
      <w:pStyle w:val="5"/>
      <w:lvlText w:val="%3."/>
      <w:lvlJc w:val="right"/>
      <w:pPr>
        <w:ind w:left="0" w:firstLine="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79F16C7E"/>
    <w:multiLevelType w:val="multilevel"/>
    <w:tmpl w:val="79F16C7E"/>
    <w:lvl w:ilvl="0" w:tentative="0">
      <w:start w:val="1"/>
      <w:numFmt w:val="chineseCountingThousand"/>
      <w:pStyle w:val="2"/>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9F"/>
    <w:rsid w:val="0008672F"/>
    <w:rsid w:val="000F7F9F"/>
    <w:rsid w:val="0014301F"/>
    <w:rsid w:val="00340EAC"/>
    <w:rsid w:val="00952ABA"/>
    <w:rsid w:val="00971298"/>
    <w:rsid w:val="00F9148B"/>
    <w:rsid w:val="04765EB2"/>
    <w:rsid w:val="051473E5"/>
    <w:rsid w:val="08B85416"/>
    <w:rsid w:val="0AFB331F"/>
    <w:rsid w:val="105E75A4"/>
    <w:rsid w:val="11F353A0"/>
    <w:rsid w:val="16692551"/>
    <w:rsid w:val="16FF1798"/>
    <w:rsid w:val="1D5C7017"/>
    <w:rsid w:val="21186ED3"/>
    <w:rsid w:val="24096D88"/>
    <w:rsid w:val="29CB3A64"/>
    <w:rsid w:val="30B17622"/>
    <w:rsid w:val="30CD6117"/>
    <w:rsid w:val="339A12DD"/>
    <w:rsid w:val="3A2D2AE0"/>
    <w:rsid w:val="53373435"/>
    <w:rsid w:val="5A375928"/>
    <w:rsid w:val="65636D1F"/>
    <w:rsid w:val="699C6AEC"/>
    <w:rsid w:val="6C623C93"/>
    <w:rsid w:val="6E6FA189"/>
    <w:rsid w:val="6EC229E1"/>
    <w:rsid w:val="F3FDD44B"/>
    <w:rsid w:val="FF742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9"/>
    <w:pPr>
      <w:keepNext/>
      <w:keepLines/>
      <w:numPr>
        <w:ilvl w:val="0"/>
        <w:numId w:val="1"/>
      </w:numPr>
      <w:spacing w:before="340" w:after="330" w:line="578" w:lineRule="auto"/>
      <w:outlineLvl w:val="0"/>
    </w:pPr>
    <w:rPr>
      <w:b/>
      <w:bCs/>
      <w:kern w:val="44"/>
      <w:sz w:val="32"/>
      <w:szCs w:val="44"/>
    </w:rPr>
  </w:style>
  <w:style w:type="paragraph" w:styleId="4">
    <w:name w:val="heading 2"/>
    <w:basedOn w:val="1"/>
    <w:next w:val="3"/>
    <w:unhideWhenUsed/>
    <w:qFormat/>
    <w:uiPriority w:val="9"/>
    <w:pPr>
      <w:keepNext/>
      <w:keepLines/>
      <w:numPr>
        <w:ilvl w:val="1"/>
        <w:numId w:val="2"/>
      </w:numPr>
      <w:spacing w:before="260" w:after="260" w:line="415" w:lineRule="auto"/>
      <w:ind w:left="0" w:hanging="270" w:hangingChars="270"/>
      <w:outlineLvl w:val="1"/>
    </w:pPr>
    <w:rPr>
      <w:rFonts w:eastAsia="宋体" w:asciiTheme="majorHAnsi" w:hAnsiTheme="majorHAnsi" w:cstheme="majorBidi"/>
      <w:b/>
      <w:bCs/>
      <w:sz w:val="24"/>
      <w:szCs w:val="32"/>
    </w:rPr>
  </w:style>
  <w:style w:type="paragraph" w:styleId="5">
    <w:name w:val="heading 3"/>
    <w:basedOn w:val="1"/>
    <w:next w:val="1"/>
    <w:unhideWhenUsed/>
    <w:qFormat/>
    <w:uiPriority w:val="9"/>
    <w:pPr>
      <w:keepNext/>
      <w:keepLines/>
      <w:numPr>
        <w:ilvl w:val="2"/>
        <w:numId w:val="3"/>
      </w:numPr>
      <w:spacing w:before="260" w:after="260" w:line="480" w:lineRule="auto"/>
      <w:outlineLvl w:val="2"/>
    </w:pPr>
    <w:rPr>
      <w:b/>
      <w:bCs/>
      <w:sz w:val="24"/>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3">
    <w:name w:val="正文样式"/>
    <w:basedOn w:val="1"/>
    <w:qFormat/>
    <w:uiPriority w:val="0"/>
    <w:pPr>
      <w:spacing w:line="360" w:lineRule="auto"/>
      <w:ind w:firstLine="200" w:firstLineChars="200"/>
    </w:pPr>
    <w:rPr>
      <w:rFonts w:eastAsia="宋体"/>
      <w:sz w:val="24"/>
    </w:rPr>
  </w:style>
  <w:style w:type="paragraph" w:styleId="6">
    <w:name w:val="annotation text"/>
    <w:basedOn w:val="1"/>
    <w:link w:val="14"/>
    <w:qFormat/>
    <w:uiPriority w:val="0"/>
    <w:pPr>
      <w:jc w:val="left"/>
    </w:pPr>
  </w:style>
  <w:style w:type="paragraph" w:styleId="7">
    <w:name w:val="Balloon Text"/>
    <w:basedOn w:val="1"/>
    <w:link w:val="13"/>
    <w:qFormat/>
    <w:uiPriority w:val="0"/>
    <w:rPr>
      <w:sz w:val="18"/>
      <w:szCs w:val="18"/>
    </w:rPr>
  </w:style>
  <w:style w:type="paragraph" w:styleId="8">
    <w:name w:val="annotation subject"/>
    <w:basedOn w:val="6"/>
    <w:next w:val="6"/>
    <w:link w:val="15"/>
    <w:qFormat/>
    <w:uiPriority w:val="0"/>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批注框文本 字符"/>
    <w:basedOn w:val="11"/>
    <w:link w:val="7"/>
    <w:qFormat/>
    <w:uiPriority w:val="0"/>
    <w:rPr>
      <w:kern w:val="2"/>
      <w:sz w:val="18"/>
      <w:szCs w:val="18"/>
    </w:rPr>
  </w:style>
  <w:style w:type="character" w:customStyle="1" w:styleId="14">
    <w:name w:val="批注文字 字符"/>
    <w:basedOn w:val="11"/>
    <w:link w:val="6"/>
    <w:qFormat/>
    <w:uiPriority w:val="0"/>
    <w:rPr>
      <w:kern w:val="2"/>
      <w:sz w:val="21"/>
      <w:szCs w:val="22"/>
    </w:rPr>
  </w:style>
  <w:style w:type="character" w:customStyle="1" w:styleId="15">
    <w:name w:val="批注主题 字符"/>
    <w:basedOn w:val="14"/>
    <w:link w:val="8"/>
    <w:qFormat/>
    <w:uiPriority w:val="0"/>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1070</Words>
  <Characters>6099</Characters>
  <Lines>50</Lines>
  <Paragraphs>14</Paragraphs>
  <TotalTime>7</TotalTime>
  <ScaleCrop>false</ScaleCrop>
  <LinksUpToDate>false</LinksUpToDate>
  <CharactersWithSpaces>7155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SHJ</cp:lastModifiedBy>
  <dcterms:modified xsi:type="dcterms:W3CDTF">2021-03-10T02:04:12Z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