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32"/>
          <w:szCs w:val="32"/>
        </w:rPr>
      </w:pPr>
    </w:p>
    <w:p>
      <w:pPr>
        <w:pStyle w:val="2"/>
      </w:pPr>
    </w:p>
    <w:p>
      <w:pPr>
        <w:spacing w:line="360" w:lineRule="auto"/>
        <w:jc w:val="center"/>
        <w:rPr>
          <w:sz w:val="32"/>
          <w:szCs w:val="32"/>
        </w:rPr>
      </w:pPr>
    </w:p>
    <w:p>
      <w:pPr>
        <w:spacing w:line="360" w:lineRule="auto"/>
        <w:jc w:val="center"/>
        <w:rPr>
          <w:sz w:val="48"/>
          <w:szCs w:val="48"/>
        </w:rPr>
      </w:pPr>
      <w:r>
        <w:rPr>
          <w:rFonts w:hint="eastAsia"/>
          <w:sz w:val="48"/>
          <w:szCs w:val="48"/>
        </w:rPr>
        <w:t>海南省“码上办事”平台项目</w:t>
      </w:r>
    </w:p>
    <w:p>
      <w:pPr>
        <w:tabs>
          <w:tab w:val="left" w:pos="5313"/>
        </w:tabs>
        <w:spacing w:line="360" w:lineRule="auto"/>
        <w:jc w:val="left"/>
        <w:rPr>
          <w:rFonts w:ascii="仿宋_GB2312" w:eastAsia="仿宋_GB2312"/>
          <w:b/>
          <w:sz w:val="24"/>
        </w:rPr>
      </w:pPr>
      <w:r>
        <w:rPr>
          <w:rFonts w:hint="eastAsia" w:ascii="仿宋_GB2312" w:eastAsia="仿宋_GB2312"/>
          <w:b/>
          <w:sz w:val="24"/>
        </w:rPr>
        <w:tab/>
      </w:r>
    </w:p>
    <w:p>
      <w:pPr>
        <w:pStyle w:val="2"/>
        <w:rPr>
          <w:rFonts w:ascii="仿宋_GB2312" w:eastAsia="仿宋_GB2312"/>
          <w:b/>
        </w:rPr>
      </w:pPr>
    </w:p>
    <w:p>
      <w:pPr>
        <w:pStyle w:val="2"/>
        <w:rPr>
          <w:rFonts w:ascii="仿宋_GB2312" w:eastAsia="仿宋_GB2312"/>
          <w:b/>
        </w:rPr>
      </w:pPr>
    </w:p>
    <w:p>
      <w:pPr>
        <w:pStyle w:val="2"/>
        <w:rPr>
          <w:rFonts w:ascii="仿宋_GB2312" w:eastAsia="仿宋_GB2312"/>
          <w:b/>
        </w:rPr>
      </w:pPr>
    </w:p>
    <w:p>
      <w:pPr>
        <w:spacing w:line="360" w:lineRule="auto"/>
        <w:jc w:val="center"/>
        <w:rPr>
          <w:sz w:val="72"/>
          <w:szCs w:val="72"/>
        </w:rPr>
      </w:pPr>
      <w:bookmarkStart w:id="0" w:name="_Toc475436459"/>
      <w:bookmarkStart w:id="1" w:name="_Toc475436576"/>
      <w:bookmarkStart w:id="2" w:name="OLE_LINK2"/>
      <w:bookmarkStart w:id="3" w:name="_Toc101779228"/>
      <w:bookmarkStart w:id="4" w:name="_Toc520275548"/>
      <w:bookmarkStart w:id="5" w:name="_Toc446923393"/>
      <w:bookmarkStart w:id="6" w:name="_Toc397339202"/>
      <w:bookmarkStart w:id="7" w:name="_Toc93348652"/>
      <w:bookmarkStart w:id="8" w:name="_Toc397339170"/>
      <w:r>
        <w:rPr>
          <w:rFonts w:hint="eastAsia"/>
          <w:sz w:val="72"/>
          <w:szCs w:val="72"/>
        </w:rPr>
        <w:t>单一来源采购文件</w:t>
      </w:r>
      <w:bookmarkEnd w:id="0"/>
      <w:bookmarkEnd w:id="1"/>
      <w:bookmarkEnd w:id="2"/>
      <w:bookmarkEnd w:id="3"/>
      <w:bookmarkEnd w:id="4"/>
      <w:bookmarkEnd w:id="5"/>
      <w:bookmarkEnd w:id="6"/>
      <w:bookmarkEnd w:id="7"/>
      <w:bookmarkEnd w:id="8"/>
    </w:p>
    <w:p>
      <w:pPr>
        <w:spacing w:line="360" w:lineRule="auto"/>
        <w:jc w:val="center"/>
        <w:rPr>
          <w:sz w:val="36"/>
          <w:szCs w:val="36"/>
        </w:rPr>
      </w:pPr>
      <w:bookmarkStart w:id="9" w:name="_Toc397339203"/>
      <w:bookmarkStart w:id="10" w:name="_Toc446923394"/>
      <w:bookmarkStart w:id="11" w:name="_Toc520275549"/>
      <w:bookmarkStart w:id="12" w:name="_Toc475436577"/>
      <w:bookmarkStart w:id="13" w:name="_Toc475436460"/>
      <w:r>
        <w:rPr>
          <w:rFonts w:hint="eastAsia"/>
          <w:sz w:val="36"/>
          <w:szCs w:val="36"/>
        </w:rPr>
        <w:t>招标编号：</w:t>
      </w:r>
      <w:bookmarkEnd w:id="9"/>
      <w:bookmarkEnd w:id="10"/>
      <w:bookmarkEnd w:id="11"/>
      <w:bookmarkEnd w:id="12"/>
      <w:bookmarkEnd w:id="13"/>
      <w:r>
        <w:rPr>
          <w:rFonts w:hint="eastAsia"/>
          <w:sz w:val="36"/>
          <w:szCs w:val="36"/>
        </w:rPr>
        <w:t>HXY2021-037</w:t>
      </w:r>
    </w:p>
    <w:p>
      <w:pPr>
        <w:spacing w:line="360" w:lineRule="auto"/>
        <w:jc w:val="center"/>
        <w:rPr>
          <w:rFonts w:ascii="仿宋_GB2312" w:hAnsi="宋体" w:eastAsia="仿宋_GB2312"/>
          <w:b/>
          <w:bCs/>
          <w:sz w:val="28"/>
          <w:szCs w:val="28"/>
        </w:rPr>
      </w:pPr>
    </w:p>
    <w:p>
      <w:pPr>
        <w:spacing w:line="360" w:lineRule="auto"/>
        <w:rPr>
          <w:rFonts w:ascii="仿宋_GB2312" w:hAnsi="宋体" w:eastAsia="仿宋_GB2312"/>
          <w:b/>
          <w:bCs/>
          <w:sz w:val="24"/>
        </w:rPr>
      </w:pPr>
      <w:r>
        <w:rPr>
          <w:rFonts w:hint="eastAsia" w:ascii="仿宋_GB2312" w:hAnsi="宋体" w:eastAsia="仿宋_GB2312"/>
          <w:b/>
          <w:bCs/>
          <w:sz w:val="24"/>
        </w:rPr>
        <w:t xml:space="preserve">                         </w:t>
      </w:r>
    </w:p>
    <w:p>
      <w:pPr>
        <w:spacing w:line="360" w:lineRule="auto"/>
        <w:ind w:firstLine="1606" w:firstLineChars="500"/>
        <w:rPr>
          <w:rFonts w:ascii="宋体" w:hAnsi="宋体"/>
          <w:b/>
          <w:kern w:val="0"/>
          <w:sz w:val="32"/>
          <w:szCs w:val="32"/>
        </w:rPr>
      </w:pPr>
    </w:p>
    <w:p>
      <w:pPr>
        <w:spacing w:line="360" w:lineRule="auto"/>
        <w:ind w:firstLine="1606" w:firstLineChars="500"/>
        <w:rPr>
          <w:rFonts w:ascii="宋体" w:hAnsi="宋体"/>
          <w:b/>
          <w:kern w:val="0"/>
          <w:sz w:val="32"/>
          <w:szCs w:val="32"/>
        </w:rPr>
      </w:pPr>
    </w:p>
    <w:p>
      <w:pPr>
        <w:spacing w:line="360" w:lineRule="auto"/>
        <w:jc w:val="center"/>
        <w:rPr>
          <w:rFonts w:ascii="宋体" w:hAnsi="宋体"/>
          <w:b/>
          <w:sz w:val="32"/>
          <w:szCs w:val="32"/>
        </w:rPr>
      </w:pPr>
      <w:r>
        <w:rPr>
          <w:rFonts w:hint="eastAsia" w:ascii="宋体" w:hAnsi="宋体"/>
          <w:b/>
          <w:kern w:val="0"/>
          <w:sz w:val="32"/>
          <w:szCs w:val="32"/>
        </w:rPr>
        <w:t>采  购  人：</w:t>
      </w:r>
      <w:r>
        <w:rPr>
          <w:rFonts w:hint="eastAsia" w:ascii="宋体" w:hAnsi="宋体"/>
          <w:b/>
          <w:sz w:val="32"/>
          <w:szCs w:val="32"/>
        </w:rPr>
        <w:t>海南省大数据管理局</w:t>
      </w:r>
    </w:p>
    <w:p>
      <w:pPr>
        <w:spacing w:line="360" w:lineRule="auto"/>
        <w:jc w:val="center"/>
        <w:rPr>
          <w:rFonts w:ascii="宋体" w:hAnsi="宋体"/>
          <w:b/>
          <w:kern w:val="0"/>
          <w:sz w:val="32"/>
          <w:szCs w:val="32"/>
        </w:rPr>
      </w:pPr>
      <w:r>
        <w:rPr>
          <w:rFonts w:hint="eastAsia" w:ascii="宋体" w:hAnsi="宋体"/>
          <w:b/>
          <w:kern w:val="0"/>
          <w:sz w:val="32"/>
          <w:szCs w:val="32"/>
        </w:rPr>
        <w:t>招标代理机构：海南和信源招标代理有限公司</w:t>
      </w:r>
    </w:p>
    <w:p>
      <w:pPr>
        <w:spacing w:line="360" w:lineRule="auto"/>
        <w:jc w:val="center"/>
        <w:rPr>
          <w:b/>
          <w:kern w:val="0"/>
          <w:sz w:val="32"/>
          <w:szCs w:val="32"/>
        </w:rPr>
      </w:pPr>
    </w:p>
    <w:p>
      <w:pPr>
        <w:spacing w:line="360" w:lineRule="auto"/>
        <w:jc w:val="center"/>
        <w:rPr>
          <w:b/>
          <w:kern w:val="0"/>
          <w:sz w:val="32"/>
          <w:szCs w:val="32"/>
        </w:rPr>
        <w:sectPr>
          <w:footerReference r:id="rId7" w:type="first"/>
          <w:headerReference r:id="rId3" w:type="default"/>
          <w:footerReference r:id="rId5" w:type="default"/>
          <w:headerReference r:id="rId4" w:type="even"/>
          <w:footerReference r:id="rId6" w:type="even"/>
          <w:footnotePr>
            <w:pos w:val="beneathText"/>
          </w:footnotePr>
          <w:pgSz w:w="11905" w:h="16837"/>
          <w:pgMar w:top="1457" w:right="1548" w:bottom="1457" w:left="1945" w:header="964" w:footer="964" w:gutter="0"/>
          <w:pgNumType w:fmt="upperRoman" w:start="1"/>
          <w:cols w:space="720" w:num="1"/>
          <w:titlePg/>
          <w:docGrid w:linePitch="285" w:charSpace="2457"/>
        </w:sectPr>
      </w:pPr>
      <w:r>
        <w:rPr>
          <w:rFonts w:hint="eastAsia"/>
          <w:b/>
          <w:kern w:val="0"/>
          <w:sz w:val="32"/>
          <w:szCs w:val="32"/>
        </w:rPr>
        <w:t>二○二一年三月</w:t>
      </w:r>
    </w:p>
    <w:p>
      <w:pPr>
        <w:spacing w:line="360" w:lineRule="auto"/>
        <w:jc w:val="center"/>
        <w:rPr>
          <w:b/>
          <w:kern w:val="0"/>
          <w:sz w:val="32"/>
          <w:szCs w:val="32"/>
        </w:rPr>
      </w:pPr>
      <w:r>
        <w:rPr>
          <w:rFonts w:hint="eastAsia" w:ascii="宋体" w:hAnsi="宋体"/>
          <w:b/>
          <w:sz w:val="44"/>
        </w:rPr>
        <w:t>目   录</w:t>
      </w:r>
    </w:p>
    <w:p>
      <w:pPr>
        <w:pStyle w:val="36"/>
        <w:tabs>
          <w:tab w:val="right" w:leader="dot" w:pos="8402"/>
        </w:tabs>
        <w:rPr>
          <w:rFonts w:asciiTheme="minorHAnsi" w:hAnsiTheme="minorHAnsi" w:eastAsiaTheme="minorEastAsia" w:cstheme="minorBidi"/>
          <w:b w:val="0"/>
          <w:bCs w:val="0"/>
          <w:caps w:val="0"/>
          <w:szCs w:val="22"/>
        </w:rPr>
      </w:pPr>
      <w:r>
        <w:rPr>
          <w:rFonts w:ascii="宋体" w:hAnsi="宋体"/>
          <w:b w:val="0"/>
          <w:sz w:val="24"/>
        </w:rPr>
        <w:fldChar w:fldCharType="begin"/>
      </w:r>
      <w:r>
        <w:rPr>
          <w:rFonts w:ascii="宋体" w:hAnsi="宋体"/>
          <w:b w:val="0"/>
          <w:sz w:val="24"/>
        </w:rPr>
        <w:instrText xml:space="preserve"> </w:instrText>
      </w:r>
      <w:r>
        <w:rPr>
          <w:rFonts w:hint="eastAsia" w:ascii="宋体" w:hAnsi="宋体"/>
          <w:b w:val="0"/>
          <w:sz w:val="24"/>
        </w:rPr>
        <w:instrText xml:space="preserve">TOC \o "1-3" \h \z \u</w:instrText>
      </w:r>
      <w:r>
        <w:rPr>
          <w:rFonts w:ascii="宋体" w:hAnsi="宋体"/>
          <w:b w:val="0"/>
          <w:sz w:val="24"/>
        </w:rPr>
        <w:instrText xml:space="preserve"> </w:instrText>
      </w:r>
      <w:r>
        <w:rPr>
          <w:rFonts w:ascii="宋体" w:hAnsi="宋体"/>
          <w:b w:val="0"/>
          <w:sz w:val="24"/>
        </w:rPr>
        <w:fldChar w:fldCharType="separate"/>
      </w:r>
      <w:r>
        <w:fldChar w:fldCharType="begin"/>
      </w:r>
      <w:r>
        <w:instrText xml:space="preserve"> HYPERLINK \l "_Toc67640128" </w:instrText>
      </w:r>
      <w:r>
        <w:fldChar w:fldCharType="separate"/>
      </w:r>
      <w:r>
        <w:rPr>
          <w:rStyle w:val="60"/>
          <w:rFonts w:hint="eastAsia"/>
        </w:rPr>
        <w:t>第一章</w:t>
      </w:r>
      <w:r>
        <w:rPr>
          <w:rStyle w:val="60"/>
        </w:rPr>
        <w:t xml:space="preserve">  </w:t>
      </w:r>
      <w:r>
        <w:rPr>
          <w:rStyle w:val="60"/>
          <w:rFonts w:hint="eastAsia"/>
        </w:rPr>
        <w:t>谈判邀请函</w:t>
      </w:r>
      <w:r>
        <w:tab/>
      </w:r>
      <w:r>
        <w:fldChar w:fldCharType="begin"/>
      </w:r>
      <w:r>
        <w:instrText xml:space="preserve"> PAGEREF _Toc67640128 \h </w:instrText>
      </w:r>
      <w:r>
        <w:fldChar w:fldCharType="separate"/>
      </w:r>
      <w:r>
        <w:t>1</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"_Toc67640129" </w:instrText>
      </w:r>
      <w:r>
        <w:fldChar w:fldCharType="separate"/>
      </w:r>
      <w:r>
        <w:rPr>
          <w:rStyle w:val="60"/>
          <w:rFonts w:hint="eastAsia"/>
        </w:rPr>
        <w:t>一、项目情况</w:t>
      </w:r>
      <w:r>
        <w:tab/>
      </w:r>
      <w:r>
        <w:fldChar w:fldCharType="begin"/>
      </w:r>
      <w:r>
        <w:instrText xml:space="preserve"> PAGEREF _Toc67640129 \h </w:instrText>
      </w:r>
      <w:r>
        <w:fldChar w:fldCharType="separate"/>
      </w:r>
      <w:r>
        <w:t>1</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"_Toc67640130" </w:instrText>
      </w:r>
      <w:r>
        <w:fldChar w:fldCharType="separate"/>
      </w:r>
      <w:r>
        <w:rPr>
          <w:rStyle w:val="60"/>
          <w:rFonts w:hint="eastAsia"/>
        </w:rPr>
        <w:t>二、投标人资格要求</w:t>
      </w:r>
      <w:r>
        <w:tab/>
      </w:r>
      <w:r>
        <w:fldChar w:fldCharType="begin"/>
      </w:r>
      <w:r>
        <w:instrText xml:space="preserve"> PAGEREF _Toc67640130 \h </w:instrText>
      </w:r>
      <w:r>
        <w:fldChar w:fldCharType="separate"/>
      </w:r>
      <w:r>
        <w:t>1</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"_Toc67640131" </w:instrText>
      </w:r>
      <w:r>
        <w:fldChar w:fldCharType="separate"/>
      </w:r>
      <w:r>
        <w:rPr>
          <w:rStyle w:val="60"/>
          <w:rFonts w:hint="eastAsia"/>
        </w:rPr>
        <w:t>三、招标文件的获取</w:t>
      </w:r>
      <w:r>
        <w:tab/>
      </w:r>
      <w:r>
        <w:fldChar w:fldCharType="begin"/>
      </w:r>
      <w:r>
        <w:instrText xml:space="preserve"> PAGEREF _Toc67640131 \h </w:instrText>
      </w:r>
      <w:r>
        <w:fldChar w:fldCharType="separate"/>
      </w:r>
      <w:r>
        <w:t>2</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"_Toc67640132" </w:instrText>
      </w:r>
      <w:r>
        <w:fldChar w:fldCharType="separate"/>
      </w:r>
      <w:r>
        <w:rPr>
          <w:rStyle w:val="60"/>
          <w:rFonts w:hint="eastAsia"/>
        </w:rPr>
        <w:t>四、投标截止时间、开标时间及地点</w:t>
      </w:r>
      <w:r>
        <w:tab/>
      </w:r>
      <w:r>
        <w:fldChar w:fldCharType="begin"/>
      </w:r>
      <w:r>
        <w:instrText xml:space="preserve"> PAGEREF _Toc67640132 \h </w:instrText>
      </w:r>
      <w:r>
        <w:fldChar w:fldCharType="separate"/>
      </w:r>
      <w:r>
        <w:t>2</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"_Toc67640133" </w:instrText>
      </w:r>
      <w:r>
        <w:fldChar w:fldCharType="separate"/>
      </w:r>
      <w:r>
        <w:rPr>
          <w:rStyle w:val="60"/>
          <w:rFonts w:hint="eastAsia"/>
        </w:rPr>
        <w:t>五、招标代理机构联系方式</w:t>
      </w:r>
      <w:r>
        <w:tab/>
      </w:r>
      <w:r>
        <w:fldChar w:fldCharType="begin"/>
      </w:r>
      <w:r>
        <w:instrText xml:space="preserve"> PAGEREF _Toc67640133 \h </w:instrText>
      </w:r>
      <w:r>
        <w:fldChar w:fldCharType="separate"/>
      </w:r>
      <w:r>
        <w:t>2</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"_Toc67640134" </w:instrText>
      </w:r>
      <w:r>
        <w:fldChar w:fldCharType="separate"/>
      </w:r>
      <w:r>
        <w:rPr>
          <w:rStyle w:val="60"/>
          <w:rFonts w:hint="eastAsia"/>
        </w:rPr>
        <w:t>六、采购人联系方式</w:t>
      </w:r>
      <w:r>
        <w:tab/>
      </w:r>
      <w:r>
        <w:fldChar w:fldCharType="begin"/>
      </w:r>
      <w:r>
        <w:instrText xml:space="preserve"> PAGEREF _Toc67640134 \h </w:instrText>
      </w:r>
      <w:r>
        <w:fldChar w:fldCharType="separate"/>
      </w:r>
      <w:r>
        <w:t>3</w:t>
      </w:r>
      <w:r>
        <w:fldChar w:fldCharType="end"/>
      </w:r>
      <w:r>
        <w:fldChar w:fldCharType="end"/>
      </w:r>
    </w:p>
    <w:p>
      <w:pPr>
        <w:pStyle w:val="36"/>
        <w:tabs>
          <w:tab w:val="right" w:leader="dot" w:pos="8402"/>
        </w:tabs>
        <w:rPr>
          <w:rFonts w:asciiTheme="minorHAnsi" w:hAnsiTheme="minorHAnsi" w:eastAsiaTheme="minorEastAsia" w:cstheme="minorBidi"/>
          <w:b w:val="0"/>
          <w:bCs w:val="0"/>
          <w:caps w:val="0"/>
          <w:szCs w:val="22"/>
        </w:rPr>
      </w:pPr>
      <w:r>
        <w:fldChar w:fldCharType="begin"/>
      </w:r>
      <w:r>
        <w:instrText xml:space="preserve"> HYPERLINK \l "_Toc67640135" </w:instrText>
      </w:r>
      <w:r>
        <w:fldChar w:fldCharType="separate"/>
      </w:r>
      <w:r>
        <w:rPr>
          <w:rStyle w:val="60"/>
          <w:rFonts w:hint="eastAsia"/>
        </w:rPr>
        <w:t>第二章</w:t>
      </w:r>
      <w:r>
        <w:rPr>
          <w:rStyle w:val="60"/>
        </w:rPr>
        <w:t xml:space="preserve">  </w:t>
      </w:r>
      <w:r>
        <w:rPr>
          <w:rStyle w:val="60"/>
          <w:rFonts w:hint="eastAsia"/>
        </w:rPr>
        <w:t>报价人须知</w:t>
      </w:r>
      <w:r>
        <w:tab/>
      </w:r>
      <w:r>
        <w:fldChar w:fldCharType="begin"/>
      </w:r>
      <w:r>
        <w:instrText xml:space="preserve"> PAGEREF _Toc67640135 \h </w:instrText>
      </w:r>
      <w:r>
        <w:fldChar w:fldCharType="separate"/>
      </w:r>
      <w:r>
        <w:t>4</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"_Toc67640136" </w:instrText>
      </w:r>
      <w:r>
        <w:fldChar w:fldCharType="separate"/>
      </w:r>
      <w:r>
        <w:rPr>
          <w:rStyle w:val="60"/>
          <w:rFonts w:hint="eastAsia"/>
        </w:rPr>
        <w:t>一、总则</w:t>
      </w:r>
      <w:r>
        <w:tab/>
      </w:r>
      <w:r>
        <w:fldChar w:fldCharType="begin"/>
      </w:r>
      <w:r>
        <w:instrText xml:space="preserve"> PAGEREF _Toc67640136 \h </w:instrText>
      </w:r>
      <w:r>
        <w:fldChar w:fldCharType="separate"/>
      </w:r>
      <w:r>
        <w:t>4</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"_Toc67640137" </w:instrText>
      </w:r>
      <w:r>
        <w:fldChar w:fldCharType="separate"/>
      </w:r>
      <w:r>
        <w:rPr>
          <w:rStyle w:val="60"/>
          <w:rFonts w:hint="eastAsia"/>
        </w:rPr>
        <w:t>二、谈判文件</w:t>
      </w:r>
      <w:r>
        <w:tab/>
      </w:r>
      <w:r>
        <w:fldChar w:fldCharType="begin"/>
      </w:r>
      <w:r>
        <w:instrText xml:space="preserve"> PAGEREF _Toc67640137 \h </w:instrText>
      </w:r>
      <w:r>
        <w:fldChar w:fldCharType="separate"/>
      </w:r>
      <w:r>
        <w:t>4</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"_Toc67640138" </w:instrText>
      </w:r>
      <w:r>
        <w:fldChar w:fldCharType="separate"/>
      </w:r>
      <w:r>
        <w:rPr>
          <w:rStyle w:val="60"/>
          <w:rFonts w:hint="eastAsia"/>
        </w:rPr>
        <w:t>三、响应文件编制及要求</w:t>
      </w:r>
      <w:r>
        <w:tab/>
      </w:r>
      <w:r>
        <w:fldChar w:fldCharType="begin"/>
      </w:r>
      <w:r>
        <w:instrText xml:space="preserve"> PAGEREF _Toc67640138 \h </w:instrText>
      </w:r>
      <w:r>
        <w:fldChar w:fldCharType="separate"/>
      </w:r>
      <w:r>
        <w:t>5</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"_Toc67640139" </w:instrText>
      </w:r>
      <w:r>
        <w:fldChar w:fldCharType="separate"/>
      </w:r>
      <w:r>
        <w:rPr>
          <w:rStyle w:val="60"/>
          <w:rFonts w:hint="eastAsia"/>
        </w:rPr>
        <w:t>四、响应文件的递交</w:t>
      </w:r>
      <w:r>
        <w:tab/>
      </w:r>
      <w:r>
        <w:fldChar w:fldCharType="begin"/>
      </w:r>
      <w:r>
        <w:instrText xml:space="preserve"> PAGEREF _Toc67640139 \h </w:instrText>
      </w:r>
      <w:r>
        <w:fldChar w:fldCharType="separate"/>
      </w:r>
      <w:r>
        <w:t>6</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"_Toc67640140" </w:instrText>
      </w:r>
      <w:r>
        <w:fldChar w:fldCharType="separate"/>
      </w:r>
      <w:r>
        <w:rPr>
          <w:rStyle w:val="60"/>
          <w:rFonts w:hint="eastAsia"/>
        </w:rPr>
        <w:t>五、单一来源投标保证金</w:t>
      </w:r>
      <w:r>
        <w:tab/>
      </w:r>
      <w:r>
        <w:fldChar w:fldCharType="begin"/>
      </w:r>
      <w:r>
        <w:instrText xml:space="preserve"> PAGEREF _Toc67640140 \h </w:instrText>
      </w:r>
      <w:r>
        <w:fldChar w:fldCharType="separate"/>
      </w:r>
      <w:r>
        <w:t>6</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"_Toc67640141" </w:instrText>
      </w:r>
      <w:r>
        <w:fldChar w:fldCharType="separate"/>
      </w:r>
      <w:r>
        <w:rPr>
          <w:rStyle w:val="60"/>
          <w:rFonts w:hint="eastAsia"/>
        </w:rPr>
        <w:t>六、谈判</w:t>
      </w:r>
      <w:r>
        <w:tab/>
      </w:r>
      <w:r>
        <w:fldChar w:fldCharType="begin"/>
      </w:r>
      <w:r>
        <w:instrText xml:space="preserve"> PAGEREF _Toc67640141 \h </w:instrText>
      </w:r>
      <w:r>
        <w:fldChar w:fldCharType="separate"/>
      </w:r>
      <w:r>
        <w:t>7</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"_Toc67640142" </w:instrText>
      </w:r>
      <w:r>
        <w:fldChar w:fldCharType="separate"/>
      </w:r>
      <w:r>
        <w:rPr>
          <w:rStyle w:val="60"/>
          <w:rFonts w:hint="eastAsia"/>
        </w:rPr>
        <w:t>七、签订合同</w:t>
      </w:r>
      <w:r>
        <w:tab/>
      </w:r>
      <w:r>
        <w:fldChar w:fldCharType="begin"/>
      </w:r>
      <w:r>
        <w:instrText xml:space="preserve"> PAGEREF _Toc67640142 \h </w:instrText>
      </w:r>
      <w:r>
        <w:fldChar w:fldCharType="separate"/>
      </w:r>
      <w:r>
        <w:t>8</w:t>
      </w:r>
      <w:r>
        <w:fldChar w:fldCharType="end"/>
      </w:r>
      <w:r>
        <w:fldChar w:fldCharType="end"/>
      </w:r>
    </w:p>
    <w:p>
      <w:pPr>
        <w:pStyle w:val="36"/>
        <w:tabs>
          <w:tab w:val="right" w:leader="dot" w:pos="8402"/>
        </w:tabs>
        <w:rPr>
          <w:rFonts w:asciiTheme="minorHAnsi" w:hAnsiTheme="minorHAnsi" w:eastAsiaTheme="minorEastAsia" w:cstheme="minorBidi"/>
          <w:b w:val="0"/>
          <w:bCs w:val="0"/>
          <w:caps w:val="0"/>
          <w:szCs w:val="22"/>
        </w:rPr>
      </w:pPr>
      <w:r>
        <w:fldChar w:fldCharType="begin"/>
      </w:r>
      <w:r>
        <w:instrText xml:space="preserve"> HYPERLINK \l "_Toc67640143" </w:instrText>
      </w:r>
      <w:r>
        <w:fldChar w:fldCharType="separate"/>
      </w:r>
      <w:r>
        <w:rPr>
          <w:rStyle w:val="60"/>
          <w:rFonts w:hint="eastAsia"/>
        </w:rPr>
        <w:t>第三章</w:t>
      </w:r>
      <w:r>
        <w:rPr>
          <w:rStyle w:val="60"/>
        </w:rPr>
        <w:t xml:space="preserve">  </w:t>
      </w:r>
      <w:r>
        <w:rPr>
          <w:rStyle w:val="60"/>
          <w:rFonts w:hint="eastAsia"/>
        </w:rPr>
        <w:t>用户需求书</w:t>
      </w:r>
      <w:r>
        <w:tab/>
      </w:r>
      <w:r>
        <w:fldChar w:fldCharType="begin"/>
      </w:r>
      <w:r>
        <w:instrText xml:space="preserve"> PAGEREF _Toc67640143 \h </w:instrText>
      </w:r>
      <w:r>
        <w:fldChar w:fldCharType="separate"/>
      </w:r>
      <w:r>
        <w:t>9</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"_Toc67640144" </w:instrText>
      </w:r>
      <w:r>
        <w:fldChar w:fldCharType="separate"/>
      </w:r>
      <w:r>
        <w:rPr>
          <w:rStyle w:val="60"/>
          <w:rFonts w:hint="eastAsia"/>
        </w:rPr>
        <w:t>一、项目名称</w:t>
      </w:r>
      <w:r>
        <w:tab/>
      </w:r>
      <w:r>
        <w:fldChar w:fldCharType="begin"/>
      </w:r>
      <w:r>
        <w:instrText xml:space="preserve"> PAGEREF _Toc67640144 \h </w:instrText>
      </w:r>
      <w:r>
        <w:fldChar w:fldCharType="separate"/>
      </w:r>
      <w:r>
        <w:t>9</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"_Toc67640145" </w:instrText>
      </w:r>
      <w:r>
        <w:fldChar w:fldCharType="separate"/>
      </w:r>
      <w:r>
        <w:rPr>
          <w:rStyle w:val="60"/>
          <w:rFonts w:hint="eastAsia"/>
        </w:rPr>
        <w:t>二、项目概述</w:t>
      </w:r>
      <w:r>
        <w:tab/>
      </w:r>
      <w:r>
        <w:fldChar w:fldCharType="begin"/>
      </w:r>
      <w:r>
        <w:instrText xml:space="preserve"> PAGEREF _Toc67640145 \h </w:instrText>
      </w:r>
      <w:r>
        <w:fldChar w:fldCharType="separate"/>
      </w:r>
      <w:r>
        <w:t>9</w:t>
      </w:r>
      <w:r>
        <w:fldChar w:fldCharType="end"/>
      </w:r>
      <w:r>
        <w:fldChar w:fldCharType="end"/>
      </w:r>
    </w:p>
    <w:p>
      <w:pPr>
        <w:pStyle w:val="26"/>
        <w:tabs>
          <w:tab w:val="right" w:leader="dot" w:pos="8402"/>
        </w:tabs>
        <w:rPr>
          <w:rFonts w:asciiTheme="minorHAnsi" w:hAnsiTheme="minorHAnsi" w:eastAsiaTheme="minorEastAsia" w:cstheme="minorBidi"/>
          <w:szCs w:val="22"/>
        </w:rPr>
      </w:pPr>
      <w:r>
        <w:fldChar w:fldCharType="begin"/>
      </w:r>
      <w:r>
        <w:instrText xml:space="preserve"> HYPERLINK \l "_Toc67640146" </w:instrText>
      </w:r>
      <w:r>
        <w:fldChar w:fldCharType="separate"/>
      </w:r>
      <w:r>
        <w:rPr>
          <w:rStyle w:val="60"/>
        </w:rPr>
        <w:t xml:space="preserve">2.1 </w:t>
      </w:r>
      <w:r>
        <w:rPr>
          <w:rStyle w:val="60"/>
          <w:rFonts w:hint="eastAsia"/>
        </w:rPr>
        <w:t>项目背景</w:t>
      </w:r>
      <w:r>
        <w:tab/>
      </w:r>
      <w:r>
        <w:fldChar w:fldCharType="begin"/>
      </w:r>
      <w:r>
        <w:instrText xml:space="preserve"> PAGEREF _Toc67640146 \h </w:instrText>
      </w:r>
      <w:r>
        <w:fldChar w:fldCharType="separate"/>
      </w:r>
      <w:r>
        <w:t>9</w:t>
      </w:r>
      <w:r>
        <w:fldChar w:fldCharType="end"/>
      </w:r>
      <w:r>
        <w:fldChar w:fldCharType="end"/>
      </w:r>
    </w:p>
    <w:p>
      <w:pPr>
        <w:pStyle w:val="26"/>
        <w:tabs>
          <w:tab w:val="right" w:leader="dot" w:pos="8402"/>
        </w:tabs>
        <w:rPr>
          <w:rFonts w:asciiTheme="minorHAnsi" w:hAnsiTheme="minorHAnsi" w:eastAsiaTheme="minorEastAsia" w:cstheme="minorBidi"/>
          <w:szCs w:val="22"/>
        </w:rPr>
      </w:pPr>
      <w:r>
        <w:fldChar w:fldCharType="begin"/>
      </w:r>
      <w:r>
        <w:instrText xml:space="preserve"> HYPERLINK \l "_Toc67640147" </w:instrText>
      </w:r>
      <w:r>
        <w:fldChar w:fldCharType="separate"/>
      </w:r>
      <w:r>
        <w:rPr>
          <w:rStyle w:val="60"/>
        </w:rPr>
        <w:t xml:space="preserve">2.2 </w:t>
      </w:r>
      <w:r>
        <w:rPr>
          <w:rStyle w:val="60"/>
          <w:rFonts w:hint="eastAsia"/>
        </w:rPr>
        <w:t>建设内容</w:t>
      </w:r>
      <w:r>
        <w:tab/>
      </w:r>
      <w:r>
        <w:fldChar w:fldCharType="begin"/>
      </w:r>
      <w:r>
        <w:instrText xml:space="preserve"> PAGEREF _Toc67640147 \h </w:instrText>
      </w:r>
      <w:r>
        <w:fldChar w:fldCharType="separate"/>
      </w:r>
      <w:r>
        <w:t>9</w:t>
      </w:r>
      <w:r>
        <w:fldChar w:fldCharType="end"/>
      </w:r>
      <w:r>
        <w:fldChar w:fldCharType="end"/>
      </w:r>
    </w:p>
    <w:p>
      <w:pPr>
        <w:pStyle w:val="26"/>
        <w:tabs>
          <w:tab w:val="right" w:leader="dot" w:pos="8402"/>
        </w:tabs>
        <w:rPr>
          <w:rFonts w:asciiTheme="minorHAnsi" w:hAnsiTheme="minorHAnsi" w:eastAsiaTheme="minorEastAsia" w:cstheme="minorBidi"/>
          <w:szCs w:val="22"/>
        </w:rPr>
      </w:pPr>
      <w:r>
        <w:fldChar w:fldCharType="begin"/>
      </w:r>
      <w:r>
        <w:instrText xml:space="preserve"> HYPERLINK \l "_Toc67640148" </w:instrText>
      </w:r>
      <w:r>
        <w:fldChar w:fldCharType="separate"/>
      </w:r>
      <w:r>
        <w:rPr>
          <w:rStyle w:val="60"/>
        </w:rPr>
        <w:t xml:space="preserve">2.3 </w:t>
      </w:r>
      <w:r>
        <w:rPr>
          <w:rStyle w:val="60"/>
          <w:rFonts w:hint="eastAsia"/>
        </w:rPr>
        <w:t>采购清单</w:t>
      </w:r>
      <w:r>
        <w:tab/>
      </w:r>
      <w:r>
        <w:fldChar w:fldCharType="begin"/>
      </w:r>
      <w:r>
        <w:instrText xml:space="preserve"> PAGEREF _Toc67640148 \h </w:instrText>
      </w:r>
      <w:r>
        <w:fldChar w:fldCharType="separate"/>
      </w:r>
      <w:r>
        <w:t>14</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"_Toc67640149" </w:instrText>
      </w:r>
      <w:r>
        <w:fldChar w:fldCharType="separate"/>
      </w:r>
      <w:r>
        <w:rPr>
          <w:rStyle w:val="60"/>
          <w:rFonts w:hint="eastAsia"/>
        </w:rPr>
        <w:t>三、 项目要求</w:t>
      </w:r>
      <w:r>
        <w:tab/>
      </w:r>
      <w:r>
        <w:fldChar w:fldCharType="begin"/>
      </w:r>
      <w:r>
        <w:instrText xml:space="preserve"> PAGEREF _Toc67640149 \h </w:instrText>
      </w:r>
      <w:r>
        <w:fldChar w:fldCharType="separate"/>
      </w:r>
      <w:r>
        <w:t>47</w:t>
      </w:r>
      <w:r>
        <w:fldChar w:fldCharType="end"/>
      </w:r>
      <w:r>
        <w:fldChar w:fldCharType="end"/>
      </w:r>
    </w:p>
    <w:p>
      <w:pPr>
        <w:pStyle w:val="26"/>
        <w:tabs>
          <w:tab w:val="right" w:leader="dot" w:pos="8402"/>
        </w:tabs>
        <w:rPr>
          <w:rFonts w:asciiTheme="minorHAnsi" w:hAnsiTheme="minorHAnsi" w:eastAsiaTheme="minorEastAsia" w:cstheme="minorBidi"/>
          <w:szCs w:val="22"/>
        </w:rPr>
      </w:pPr>
      <w:r>
        <w:fldChar w:fldCharType="begin"/>
      </w:r>
      <w:r>
        <w:instrText xml:space="preserve"> HYPERLINK \l "_Toc67640150" </w:instrText>
      </w:r>
      <w:r>
        <w:fldChar w:fldCharType="separate"/>
      </w:r>
      <w:r>
        <w:rPr>
          <w:rStyle w:val="60"/>
        </w:rPr>
        <w:t>3.1</w:t>
      </w:r>
      <w:r>
        <w:rPr>
          <w:rStyle w:val="60"/>
          <w:rFonts w:hint="eastAsia"/>
        </w:rPr>
        <w:t>技术参数要求</w:t>
      </w:r>
      <w:r>
        <w:tab/>
      </w:r>
      <w:r>
        <w:fldChar w:fldCharType="begin"/>
      </w:r>
      <w:r>
        <w:instrText xml:space="preserve"> PAGEREF _Toc67640150 \h </w:instrText>
      </w:r>
      <w:r>
        <w:fldChar w:fldCharType="separate"/>
      </w:r>
      <w:r>
        <w:t>47</w:t>
      </w:r>
      <w:r>
        <w:fldChar w:fldCharType="end"/>
      </w:r>
      <w:r>
        <w:fldChar w:fldCharType="end"/>
      </w:r>
    </w:p>
    <w:p>
      <w:pPr>
        <w:pStyle w:val="26"/>
        <w:tabs>
          <w:tab w:val="right" w:leader="dot" w:pos="8402"/>
        </w:tabs>
        <w:rPr>
          <w:rFonts w:asciiTheme="minorHAnsi" w:hAnsiTheme="minorHAnsi" w:eastAsiaTheme="minorEastAsia" w:cstheme="minorBidi"/>
          <w:szCs w:val="22"/>
        </w:rPr>
      </w:pPr>
      <w:r>
        <w:fldChar w:fldCharType="begin"/>
      </w:r>
      <w:r>
        <w:instrText xml:space="preserve"> HYPERLINK \l "_Toc67640151" </w:instrText>
      </w:r>
      <w:r>
        <w:fldChar w:fldCharType="separate"/>
      </w:r>
      <w:r>
        <w:rPr>
          <w:rStyle w:val="60"/>
        </w:rPr>
        <w:t>3.2</w:t>
      </w:r>
      <w:r>
        <w:rPr>
          <w:rStyle w:val="60"/>
          <w:rFonts w:hint="eastAsia"/>
        </w:rPr>
        <w:t>项目实施要求</w:t>
      </w:r>
      <w:r>
        <w:tab/>
      </w:r>
      <w:r>
        <w:fldChar w:fldCharType="begin"/>
      </w:r>
      <w:r>
        <w:instrText xml:space="preserve"> PAGEREF _Toc67640151 \h </w:instrText>
      </w:r>
      <w:r>
        <w:fldChar w:fldCharType="separate"/>
      </w:r>
      <w:r>
        <w:t>98</w:t>
      </w:r>
      <w:r>
        <w:fldChar w:fldCharType="end"/>
      </w:r>
      <w:r>
        <w:fldChar w:fldCharType="end"/>
      </w:r>
    </w:p>
    <w:p>
      <w:pPr>
        <w:pStyle w:val="36"/>
        <w:tabs>
          <w:tab w:val="right" w:leader="dot" w:pos="8402"/>
        </w:tabs>
        <w:rPr>
          <w:rFonts w:asciiTheme="minorHAnsi" w:hAnsiTheme="minorHAnsi" w:eastAsiaTheme="minorEastAsia" w:cstheme="minorBidi"/>
          <w:b w:val="0"/>
          <w:bCs w:val="0"/>
          <w:caps w:val="0"/>
          <w:szCs w:val="22"/>
        </w:rPr>
      </w:pPr>
      <w:r>
        <w:fldChar w:fldCharType="begin"/>
      </w:r>
      <w:r>
        <w:instrText xml:space="preserve"> HYPERLINK \l "_Toc67640152" </w:instrText>
      </w:r>
      <w:r>
        <w:fldChar w:fldCharType="separate"/>
      </w:r>
      <w:r>
        <w:rPr>
          <w:rStyle w:val="60"/>
          <w:rFonts w:hint="eastAsia"/>
        </w:rPr>
        <w:t>第四章</w:t>
      </w:r>
      <w:r>
        <w:rPr>
          <w:rStyle w:val="60"/>
        </w:rPr>
        <w:t xml:space="preserve"> </w:t>
      </w:r>
      <w:r>
        <w:rPr>
          <w:rStyle w:val="60"/>
          <w:rFonts w:hint="eastAsia"/>
        </w:rPr>
        <w:t>合同条款（模板）</w:t>
      </w:r>
      <w:r>
        <w:tab/>
      </w:r>
      <w:r>
        <w:fldChar w:fldCharType="begin"/>
      </w:r>
      <w:r>
        <w:instrText xml:space="preserve"> PAGEREF _Toc67640152 \h </w:instrText>
      </w:r>
      <w:r>
        <w:fldChar w:fldCharType="separate"/>
      </w:r>
      <w:r>
        <w:t>113</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"_Toc67640153" </w:instrText>
      </w:r>
      <w:r>
        <w:fldChar w:fldCharType="separate"/>
      </w:r>
      <w:r>
        <w:rPr>
          <w:rStyle w:val="60"/>
          <w:rFonts w:hint="eastAsia"/>
        </w:rPr>
        <w:t>一、合同标的及金额等</w:t>
      </w:r>
      <w:r>
        <w:tab/>
      </w:r>
      <w:r>
        <w:fldChar w:fldCharType="begin"/>
      </w:r>
      <w:r>
        <w:instrText xml:space="preserve"> PAGEREF _Toc67640153 \h </w:instrText>
      </w:r>
      <w:r>
        <w:fldChar w:fldCharType="separate"/>
      </w:r>
      <w:r>
        <w:t>113</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"_Toc67640154" </w:instrText>
      </w:r>
      <w:r>
        <w:fldChar w:fldCharType="separate"/>
      </w:r>
      <w:r>
        <w:rPr>
          <w:rStyle w:val="60"/>
          <w:rFonts w:hint="eastAsia"/>
        </w:rPr>
        <w:t>二、项目目标和建设内容</w:t>
      </w:r>
      <w:r>
        <w:tab/>
      </w:r>
      <w:r>
        <w:fldChar w:fldCharType="begin"/>
      </w:r>
      <w:r>
        <w:instrText xml:space="preserve"> PAGEREF _Toc67640154 \h </w:instrText>
      </w:r>
      <w:r>
        <w:fldChar w:fldCharType="separate"/>
      </w:r>
      <w:r>
        <w:t>113</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"_Toc67640155" </w:instrText>
      </w:r>
      <w:r>
        <w:fldChar w:fldCharType="separate"/>
      </w:r>
      <w:r>
        <w:rPr>
          <w:rStyle w:val="60"/>
          <w:rFonts w:hint="eastAsia"/>
        </w:rPr>
        <w:t>三、项目实施计划</w:t>
      </w:r>
      <w:r>
        <w:tab/>
      </w:r>
      <w:r>
        <w:fldChar w:fldCharType="begin"/>
      </w:r>
      <w:r>
        <w:instrText xml:space="preserve"> PAGEREF _Toc67640155 \h </w:instrText>
      </w:r>
      <w:r>
        <w:fldChar w:fldCharType="separate"/>
      </w:r>
      <w:r>
        <w:t>114</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"_Toc67640156" </w:instrText>
      </w:r>
      <w:r>
        <w:fldChar w:fldCharType="separate"/>
      </w:r>
      <w:r>
        <w:rPr>
          <w:rStyle w:val="60"/>
          <w:rFonts w:hint="eastAsia"/>
        </w:rPr>
        <w:t>四、费用及付款方式</w:t>
      </w:r>
      <w:r>
        <w:tab/>
      </w:r>
      <w:r>
        <w:fldChar w:fldCharType="begin"/>
      </w:r>
      <w:r>
        <w:instrText xml:space="preserve"> PAGEREF _Toc67640156 \h </w:instrText>
      </w:r>
      <w:r>
        <w:fldChar w:fldCharType="separate"/>
      </w:r>
      <w:r>
        <w:t>114</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"_Toc67640157" </w:instrText>
      </w:r>
      <w:r>
        <w:fldChar w:fldCharType="separate"/>
      </w:r>
      <w:r>
        <w:rPr>
          <w:rStyle w:val="60"/>
          <w:rFonts w:hint="eastAsia"/>
        </w:rPr>
        <w:t>五、质保期</w:t>
      </w:r>
      <w:r>
        <w:tab/>
      </w:r>
      <w:r>
        <w:fldChar w:fldCharType="begin"/>
      </w:r>
      <w:r>
        <w:instrText xml:space="preserve"> PAGEREF _Toc67640157 \h </w:instrText>
      </w:r>
      <w:r>
        <w:fldChar w:fldCharType="separate"/>
      </w:r>
      <w:r>
        <w:t>114</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"_Toc67640158" </w:instrText>
      </w:r>
      <w:r>
        <w:fldChar w:fldCharType="separate"/>
      </w:r>
      <w:r>
        <w:rPr>
          <w:rStyle w:val="60"/>
          <w:rFonts w:hint="eastAsia"/>
        </w:rPr>
        <w:t>六、知识产权归属</w:t>
      </w:r>
      <w:r>
        <w:tab/>
      </w:r>
      <w:r>
        <w:fldChar w:fldCharType="begin"/>
      </w:r>
      <w:r>
        <w:instrText xml:space="preserve"> PAGEREF _Toc67640158 \h </w:instrText>
      </w:r>
      <w:r>
        <w:fldChar w:fldCharType="separate"/>
      </w:r>
      <w:r>
        <w:t>114</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"_Toc67640159" </w:instrText>
      </w:r>
      <w:r>
        <w:fldChar w:fldCharType="separate"/>
      </w:r>
      <w:r>
        <w:rPr>
          <w:rStyle w:val="60"/>
          <w:rFonts w:hint="eastAsia"/>
        </w:rPr>
        <w:t>七、双方确定因履行本合同应遵守的保密义务</w:t>
      </w:r>
      <w:r>
        <w:tab/>
      </w:r>
      <w:r>
        <w:fldChar w:fldCharType="begin"/>
      </w:r>
      <w:r>
        <w:instrText xml:space="preserve"> PAGEREF _Toc67640159 \h </w:instrText>
      </w:r>
      <w:r>
        <w:fldChar w:fldCharType="separate"/>
      </w:r>
      <w:r>
        <w:t>114</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"_Toc67640160" </w:instrText>
      </w:r>
      <w:r>
        <w:fldChar w:fldCharType="separate"/>
      </w:r>
      <w:r>
        <w:rPr>
          <w:rStyle w:val="60"/>
          <w:rFonts w:hint="eastAsia"/>
        </w:rPr>
        <w:t>八、验收要求</w:t>
      </w:r>
      <w:r>
        <w:tab/>
      </w:r>
      <w:r>
        <w:fldChar w:fldCharType="begin"/>
      </w:r>
      <w:r>
        <w:instrText xml:space="preserve"> PAGEREF _Toc67640160 \h </w:instrText>
      </w:r>
      <w:r>
        <w:fldChar w:fldCharType="separate"/>
      </w:r>
      <w:r>
        <w:t>115</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"_Toc67640161" </w:instrText>
      </w:r>
      <w:r>
        <w:fldChar w:fldCharType="separate"/>
      </w:r>
      <w:r>
        <w:rPr>
          <w:rStyle w:val="60"/>
          <w:rFonts w:hint="eastAsia"/>
        </w:rPr>
        <w:t>九、违约赔偿</w:t>
      </w:r>
      <w:r>
        <w:tab/>
      </w:r>
      <w:r>
        <w:fldChar w:fldCharType="begin"/>
      </w:r>
      <w:r>
        <w:instrText xml:space="preserve"> PAGEREF _Toc67640161 \h </w:instrText>
      </w:r>
      <w:r>
        <w:fldChar w:fldCharType="separate"/>
      </w:r>
      <w:r>
        <w:t>115</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"_Toc67640162" </w:instrText>
      </w:r>
      <w:r>
        <w:fldChar w:fldCharType="separate"/>
      </w:r>
      <w:r>
        <w:rPr>
          <w:rStyle w:val="60"/>
          <w:rFonts w:hint="eastAsia"/>
        </w:rPr>
        <w:t>十、合同纠纷处理</w:t>
      </w:r>
      <w:r>
        <w:tab/>
      </w:r>
      <w:r>
        <w:fldChar w:fldCharType="begin"/>
      </w:r>
      <w:r>
        <w:instrText xml:space="preserve"> PAGEREF _Toc67640162 \h </w:instrText>
      </w:r>
      <w:r>
        <w:fldChar w:fldCharType="separate"/>
      </w:r>
      <w:r>
        <w:t>116</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"_Toc67640163" </w:instrText>
      </w:r>
      <w:r>
        <w:fldChar w:fldCharType="separate"/>
      </w:r>
      <w:r>
        <w:rPr>
          <w:rStyle w:val="60"/>
          <w:rFonts w:hint="eastAsia"/>
        </w:rPr>
        <w:t>十一、不可抗力</w:t>
      </w:r>
      <w:r>
        <w:tab/>
      </w:r>
      <w:r>
        <w:fldChar w:fldCharType="begin"/>
      </w:r>
      <w:r>
        <w:instrText xml:space="preserve"> PAGEREF _Toc67640163 \h </w:instrText>
      </w:r>
      <w:r>
        <w:fldChar w:fldCharType="separate"/>
      </w:r>
      <w:r>
        <w:t>116</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"_Toc67640164" </w:instrText>
      </w:r>
      <w:r>
        <w:fldChar w:fldCharType="separate"/>
      </w:r>
      <w:r>
        <w:rPr>
          <w:rStyle w:val="60"/>
          <w:rFonts w:hint="eastAsia"/>
        </w:rPr>
        <w:t>十二、合同鉴证</w:t>
      </w:r>
      <w:r>
        <w:tab/>
      </w:r>
      <w:r>
        <w:fldChar w:fldCharType="begin"/>
      </w:r>
      <w:r>
        <w:instrText xml:space="preserve"> PAGEREF _Toc67640164 \h </w:instrText>
      </w:r>
      <w:r>
        <w:fldChar w:fldCharType="separate"/>
      </w:r>
      <w:r>
        <w:t>116</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"_Toc67640165" </w:instrText>
      </w:r>
      <w:r>
        <w:fldChar w:fldCharType="separate"/>
      </w:r>
      <w:r>
        <w:rPr>
          <w:rStyle w:val="60"/>
          <w:rFonts w:hint="eastAsia"/>
        </w:rPr>
        <w:t>十三、本合同的组成文件</w:t>
      </w:r>
      <w:r>
        <w:tab/>
      </w:r>
      <w:r>
        <w:fldChar w:fldCharType="begin"/>
      </w:r>
      <w:r>
        <w:instrText xml:space="preserve"> PAGEREF _Toc67640165 \h </w:instrText>
      </w:r>
      <w:r>
        <w:fldChar w:fldCharType="separate"/>
      </w:r>
      <w:r>
        <w:t>116</w:t>
      </w:r>
      <w:r>
        <w:fldChar w:fldCharType="end"/>
      </w:r>
      <w:r>
        <w:fldChar w:fldCharType="end"/>
      </w:r>
    </w:p>
    <w:p>
      <w:pPr>
        <w:pStyle w:val="43"/>
        <w:tabs>
          <w:tab w:val="right" w:leader="dot" w:pos="8402"/>
        </w:tabs>
        <w:rPr>
          <w:rFonts w:asciiTheme="minorHAnsi" w:hAnsiTheme="minorHAnsi" w:eastAsiaTheme="minorEastAsia" w:cstheme="minorBidi"/>
          <w:smallCaps w:val="0"/>
          <w:szCs w:val="22"/>
        </w:rPr>
      </w:pPr>
      <w:r>
        <w:fldChar w:fldCharType="begin"/>
      </w:r>
      <w:r>
        <w:instrText xml:space="preserve"> HYPERLINK \l "_Toc67640166" </w:instrText>
      </w:r>
      <w:r>
        <w:fldChar w:fldCharType="separate"/>
      </w:r>
      <w:r>
        <w:rPr>
          <w:rStyle w:val="60"/>
          <w:rFonts w:hint="eastAsia"/>
        </w:rPr>
        <w:t>十四、合同生效</w:t>
      </w:r>
      <w:r>
        <w:tab/>
      </w:r>
      <w:r>
        <w:fldChar w:fldCharType="begin"/>
      </w:r>
      <w:r>
        <w:instrText xml:space="preserve"> PAGEREF _Toc67640166 \h </w:instrText>
      </w:r>
      <w:r>
        <w:fldChar w:fldCharType="separate"/>
      </w:r>
      <w:r>
        <w:t>116</w:t>
      </w:r>
      <w:r>
        <w:fldChar w:fldCharType="end"/>
      </w:r>
      <w:r>
        <w:fldChar w:fldCharType="end"/>
      </w:r>
    </w:p>
    <w:p>
      <w:pPr>
        <w:pStyle w:val="36"/>
        <w:tabs>
          <w:tab w:val="right" w:leader="dot" w:pos="8402"/>
        </w:tabs>
        <w:rPr>
          <w:rFonts w:asciiTheme="minorHAnsi" w:hAnsiTheme="minorHAnsi" w:eastAsiaTheme="minorEastAsia" w:cstheme="minorBidi"/>
          <w:b w:val="0"/>
          <w:bCs w:val="0"/>
          <w:caps w:val="0"/>
          <w:szCs w:val="22"/>
        </w:rPr>
      </w:pPr>
      <w:r>
        <w:fldChar w:fldCharType="begin"/>
      </w:r>
      <w:r>
        <w:instrText xml:space="preserve"> HYPERLINK \l "_Toc67640167" </w:instrText>
      </w:r>
      <w:r>
        <w:fldChar w:fldCharType="separate"/>
      </w:r>
      <w:r>
        <w:rPr>
          <w:rStyle w:val="60"/>
          <w:rFonts w:hint="eastAsia"/>
        </w:rPr>
        <w:t>第五章</w:t>
      </w:r>
      <w:r>
        <w:rPr>
          <w:rStyle w:val="60"/>
        </w:rPr>
        <w:t xml:space="preserve"> </w:t>
      </w:r>
      <w:r>
        <w:rPr>
          <w:rStyle w:val="60"/>
          <w:rFonts w:hint="eastAsia"/>
        </w:rPr>
        <w:t>响应文件内容和格式</w:t>
      </w:r>
      <w:r>
        <w:tab/>
      </w:r>
      <w:r>
        <w:fldChar w:fldCharType="begin"/>
      </w:r>
      <w:r>
        <w:instrText xml:space="preserve"> PAGEREF _Toc67640167 \h </w:instrText>
      </w:r>
      <w:r>
        <w:fldChar w:fldCharType="separate"/>
      </w:r>
      <w:r>
        <w:t>118</w:t>
      </w:r>
      <w:r>
        <w:fldChar w:fldCharType="end"/>
      </w:r>
      <w:r>
        <w:fldChar w:fldCharType="end"/>
      </w:r>
    </w:p>
    <w:p>
      <w:pPr>
        <w:pStyle w:val="26"/>
        <w:tabs>
          <w:tab w:val="right" w:leader="dot" w:pos="8402"/>
        </w:tabs>
        <w:rPr>
          <w:rFonts w:asciiTheme="minorHAnsi" w:hAnsiTheme="minorHAnsi" w:eastAsiaTheme="minorEastAsia" w:cstheme="minorBidi"/>
          <w:szCs w:val="22"/>
        </w:rPr>
      </w:pPr>
      <w:r>
        <w:fldChar w:fldCharType="begin"/>
      </w:r>
      <w:r>
        <w:instrText xml:space="preserve"> HYPERLINK \l "_Toc67640168" </w:instrText>
      </w:r>
      <w:r>
        <w:fldChar w:fldCharType="separate"/>
      </w:r>
      <w:r>
        <w:rPr>
          <w:rStyle w:val="60"/>
          <w:rFonts w:hint="eastAsia"/>
        </w:rPr>
        <w:t>表</w:t>
      </w:r>
      <w:r>
        <w:rPr>
          <w:rStyle w:val="60"/>
        </w:rPr>
        <w:t>1.</w:t>
      </w:r>
      <w:r>
        <w:rPr>
          <w:rStyle w:val="60"/>
          <w:rFonts w:hint="eastAsia"/>
        </w:rPr>
        <w:t>报价函</w:t>
      </w:r>
      <w:r>
        <w:tab/>
      </w:r>
      <w:r>
        <w:fldChar w:fldCharType="begin"/>
      </w:r>
      <w:r>
        <w:instrText xml:space="preserve"> PAGEREF _Toc67640168 \h </w:instrText>
      </w:r>
      <w:r>
        <w:fldChar w:fldCharType="separate"/>
      </w:r>
      <w:r>
        <w:t>119</w:t>
      </w:r>
      <w:r>
        <w:fldChar w:fldCharType="end"/>
      </w:r>
      <w:r>
        <w:fldChar w:fldCharType="end"/>
      </w:r>
    </w:p>
    <w:p>
      <w:pPr>
        <w:pStyle w:val="26"/>
        <w:tabs>
          <w:tab w:val="right" w:leader="dot" w:pos="8402"/>
        </w:tabs>
        <w:rPr>
          <w:rFonts w:asciiTheme="minorHAnsi" w:hAnsiTheme="minorHAnsi" w:eastAsiaTheme="minorEastAsia" w:cstheme="minorBidi"/>
          <w:szCs w:val="22"/>
        </w:rPr>
      </w:pPr>
      <w:r>
        <w:fldChar w:fldCharType="begin"/>
      </w:r>
      <w:r>
        <w:instrText xml:space="preserve"> HYPERLINK \l "_Toc67640169" </w:instrText>
      </w:r>
      <w:r>
        <w:fldChar w:fldCharType="separate"/>
      </w:r>
      <w:r>
        <w:rPr>
          <w:rStyle w:val="60"/>
          <w:rFonts w:hint="eastAsia"/>
        </w:rPr>
        <w:t>表</w:t>
      </w:r>
      <w:r>
        <w:rPr>
          <w:rStyle w:val="60"/>
        </w:rPr>
        <w:t>2.</w:t>
      </w:r>
      <w:r>
        <w:rPr>
          <w:rStyle w:val="60"/>
          <w:rFonts w:hint="eastAsia"/>
        </w:rPr>
        <w:t>报价一览表</w:t>
      </w:r>
      <w:r>
        <w:tab/>
      </w:r>
      <w:r>
        <w:fldChar w:fldCharType="begin"/>
      </w:r>
      <w:r>
        <w:instrText xml:space="preserve"> PAGEREF _Toc67640169 \h </w:instrText>
      </w:r>
      <w:r>
        <w:fldChar w:fldCharType="separate"/>
      </w:r>
      <w:r>
        <w:t>120</w:t>
      </w:r>
      <w:r>
        <w:fldChar w:fldCharType="end"/>
      </w:r>
      <w:r>
        <w:fldChar w:fldCharType="end"/>
      </w:r>
    </w:p>
    <w:p>
      <w:pPr>
        <w:pStyle w:val="26"/>
        <w:tabs>
          <w:tab w:val="right" w:leader="dot" w:pos="8402"/>
        </w:tabs>
        <w:rPr>
          <w:rFonts w:asciiTheme="minorHAnsi" w:hAnsiTheme="minorHAnsi" w:eastAsiaTheme="minorEastAsia" w:cstheme="minorBidi"/>
          <w:szCs w:val="22"/>
        </w:rPr>
      </w:pPr>
      <w:r>
        <w:fldChar w:fldCharType="begin"/>
      </w:r>
      <w:r>
        <w:instrText xml:space="preserve"> HYPERLINK \l "_Toc67640170" </w:instrText>
      </w:r>
      <w:r>
        <w:fldChar w:fldCharType="separate"/>
      </w:r>
      <w:r>
        <w:rPr>
          <w:rStyle w:val="60"/>
          <w:rFonts w:hint="eastAsia"/>
        </w:rPr>
        <w:t>表</w:t>
      </w:r>
      <w:r>
        <w:rPr>
          <w:rStyle w:val="60"/>
        </w:rPr>
        <w:t>3.</w:t>
      </w:r>
      <w:r>
        <w:rPr>
          <w:rStyle w:val="60"/>
          <w:rFonts w:hint="eastAsia"/>
        </w:rPr>
        <w:t>技术商务要求响应表</w:t>
      </w:r>
      <w:r>
        <w:tab/>
      </w:r>
      <w:r>
        <w:fldChar w:fldCharType="begin"/>
      </w:r>
      <w:r>
        <w:instrText xml:space="preserve"> PAGEREF _Toc67640170 \h </w:instrText>
      </w:r>
      <w:r>
        <w:fldChar w:fldCharType="separate"/>
      </w:r>
      <w:r>
        <w:t>121</w:t>
      </w:r>
      <w:r>
        <w:fldChar w:fldCharType="end"/>
      </w:r>
      <w:r>
        <w:fldChar w:fldCharType="end"/>
      </w:r>
    </w:p>
    <w:p>
      <w:pPr>
        <w:pStyle w:val="26"/>
        <w:tabs>
          <w:tab w:val="right" w:leader="dot" w:pos="8402"/>
        </w:tabs>
        <w:rPr>
          <w:rFonts w:asciiTheme="minorHAnsi" w:hAnsiTheme="minorHAnsi" w:eastAsiaTheme="minorEastAsia" w:cstheme="minorBidi"/>
          <w:szCs w:val="22"/>
        </w:rPr>
      </w:pPr>
      <w:r>
        <w:fldChar w:fldCharType="begin"/>
      </w:r>
      <w:r>
        <w:instrText xml:space="preserve"> HYPERLINK \l "_Toc67640171" </w:instrText>
      </w:r>
      <w:r>
        <w:fldChar w:fldCharType="separate"/>
      </w:r>
      <w:r>
        <w:rPr>
          <w:rStyle w:val="60"/>
          <w:rFonts w:hint="eastAsia"/>
        </w:rPr>
        <w:t>表</w:t>
      </w:r>
      <w:r>
        <w:rPr>
          <w:rStyle w:val="60"/>
        </w:rPr>
        <w:t>4.</w:t>
      </w:r>
      <w:r>
        <w:rPr>
          <w:rStyle w:val="60"/>
          <w:rFonts w:hint="eastAsia"/>
        </w:rPr>
        <w:t>授权委托书</w:t>
      </w:r>
      <w:r>
        <w:tab/>
      </w:r>
      <w:r>
        <w:fldChar w:fldCharType="begin"/>
      </w:r>
      <w:r>
        <w:instrText xml:space="preserve"> PAGEREF _Toc67640171 \h </w:instrText>
      </w:r>
      <w:r>
        <w:fldChar w:fldCharType="separate"/>
      </w:r>
      <w:r>
        <w:t>122</w:t>
      </w:r>
      <w:r>
        <w:fldChar w:fldCharType="end"/>
      </w:r>
      <w:r>
        <w:fldChar w:fldCharType="end"/>
      </w:r>
    </w:p>
    <w:p>
      <w:pPr>
        <w:pStyle w:val="26"/>
        <w:tabs>
          <w:tab w:val="right" w:leader="dot" w:pos="8402"/>
        </w:tabs>
        <w:rPr>
          <w:rFonts w:asciiTheme="minorHAnsi" w:hAnsiTheme="minorHAnsi" w:eastAsiaTheme="minorEastAsia" w:cstheme="minorBidi"/>
          <w:szCs w:val="22"/>
        </w:rPr>
      </w:pPr>
      <w:r>
        <w:fldChar w:fldCharType="begin"/>
      </w:r>
      <w:r>
        <w:instrText xml:space="preserve"> HYPERLINK \l "_Toc67640172" </w:instrText>
      </w:r>
      <w:r>
        <w:fldChar w:fldCharType="separate"/>
      </w:r>
      <w:r>
        <w:rPr>
          <w:rStyle w:val="60"/>
          <w:rFonts w:hint="eastAsia"/>
        </w:rPr>
        <w:t>表</w:t>
      </w:r>
      <w:r>
        <w:rPr>
          <w:rStyle w:val="60"/>
        </w:rPr>
        <w:t>5.</w:t>
      </w:r>
      <w:r>
        <w:rPr>
          <w:rStyle w:val="60"/>
          <w:rFonts w:hint="eastAsia"/>
        </w:rPr>
        <w:t>参加政府采购活动前三年内，在经营活动中没有重大违法记录的声明函</w:t>
      </w:r>
      <w:r>
        <w:tab/>
      </w:r>
      <w:r>
        <w:fldChar w:fldCharType="begin"/>
      </w:r>
      <w:r>
        <w:instrText xml:space="preserve"> PAGEREF _Toc67640172 \h </w:instrText>
      </w:r>
      <w:r>
        <w:fldChar w:fldCharType="separate"/>
      </w:r>
      <w:r>
        <w:t>123</w:t>
      </w:r>
      <w:r>
        <w:fldChar w:fldCharType="end"/>
      </w:r>
      <w:r>
        <w:fldChar w:fldCharType="end"/>
      </w:r>
    </w:p>
    <w:p>
      <w:pPr>
        <w:pStyle w:val="26"/>
        <w:tabs>
          <w:tab w:val="right" w:leader="dot" w:pos="8412"/>
        </w:tabs>
        <w:rPr>
          <w:szCs w:val="28"/>
        </w:rPr>
        <w:sectPr>
          <w:footerReference r:id="rId8" w:type="first"/>
          <w:footnotePr>
            <w:pos w:val="beneathText"/>
          </w:footnotePr>
          <w:pgSz w:w="11905" w:h="16837"/>
          <w:pgMar w:top="1457" w:right="1548" w:bottom="1457" w:left="1945" w:header="964" w:footer="964" w:gutter="0"/>
          <w:pgNumType w:fmt="upperRoman" w:start="1"/>
          <w:cols w:space="720" w:num="1"/>
          <w:titlePg/>
          <w:docGrid w:linePitch="285" w:charSpace="2457"/>
        </w:sectPr>
      </w:pPr>
      <w:r>
        <w:rPr>
          <w:sz w:val="24"/>
        </w:rPr>
        <w:fldChar w:fldCharType="end"/>
      </w:r>
    </w:p>
    <w:p>
      <w:pPr>
        <w:pStyle w:val="3"/>
        <w:rPr>
          <w:b w:val="0"/>
        </w:rPr>
      </w:pPr>
      <w:bookmarkStart w:id="14" w:name="_Toc67640128"/>
      <w:r>
        <w:rPr>
          <w:rFonts w:hint="eastAsia"/>
          <w:b w:val="0"/>
        </w:rPr>
        <w:t>第一章  谈判邀请函</w:t>
      </w:r>
      <w:bookmarkEnd w:id="14"/>
    </w:p>
    <w:p>
      <w:pPr>
        <w:spacing w:line="360" w:lineRule="auto"/>
        <w:ind w:firstLine="480" w:firstLineChars="200"/>
        <w:rPr>
          <w:rFonts w:ascii="宋体" w:hAnsi="宋体"/>
          <w:sz w:val="24"/>
        </w:rPr>
      </w:pPr>
      <w:bookmarkStart w:id="15" w:name="_Toc475436579"/>
      <w:bookmarkStart w:id="16" w:name="_Toc475436462"/>
      <w:r>
        <w:rPr>
          <w:rFonts w:ascii="宋体" w:hAnsi="宋体"/>
          <w:sz w:val="24"/>
        </w:rPr>
        <w:t>受</w:t>
      </w:r>
      <w:r>
        <w:rPr>
          <w:rFonts w:hint="eastAsia" w:ascii="宋体" w:hAnsi="宋体"/>
          <w:sz w:val="24"/>
        </w:rPr>
        <w:t>海南省大数据管理局</w:t>
      </w:r>
      <w:r>
        <w:rPr>
          <w:rFonts w:ascii="宋体" w:hAnsi="宋体"/>
          <w:sz w:val="24"/>
        </w:rPr>
        <w:t>的委托，</w:t>
      </w:r>
      <w:r>
        <w:rPr>
          <w:rFonts w:hint="eastAsia" w:ascii="宋体" w:hAnsi="宋体"/>
          <w:sz w:val="24"/>
        </w:rPr>
        <w:t>海南和信源招标代理有限公司</w:t>
      </w:r>
      <w:r>
        <w:rPr>
          <w:rFonts w:ascii="宋体" w:hAnsi="宋体"/>
          <w:sz w:val="24"/>
        </w:rPr>
        <w:t>就</w:t>
      </w:r>
      <w:r>
        <w:rPr>
          <w:rFonts w:hint="eastAsia" w:ascii="宋体" w:hAnsi="宋体"/>
          <w:sz w:val="24"/>
        </w:rPr>
        <w:t>海南省“码上办事”平台项目（招标编号：HXY2021-037）组织采购。本项目采用单一来源采购方式，现特邀请</w:t>
      </w:r>
      <w:r>
        <w:rPr>
          <w:rFonts w:hint="eastAsia"/>
          <w:b/>
          <w:sz w:val="24"/>
          <w:u w:val="single"/>
        </w:rPr>
        <w:t>数字海南有限公司</w:t>
      </w:r>
      <w:r>
        <w:rPr>
          <w:rFonts w:hint="eastAsia" w:ascii="宋体" w:hAnsi="宋体"/>
          <w:sz w:val="24"/>
        </w:rPr>
        <w:t>参与谈判。</w:t>
      </w:r>
      <w:r>
        <w:rPr>
          <w:rFonts w:ascii="宋体" w:hAnsi="宋体"/>
          <w:sz w:val="24"/>
        </w:rPr>
        <w:t>有关事项如下：</w:t>
      </w:r>
      <w:bookmarkEnd w:id="15"/>
      <w:bookmarkEnd w:id="16"/>
    </w:p>
    <w:p>
      <w:pPr>
        <w:pStyle w:val="4"/>
      </w:pPr>
      <w:bookmarkStart w:id="17" w:name="_Toc2482"/>
      <w:bookmarkStart w:id="18" w:name="_Toc67640129"/>
      <w:r>
        <w:rPr>
          <w:rFonts w:hint="eastAsia"/>
        </w:rPr>
        <w:t>一、项目情况</w:t>
      </w:r>
      <w:bookmarkEnd w:id="17"/>
      <w:bookmarkEnd w:id="18"/>
    </w:p>
    <w:p>
      <w:pPr>
        <w:spacing w:line="360" w:lineRule="auto"/>
        <w:rPr>
          <w:rFonts w:ascii="宋体" w:hAnsi="宋体" w:cs="Tahoma"/>
          <w:kern w:val="28"/>
          <w:sz w:val="24"/>
        </w:rPr>
      </w:pPr>
      <w:r>
        <w:rPr>
          <w:rFonts w:ascii="宋体" w:hAnsi="宋体" w:cs="Tahoma"/>
          <w:kern w:val="28"/>
          <w:sz w:val="24"/>
        </w:rPr>
        <w:t>1.1</w:t>
      </w:r>
      <w:r>
        <w:rPr>
          <w:rFonts w:hint="eastAsia" w:ascii="宋体" w:hAnsi="宋体" w:cs="Tahoma"/>
          <w:sz w:val="24"/>
        </w:rPr>
        <w:t>名</w:t>
      </w:r>
      <w:r>
        <w:rPr>
          <w:rFonts w:hint="eastAsia" w:ascii="宋体" w:hAnsi="宋体" w:cs="Tahoma"/>
          <w:kern w:val="28"/>
          <w:sz w:val="24"/>
        </w:rPr>
        <w:t>称：海南省“码上办事”平台项目</w:t>
      </w:r>
    </w:p>
    <w:p>
      <w:pPr>
        <w:spacing w:line="360" w:lineRule="auto"/>
        <w:rPr>
          <w:rFonts w:ascii="宋体" w:hAnsi="宋体" w:cs="Arial"/>
          <w:sz w:val="24"/>
        </w:rPr>
      </w:pPr>
      <w:r>
        <w:rPr>
          <w:rFonts w:ascii="宋体" w:hAnsi="宋体" w:cs="Tahoma"/>
          <w:kern w:val="28"/>
          <w:sz w:val="24"/>
        </w:rPr>
        <w:t>1.2</w:t>
      </w:r>
      <w:r>
        <w:rPr>
          <w:rFonts w:hint="eastAsia" w:ascii="宋体" w:hAnsi="宋体" w:cs="Tahoma"/>
          <w:kern w:val="28"/>
          <w:sz w:val="24"/>
        </w:rPr>
        <w:t>招标编号</w:t>
      </w:r>
      <w:r>
        <w:rPr>
          <w:rFonts w:hint="eastAsia" w:ascii="宋体" w:hAnsi="宋体"/>
          <w:sz w:val="24"/>
        </w:rPr>
        <w:t>：HXY2021-037</w:t>
      </w:r>
    </w:p>
    <w:p>
      <w:pPr>
        <w:spacing w:line="360" w:lineRule="auto"/>
        <w:rPr>
          <w:rFonts w:ascii="宋体" w:hAnsi="宋体"/>
          <w:sz w:val="24"/>
          <w:lang w:val="en-GB"/>
        </w:rPr>
      </w:pPr>
      <w:r>
        <w:rPr>
          <w:rFonts w:ascii="宋体" w:hAnsi="宋体"/>
          <w:sz w:val="24"/>
        </w:rPr>
        <w:t>1.3</w:t>
      </w:r>
      <w:r>
        <w:rPr>
          <w:rFonts w:hint="eastAsia" w:ascii="宋体" w:hAnsi="宋体"/>
          <w:sz w:val="24"/>
        </w:rPr>
        <w:t>技术要求：见“用户需求书 ”</w:t>
      </w:r>
    </w:p>
    <w:p>
      <w:pPr>
        <w:spacing w:line="360" w:lineRule="auto"/>
        <w:rPr>
          <w:rFonts w:ascii="宋体" w:hAnsi="宋体"/>
          <w:sz w:val="24"/>
          <w:lang w:val="en-GB"/>
        </w:rPr>
      </w:pPr>
      <w:r>
        <w:rPr>
          <w:rFonts w:ascii="宋体" w:hAnsi="宋体"/>
          <w:sz w:val="24"/>
          <w:lang w:val="en-GB"/>
        </w:rPr>
        <w:t>1.4</w:t>
      </w:r>
      <w:r>
        <w:rPr>
          <w:rFonts w:hint="eastAsia" w:ascii="宋体" w:hAnsi="宋体"/>
          <w:sz w:val="24"/>
          <w:lang w:val="en-GB"/>
        </w:rPr>
        <w:t>预算：¥27</w:t>
      </w:r>
      <w:r>
        <w:rPr>
          <w:rFonts w:hint="eastAsia" w:ascii="宋体" w:hAnsi="宋体"/>
          <w:sz w:val="24"/>
        </w:rPr>
        <w:t>,</w:t>
      </w:r>
      <w:r>
        <w:rPr>
          <w:rFonts w:hint="eastAsia" w:ascii="宋体" w:hAnsi="宋体"/>
          <w:sz w:val="24"/>
          <w:lang w:val="en-GB"/>
        </w:rPr>
        <w:t>650</w:t>
      </w:r>
      <w:r>
        <w:rPr>
          <w:rFonts w:hint="eastAsia" w:ascii="宋体" w:hAnsi="宋体"/>
          <w:sz w:val="24"/>
        </w:rPr>
        <w:t>,</w:t>
      </w:r>
      <w:r>
        <w:rPr>
          <w:rFonts w:hint="eastAsia" w:ascii="宋体" w:hAnsi="宋体"/>
          <w:sz w:val="24"/>
          <w:lang w:val="en-GB"/>
        </w:rPr>
        <w:t>2</w:t>
      </w:r>
      <w:r>
        <w:rPr>
          <w:rFonts w:hint="eastAsia" w:ascii="宋体" w:hAnsi="宋体"/>
          <w:sz w:val="24"/>
        </w:rPr>
        <w:t>00.00</w:t>
      </w:r>
      <w:r>
        <w:rPr>
          <w:rFonts w:hint="eastAsia" w:ascii="宋体" w:hAnsi="宋体"/>
          <w:sz w:val="24"/>
          <w:lang w:val="en-GB"/>
        </w:rPr>
        <w:t>元。</w:t>
      </w:r>
      <w:r>
        <w:rPr>
          <w:rFonts w:hint="eastAsia" w:ascii="宋体" w:hAnsi="宋体"/>
          <w:kern w:val="28"/>
          <w:sz w:val="24"/>
        </w:rPr>
        <w:t>超过采购预算金额的响应文件按无效投标处理。</w:t>
      </w:r>
    </w:p>
    <w:p>
      <w:pPr>
        <w:pStyle w:val="4"/>
      </w:pPr>
      <w:bookmarkStart w:id="19" w:name="_Toc22547"/>
      <w:bookmarkStart w:id="20" w:name="_Toc67640130"/>
      <w:r>
        <w:rPr>
          <w:rFonts w:hint="eastAsia"/>
        </w:rPr>
        <w:t>二、投标人资格要求</w:t>
      </w:r>
      <w:bookmarkEnd w:id="19"/>
      <w:bookmarkEnd w:id="20"/>
    </w:p>
    <w:p>
      <w:pPr>
        <w:snapToGrid w:val="0"/>
        <w:spacing w:line="360" w:lineRule="auto"/>
        <w:rPr>
          <w:rFonts w:ascii="宋体" w:hAnsi="宋体" w:cs="Tahoma"/>
          <w:sz w:val="24"/>
        </w:rPr>
      </w:pPr>
      <w:r>
        <w:rPr>
          <w:rFonts w:ascii="宋体" w:hAnsi="宋体" w:cs="Tahoma"/>
          <w:sz w:val="24"/>
        </w:rPr>
        <w:t>2.1</w:t>
      </w:r>
      <w:r>
        <w:rPr>
          <w:rFonts w:hint="eastAsia" w:ascii="宋体" w:hAnsi="宋体" w:cs="Tahoma"/>
          <w:sz w:val="24"/>
        </w:rPr>
        <w:t>在中华人民共和国注册，具有独立</w:t>
      </w:r>
      <w:r>
        <w:rPr>
          <w:rFonts w:ascii="宋体" w:hAnsi="宋体" w:cs="Tahoma"/>
          <w:sz w:val="24"/>
        </w:rPr>
        <w:t>承担民事责任能力</w:t>
      </w:r>
      <w:r>
        <w:rPr>
          <w:rFonts w:hint="eastAsia" w:ascii="宋体" w:hAnsi="宋体" w:cs="Tahoma"/>
          <w:sz w:val="24"/>
        </w:rPr>
        <w:t>（企业需提供营业执照复印件，事业单位需提供事业单位法人证书复印件）；</w:t>
      </w:r>
    </w:p>
    <w:p>
      <w:pPr>
        <w:snapToGrid w:val="0"/>
        <w:spacing w:line="360" w:lineRule="auto"/>
        <w:rPr>
          <w:rFonts w:ascii="宋体" w:hAnsi="宋体" w:cs="Tahoma"/>
          <w:sz w:val="24"/>
        </w:rPr>
      </w:pPr>
      <w:r>
        <w:rPr>
          <w:rFonts w:ascii="宋体" w:hAnsi="宋体" w:cs="Tahoma"/>
          <w:sz w:val="24"/>
        </w:rPr>
        <w:t>2.2</w:t>
      </w:r>
      <w:r>
        <w:rPr>
          <w:rFonts w:hint="eastAsia" w:ascii="宋体" w:hAnsi="宋体" w:cs="Tahoma"/>
          <w:sz w:val="24"/>
        </w:rPr>
        <w:t>具有良好的商业信誉和健全的财务会计制度（需提供2020年至今任意1个月的纳税证明或者会计师事务所出具的2019年度财务审计报告）；</w:t>
      </w:r>
    </w:p>
    <w:p>
      <w:pPr>
        <w:snapToGrid w:val="0"/>
        <w:spacing w:line="360" w:lineRule="auto"/>
        <w:rPr>
          <w:rFonts w:ascii="宋体" w:hAnsi="宋体" w:cs="Tahoma"/>
          <w:sz w:val="24"/>
        </w:rPr>
      </w:pPr>
      <w:r>
        <w:rPr>
          <w:rFonts w:ascii="宋体" w:hAnsi="宋体" w:cs="Tahoma"/>
          <w:sz w:val="24"/>
        </w:rPr>
        <w:t>2.3</w:t>
      </w:r>
      <w:r>
        <w:rPr>
          <w:rFonts w:hint="eastAsia" w:ascii="宋体" w:hAnsi="宋体" w:cs="Tahoma"/>
          <w:sz w:val="24"/>
        </w:rPr>
        <w:t>有依法缴纳社会保障资金的良好记录（需提供2020年至今任意1个月的社保缴费记录复印件）；</w:t>
      </w:r>
    </w:p>
    <w:p>
      <w:pPr>
        <w:snapToGrid w:val="0"/>
        <w:spacing w:line="360" w:lineRule="auto"/>
        <w:rPr>
          <w:rFonts w:ascii="宋体" w:hAnsi="宋体" w:cs="Tahoma"/>
          <w:sz w:val="24"/>
        </w:rPr>
      </w:pPr>
      <w:r>
        <w:rPr>
          <w:rFonts w:ascii="宋体" w:hAnsi="宋体" w:cs="Tahoma"/>
          <w:sz w:val="24"/>
        </w:rPr>
        <w:t>2.4</w:t>
      </w:r>
      <w:r>
        <w:rPr>
          <w:rFonts w:hint="eastAsia" w:ascii="宋体" w:hAnsi="宋体"/>
          <w:sz w:val="24"/>
        </w:rPr>
        <w:t>参加政府采购活动前三年内，在经营活动中没有重大违法记录（提供声明函）；</w:t>
      </w:r>
    </w:p>
    <w:p>
      <w:pPr>
        <w:snapToGrid w:val="0"/>
        <w:spacing w:line="360" w:lineRule="auto"/>
        <w:rPr>
          <w:rFonts w:ascii="宋体" w:hAnsi="宋体"/>
          <w:sz w:val="24"/>
        </w:rPr>
      </w:pPr>
      <w:r>
        <w:rPr>
          <w:rFonts w:ascii="宋体" w:hAnsi="宋体"/>
          <w:sz w:val="24"/>
        </w:rPr>
        <w:t>2.</w:t>
      </w:r>
      <w:r>
        <w:rPr>
          <w:rFonts w:hint="eastAsia" w:ascii="宋体" w:hAnsi="宋体"/>
          <w:sz w:val="24"/>
        </w:rPr>
        <w:t>5购买本项目招标文件并缴纳单一来源谈判保证金。</w:t>
      </w:r>
    </w:p>
    <w:p>
      <w:pPr>
        <w:snapToGrid w:val="0"/>
        <w:spacing w:line="360" w:lineRule="auto"/>
        <w:rPr>
          <w:rFonts w:ascii="宋体" w:hAnsi="宋体"/>
          <w:sz w:val="24"/>
        </w:rPr>
      </w:pPr>
      <w:r>
        <w:rPr>
          <w:rFonts w:ascii="宋体" w:hAnsi="宋体"/>
          <w:sz w:val="24"/>
        </w:rPr>
        <w:t>2.6</w:t>
      </w:r>
      <w:r>
        <w:rPr>
          <w:rFonts w:hint="eastAsia" w:ascii="宋体" w:hAnsi="宋体"/>
          <w:sz w:val="24"/>
        </w:rPr>
        <w:t>被“信用中国”网站（www.creditchina.gov.cn）中列入失信被执行人和重大税收违法案件当事人名单的供应商、被中国政府采购网（www.ccgp.gov.cn）列入政府采购严重违法失信行为记录名单中被财政部门禁止参加政府采购活动的供应商（处罚决定规定的时间和地域范围内），无资格参加本项目的投标活动。</w:t>
      </w:r>
    </w:p>
    <w:p>
      <w:pPr>
        <w:pStyle w:val="4"/>
      </w:pPr>
      <w:bookmarkStart w:id="21" w:name="_Toc21618"/>
      <w:bookmarkStart w:id="22" w:name="_Toc67640131"/>
      <w:r>
        <w:rPr>
          <w:rFonts w:hint="eastAsia"/>
        </w:rPr>
        <w:t>三、招标文件的获取</w:t>
      </w:r>
      <w:bookmarkEnd w:id="21"/>
      <w:bookmarkEnd w:id="22"/>
    </w:p>
    <w:p>
      <w:pPr>
        <w:tabs>
          <w:tab w:val="left" w:pos="4680"/>
        </w:tabs>
        <w:snapToGrid w:val="0"/>
        <w:spacing w:line="360" w:lineRule="auto"/>
        <w:ind w:right="-212"/>
        <w:rPr>
          <w:rFonts w:ascii="宋体" w:hAnsi="宋体"/>
          <w:sz w:val="24"/>
        </w:rPr>
      </w:pPr>
      <w:r>
        <w:rPr>
          <w:rFonts w:ascii="宋体" w:hAnsi="宋体"/>
          <w:sz w:val="24"/>
        </w:rPr>
        <w:t>3.1</w:t>
      </w:r>
      <w:r>
        <w:rPr>
          <w:rFonts w:hint="eastAsia" w:ascii="宋体" w:hAnsi="宋体"/>
          <w:sz w:val="24"/>
        </w:rPr>
        <w:t>时间：2021年</w:t>
      </w:r>
      <w:r>
        <w:rPr>
          <w:rFonts w:hint="eastAsia" w:ascii="宋体" w:hAnsi="宋体"/>
          <w:sz w:val="24"/>
          <w:lang w:val="en-US" w:eastAsia="zh-CN"/>
        </w:rPr>
        <w:t>0</w:t>
      </w:r>
      <w:r>
        <w:rPr>
          <w:rFonts w:hint="eastAsia" w:ascii="宋体" w:hAnsi="宋体"/>
          <w:sz w:val="24"/>
        </w:rPr>
        <w:t>3月</w:t>
      </w:r>
      <w:r>
        <w:rPr>
          <w:rFonts w:hint="eastAsia" w:ascii="宋体" w:hAnsi="宋体"/>
          <w:sz w:val="24"/>
          <w:lang w:val="en-US" w:eastAsia="zh-CN"/>
        </w:rPr>
        <w:t>26</w:t>
      </w:r>
      <w:r>
        <w:rPr>
          <w:rFonts w:hint="eastAsia" w:ascii="宋体" w:hAnsi="宋体"/>
          <w:sz w:val="24"/>
        </w:rPr>
        <w:t>日至2021年</w:t>
      </w:r>
      <w:r>
        <w:rPr>
          <w:rFonts w:hint="eastAsia" w:ascii="宋体" w:hAnsi="宋体"/>
          <w:sz w:val="24"/>
          <w:lang w:val="en-US" w:eastAsia="zh-CN"/>
        </w:rPr>
        <w:t>04</w:t>
      </w:r>
      <w:r>
        <w:rPr>
          <w:rFonts w:hint="eastAsia" w:ascii="宋体" w:hAnsi="宋体"/>
          <w:sz w:val="24"/>
        </w:rPr>
        <w:t>月</w:t>
      </w:r>
      <w:r>
        <w:rPr>
          <w:rFonts w:hint="eastAsia" w:ascii="宋体" w:hAnsi="宋体"/>
          <w:sz w:val="24"/>
          <w:lang w:val="en-US" w:eastAsia="zh-CN"/>
        </w:rPr>
        <w:t>02</w:t>
      </w:r>
      <w:r>
        <w:rPr>
          <w:rFonts w:hint="eastAsia" w:ascii="宋体" w:hAnsi="宋体"/>
          <w:sz w:val="24"/>
        </w:rPr>
        <w:t>日9：00-17：00（节假日除外）；</w:t>
      </w:r>
    </w:p>
    <w:p>
      <w:pPr>
        <w:adjustRightInd w:val="0"/>
        <w:snapToGrid w:val="0"/>
        <w:spacing w:line="360" w:lineRule="auto"/>
        <w:ind w:right="-212"/>
        <w:rPr>
          <w:rFonts w:ascii="宋体" w:hAnsi="宋体" w:cs="Arial"/>
          <w:sz w:val="24"/>
        </w:rPr>
      </w:pPr>
      <w:r>
        <w:rPr>
          <w:rFonts w:ascii="宋体" w:hAnsi="宋体" w:cs="Arial"/>
          <w:sz w:val="24"/>
        </w:rPr>
        <w:t>3.2</w:t>
      </w:r>
      <w:r>
        <w:rPr>
          <w:rFonts w:hint="eastAsia" w:ascii="宋体" w:hAnsi="宋体" w:cs="Arial"/>
          <w:sz w:val="24"/>
        </w:rPr>
        <w:t>标书发售地点：</w:t>
      </w:r>
      <w:r>
        <w:rPr>
          <w:rFonts w:hint="eastAsia" w:ascii="宋体" w:hAnsi="宋体" w:cs="宋体"/>
          <w:bCs/>
          <w:kern w:val="0"/>
          <w:sz w:val="24"/>
          <w:lang w:val="en-GB"/>
        </w:rPr>
        <w:t>海口市蓝天路12-1号国机中洋公馆2号1101室</w:t>
      </w:r>
      <w:r>
        <w:rPr>
          <w:rFonts w:hint="eastAsia" w:ascii="宋体" w:hAnsi="宋体"/>
          <w:sz w:val="24"/>
        </w:rPr>
        <w:t>；</w:t>
      </w:r>
    </w:p>
    <w:p>
      <w:pPr>
        <w:adjustRightInd w:val="0"/>
        <w:snapToGrid w:val="0"/>
        <w:spacing w:line="360" w:lineRule="auto"/>
        <w:ind w:right="-212"/>
        <w:rPr>
          <w:rFonts w:ascii="宋体" w:hAnsi="宋体"/>
          <w:b/>
          <w:szCs w:val="21"/>
        </w:rPr>
      </w:pPr>
      <w:r>
        <w:rPr>
          <w:rFonts w:ascii="宋体" w:hAnsi="宋体" w:cs="Arial"/>
          <w:sz w:val="24"/>
        </w:rPr>
        <w:t>3.3</w:t>
      </w:r>
      <w:r>
        <w:rPr>
          <w:rFonts w:hint="eastAsia" w:ascii="宋体" w:hAnsi="宋体" w:cs="Arial"/>
          <w:sz w:val="24"/>
        </w:rPr>
        <w:t>标书售价：￥</w:t>
      </w:r>
      <w:r>
        <w:rPr>
          <w:rFonts w:hint="eastAsia" w:ascii="宋体" w:hAnsi="宋体" w:cs="Arial"/>
          <w:sz w:val="24"/>
          <w:lang w:val="en-US" w:eastAsia="zh-CN"/>
        </w:rPr>
        <w:t>500.00</w:t>
      </w:r>
      <w:r>
        <w:rPr>
          <w:rFonts w:hint="eastAsia" w:ascii="宋体" w:hAnsi="宋体" w:cs="Arial"/>
          <w:sz w:val="24"/>
        </w:rPr>
        <w:t>元/套（售后不退），投标</w:t>
      </w:r>
      <w:r>
        <w:rPr>
          <w:rFonts w:ascii="宋体" w:hAnsi="宋体"/>
          <w:sz w:val="24"/>
        </w:rPr>
        <w:t>保证金</w:t>
      </w:r>
      <w:r>
        <w:rPr>
          <w:rFonts w:hint="eastAsia" w:ascii="宋体" w:hAnsi="宋体"/>
          <w:sz w:val="24"/>
        </w:rPr>
        <w:t>为：￥</w:t>
      </w:r>
      <w:r>
        <w:rPr>
          <w:rFonts w:hint="eastAsia" w:ascii="宋体" w:hAnsi="宋体"/>
          <w:sz w:val="24"/>
          <w:lang w:val="en-US" w:eastAsia="zh-CN"/>
        </w:rPr>
        <w:t>20000.00</w:t>
      </w:r>
      <w:r>
        <w:rPr>
          <w:rFonts w:ascii="宋体" w:hAnsi="宋体"/>
          <w:sz w:val="24"/>
        </w:rPr>
        <w:t>元</w:t>
      </w:r>
      <w:r>
        <w:rPr>
          <w:rFonts w:hint="eastAsia" w:ascii="宋体" w:hAnsi="宋体" w:cs="Arial"/>
          <w:sz w:val="24"/>
        </w:rPr>
        <w:t>。</w:t>
      </w:r>
    </w:p>
    <w:p>
      <w:pPr>
        <w:tabs>
          <w:tab w:val="left" w:pos="4680"/>
        </w:tabs>
        <w:snapToGrid w:val="0"/>
        <w:spacing w:line="360" w:lineRule="auto"/>
        <w:ind w:right="-212"/>
        <w:rPr>
          <w:rFonts w:ascii="宋体" w:hAnsi="宋体" w:cs="Arial"/>
          <w:sz w:val="24"/>
        </w:rPr>
      </w:pPr>
      <w:r>
        <w:rPr>
          <w:rFonts w:ascii="宋体" w:hAnsi="宋体" w:cs="Arial"/>
          <w:sz w:val="24"/>
        </w:rPr>
        <w:t>3.4</w:t>
      </w:r>
      <w:r>
        <w:rPr>
          <w:rFonts w:hint="eastAsia" w:ascii="宋体" w:hAnsi="宋体" w:cs="Arial"/>
          <w:sz w:val="24"/>
        </w:rPr>
        <w:t>投标保证金必须转账到</w:t>
      </w:r>
      <w:r>
        <w:rPr>
          <w:rFonts w:hint="eastAsia" w:ascii="宋体" w:hAnsi="宋体"/>
          <w:sz w:val="24"/>
        </w:rPr>
        <w:t>招标代理机构以下账户并注明汇款单位、项目编号（如有分包，则同时注明包号）。</w:t>
      </w:r>
      <w:r>
        <w:rPr>
          <w:rFonts w:hint="eastAsia" w:ascii="宋体" w:hAnsi="宋体" w:cs="Arial"/>
          <w:sz w:val="24"/>
        </w:rPr>
        <w:t>投标</w:t>
      </w:r>
      <w:r>
        <w:rPr>
          <w:rFonts w:hint="eastAsia" w:ascii="宋体" w:hAnsi="宋体"/>
          <w:sz w:val="24"/>
        </w:rPr>
        <w:t>保证金需在</w:t>
      </w:r>
      <w:r>
        <w:rPr>
          <w:rFonts w:hint="eastAsia" w:ascii="宋体" w:hAnsi="宋体" w:cs="Arial"/>
          <w:sz w:val="24"/>
        </w:rPr>
        <w:t>报价截止时间前到账。</w:t>
      </w:r>
    </w:p>
    <w:p>
      <w:pPr>
        <w:snapToGrid w:val="0"/>
        <w:spacing w:line="360" w:lineRule="auto"/>
        <w:ind w:right="-212" w:firstLine="720" w:firstLineChars="300"/>
        <w:rPr>
          <w:rFonts w:ascii="宋体" w:hAnsi="宋体"/>
          <w:sz w:val="24"/>
        </w:rPr>
      </w:pPr>
      <w:r>
        <w:rPr>
          <w:rFonts w:hint="eastAsia" w:ascii="宋体" w:hAnsi="宋体"/>
          <w:sz w:val="24"/>
        </w:rPr>
        <w:t>户  名：海南和信源招标代理有限公司</w:t>
      </w:r>
    </w:p>
    <w:p>
      <w:pPr>
        <w:snapToGrid w:val="0"/>
        <w:spacing w:line="360" w:lineRule="auto"/>
        <w:ind w:right="-212" w:firstLine="720" w:firstLineChars="300"/>
        <w:rPr>
          <w:rFonts w:ascii="宋体" w:hAnsi="宋体"/>
          <w:sz w:val="24"/>
        </w:rPr>
      </w:pPr>
      <w:r>
        <w:rPr>
          <w:rFonts w:hint="eastAsia" w:ascii="宋体" w:hAnsi="宋体"/>
          <w:sz w:val="24"/>
        </w:rPr>
        <w:t>开户行：</w:t>
      </w:r>
      <w:r>
        <w:rPr>
          <w:rFonts w:hint="eastAsia" w:ascii="宋体" w:hAnsi="宋体"/>
          <w:sz w:val="24"/>
          <w:lang w:val="en-GB"/>
        </w:rPr>
        <w:t>中国建设银行海口金盘支行</w:t>
      </w:r>
    </w:p>
    <w:p>
      <w:pPr>
        <w:tabs>
          <w:tab w:val="left" w:pos="4680"/>
        </w:tabs>
        <w:snapToGrid w:val="0"/>
        <w:spacing w:line="360" w:lineRule="auto"/>
        <w:ind w:right="-212" w:firstLine="720" w:firstLineChars="300"/>
        <w:rPr>
          <w:rFonts w:ascii="宋体" w:hAnsi="宋体"/>
          <w:sz w:val="24"/>
        </w:rPr>
      </w:pPr>
      <w:r>
        <w:rPr>
          <w:rFonts w:hint="eastAsia" w:ascii="宋体" w:hAnsi="宋体"/>
          <w:sz w:val="24"/>
        </w:rPr>
        <w:t>帐  户：</w:t>
      </w:r>
      <w:r>
        <w:rPr>
          <w:rFonts w:hint="eastAsia" w:ascii="宋体" w:hAnsi="宋体"/>
          <w:sz w:val="24"/>
          <w:lang w:val="en-GB"/>
        </w:rPr>
        <w:t>4600 1002 3360 5300 9677</w:t>
      </w:r>
    </w:p>
    <w:p>
      <w:pPr>
        <w:tabs>
          <w:tab w:val="left" w:pos="4680"/>
        </w:tabs>
        <w:snapToGrid w:val="0"/>
        <w:spacing w:line="360" w:lineRule="auto"/>
        <w:ind w:right="-212"/>
        <w:rPr>
          <w:rFonts w:ascii="宋体" w:hAnsi="宋体"/>
          <w:sz w:val="24"/>
        </w:rPr>
      </w:pPr>
      <w:r>
        <w:rPr>
          <w:rFonts w:ascii="宋体" w:hAnsi="宋体"/>
          <w:sz w:val="24"/>
        </w:rPr>
        <w:t>3.5</w:t>
      </w:r>
      <w:r>
        <w:rPr>
          <w:rFonts w:hint="eastAsia" w:ascii="宋体" w:hAnsi="宋体"/>
          <w:sz w:val="24"/>
        </w:rPr>
        <w:t>购买招标文件时必须出示加盖公章的公司营业执照副本复印件、介绍信（或委托函）、委托人身份证复印件和报价人资格要求中的相关资质证书复印件（加盖公章）。</w:t>
      </w:r>
    </w:p>
    <w:p>
      <w:pPr>
        <w:pStyle w:val="4"/>
      </w:pPr>
      <w:bookmarkStart w:id="23" w:name="_Toc7807"/>
      <w:bookmarkStart w:id="24" w:name="_Toc67640132"/>
      <w:r>
        <w:rPr>
          <w:rFonts w:hint="eastAsia"/>
        </w:rPr>
        <w:t>四、投标截止时间、开标时间及地点</w:t>
      </w:r>
      <w:bookmarkEnd w:id="23"/>
      <w:bookmarkEnd w:id="24"/>
    </w:p>
    <w:p>
      <w:pPr>
        <w:adjustRightInd w:val="0"/>
        <w:snapToGrid w:val="0"/>
        <w:spacing w:line="360" w:lineRule="auto"/>
        <w:ind w:right="-212"/>
        <w:rPr>
          <w:rFonts w:ascii="宋体" w:hAnsi="宋体" w:cs="Arial"/>
          <w:sz w:val="24"/>
        </w:rPr>
      </w:pPr>
      <w:bookmarkStart w:id="25" w:name="_Hlk31985105"/>
      <w:r>
        <w:rPr>
          <w:rFonts w:ascii="宋体" w:hAnsi="宋体" w:cs="Arial"/>
          <w:sz w:val="24"/>
        </w:rPr>
        <w:t>4.1</w:t>
      </w:r>
      <w:r>
        <w:rPr>
          <w:rFonts w:hint="eastAsia" w:ascii="宋体" w:hAnsi="宋体" w:cs="Arial"/>
          <w:sz w:val="24"/>
        </w:rPr>
        <w:t>递交投标文件时间：2021年</w:t>
      </w:r>
      <w:r>
        <w:rPr>
          <w:rFonts w:hint="eastAsia" w:ascii="宋体" w:hAnsi="宋体" w:cs="Arial"/>
          <w:sz w:val="24"/>
          <w:lang w:val="en-US" w:eastAsia="zh-CN"/>
        </w:rPr>
        <w:t>04</w:t>
      </w:r>
      <w:r>
        <w:rPr>
          <w:rFonts w:hint="eastAsia" w:ascii="宋体" w:hAnsi="宋体" w:cs="Arial"/>
          <w:sz w:val="24"/>
        </w:rPr>
        <w:t xml:space="preserve">月 </w:t>
      </w:r>
      <w:r>
        <w:rPr>
          <w:rFonts w:hint="eastAsia" w:ascii="宋体" w:hAnsi="宋体" w:cs="Arial"/>
          <w:sz w:val="24"/>
          <w:lang w:val="en-US" w:eastAsia="zh-CN"/>
        </w:rPr>
        <w:t>06</w:t>
      </w:r>
      <w:r>
        <w:rPr>
          <w:rFonts w:hint="eastAsia" w:ascii="宋体" w:hAnsi="宋体" w:cs="Arial"/>
          <w:sz w:val="24"/>
        </w:rPr>
        <w:t>日上午08：45-09：00；</w:t>
      </w:r>
    </w:p>
    <w:p>
      <w:pPr>
        <w:adjustRightInd w:val="0"/>
        <w:snapToGrid w:val="0"/>
        <w:spacing w:line="360" w:lineRule="auto"/>
        <w:ind w:right="-212"/>
        <w:rPr>
          <w:rFonts w:ascii="宋体" w:hAnsi="宋体" w:cs="Arial"/>
          <w:sz w:val="24"/>
        </w:rPr>
      </w:pPr>
      <w:r>
        <w:rPr>
          <w:rFonts w:ascii="宋体" w:hAnsi="宋体" w:cs="Arial"/>
          <w:sz w:val="24"/>
        </w:rPr>
        <w:t>4.2</w:t>
      </w:r>
      <w:r>
        <w:rPr>
          <w:rFonts w:hint="eastAsia" w:ascii="宋体" w:hAnsi="宋体" w:cs="Arial"/>
          <w:sz w:val="24"/>
        </w:rPr>
        <w:t>开标时间：2021年</w:t>
      </w:r>
      <w:r>
        <w:rPr>
          <w:rFonts w:hint="eastAsia" w:ascii="宋体" w:hAnsi="宋体" w:cs="Arial"/>
          <w:sz w:val="24"/>
          <w:lang w:val="en-US" w:eastAsia="zh-CN"/>
        </w:rPr>
        <w:t>04</w:t>
      </w:r>
      <w:r>
        <w:rPr>
          <w:rFonts w:hint="eastAsia" w:ascii="宋体" w:hAnsi="宋体" w:cs="Arial"/>
          <w:sz w:val="24"/>
        </w:rPr>
        <w:t>月</w:t>
      </w:r>
      <w:r>
        <w:rPr>
          <w:rFonts w:hint="eastAsia" w:ascii="宋体" w:hAnsi="宋体" w:cs="Arial"/>
          <w:sz w:val="24"/>
          <w:lang w:val="en-US" w:eastAsia="zh-CN"/>
        </w:rPr>
        <w:t>06</w:t>
      </w:r>
      <w:r>
        <w:rPr>
          <w:rFonts w:hint="eastAsia" w:ascii="宋体" w:hAnsi="宋体" w:cs="Arial"/>
          <w:sz w:val="24"/>
        </w:rPr>
        <w:t>日上午09：00；</w:t>
      </w:r>
    </w:p>
    <w:p>
      <w:pPr>
        <w:snapToGrid w:val="0"/>
        <w:spacing w:line="360" w:lineRule="auto"/>
        <w:ind w:right="-212"/>
        <w:rPr>
          <w:rFonts w:ascii="宋体" w:hAnsi="宋体"/>
          <w:b/>
          <w:szCs w:val="21"/>
        </w:rPr>
      </w:pPr>
      <w:r>
        <w:rPr>
          <w:rFonts w:ascii="宋体" w:hAnsi="宋体" w:cs="Arial"/>
          <w:sz w:val="24"/>
        </w:rPr>
        <w:t>4.3</w:t>
      </w:r>
      <w:r>
        <w:rPr>
          <w:rFonts w:hint="eastAsia" w:ascii="宋体" w:hAnsi="宋体" w:cs="Arial"/>
          <w:sz w:val="24"/>
        </w:rPr>
        <w:t>开标地点：</w:t>
      </w:r>
      <w:r>
        <w:rPr>
          <w:rFonts w:hint="eastAsia" w:ascii="宋体" w:hAnsi="宋体" w:cs="宋体"/>
          <w:bCs/>
          <w:kern w:val="0"/>
          <w:sz w:val="24"/>
          <w:lang w:val="en-GB"/>
        </w:rPr>
        <w:t>海口市蓝天路12-1号国机中洋公馆2号1101室</w:t>
      </w:r>
      <w:r>
        <w:rPr>
          <w:rFonts w:hint="eastAsia" w:ascii="宋体" w:hAnsi="宋体" w:cs="Arial"/>
          <w:sz w:val="24"/>
        </w:rPr>
        <w:t>；</w:t>
      </w:r>
      <w:r>
        <w:rPr>
          <w:rFonts w:hint="eastAsia" w:ascii="宋体" w:hAnsi="宋体"/>
          <w:b/>
          <w:szCs w:val="21"/>
        </w:rPr>
        <w:t xml:space="preserve"> </w:t>
      </w:r>
    </w:p>
    <w:p>
      <w:pPr>
        <w:snapToGrid w:val="0"/>
        <w:spacing w:line="360" w:lineRule="auto"/>
        <w:ind w:right="-210"/>
        <w:jc w:val="left"/>
        <w:rPr>
          <w:rFonts w:ascii="宋体" w:hAnsi="宋体" w:cs="Arial"/>
          <w:sz w:val="24"/>
        </w:rPr>
      </w:pPr>
      <w:r>
        <w:rPr>
          <w:rFonts w:ascii="宋体" w:hAnsi="宋体" w:cs="Arial"/>
          <w:sz w:val="24"/>
        </w:rPr>
        <w:t>4.4</w:t>
      </w:r>
      <w:r>
        <w:rPr>
          <w:rFonts w:hint="eastAsia" w:ascii="宋体" w:hAnsi="宋体" w:cs="Arial"/>
          <w:sz w:val="24"/>
        </w:rPr>
        <w:t>招标结果请查询：海南省政府采购网 。</w:t>
      </w:r>
    </w:p>
    <w:bookmarkEnd w:id="25"/>
    <w:p>
      <w:pPr>
        <w:pStyle w:val="4"/>
      </w:pPr>
      <w:bookmarkStart w:id="26" w:name="_Toc25032"/>
      <w:bookmarkStart w:id="27" w:name="_Toc67640133"/>
      <w:r>
        <w:rPr>
          <w:rFonts w:hint="eastAsia"/>
        </w:rPr>
        <w:t>五、招标代理机构联系方式</w:t>
      </w:r>
      <w:bookmarkEnd w:id="26"/>
      <w:bookmarkEnd w:id="27"/>
    </w:p>
    <w:p>
      <w:pPr>
        <w:snapToGrid w:val="0"/>
        <w:spacing w:line="500" w:lineRule="exact"/>
        <w:rPr>
          <w:rFonts w:ascii="宋体" w:hAnsi="宋体"/>
          <w:sz w:val="24"/>
        </w:rPr>
      </w:pPr>
      <w:bookmarkStart w:id="28" w:name="_Hlk31985114"/>
      <w:r>
        <w:rPr>
          <w:rFonts w:hint="eastAsia" w:ascii="宋体" w:hAnsi="宋体"/>
          <w:sz w:val="24"/>
        </w:rPr>
        <w:t>地址</w:t>
      </w:r>
      <w:r>
        <w:rPr>
          <w:rFonts w:ascii="宋体" w:hAnsi="宋体"/>
          <w:sz w:val="24"/>
        </w:rPr>
        <w:t>：</w:t>
      </w:r>
      <w:r>
        <w:rPr>
          <w:rFonts w:hint="eastAsia" w:ascii="宋体" w:hAnsi="宋体" w:cs="宋体"/>
          <w:bCs/>
          <w:kern w:val="0"/>
          <w:sz w:val="24"/>
          <w:lang w:val="en-GB"/>
        </w:rPr>
        <w:t>海口市蓝天路12-1号国机中洋公馆2号1101室</w:t>
      </w:r>
      <w:r>
        <w:rPr>
          <w:rFonts w:hint="eastAsia" w:ascii="宋体" w:hAnsi="宋体"/>
          <w:sz w:val="24"/>
        </w:rPr>
        <w:t xml:space="preserve"> </w:t>
      </w:r>
    </w:p>
    <w:p>
      <w:pPr>
        <w:snapToGrid w:val="0"/>
        <w:spacing w:line="500" w:lineRule="exact"/>
        <w:rPr>
          <w:rFonts w:ascii="宋体" w:hAnsi="宋体"/>
          <w:sz w:val="24"/>
        </w:rPr>
      </w:pPr>
      <w:r>
        <w:rPr>
          <w:rFonts w:hint="eastAsia" w:ascii="宋体" w:hAnsi="宋体"/>
          <w:sz w:val="24"/>
        </w:rPr>
        <w:t xml:space="preserve">联系人： 冯女士    电话：0898-65328224    </w:t>
      </w:r>
    </w:p>
    <w:p>
      <w:pPr>
        <w:snapToGrid w:val="0"/>
        <w:spacing w:line="500" w:lineRule="exact"/>
        <w:rPr>
          <w:rFonts w:ascii="宋体" w:hAnsi="宋体"/>
          <w:sz w:val="24"/>
          <w:u w:val="single"/>
        </w:rPr>
      </w:pPr>
      <w:r>
        <w:rPr>
          <w:rFonts w:ascii="宋体" w:hAnsi="宋体"/>
          <w:sz w:val="24"/>
        </w:rPr>
        <w:t>传真：</w:t>
      </w:r>
      <w:r>
        <w:rPr>
          <w:rFonts w:hint="eastAsia" w:ascii="宋体" w:hAnsi="宋体"/>
          <w:sz w:val="24"/>
        </w:rPr>
        <w:t>0898-65328214</w:t>
      </w:r>
    </w:p>
    <w:p>
      <w:pPr>
        <w:snapToGrid w:val="0"/>
        <w:spacing w:line="500" w:lineRule="exact"/>
        <w:rPr>
          <w:rFonts w:ascii="宋体" w:hAnsi="宋体"/>
          <w:sz w:val="24"/>
        </w:rPr>
      </w:pPr>
      <w:r>
        <w:rPr>
          <w:rFonts w:hint="eastAsia" w:ascii="宋体" w:hAnsi="宋体"/>
          <w:sz w:val="24"/>
        </w:rPr>
        <w:t>财务电话：0898-65328224</w:t>
      </w:r>
    </w:p>
    <w:p>
      <w:pPr>
        <w:snapToGrid w:val="0"/>
        <w:spacing w:line="500" w:lineRule="exact"/>
        <w:rPr>
          <w:rFonts w:ascii="宋体" w:hAnsi="宋体"/>
          <w:sz w:val="24"/>
        </w:rPr>
      </w:pPr>
      <w:r>
        <w:rPr>
          <w:rFonts w:hint="eastAsia" w:ascii="宋体" w:hAnsi="宋体"/>
          <w:sz w:val="24"/>
        </w:rPr>
        <w:t>公司邮箱：hnhxyzb@163.com</w:t>
      </w:r>
    </w:p>
    <w:bookmarkEnd w:id="28"/>
    <w:p>
      <w:pPr>
        <w:pStyle w:val="4"/>
      </w:pPr>
      <w:bookmarkStart w:id="29" w:name="_Toc67640134"/>
      <w:bookmarkStart w:id="30" w:name="_Toc22223"/>
      <w:r>
        <w:rPr>
          <w:rFonts w:hint="eastAsia"/>
        </w:rPr>
        <w:t>六、采购人联系方式</w:t>
      </w:r>
      <w:bookmarkEnd w:id="29"/>
      <w:bookmarkEnd w:id="30"/>
    </w:p>
    <w:p>
      <w:pPr>
        <w:tabs>
          <w:tab w:val="left" w:pos="4680"/>
        </w:tabs>
        <w:snapToGrid w:val="0"/>
        <w:spacing w:line="360" w:lineRule="auto"/>
        <w:rPr>
          <w:rFonts w:ascii="宋体" w:hAnsi="宋体"/>
          <w:sz w:val="24"/>
        </w:rPr>
      </w:pPr>
      <w:bookmarkStart w:id="31" w:name="_Hlk31985123"/>
      <w:r>
        <w:rPr>
          <w:rFonts w:ascii="宋体" w:hAnsi="宋体"/>
          <w:sz w:val="24"/>
        </w:rPr>
        <w:t>6.1</w:t>
      </w:r>
      <w:r>
        <w:rPr>
          <w:rFonts w:hint="eastAsia" w:ascii="宋体" w:hAnsi="宋体"/>
          <w:sz w:val="24"/>
        </w:rPr>
        <w:t>地址：</w:t>
      </w:r>
      <w:r>
        <w:rPr>
          <w:rFonts w:ascii="宋体" w:hAnsi="宋体"/>
          <w:sz w:val="24"/>
        </w:rPr>
        <w:t>海南省海口市琼山区五指山南路会展楼一楼</w:t>
      </w:r>
    </w:p>
    <w:p>
      <w:pPr>
        <w:tabs>
          <w:tab w:val="center" w:pos="4650"/>
        </w:tabs>
        <w:snapToGrid w:val="0"/>
        <w:spacing w:line="360" w:lineRule="auto"/>
        <w:rPr>
          <w:rFonts w:ascii="宋体" w:hAnsi="宋体"/>
          <w:sz w:val="24"/>
        </w:rPr>
      </w:pPr>
      <w:r>
        <w:rPr>
          <w:rFonts w:ascii="宋体" w:hAnsi="宋体"/>
          <w:sz w:val="24"/>
        </w:rPr>
        <w:t>6.2</w:t>
      </w:r>
      <w:r>
        <w:rPr>
          <w:rFonts w:hint="eastAsia" w:ascii="宋体" w:hAnsi="宋体"/>
          <w:sz w:val="24"/>
        </w:rPr>
        <w:t>联系人：徐应诗</w:t>
      </w:r>
    </w:p>
    <w:p>
      <w:pPr>
        <w:tabs>
          <w:tab w:val="left" w:pos="4680"/>
        </w:tabs>
        <w:snapToGrid w:val="0"/>
        <w:spacing w:line="360" w:lineRule="auto"/>
        <w:rPr>
          <w:rFonts w:ascii="黑体"/>
          <w:sz w:val="36"/>
          <w:szCs w:val="36"/>
        </w:rPr>
      </w:pPr>
      <w:r>
        <w:rPr>
          <w:rFonts w:ascii="宋体" w:hAnsi="宋体"/>
          <w:sz w:val="24"/>
        </w:rPr>
        <w:t>6.3</w:t>
      </w:r>
      <w:r>
        <w:rPr>
          <w:rFonts w:hint="eastAsia" w:ascii="宋体" w:hAnsi="宋体"/>
          <w:sz w:val="24"/>
        </w:rPr>
        <w:t>联系电话：</w:t>
      </w:r>
      <w:r>
        <w:rPr>
          <w:rFonts w:hint="eastAsia" w:ascii="宋体" w:hAnsi="宋体"/>
          <w:sz w:val="24"/>
          <w:lang w:val="en-US" w:eastAsia="zh-CN"/>
        </w:rPr>
        <w:t xml:space="preserve">0898-65335601 </w:t>
      </w:r>
      <w:bookmarkStart w:id="484" w:name="_GoBack"/>
      <w:bookmarkEnd w:id="484"/>
      <w:r>
        <w:rPr>
          <w:rFonts w:hint="eastAsia" w:ascii="宋体" w:hAnsi="宋体"/>
          <w:sz w:val="24"/>
        </w:rPr>
        <w:t>13552761319</w:t>
      </w:r>
    </w:p>
    <w:bookmarkEnd w:id="31"/>
    <w:p>
      <w:pPr>
        <w:pStyle w:val="3"/>
      </w:pPr>
      <w:r>
        <w:rPr>
          <w:rFonts w:hint="eastAsia"/>
        </w:rPr>
        <w:br w:type="page"/>
      </w:r>
      <w:bookmarkStart w:id="32" w:name="_Toc67640135"/>
      <w:r>
        <w:rPr>
          <w:rFonts w:hint="eastAsia"/>
          <w:b w:val="0"/>
        </w:rPr>
        <w:t>第二章  报价人须知</w:t>
      </w:r>
      <w:bookmarkEnd w:id="32"/>
    </w:p>
    <w:p>
      <w:pPr>
        <w:pStyle w:val="4"/>
      </w:pPr>
      <w:bookmarkStart w:id="33" w:name="_Toc67640136"/>
      <w:bookmarkStart w:id="34" w:name="_Hlk31985283"/>
      <w:r>
        <w:rPr>
          <w:rFonts w:hint="eastAsia"/>
        </w:rPr>
        <w:t>一、总则</w:t>
      </w:r>
      <w:bookmarkEnd w:id="33"/>
    </w:p>
    <w:p>
      <w:pPr>
        <w:snapToGrid w:val="0"/>
        <w:spacing w:line="360" w:lineRule="auto"/>
        <w:rPr>
          <w:rFonts w:ascii="宋体" w:hAnsi="宋体"/>
          <w:sz w:val="24"/>
        </w:rPr>
      </w:pPr>
      <w:r>
        <w:rPr>
          <w:rFonts w:ascii="宋体" w:hAnsi="宋体"/>
          <w:sz w:val="24"/>
        </w:rPr>
        <w:t>1.1名词解释</w:t>
      </w:r>
    </w:p>
    <w:p>
      <w:pPr>
        <w:numPr>
          <w:ilvl w:val="0"/>
          <w:numId w:val="45"/>
        </w:numPr>
        <w:snapToGrid w:val="0"/>
        <w:spacing w:line="360" w:lineRule="auto"/>
        <w:ind w:left="845"/>
        <w:rPr>
          <w:rFonts w:ascii="宋体" w:hAnsi="宋体"/>
          <w:kern w:val="28"/>
          <w:sz w:val="24"/>
        </w:rPr>
      </w:pPr>
      <w:r>
        <w:rPr>
          <w:rFonts w:ascii="宋体" w:hAnsi="宋体"/>
          <w:sz w:val="24"/>
        </w:rPr>
        <w:t>采购人：</w:t>
      </w:r>
      <w:r>
        <w:rPr>
          <w:rFonts w:hint="eastAsia" w:ascii="宋体" w:hAnsi="宋体" w:cs="Tahoma"/>
          <w:sz w:val="24"/>
        </w:rPr>
        <w:t>海南省大数据管理局</w:t>
      </w:r>
    </w:p>
    <w:p>
      <w:pPr>
        <w:numPr>
          <w:ilvl w:val="0"/>
          <w:numId w:val="45"/>
        </w:numPr>
        <w:snapToGrid w:val="0"/>
        <w:spacing w:line="360" w:lineRule="auto"/>
        <w:ind w:left="845"/>
        <w:rPr>
          <w:rFonts w:ascii="宋体" w:hAnsi="宋体"/>
          <w:sz w:val="24"/>
        </w:rPr>
      </w:pPr>
      <w:r>
        <w:rPr>
          <w:rFonts w:hint="eastAsia" w:ascii="宋体" w:hAnsi="宋体"/>
          <w:sz w:val="24"/>
        </w:rPr>
        <w:t>招标人：海南和信源招标代理有限公司</w:t>
      </w:r>
    </w:p>
    <w:p>
      <w:pPr>
        <w:numPr>
          <w:ilvl w:val="0"/>
          <w:numId w:val="45"/>
        </w:numPr>
        <w:snapToGrid w:val="0"/>
        <w:spacing w:line="360" w:lineRule="auto"/>
        <w:ind w:left="845"/>
        <w:rPr>
          <w:rFonts w:ascii="宋体" w:hAnsi="宋体"/>
          <w:sz w:val="24"/>
        </w:rPr>
      </w:pPr>
      <w:r>
        <w:rPr>
          <w:rFonts w:hint="eastAsia" w:ascii="宋体" w:hAnsi="宋体"/>
          <w:sz w:val="24"/>
        </w:rPr>
        <w:t>报价</w:t>
      </w:r>
      <w:r>
        <w:rPr>
          <w:rFonts w:ascii="宋体" w:hAnsi="宋体"/>
          <w:sz w:val="24"/>
        </w:rPr>
        <w:t>人：</w:t>
      </w:r>
      <w:r>
        <w:rPr>
          <w:rFonts w:hint="eastAsia" w:ascii="宋体" w:hAnsi="宋体"/>
          <w:sz w:val="24"/>
          <w:lang w:val="zh-CN"/>
        </w:rPr>
        <w:t>指按照本文件规定获得单一来源文件并参加谈判的供应商。</w:t>
      </w:r>
    </w:p>
    <w:p>
      <w:pPr>
        <w:snapToGrid w:val="0"/>
        <w:spacing w:line="360" w:lineRule="auto"/>
        <w:rPr>
          <w:rFonts w:ascii="宋体" w:hAnsi="宋体"/>
          <w:sz w:val="24"/>
        </w:rPr>
      </w:pPr>
      <w:r>
        <w:rPr>
          <w:rFonts w:ascii="宋体" w:hAnsi="宋体"/>
          <w:sz w:val="24"/>
        </w:rPr>
        <w:t>1.2</w:t>
      </w:r>
      <w:r>
        <w:rPr>
          <w:rFonts w:hint="eastAsia" w:ascii="宋体" w:hAnsi="宋体"/>
          <w:sz w:val="24"/>
        </w:rPr>
        <w:t>适用范围</w:t>
      </w:r>
    </w:p>
    <w:p>
      <w:pPr>
        <w:autoSpaceDE w:val="0"/>
        <w:autoSpaceDN w:val="0"/>
        <w:adjustRightInd w:val="0"/>
        <w:snapToGrid w:val="0"/>
        <w:spacing w:line="360" w:lineRule="auto"/>
        <w:ind w:firstLine="540" w:firstLineChars="225"/>
        <w:rPr>
          <w:rFonts w:ascii="宋体" w:hAnsi="宋体"/>
          <w:sz w:val="24"/>
          <w:lang w:val="zh-CN"/>
        </w:rPr>
      </w:pPr>
      <w:r>
        <w:rPr>
          <w:rFonts w:hint="eastAsia" w:ascii="宋体" w:hAnsi="宋体"/>
          <w:sz w:val="24"/>
          <w:lang w:val="zh-CN"/>
        </w:rPr>
        <w:t>本单一来源采购文件适用于本单一来源谈判中所述货物的单一来源谈判采购。</w:t>
      </w:r>
    </w:p>
    <w:p>
      <w:pPr>
        <w:snapToGrid w:val="0"/>
        <w:spacing w:line="360" w:lineRule="auto"/>
        <w:rPr>
          <w:rFonts w:ascii="宋体" w:hAnsi="宋体"/>
          <w:sz w:val="24"/>
        </w:rPr>
      </w:pPr>
      <w:r>
        <w:rPr>
          <w:rFonts w:ascii="宋体" w:hAnsi="宋体"/>
          <w:sz w:val="24"/>
        </w:rPr>
        <w:t>1.3</w:t>
      </w:r>
      <w:r>
        <w:rPr>
          <w:rFonts w:hint="eastAsia" w:ascii="宋体" w:hAnsi="宋体"/>
          <w:sz w:val="24"/>
        </w:rPr>
        <w:t>报价费用</w:t>
      </w:r>
    </w:p>
    <w:p>
      <w:pPr>
        <w:snapToGrid w:val="0"/>
        <w:spacing w:line="360" w:lineRule="auto"/>
        <w:ind w:firstLine="480" w:firstLineChars="200"/>
        <w:rPr>
          <w:rFonts w:ascii="宋体" w:hAnsi="宋体"/>
          <w:sz w:val="24"/>
        </w:rPr>
      </w:pPr>
      <w:r>
        <w:rPr>
          <w:rFonts w:hint="eastAsia" w:ascii="宋体" w:hAnsi="宋体"/>
          <w:sz w:val="24"/>
        </w:rPr>
        <w:t>无论招标报价过程中的做法和结果如何，报价人自行承担所有与参加报价有关的全部费用</w:t>
      </w:r>
    </w:p>
    <w:p>
      <w:pPr>
        <w:snapToGrid w:val="0"/>
        <w:spacing w:line="360" w:lineRule="auto"/>
        <w:rPr>
          <w:rFonts w:ascii="宋体" w:hAnsi="宋体"/>
          <w:sz w:val="24"/>
        </w:rPr>
      </w:pPr>
      <w:r>
        <w:rPr>
          <w:rFonts w:ascii="宋体" w:hAnsi="宋体"/>
          <w:sz w:val="24"/>
        </w:rPr>
        <w:t>1.4</w:t>
      </w:r>
      <w:r>
        <w:rPr>
          <w:rFonts w:hint="eastAsia" w:ascii="宋体" w:hAnsi="宋体"/>
          <w:sz w:val="24"/>
        </w:rPr>
        <w:t>谈判文件的约束力</w:t>
      </w:r>
    </w:p>
    <w:p>
      <w:pPr>
        <w:snapToGrid w:val="0"/>
        <w:spacing w:line="360" w:lineRule="auto"/>
        <w:ind w:firstLine="480" w:firstLineChars="200"/>
        <w:rPr>
          <w:rFonts w:ascii="宋体" w:hAnsi="宋体"/>
          <w:sz w:val="24"/>
        </w:rPr>
      </w:pPr>
      <w:r>
        <w:rPr>
          <w:rFonts w:hint="eastAsia" w:hAnsi="宋体"/>
          <w:sz w:val="24"/>
        </w:rPr>
        <w:t>本文件由招标代理机构负责解释</w:t>
      </w:r>
      <w:r>
        <w:rPr>
          <w:rFonts w:hint="eastAsia" w:ascii="宋体" w:hAnsi="宋体"/>
          <w:sz w:val="24"/>
        </w:rPr>
        <w:t>。</w:t>
      </w:r>
    </w:p>
    <w:p>
      <w:pPr>
        <w:pStyle w:val="4"/>
      </w:pPr>
      <w:bookmarkStart w:id="35" w:name="_Toc67640137"/>
      <w:r>
        <w:rPr>
          <w:rFonts w:hint="eastAsia"/>
        </w:rPr>
        <w:t>二、谈判文件</w:t>
      </w:r>
      <w:bookmarkEnd w:id="35"/>
    </w:p>
    <w:p>
      <w:pPr>
        <w:snapToGrid w:val="0"/>
        <w:spacing w:line="360" w:lineRule="auto"/>
        <w:rPr>
          <w:rFonts w:ascii="宋体" w:hAnsi="宋体"/>
          <w:sz w:val="24"/>
        </w:rPr>
      </w:pPr>
      <w:r>
        <w:rPr>
          <w:rFonts w:ascii="宋体" w:hAnsi="宋体"/>
          <w:sz w:val="24"/>
        </w:rPr>
        <w:t>2.1</w:t>
      </w:r>
      <w:r>
        <w:rPr>
          <w:rFonts w:hint="eastAsia" w:ascii="宋体" w:hAnsi="宋体"/>
          <w:sz w:val="24"/>
        </w:rPr>
        <w:t>谈判文件的组成</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.1.1</w:t>
      </w:r>
      <w:r>
        <w:rPr>
          <w:rFonts w:hint="eastAsia" w:ascii="宋体" w:hAnsi="宋体"/>
          <w:sz w:val="24"/>
        </w:rPr>
        <w:t>谈判文件由六部分组成，包括：</w:t>
      </w:r>
    </w:p>
    <w:p>
      <w:pPr>
        <w:snapToGrid w:val="0"/>
        <w:spacing w:line="360" w:lineRule="auto"/>
        <w:ind w:firstLine="480" w:firstLineChars="200"/>
        <w:rPr>
          <w:rFonts w:ascii="宋体" w:hAnsi="宋体"/>
          <w:sz w:val="24"/>
        </w:rPr>
      </w:pPr>
      <w:r>
        <w:rPr>
          <w:rFonts w:hint="eastAsia" w:ascii="宋体" w:hAnsi="宋体"/>
          <w:sz w:val="24"/>
        </w:rPr>
        <w:t>第一章  谈判邀请书</w:t>
      </w:r>
    </w:p>
    <w:p>
      <w:pPr>
        <w:snapToGrid w:val="0"/>
        <w:spacing w:line="360" w:lineRule="auto"/>
        <w:ind w:firstLine="480" w:firstLineChars="200"/>
        <w:rPr>
          <w:rFonts w:ascii="宋体" w:hAnsi="宋体"/>
          <w:sz w:val="24"/>
        </w:rPr>
      </w:pPr>
      <w:r>
        <w:rPr>
          <w:rFonts w:hint="eastAsia" w:ascii="宋体" w:hAnsi="宋体"/>
          <w:sz w:val="24"/>
        </w:rPr>
        <w:t>第二章  报价人须知</w:t>
      </w:r>
    </w:p>
    <w:p>
      <w:pPr>
        <w:snapToGrid w:val="0"/>
        <w:spacing w:line="360" w:lineRule="auto"/>
        <w:ind w:firstLine="480" w:firstLineChars="200"/>
        <w:rPr>
          <w:rFonts w:ascii="宋体" w:hAnsi="宋体"/>
          <w:sz w:val="24"/>
        </w:rPr>
      </w:pPr>
      <w:r>
        <w:rPr>
          <w:rFonts w:hint="eastAsia" w:ascii="宋体" w:hAnsi="宋体"/>
          <w:sz w:val="24"/>
        </w:rPr>
        <w:t>第三章  用户需求书</w:t>
      </w:r>
    </w:p>
    <w:p>
      <w:pPr>
        <w:snapToGrid w:val="0"/>
        <w:spacing w:line="360" w:lineRule="auto"/>
        <w:ind w:firstLine="480" w:firstLineChars="200"/>
        <w:rPr>
          <w:rFonts w:ascii="宋体" w:hAnsi="宋体"/>
          <w:sz w:val="24"/>
        </w:rPr>
      </w:pPr>
      <w:r>
        <w:rPr>
          <w:rFonts w:hint="eastAsia" w:ascii="宋体" w:hAnsi="宋体"/>
          <w:sz w:val="24"/>
        </w:rPr>
        <w:t>第四章  合同条款</w:t>
      </w:r>
    </w:p>
    <w:p>
      <w:pPr>
        <w:snapToGrid w:val="0"/>
        <w:spacing w:line="360" w:lineRule="auto"/>
        <w:ind w:firstLine="480" w:firstLineChars="200"/>
        <w:rPr>
          <w:rFonts w:ascii="宋体" w:hAnsi="宋体"/>
          <w:sz w:val="24"/>
        </w:rPr>
      </w:pPr>
      <w:r>
        <w:rPr>
          <w:rFonts w:hint="eastAsia" w:ascii="宋体" w:hAnsi="宋体"/>
          <w:sz w:val="24"/>
        </w:rPr>
        <w:t>第五章  响应文件内容和格式</w:t>
      </w:r>
    </w:p>
    <w:p>
      <w:pPr>
        <w:snapToGrid w:val="0"/>
        <w:spacing w:line="360" w:lineRule="auto"/>
        <w:ind w:firstLine="480" w:firstLineChars="200"/>
        <w:rPr>
          <w:rFonts w:ascii="宋体" w:hAnsi="宋体"/>
          <w:sz w:val="24"/>
        </w:rPr>
      </w:pPr>
      <w:r>
        <w:rPr>
          <w:rFonts w:hint="eastAsia" w:ascii="宋体" w:hAnsi="宋体"/>
          <w:sz w:val="24"/>
        </w:rPr>
        <w:t>请仔细检查谈判文件是否齐全，如有缺漏，请立即与招标人联系解决。</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.1.2</w:t>
      </w:r>
      <w:r>
        <w:rPr>
          <w:rFonts w:hint="eastAsia" w:ascii="宋体" w:hAnsi="宋体"/>
          <w:sz w:val="24"/>
        </w:rPr>
        <w:t>报价人被视为充分熟悉本招标项目所在地的与履行合同有关的各种情况，包括自然环境、气候条件、劳动力及公用设施等，本谈判文件不再对上述情况进行描述。</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.1.3</w:t>
      </w:r>
      <w:r>
        <w:rPr>
          <w:rFonts w:hint="eastAsia" w:ascii="宋体" w:hAnsi="宋体"/>
          <w:sz w:val="24"/>
        </w:rPr>
        <w:t>报价人必须详阅谈判文件的所有条款、文件及表格格式。报价人若未按谈判文件的要求和规范编制、提交响应文件，将有可能导致响应文件被拒绝接受，所造成的负面后果由报价人负责。</w:t>
      </w:r>
    </w:p>
    <w:p>
      <w:pPr>
        <w:snapToGrid w:val="0"/>
        <w:spacing w:line="360" w:lineRule="auto"/>
        <w:rPr>
          <w:rFonts w:ascii="宋体" w:hAnsi="宋体"/>
          <w:sz w:val="24"/>
        </w:rPr>
      </w:pPr>
      <w:r>
        <w:rPr>
          <w:rFonts w:ascii="宋体" w:hAnsi="宋体"/>
          <w:sz w:val="24"/>
        </w:rPr>
        <w:t>2.2</w:t>
      </w:r>
      <w:r>
        <w:rPr>
          <w:rFonts w:hint="eastAsia" w:ascii="宋体" w:hAnsi="宋体"/>
          <w:sz w:val="24"/>
        </w:rPr>
        <w:t>谈判文件的澄清</w:t>
      </w:r>
    </w:p>
    <w:p>
      <w:pPr>
        <w:snapToGrid w:val="0"/>
        <w:spacing w:line="360" w:lineRule="auto"/>
        <w:ind w:firstLine="480" w:firstLineChars="200"/>
        <w:rPr>
          <w:rFonts w:ascii="宋体" w:hAnsi="宋体"/>
          <w:sz w:val="24"/>
        </w:rPr>
      </w:pPr>
      <w:r>
        <w:rPr>
          <w:rFonts w:hint="eastAsia" w:ascii="宋体" w:hAnsi="宋体"/>
          <w:sz w:val="24"/>
        </w:rPr>
        <w:t>报价人在收到谈判文件后，若有疑问需要澄清，应于报价截至时间前一天前以书面形式向招标人提出，招标人将以书面形式进行答复。</w:t>
      </w:r>
    </w:p>
    <w:p>
      <w:pPr>
        <w:snapToGrid w:val="0"/>
        <w:spacing w:line="360" w:lineRule="auto"/>
        <w:rPr>
          <w:rFonts w:ascii="宋体" w:hAnsi="宋体"/>
          <w:sz w:val="24"/>
        </w:rPr>
      </w:pPr>
      <w:r>
        <w:rPr>
          <w:rFonts w:ascii="宋体" w:hAnsi="宋体"/>
          <w:sz w:val="24"/>
        </w:rPr>
        <w:t>2.3</w:t>
      </w:r>
      <w:r>
        <w:rPr>
          <w:rFonts w:hint="eastAsia" w:ascii="宋体" w:hAnsi="宋体"/>
          <w:sz w:val="24"/>
        </w:rPr>
        <w:t>谈判文件的修改或补充</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.3.1</w:t>
      </w:r>
      <w:r>
        <w:rPr>
          <w:rFonts w:hint="eastAsia" w:ascii="宋体" w:hAnsi="宋体"/>
          <w:sz w:val="24"/>
        </w:rPr>
        <w:t>报价截止时间前，招标人可以书面通知的方式修改谈判文件。修改通知作为谈判文件的组成部分，对报价人起同等约束作用。</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.3.2</w:t>
      </w:r>
      <w:r>
        <w:rPr>
          <w:rFonts w:hint="eastAsia" w:ascii="宋体" w:hAnsi="宋体"/>
          <w:sz w:val="24"/>
        </w:rPr>
        <w:t>当谈判文件与修改/补充的内容相互矛盾时，以招标人最后发出的修改/补充为准。</w:t>
      </w:r>
    </w:p>
    <w:p>
      <w:pPr>
        <w:snapToGrid w:val="0"/>
        <w:spacing w:line="360" w:lineRule="auto"/>
        <w:ind w:firstLine="480" w:firstLineChars="200"/>
        <w:rPr>
          <w:rFonts w:ascii="宋体" w:hAnsi="宋体"/>
          <w:sz w:val="24"/>
        </w:rPr>
      </w:pPr>
      <w:r>
        <w:rPr>
          <w:rFonts w:ascii="宋体" w:hAnsi="宋体"/>
          <w:sz w:val="24"/>
        </w:rPr>
        <w:t>2.3.3</w:t>
      </w:r>
      <w:r>
        <w:rPr>
          <w:rFonts w:hint="eastAsia" w:ascii="宋体" w:hAnsi="宋体"/>
          <w:sz w:val="24"/>
        </w:rPr>
        <w:t>使报价人有足够的时间按谈判文件的修改/补充要求修正响应文件，招标人有权决定推迟谈判时间。</w:t>
      </w:r>
    </w:p>
    <w:p>
      <w:pPr>
        <w:pStyle w:val="4"/>
      </w:pPr>
      <w:bookmarkStart w:id="36" w:name="_Toc67640138"/>
      <w:r>
        <w:rPr>
          <w:rFonts w:hint="eastAsia"/>
        </w:rPr>
        <w:t>三、响应文件编制及要求</w:t>
      </w:r>
      <w:bookmarkEnd w:id="36"/>
    </w:p>
    <w:p>
      <w:pPr>
        <w:autoSpaceDE w:val="0"/>
        <w:autoSpaceDN w:val="0"/>
        <w:adjustRightInd w:val="0"/>
        <w:snapToGrid w:val="0"/>
        <w:spacing w:line="360" w:lineRule="auto"/>
        <w:rPr>
          <w:rFonts w:ascii="宋体" w:hAnsi="宋体"/>
          <w:sz w:val="24"/>
          <w:lang w:val="zh-CN"/>
        </w:rPr>
      </w:pPr>
      <w:r>
        <w:rPr>
          <w:rFonts w:ascii="宋体" w:hAnsi="宋体"/>
          <w:sz w:val="24"/>
        </w:rPr>
        <w:t xml:space="preserve">3.1 </w:t>
      </w:r>
      <w:r>
        <w:rPr>
          <w:rFonts w:hint="eastAsia" w:ascii="宋体" w:hAnsi="宋体"/>
          <w:sz w:val="24"/>
          <w:lang w:val="zh-CN"/>
        </w:rPr>
        <w:t>报价人应当按照本单一来源文件的要求编制谈判响应文件，响应文件应当对单一来源采购文件提出的要求和条件作出实质性应答。</w:t>
      </w:r>
    </w:p>
    <w:p>
      <w:pPr>
        <w:autoSpaceDE w:val="0"/>
        <w:autoSpaceDN w:val="0"/>
        <w:adjustRightInd w:val="0"/>
        <w:snapToGrid w:val="0"/>
        <w:spacing w:line="360" w:lineRule="auto"/>
        <w:rPr>
          <w:rFonts w:ascii="宋体" w:hAnsi="宋体"/>
          <w:sz w:val="24"/>
          <w:lang w:val="zh-CN"/>
        </w:rPr>
      </w:pPr>
      <w:r>
        <w:rPr>
          <w:rFonts w:ascii="宋体" w:hAnsi="宋体"/>
          <w:sz w:val="24"/>
        </w:rPr>
        <w:t>3.2</w:t>
      </w:r>
      <w:r>
        <w:rPr>
          <w:rFonts w:hint="eastAsia" w:ascii="宋体" w:hAnsi="宋体"/>
          <w:sz w:val="24"/>
        </w:rPr>
        <w:t xml:space="preserve"> </w:t>
      </w:r>
      <w:r>
        <w:rPr>
          <w:rFonts w:hint="eastAsia" w:ascii="宋体" w:hAnsi="宋体"/>
          <w:sz w:val="24"/>
          <w:lang w:val="zh-CN"/>
        </w:rPr>
        <w:t xml:space="preserve">响应文件应用A4规格纸编制并装订成册，内容和格式参见“第五章 响应文件内容和格式” </w:t>
      </w:r>
    </w:p>
    <w:p>
      <w:pPr>
        <w:snapToGrid w:val="0"/>
        <w:spacing w:line="360" w:lineRule="auto"/>
        <w:rPr>
          <w:rFonts w:ascii="宋体" w:hAnsi="宋体"/>
          <w:sz w:val="24"/>
        </w:rPr>
      </w:pPr>
      <w:r>
        <w:rPr>
          <w:rFonts w:ascii="宋体" w:hAnsi="宋体"/>
          <w:sz w:val="24"/>
        </w:rPr>
        <w:t>3.3</w:t>
      </w:r>
      <w:r>
        <w:rPr>
          <w:rFonts w:hint="eastAsia" w:ascii="宋体" w:hAnsi="宋体"/>
          <w:sz w:val="24"/>
        </w:rPr>
        <w:t>响应文件</w:t>
      </w:r>
      <w:r>
        <w:rPr>
          <w:rFonts w:hint="eastAsia" w:ascii="宋体" w:hAnsi="宋体"/>
          <w:b/>
          <w:sz w:val="24"/>
        </w:rPr>
        <w:t>一式柒份，</w:t>
      </w:r>
      <w:r>
        <w:rPr>
          <w:rFonts w:hint="eastAsia" w:ascii="宋体" w:hAnsi="宋体"/>
          <w:sz w:val="24"/>
        </w:rPr>
        <w:t>固定装订。其中</w:t>
      </w:r>
      <w:r>
        <w:rPr>
          <w:rFonts w:hint="eastAsia" w:ascii="宋体" w:hAnsi="宋体"/>
          <w:b/>
          <w:sz w:val="24"/>
        </w:rPr>
        <w:t>正本壹份，副本陆份。</w:t>
      </w:r>
      <w:r>
        <w:rPr>
          <w:rFonts w:hint="eastAsia" w:ascii="宋体" w:hAnsi="宋体"/>
          <w:b/>
          <w:kern w:val="0"/>
          <w:sz w:val="24"/>
        </w:rPr>
        <w:t>提供与纸质版投标文件一致的（经签字盖公章（或电子章）的）PDF格式或</w:t>
      </w:r>
      <w:r>
        <w:rPr>
          <w:rFonts w:hint="eastAsia" w:ascii="宋体" w:hAnsi="宋体"/>
          <w:b/>
          <w:kern w:val="0"/>
          <w:sz w:val="24"/>
          <w:lang w:val="zh-CN"/>
        </w:rPr>
        <w:t>WORD格式电子</w:t>
      </w:r>
      <w:r>
        <w:rPr>
          <w:rFonts w:hint="eastAsia" w:ascii="宋体" w:hAnsi="宋体"/>
          <w:b/>
          <w:kern w:val="0"/>
          <w:sz w:val="24"/>
        </w:rPr>
        <w:t>文档1份，电子介质的响应文件与纸质响应文件具有同等的法律效力</w:t>
      </w:r>
      <w:r>
        <w:rPr>
          <w:rFonts w:hint="eastAsia" w:ascii="宋体" w:hAnsi="宋体" w:cs="宋体"/>
          <w:b/>
          <w:sz w:val="24"/>
        </w:rPr>
        <w:t>。</w:t>
      </w:r>
    </w:p>
    <w:p>
      <w:pPr>
        <w:snapToGrid w:val="0"/>
        <w:spacing w:line="360" w:lineRule="auto"/>
        <w:rPr>
          <w:rFonts w:ascii="宋体" w:hAnsi="宋体"/>
          <w:sz w:val="24"/>
        </w:rPr>
      </w:pPr>
      <w:r>
        <w:rPr>
          <w:rFonts w:ascii="宋体" w:hAnsi="宋体"/>
          <w:sz w:val="24"/>
        </w:rPr>
        <w:t>3.4</w:t>
      </w:r>
      <w:r>
        <w:rPr>
          <w:rFonts w:hint="eastAsia" w:ascii="宋体" w:hAnsi="宋体"/>
          <w:sz w:val="24"/>
        </w:rPr>
        <w:t>响应文件须按谈判文件的要求执行，每份报价书均须在封面上清楚标明“正本”或“副本”字样，“正本”和“副本”具有同等的法律效力；“正本”和“副本”之间如有差异，以正本为准。</w:t>
      </w:r>
    </w:p>
    <w:p>
      <w:pPr>
        <w:snapToGrid w:val="0"/>
        <w:spacing w:line="360" w:lineRule="auto"/>
        <w:rPr>
          <w:rFonts w:ascii="宋体" w:hAnsi="宋体"/>
          <w:sz w:val="24"/>
        </w:rPr>
      </w:pPr>
      <w:r>
        <w:rPr>
          <w:rFonts w:ascii="宋体" w:hAnsi="宋体"/>
          <w:sz w:val="24"/>
        </w:rPr>
        <w:t>3.5</w:t>
      </w:r>
      <w:r>
        <w:rPr>
          <w:rFonts w:hint="eastAsia" w:ascii="宋体" w:hAnsi="宋体"/>
          <w:sz w:val="24"/>
        </w:rPr>
        <w:t xml:space="preserve"> 响应文件正本中，文字材料需打印或用不褪色墨水书写。响应文件的正本须经法人代表或授权代表签署和加盖报价人公章。</w:t>
      </w:r>
    </w:p>
    <w:p>
      <w:pPr>
        <w:autoSpaceDE w:val="0"/>
        <w:autoSpaceDN w:val="0"/>
        <w:adjustRightInd w:val="0"/>
        <w:snapToGrid w:val="0"/>
        <w:spacing w:line="360" w:lineRule="auto"/>
        <w:rPr>
          <w:rFonts w:ascii="仿宋_GB2312" w:eastAsia="仿宋_GB2312"/>
          <w:sz w:val="24"/>
          <w:lang w:val="zh-CN"/>
        </w:rPr>
      </w:pPr>
      <w:r>
        <w:rPr>
          <w:rFonts w:ascii="宋体" w:hAnsi="宋体"/>
          <w:sz w:val="24"/>
        </w:rPr>
        <w:t>3.6</w:t>
      </w:r>
      <w:r>
        <w:rPr>
          <w:rFonts w:hint="eastAsia" w:ascii="宋体" w:hAnsi="宋体"/>
          <w:sz w:val="24"/>
        </w:rPr>
        <w:t xml:space="preserve"> 响应文件不得涂改和增删，如要修改错漏处，必须由同一签署人在修改处签字和盖章。</w:t>
      </w:r>
    </w:p>
    <w:p>
      <w:pPr>
        <w:pStyle w:val="4"/>
      </w:pPr>
      <w:bookmarkStart w:id="37" w:name="_Toc67640139"/>
      <w:r>
        <w:rPr>
          <w:rFonts w:hint="eastAsia"/>
        </w:rPr>
        <w:t>四、响应文件的递交</w:t>
      </w:r>
      <w:bookmarkEnd w:id="37"/>
    </w:p>
    <w:p>
      <w:pPr>
        <w:snapToGrid w:val="0"/>
        <w:spacing w:line="360" w:lineRule="auto"/>
        <w:rPr>
          <w:rFonts w:ascii="宋体" w:hAnsi="宋体"/>
          <w:sz w:val="24"/>
        </w:rPr>
      </w:pPr>
      <w:r>
        <w:rPr>
          <w:rFonts w:hint="eastAsia" w:ascii="宋体" w:hAnsi="宋体"/>
          <w:sz w:val="24"/>
        </w:rPr>
        <w:t>4</w:t>
      </w:r>
      <w:r>
        <w:rPr>
          <w:rFonts w:ascii="宋体" w:hAnsi="宋体"/>
          <w:sz w:val="24"/>
        </w:rPr>
        <w:t>.1</w:t>
      </w:r>
      <w:r>
        <w:rPr>
          <w:rFonts w:hint="eastAsia" w:ascii="宋体" w:hAnsi="宋体"/>
          <w:sz w:val="24"/>
        </w:rPr>
        <w:t>响应文件的密封及标记</w:t>
      </w:r>
    </w:p>
    <w:p>
      <w:pPr>
        <w:numPr>
          <w:ilvl w:val="0"/>
          <w:numId w:val="46"/>
        </w:numPr>
        <w:snapToGrid w:val="0"/>
        <w:spacing w:line="360" w:lineRule="auto"/>
        <w:ind w:left="845"/>
        <w:rPr>
          <w:rFonts w:ascii="宋体" w:hAnsi="宋体"/>
          <w:sz w:val="24"/>
        </w:rPr>
      </w:pPr>
      <w:r>
        <w:rPr>
          <w:rFonts w:hint="eastAsia" w:ascii="宋体" w:hAnsi="宋体"/>
          <w:sz w:val="24"/>
        </w:rPr>
        <w:t>报价人应将响应文件正本和所有副本密封在报价专用袋（箱）中，封口处应加盖骑缝章。封皮上均应写明：</w:t>
      </w:r>
    </w:p>
    <w:p>
      <w:pPr>
        <w:snapToGrid w:val="0"/>
        <w:spacing w:line="360" w:lineRule="auto"/>
        <w:ind w:firstLine="482" w:firstLineChars="200"/>
        <w:rPr>
          <w:rFonts w:ascii="宋体" w:hAnsi="宋体"/>
          <w:b/>
          <w:sz w:val="24"/>
        </w:rPr>
      </w:pPr>
      <w:r>
        <w:rPr>
          <w:rFonts w:hint="eastAsia" w:ascii="宋体" w:hAnsi="宋体"/>
          <w:b/>
          <w:sz w:val="24"/>
        </w:rPr>
        <w:t>致：海南和信源招标代理有限公司</w:t>
      </w:r>
    </w:p>
    <w:p>
      <w:pPr>
        <w:snapToGrid w:val="0"/>
        <w:spacing w:line="360" w:lineRule="auto"/>
        <w:ind w:firstLine="482" w:firstLineChars="200"/>
        <w:rPr>
          <w:rFonts w:ascii="宋体" w:hAnsi="宋体"/>
          <w:b/>
          <w:sz w:val="24"/>
        </w:rPr>
      </w:pPr>
      <w:r>
        <w:rPr>
          <w:rFonts w:hint="eastAsia" w:ascii="宋体" w:hAnsi="宋体"/>
          <w:b/>
          <w:sz w:val="24"/>
        </w:rPr>
        <w:t>项目名称：</w:t>
      </w:r>
      <w:r>
        <w:rPr>
          <w:rFonts w:hint="eastAsia" w:ascii="宋体" w:hAnsi="宋体" w:cs="Tahoma"/>
          <w:b/>
          <w:kern w:val="28"/>
          <w:sz w:val="24"/>
          <w:u w:val="single"/>
        </w:rPr>
        <w:t>海南省“码上办事”平台项目</w:t>
      </w:r>
    </w:p>
    <w:p>
      <w:pPr>
        <w:snapToGrid w:val="0"/>
        <w:spacing w:line="360" w:lineRule="auto"/>
        <w:ind w:firstLine="482" w:firstLineChars="200"/>
        <w:rPr>
          <w:rFonts w:ascii="宋体" w:hAnsi="宋体"/>
          <w:b/>
          <w:sz w:val="24"/>
          <w:u w:val="single"/>
        </w:rPr>
      </w:pPr>
      <w:r>
        <w:rPr>
          <w:rFonts w:hint="eastAsia" w:ascii="宋体" w:hAnsi="宋体"/>
          <w:b/>
          <w:sz w:val="24"/>
        </w:rPr>
        <w:t>项目编号：</w:t>
      </w:r>
      <w:r>
        <w:rPr>
          <w:rFonts w:hint="eastAsia" w:ascii="宋体" w:hAnsi="宋体"/>
          <w:b/>
          <w:sz w:val="24"/>
          <w:u w:val="single"/>
        </w:rPr>
        <w:t>HXY2021-037</w:t>
      </w:r>
    </w:p>
    <w:p>
      <w:pPr>
        <w:snapToGrid w:val="0"/>
        <w:spacing w:line="360" w:lineRule="auto"/>
        <w:ind w:firstLine="482" w:firstLineChars="200"/>
        <w:rPr>
          <w:rFonts w:ascii="宋体" w:hAnsi="宋体"/>
          <w:b/>
          <w:sz w:val="24"/>
        </w:rPr>
      </w:pPr>
      <w:r>
        <w:rPr>
          <w:rFonts w:hint="eastAsia" w:ascii="宋体" w:hAnsi="宋体"/>
          <w:b/>
          <w:sz w:val="24"/>
        </w:rPr>
        <w:t>注明：“请勿在谈判时间之前启封”</w:t>
      </w:r>
    </w:p>
    <w:p>
      <w:pPr>
        <w:snapToGrid w:val="0"/>
        <w:spacing w:line="360" w:lineRule="auto"/>
        <w:ind w:firstLine="482" w:firstLineChars="200"/>
        <w:rPr>
          <w:rFonts w:ascii="宋体" w:hAnsi="宋体"/>
          <w:b/>
          <w:sz w:val="24"/>
        </w:rPr>
      </w:pPr>
      <w:r>
        <w:rPr>
          <w:rFonts w:hint="eastAsia" w:ascii="宋体" w:hAnsi="宋体"/>
          <w:b/>
          <w:sz w:val="24"/>
        </w:rPr>
        <w:t>报价单位名称、联系人姓名和电话</w:t>
      </w:r>
    </w:p>
    <w:p>
      <w:pPr>
        <w:numPr>
          <w:ilvl w:val="0"/>
          <w:numId w:val="46"/>
        </w:numPr>
        <w:snapToGrid w:val="0"/>
        <w:spacing w:line="360" w:lineRule="auto"/>
        <w:ind w:left="845"/>
        <w:rPr>
          <w:rFonts w:ascii="宋体" w:hAnsi="宋体"/>
          <w:sz w:val="24"/>
        </w:rPr>
      </w:pPr>
      <w:r>
        <w:rPr>
          <w:rFonts w:hint="eastAsia" w:ascii="宋体" w:hAnsi="宋体"/>
          <w:sz w:val="24"/>
        </w:rPr>
        <w:t>响应文件未按上述规定书写标记和密封者，招标人不对响应文件被错放或先期启封负责。</w:t>
      </w:r>
    </w:p>
    <w:p>
      <w:pPr>
        <w:snapToGrid w:val="0"/>
        <w:spacing w:line="360" w:lineRule="auto"/>
        <w:rPr>
          <w:rFonts w:ascii="宋体" w:hAnsi="宋体"/>
          <w:sz w:val="24"/>
        </w:rPr>
      </w:pPr>
      <w:r>
        <w:rPr>
          <w:rFonts w:ascii="宋体" w:hAnsi="宋体"/>
          <w:sz w:val="24"/>
        </w:rPr>
        <w:t>4.2</w:t>
      </w:r>
      <w:r>
        <w:rPr>
          <w:rFonts w:hint="eastAsia" w:ascii="宋体" w:hAnsi="宋体"/>
          <w:sz w:val="24"/>
        </w:rPr>
        <w:t>报价截止时间</w:t>
      </w:r>
    </w:p>
    <w:p>
      <w:pPr>
        <w:numPr>
          <w:ilvl w:val="0"/>
          <w:numId w:val="47"/>
        </w:numPr>
        <w:snapToGrid w:val="0"/>
        <w:spacing w:line="360" w:lineRule="auto"/>
        <w:ind w:left="845"/>
        <w:rPr>
          <w:rFonts w:ascii="宋体" w:hAnsi="宋体"/>
          <w:sz w:val="24"/>
        </w:rPr>
      </w:pPr>
      <w:r>
        <w:rPr>
          <w:rFonts w:hint="eastAsia" w:ascii="宋体" w:hAnsi="宋体"/>
          <w:sz w:val="24"/>
        </w:rPr>
        <w:t>报价人须在报价截止时间前将响应文件送达招标人规定的报价地点。</w:t>
      </w:r>
    </w:p>
    <w:p>
      <w:pPr>
        <w:numPr>
          <w:ilvl w:val="0"/>
          <w:numId w:val="47"/>
        </w:numPr>
        <w:snapToGrid w:val="0"/>
        <w:spacing w:line="360" w:lineRule="auto"/>
        <w:ind w:left="845"/>
        <w:rPr>
          <w:rFonts w:ascii="宋体" w:hAnsi="宋体"/>
          <w:sz w:val="24"/>
        </w:rPr>
      </w:pPr>
      <w:r>
        <w:rPr>
          <w:rFonts w:hint="eastAsia" w:ascii="宋体" w:hAnsi="宋体"/>
          <w:sz w:val="24"/>
        </w:rPr>
        <w:t>在报价截止时间后递交的响应文件，招标人将拒绝接受。</w:t>
      </w:r>
    </w:p>
    <w:p>
      <w:pPr>
        <w:pStyle w:val="4"/>
      </w:pPr>
      <w:bookmarkStart w:id="38" w:name="_Toc67640140"/>
      <w:r>
        <w:rPr>
          <w:rFonts w:hint="eastAsia"/>
        </w:rPr>
        <w:t>五、单一来源投标保证金</w:t>
      </w:r>
      <w:bookmarkEnd w:id="38"/>
    </w:p>
    <w:p>
      <w:pPr>
        <w:adjustRightInd w:val="0"/>
        <w:snapToGrid w:val="0"/>
        <w:spacing w:line="360" w:lineRule="auto"/>
        <w:rPr>
          <w:rFonts w:ascii="宋体" w:hAnsi="宋体"/>
          <w:sz w:val="24"/>
        </w:rPr>
      </w:pPr>
      <w:r>
        <w:rPr>
          <w:rFonts w:ascii="宋体" w:hAnsi="宋体"/>
          <w:sz w:val="24"/>
        </w:rPr>
        <w:t>5.1</w:t>
      </w:r>
      <w:r>
        <w:rPr>
          <w:rFonts w:hint="eastAsia" w:ascii="宋体" w:hAnsi="宋体"/>
          <w:sz w:val="24"/>
        </w:rPr>
        <w:t>投标保证金是参加本项目投标的必要条件，保证金支付要求见第一章。为避免资金在途不能及时到账造成投标无效，建议报价人提前在投标截止时间一个工作日前办理保证金支付手续。</w:t>
      </w:r>
    </w:p>
    <w:p>
      <w:pPr>
        <w:adjustRightInd w:val="0"/>
        <w:snapToGrid w:val="0"/>
        <w:spacing w:line="360" w:lineRule="auto"/>
        <w:rPr>
          <w:rFonts w:ascii="宋体" w:hAnsi="宋体"/>
          <w:sz w:val="24"/>
        </w:rPr>
      </w:pPr>
      <w:r>
        <w:rPr>
          <w:rFonts w:ascii="宋体" w:hAnsi="宋体"/>
          <w:sz w:val="24"/>
        </w:rPr>
        <w:t>5.2</w:t>
      </w:r>
      <w:r>
        <w:rPr>
          <w:rFonts w:hint="eastAsia" w:ascii="宋体" w:hAnsi="宋体"/>
          <w:sz w:val="24"/>
        </w:rPr>
        <w:t xml:space="preserve"> 若报价人不按规定提交投标保证金，其响应文件将被拒绝接受。</w:t>
      </w:r>
    </w:p>
    <w:p>
      <w:pPr>
        <w:snapToGrid w:val="0"/>
        <w:spacing w:line="360" w:lineRule="auto"/>
        <w:rPr>
          <w:rFonts w:ascii="宋体" w:hAnsi="宋体"/>
          <w:sz w:val="24"/>
        </w:rPr>
      </w:pPr>
      <w:r>
        <w:rPr>
          <w:rFonts w:ascii="宋体" w:hAnsi="宋体"/>
          <w:sz w:val="24"/>
        </w:rPr>
        <w:t>5.3</w:t>
      </w:r>
      <w:r>
        <w:rPr>
          <w:rFonts w:hint="eastAsia" w:ascii="宋体" w:hAnsi="宋体"/>
          <w:sz w:val="24"/>
        </w:rPr>
        <w:t>投标保证金的退还</w:t>
      </w:r>
    </w:p>
    <w:p>
      <w:pPr>
        <w:snapToGrid w:val="0"/>
        <w:spacing w:line="360" w:lineRule="auto"/>
        <w:ind w:firstLine="480" w:firstLineChars="200"/>
        <w:rPr>
          <w:rFonts w:ascii="宋体" w:hAnsi="宋体"/>
          <w:sz w:val="24"/>
        </w:rPr>
      </w:pPr>
      <w:r>
        <w:rPr>
          <w:rFonts w:ascii="宋体" w:hAnsi="宋体"/>
          <w:sz w:val="24"/>
        </w:rPr>
        <w:t>5.3.1</w:t>
      </w:r>
      <w:r>
        <w:rPr>
          <w:rFonts w:hint="eastAsia" w:ascii="宋体" w:hAnsi="宋体"/>
          <w:sz w:val="24"/>
        </w:rPr>
        <w:t xml:space="preserve"> 中标人的投标保证金在其与采购人签订了合同后五个工作日内无息退还。</w:t>
      </w:r>
    </w:p>
    <w:p>
      <w:pPr>
        <w:snapToGrid w:val="0"/>
        <w:spacing w:line="360" w:lineRule="auto"/>
        <w:ind w:firstLine="480" w:firstLineChars="200"/>
        <w:rPr>
          <w:rFonts w:ascii="宋体" w:hAnsi="宋体"/>
          <w:sz w:val="24"/>
        </w:rPr>
      </w:pPr>
      <w:r>
        <w:rPr>
          <w:rFonts w:ascii="宋体" w:hAnsi="宋体"/>
          <w:sz w:val="24"/>
        </w:rPr>
        <w:t>5.3.2</w:t>
      </w:r>
      <w:r>
        <w:rPr>
          <w:rFonts w:hint="eastAsia" w:ascii="宋体" w:hAnsi="宋体"/>
          <w:sz w:val="24"/>
        </w:rPr>
        <w:t xml:space="preserve"> 落标的报价人的投标保证金将在招标代理机构发出中标通知书五个工作日内无息退还。</w:t>
      </w:r>
    </w:p>
    <w:p>
      <w:pPr>
        <w:snapToGrid w:val="0"/>
        <w:spacing w:line="360" w:lineRule="auto"/>
        <w:ind w:firstLine="480" w:firstLineChars="200"/>
        <w:rPr>
          <w:rFonts w:ascii="宋体" w:hAnsi="宋体" w:cs="宋体"/>
          <w:sz w:val="24"/>
        </w:rPr>
      </w:pPr>
      <w:r>
        <w:rPr>
          <w:rFonts w:ascii="宋体" w:hAnsi="宋体"/>
          <w:sz w:val="24"/>
        </w:rPr>
        <w:t>5.3.3</w:t>
      </w:r>
      <w:r>
        <w:rPr>
          <w:rFonts w:hint="eastAsia" w:ascii="宋体" w:hAnsi="宋体"/>
          <w:sz w:val="24"/>
        </w:rPr>
        <w:t>如投标保证金为招标代理机构收取，则中标结果公告期满后，报价人应把投标保证金退还申请函（必须注明项目名称、金额以及退还的银行账户）传真到0898-65328214，以便办理投标保证金退还手续；如投标保证金为海南省人民政府政务服务中心收取，则和政务中心办理退款手续，</w:t>
      </w:r>
      <w:r>
        <w:rPr>
          <w:rFonts w:hint="eastAsia" w:ascii="宋体" w:hAnsi="宋体" w:cs="宋体"/>
          <w:sz w:val="24"/>
        </w:rPr>
        <w:t>退款时请提供如下材料（加盖公章）：</w:t>
      </w:r>
    </w:p>
    <w:p>
      <w:pPr>
        <w:snapToGrid w:val="0"/>
        <w:spacing w:line="360" w:lineRule="auto"/>
        <w:ind w:firstLine="538"/>
        <w:rPr>
          <w:rFonts w:ascii="宋体" w:hAnsi="宋体" w:cs="宋体"/>
          <w:sz w:val="24"/>
        </w:rPr>
      </w:pPr>
      <w:r>
        <w:rPr>
          <w:rFonts w:hint="eastAsia" w:ascii="宋体" w:hAnsi="宋体" w:cs="宋体"/>
          <w:sz w:val="24"/>
        </w:rPr>
        <w:t>1)退款申请书；2)法人代表及经办人身份证（复印件）；3)授权委托书；4)电汇单（复印件）；5)开户许可证（复印件）。联系电话：65355520。</w:t>
      </w:r>
    </w:p>
    <w:p>
      <w:pPr>
        <w:snapToGrid w:val="0"/>
        <w:spacing w:line="360" w:lineRule="auto"/>
        <w:ind w:firstLine="480" w:firstLineChars="200"/>
        <w:rPr>
          <w:rFonts w:ascii="宋体" w:hAnsi="宋体"/>
          <w:sz w:val="24"/>
        </w:rPr>
      </w:pPr>
      <w:r>
        <w:rPr>
          <w:rFonts w:ascii="宋体" w:hAnsi="宋体"/>
          <w:sz w:val="24"/>
        </w:rPr>
        <w:t>5.3.4</w:t>
      </w:r>
      <w:r>
        <w:rPr>
          <w:rFonts w:hint="eastAsia" w:ascii="宋体" w:hAnsi="宋体"/>
          <w:sz w:val="24"/>
        </w:rPr>
        <w:t>发生下列情况之一，投标保证金将不予退还：</w:t>
      </w:r>
    </w:p>
    <w:p>
      <w:pPr>
        <w:numPr>
          <w:ilvl w:val="0"/>
          <w:numId w:val="44"/>
        </w:numPr>
        <w:snapToGrid w:val="0"/>
        <w:spacing w:line="360" w:lineRule="auto"/>
        <w:ind w:left="845"/>
        <w:rPr>
          <w:rFonts w:ascii="宋体" w:hAnsi="宋体"/>
          <w:sz w:val="24"/>
        </w:rPr>
      </w:pPr>
      <w:r>
        <w:rPr>
          <w:rFonts w:hint="eastAsia" w:ascii="宋体" w:hAnsi="宋体"/>
          <w:sz w:val="24"/>
        </w:rPr>
        <w:t>报价人在投标有效期内撤回其响应文件的；</w:t>
      </w:r>
    </w:p>
    <w:p>
      <w:pPr>
        <w:numPr>
          <w:ilvl w:val="0"/>
          <w:numId w:val="44"/>
        </w:numPr>
        <w:snapToGrid w:val="0"/>
        <w:spacing w:line="360" w:lineRule="auto"/>
        <w:ind w:left="845"/>
        <w:rPr>
          <w:rFonts w:ascii="宋体" w:hAnsi="宋体"/>
          <w:sz w:val="24"/>
        </w:rPr>
      </w:pPr>
      <w:r>
        <w:rPr>
          <w:rFonts w:hint="eastAsia" w:ascii="宋体" w:hAnsi="宋体"/>
          <w:sz w:val="24"/>
        </w:rPr>
        <w:t>报价人不按本章规定签订合同；</w:t>
      </w:r>
    </w:p>
    <w:p>
      <w:pPr>
        <w:numPr>
          <w:ilvl w:val="0"/>
          <w:numId w:val="44"/>
        </w:numPr>
        <w:snapToGrid w:val="0"/>
        <w:spacing w:line="360" w:lineRule="auto"/>
        <w:ind w:left="845"/>
        <w:rPr>
          <w:rFonts w:ascii="宋体" w:hAnsi="宋体"/>
          <w:sz w:val="24"/>
        </w:rPr>
      </w:pPr>
      <w:r>
        <w:rPr>
          <w:rFonts w:hint="eastAsia" w:ascii="宋体" w:hAnsi="宋体"/>
          <w:sz w:val="24"/>
        </w:rPr>
        <w:t>报价人提供虚假材料谋取中标、成交的；</w:t>
      </w:r>
    </w:p>
    <w:p>
      <w:pPr>
        <w:numPr>
          <w:ilvl w:val="0"/>
          <w:numId w:val="44"/>
        </w:numPr>
        <w:snapToGrid w:val="0"/>
        <w:spacing w:line="360" w:lineRule="auto"/>
        <w:ind w:left="845"/>
        <w:rPr>
          <w:rFonts w:ascii="宋体" w:hAnsi="宋体"/>
          <w:sz w:val="24"/>
        </w:rPr>
      </w:pPr>
      <w:r>
        <w:rPr>
          <w:rFonts w:hint="eastAsia" w:ascii="宋体" w:hAnsi="宋体"/>
          <w:sz w:val="24"/>
        </w:rPr>
        <w:t>与采购人、其它报价人或者招标代理机构恶意串通的；</w:t>
      </w:r>
    </w:p>
    <w:p>
      <w:pPr>
        <w:numPr>
          <w:ilvl w:val="0"/>
          <w:numId w:val="44"/>
        </w:numPr>
        <w:snapToGrid w:val="0"/>
        <w:spacing w:line="360" w:lineRule="auto"/>
        <w:ind w:left="845"/>
        <w:rPr>
          <w:rFonts w:ascii="宋体" w:hAnsi="宋体"/>
          <w:sz w:val="24"/>
        </w:rPr>
      </w:pPr>
      <w:r>
        <w:rPr>
          <w:rFonts w:hint="eastAsia" w:ascii="宋体" w:hAnsi="宋体"/>
          <w:sz w:val="24"/>
        </w:rPr>
        <w:t>向采购人、招标代理机构、评标委员会成员行贿或者提供其他不正当利益的。</w:t>
      </w:r>
    </w:p>
    <w:p>
      <w:pPr>
        <w:snapToGrid w:val="0"/>
        <w:spacing w:line="360" w:lineRule="auto"/>
        <w:ind w:firstLine="480" w:firstLineChars="200"/>
        <w:rPr>
          <w:rFonts w:ascii="宋体" w:hAnsi="宋体"/>
          <w:sz w:val="24"/>
        </w:rPr>
      </w:pPr>
      <w:r>
        <w:rPr>
          <w:rFonts w:hint="eastAsia" w:ascii="宋体" w:hAnsi="宋体"/>
          <w:sz w:val="24"/>
        </w:rPr>
        <w:t>报价有效期为从</w:t>
      </w:r>
      <w:r>
        <w:rPr>
          <w:rFonts w:hint="eastAsia" w:ascii="宋体" w:hAnsi="宋体" w:cs="Tahoma"/>
          <w:sz w:val="24"/>
        </w:rPr>
        <w:t>响应文件递交截止</w:t>
      </w:r>
      <w:r>
        <w:rPr>
          <w:rFonts w:hint="eastAsia" w:ascii="宋体" w:hAnsi="宋体"/>
          <w:sz w:val="24"/>
        </w:rPr>
        <w:t>之日起计算的</w:t>
      </w:r>
      <w:r>
        <w:rPr>
          <w:rFonts w:hint="eastAsia" w:ascii="宋体" w:hAnsi="宋体"/>
          <w:b/>
          <w:sz w:val="24"/>
          <w:u w:val="single"/>
        </w:rPr>
        <w:t>60天</w:t>
      </w:r>
      <w:r>
        <w:rPr>
          <w:rFonts w:hint="eastAsia" w:ascii="宋体" w:hAnsi="宋体"/>
          <w:sz w:val="24"/>
        </w:rPr>
        <w:t>，有效期短于此规定的响应文件将被视为无效。</w:t>
      </w:r>
    </w:p>
    <w:p>
      <w:pPr>
        <w:pStyle w:val="4"/>
      </w:pPr>
      <w:bookmarkStart w:id="39" w:name="_Toc67640141"/>
      <w:r>
        <w:rPr>
          <w:rFonts w:hint="eastAsia"/>
        </w:rPr>
        <w:t>六、谈判</w:t>
      </w:r>
      <w:bookmarkEnd w:id="39"/>
    </w:p>
    <w:p>
      <w:pPr>
        <w:autoSpaceDE w:val="0"/>
        <w:autoSpaceDN w:val="0"/>
        <w:adjustRightInd w:val="0"/>
        <w:snapToGrid w:val="0"/>
        <w:spacing w:line="360" w:lineRule="auto"/>
        <w:rPr>
          <w:rFonts w:ascii="宋体" w:hAnsi="宋体"/>
          <w:sz w:val="24"/>
          <w:lang w:val="zh-CN"/>
        </w:rPr>
      </w:pPr>
      <w:r>
        <w:rPr>
          <w:rFonts w:ascii="宋体" w:hAnsi="宋体"/>
          <w:sz w:val="24"/>
          <w:lang w:val="zh-CN"/>
        </w:rPr>
        <w:t xml:space="preserve">6.1 </w:t>
      </w:r>
      <w:r>
        <w:rPr>
          <w:rFonts w:hint="eastAsia" w:ascii="宋体" w:hAnsi="宋体"/>
          <w:sz w:val="24"/>
          <w:lang w:val="zh-CN"/>
        </w:rPr>
        <w:t>谈判小组：谈判小组依法由相关技术专家七人或以上单数组成。</w:t>
      </w:r>
    </w:p>
    <w:p>
      <w:pPr>
        <w:autoSpaceDE w:val="0"/>
        <w:autoSpaceDN w:val="0"/>
        <w:adjustRightInd w:val="0"/>
        <w:snapToGrid w:val="0"/>
        <w:spacing w:line="360" w:lineRule="auto"/>
        <w:rPr>
          <w:rFonts w:ascii="宋体" w:hAnsi="宋体"/>
          <w:sz w:val="24"/>
          <w:lang w:val="zh-CN"/>
        </w:rPr>
      </w:pPr>
      <w:r>
        <w:rPr>
          <w:rFonts w:ascii="宋体" w:hAnsi="宋体"/>
          <w:sz w:val="24"/>
          <w:lang w:val="zh-CN"/>
        </w:rPr>
        <w:t>6.2</w:t>
      </w:r>
      <w:r>
        <w:rPr>
          <w:rFonts w:hint="eastAsia" w:ascii="宋体" w:hAnsi="宋体"/>
          <w:sz w:val="24"/>
          <w:lang w:val="zh-CN"/>
        </w:rPr>
        <w:t xml:space="preserve"> 谈判报价人：参加谈判的供应商代表应是单位法定代表人或其委托人。</w:t>
      </w:r>
    </w:p>
    <w:p>
      <w:pPr>
        <w:autoSpaceDE w:val="0"/>
        <w:autoSpaceDN w:val="0"/>
        <w:adjustRightInd w:val="0"/>
        <w:snapToGrid w:val="0"/>
        <w:spacing w:line="360" w:lineRule="auto"/>
        <w:rPr>
          <w:rFonts w:ascii="宋体" w:hAnsi="宋体"/>
          <w:sz w:val="24"/>
          <w:lang w:val="zh-CN"/>
        </w:rPr>
      </w:pPr>
      <w:r>
        <w:rPr>
          <w:rFonts w:ascii="宋体" w:hAnsi="宋体"/>
          <w:sz w:val="24"/>
          <w:lang w:val="zh-CN"/>
        </w:rPr>
        <w:t xml:space="preserve">6.3 </w:t>
      </w:r>
      <w:r>
        <w:rPr>
          <w:rFonts w:hint="eastAsia" w:ascii="宋体" w:hAnsi="宋体"/>
          <w:sz w:val="24"/>
          <w:lang w:val="zh-CN"/>
        </w:rPr>
        <w:t>谈判程序：</w:t>
      </w:r>
    </w:p>
    <w:p>
      <w:pPr>
        <w:numPr>
          <w:ilvl w:val="0"/>
          <w:numId w:val="48"/>
        </w:numPr>
        <w:snapToGrid w:val="0"/>
        <w:spacing w:line="360" w:lineRule="auto"/>
        <w:ind w:left="845"/>
        <w:rPr>
          <w:rFonts w:ascii="宋体" w:hAnsi="宋体"/>
          <w:sz w:val="24"/>
          <w:lang w:val="zh-CN"/>
        </w:rPr>
      </w:pPr>
      <w:r>
        <w:rPr>
          <w:rFonts w:hint="eastAsia" w:ascii="宋体" w:hAnsi="宋体"/>
          <w:sz w:val="24"/>
          <w:lang w:val="zh-CN"/>
        </w:rPr>
        <w:t>初步审查。谈判小组依据单一来源采购文件的《初步审查表》对报价人递交响应文件进行审查。</w:t>
      </w:r>
    </w:p>
    <w:p>
      <w:pPr>
        <w:pStyle w:val="2"/>
        <w:jc w:val="center"/>
        <w:rPr>
          <w:rFonts w:ascii="宋体" w:hAnsi="宋体"/>
          <w:b/>
          <w:lang w:val="zh-CN"/>
        </w:rPr>
      </w:pPr>
      <w:r>
        <w:rPr>
          <w:rFonts w:hint="eastAsia" w:ascii="宋体" w:hAnsi="宋体"/>
          <w:b/>
          <w:lang w:val="zh-CN"/>
        </w:rPr>
        <w:t>初步审查表</w:t>
      </w:r>
    </w:p>
    <w:tbl>
      <w:tblPr>
        <w:tblStyle w:val="53"/>
        <w:tblW w:w="5000" w:type="pct"/>
        <w:tblInd w:w="0" w:type="dxa"/>
        <w:tblLayout w:type="autofit"/>
        <w:tblCellMar>
          <w:top w:w="0" w:type="dxa"/>
          <w:left w:w="108" w:type="dxa"/>
          <w:bottom w:w="0" w:type="dxa"/>
          <w:right w:w="108" w:type="dxa"/>
        </w:tblCellMar>
      </w:tblPr>
      <w:tblGrid>
        <w:gridCol w:w="961"/>
        <w:gridCol w:w="1767"/>
        <w:gridCol w:w="4419"/>
        <w:gridCol w:w="1481"/>
      </w:tblGrid>
      <w:tr>
        <w:tblPrEx>
          <w:tblCellMar>
            <w:top w:w="0" w:type="dxa"/>
            <w:left w:w="108" w:type="dxa"/>
            <w:bottom w:w="0" w:type="dxa"/>
            <w:right w:w="108" w:type="dxa"/>
          </w:tblCellMar>
        </w:tblPrEx>
        <w:trPr>
          <w:trHeight w:val="397" w:hRule="atLeast"/>
        </w:trPr>
        <w:tc>
          <w:tcPr>
            <w:tcW w:w="5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0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审查项目</w:t>
            </w:r>
          </w:p>
        </w:tc>
        <w:tc>
          <w:tcPr>
            <w:tcW w:w="25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评议内容</w:t>
            </w:r>
            <w:r>
              <w:rPr>
                <w:rFonts w:hint="eastAsia" w:ascii="宋体" w:hAnsi="宋体" w:cs="宋体"/>
                <w:kern w:val="0"/>
                <w:sz w:val="24"/>
              </w:rPr>
              <w:t>（无效报价认定条件）</w:t>
            </w:r>
          </w:p>
        </w:tc>
        <w:tc>
          <w:tcPr>
            <w:tcW w:w="8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报价人</w:t>
            </w:r>
          </w:p>
        </w:tc>
      </w:tr>
      <w:tr>
        <w:tblPrEx>
          <w:tblCellMar>
            <w:top w:w="0" w:type="dxa"/>
            <w:left w:w="108" w:type="dxa"/>
            <w:bottom w:w="0" w:type="dxa"/>
            <w:right w:w="108" w:type="dxa"/>
          </w:tblCellMar>
        </w:tblPrEx>
        <w:trPr>
          <w:trHeight w:val="407" w:hRule="atLeast"/>
        </w:trPr>
        <w:tc>
          <w:tcPr>
            <w:tcW w:w="5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024"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报价人的资格</w:t>
            </w:r>
          </w:p>
        </w:tc>
        <w:tc>
          <w:tcPr>
            <w:tcW w:w="2560"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是否满足单一来源采购文件要求</w:t>
            </w:r>
          </w:p>
        </w:tc>
        <w:tc>
          <w:tcPr>
            <w:tcW w:w="858" w:type="pct"/>
            <w:tcBorders>
              <w:top w:val="nil"/>
              <w:left w:val="nil"/>
              <w:bottom w:val="single" w:color="auto" w:sz="4" w:space="0"/>
              <w:right w:val="single" w:color="auto" w:sz="4" w:space="0"/>
            </w:tcBorders>
            <w:shd w:val="clear" w:color="auto" w:fill="auto"/>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679" w:hRule="atLeast"/>
        </w:trPr>
        <w:tc>
          <w:tcPr>
            <w:tcW w:w="5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1024"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报价项目完整性</w:t>
            </w:r>
          </w:p>
        </w:tc>
        <w:tc>
          <w:tcPr>
            <w:tcW w:w="2560"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是否对本项目内所有的内容进行报价，漏报其报价将被拒绝</w:t>
            </w:r>
          </w:p>
        </w:tc>
        <w:tc>
          <w:tcPr>
            <w:tcW w:w="858" w:type="pct"/>
            <w:tcBorders>
              <w:top w:val="nil"/>
              <w:left w:val="nil"/>
              <w:bottom w:val="single" w:color="auto" w:sz="4" w:space="0"/>
              <w:right w:val="single" w:color="auto" w:sz="4" w:space="0"/>
            </w:tcBorders>
            <w:shd w:val="clear" w:color="auto" w:fill="auto"/>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392" w:hRule="atLeast"/>
        </w:trPr>
        <w:tc>
          <w:tcPr>
            <w:tcW w:w="5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1024"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报价有效期</w:t>
            </w:r>
          </w:p>
        </w:tc>
        <w:tc>
          <w:tcPr>
            <w:tcW w:w="2560" w:type="pct"/>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是否满足单一来源采购文件要求</w:t>
            </w:r>
          </w:p>
        </w:tc>
        <w:tc>
          <w:tcPr>
            <w:tcW w:w="858" w:type="pct"/>
            <w:tcBorders>
              <w:top w:val="nil"/>
              <w:left w:val="nil"/>
              <w:bottom w:val="single" w:color="auto" w:sz="4" w:space="0"/>
              <w:right w:val="single" w:color="auto" w:sz="4" w:space="0"/>
            </w:tcBorders>
            <w:shd w:val="clear" w:color="auto" w:fill="auto"/>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420" w:hRule="atLeast"/>
        </w:trPr>
        <w:tc>
          <w:tcPr>
            <w:tcW w:w="5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102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技术要求</w:t>
            </w:r>
          </w:p>
        </w:tc>
        <w:tc>
          <w:tcPr>
            <w:tcW w:w="25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是否完全响应技术需求</w:t>
            </w:r>
          </w:p>
        </w:tc>
        <w:tc>
          <w:tcPr>
            <w:tcW w:w="85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270" w:hRule="atLeast"/>
        </w:trPr>
        <w:tc>
          <w:tcPr>
            <w:tcW w:w="4142" w:type="pct"/>
            <w:gridSpan w:val="3"/>
            <w:tcBorders>
              <w:top w:val="single" w:color="auto" w:sz="4" w:space="0"/>
              <w:left w:val="single" w:color="auto" w:sz="4" w:space="0"/>
              <w:bottom w:val="single" w:color="auto" w:sz="4" w:space="0"/>
              <w:right w:val="single" w:color="auto" w:sz="4" w:space="0"/>
            </w:tcBorders>
            <w:shd w:val="clear" w:color="auto" w:fill="auto"/>
          </w:tcPr>
          <w:p>
            <w:pPr>
              <w:widowControl/>
              <w:rPr>
                <w:rFonts w:ascii="宋体" w:hAnsi="宋体" w:cs="宋体"/>
                <w:kern w:val="0"/>
                <w:sz w:val="24"/>
              </w:rPr>
            </w:pPr>
            <w:r>
              <w:rPr>
                <w:rFonts w:hint="eastAsia" w:ascii="宋体" w:hAnsi="宋体" w:cs="宋体"/>
                <w:kern w:val="0"/>
                <w:sz w:val="24"/>
              </w:rPr>
              <w:t xml:space="preserve">                  </w:t>
            </w:r>
            <w:r>
              <w:rPr>
                <w:rFonts w:hint="eastAsia" w:ascii="宋体" w:hAnsi="宋体" w:cs="宋体"/>
                <w:b/>
                <w:bCs/>
                <w:kern w:val="0"/>
                <w:sz w:val="24"/>
              </w:rPr>
              <w:t>结         论</w:t>
            </w:r>
          </w:p>
        </w:tc>
        <w:tc>
          <w:tcPr>
            <w:tcW w:w="858" w:type="pct"/>
            <w:tcBorders>
              <w:top w:val="nil"/>
              <w:left w:val="nil"/>
              <w:bottom w:val="single" w:color="auto" w:sz="4" w:space="0"/>
              <w:right w:val="single" w:color="auto" w:sz="4" w:space="0"/>
            </w:tcBorders>
            <w:shd w:val="clear" w:color="auto" w:fill="auto"/>
          </w:tcPr>
          <w:p>
            <w:pPr>
              <w:widowControl/>
              <w:jc w:val="center"/>
              <w:rPr>
                <w:rFonts w:ascii="宋体" w:hAnsi="宋体" w:cs="宋体"/>
                <w:b/>
                <w:bCs/>
                <w:kern w:val="0"/>
                <w:sz w:val="24"/>
              </w:rPr>
            </w:pPr>
          </w:p>
        </w:tc>
      </w:tr>
    </w:tbl>
    <w:p>
      <w:pPr>
        <w:pStyle w:val="2"/>
        <w:jc w:val="center"/>
        <w:rPr>
          <w:b/>
          <w:lang w:val="zh-CN"/>
        </w:rPr>
      </w:pPr>
    </w:p>
    <w:p>
      <w:pPr>
        <w:snapToGrid w:val="0"/>
        <w:spacing w:line="360" w:lineRule="auto"/>
        <w:ind w:firstLine="480" w:firstLineChars="200"/>
        <w:rPr>
          <w:rFonts w:ascii="宋体" w:hAnsi="宋体"/>
          <w:sz w:val="24"/>
        </w:rPr>
      </w:pPr>
      <w:r>
        <w:rPr>
          <w:rFonts w:hint="eastAsia" w:ascii="宋体" w:hAnsi="宋体"/>
          <w:sz w:val="24"/>
          <w:lang w:val="zh-CN"/>
        </w:rPr>
        <w:t>注：</w:t>
      </w:r>
      <w:r>
        <w:rPr>
          <w:rFonts w:hint="eastAsia" w:ascii="宋体" w:hAnsi="宋体"/>
          <w:sz w:val="24"/>
        </w:rPr>
        <w:t>表中只需填写“√”或“×”，只有全部是√的，结论为“合格”，继续谈判；否则为“不合格”，</w:t>
      </w:r>
      <w:r>
        <w:rPr>
          <w:rFonts w:hint="eastAsia" w:ascii="宋体" w:hAnsi="宋体"/>
          <w:sz w:val="24"/>
          <w:lang w:val="zh-CN"/>
        </w:rPr>
        <w:t xml:space="preserve"> 谈判终止</w:t>
      </w:r>
      <w:r>
        <w:rPr>
          <w:rFonts w:hint="eastAsia" w:ascii="宋体" w:hAnsi="宋体"/>
          <w:sz w:val="24"/>
        </w:rPr>
        <w:t>。</w:t>
      </w:r>
    </w:p>
    <w:p>
      <w:pPr>
        <w:numPr>
          <w:ilvl w:val="0"/>
          <w:numId w:val="48"/>
        </w:numPr>
        <w:snapToGrid w:val="0"/>
        <w:spacing w:line="360" w:lineRule="auto"/>
        <w:ind w:left="845"/>
        <w:rPr>
          <w:rFonts w:ascii="宋体" w:hAnsi="宋体"/>
          <w:sz w:val="24"/>
          <w:lang w:val="zh-CN"/>
        </w:rPr>
      </w:pPr>
      <w:r>
        <w:rPr>
          <w:rFonts w:hint="eastAsia" w:ascii="宋体" w:hAnsi="宋体"/>
          <w:sz w:val="24"/>
          <w:lang w:val="zh-CN"/>
        </w:rPr>
        <w:t>谈判小组按照谈判文件就采购项目的技术要求、市场价格、服务承诺、项目管理、培训等与报价人进行谈判。</w:t>
      </w:r>
    </w:p>
    <w:p>
      <w:pPr>
        <w:numPr>
          <w:ilvl w:val="0"/>
          <w:numId w:val="48"/>
        </w:numPr>
        <w:snapToGrid w:val="0"/>
        <w:spacing w:line="360" w:lineRule="auto"/>
        <w:ind w:left="845"/>
        <w:rPr>
          <w:rFonts w:ascii="宋体" w:hAnsi="宋体"/>
          <w:sz w:val="24"/>
          <w:lang w:val="zh-CN"/>
        </w:rPr>
      </w:pPr>
      <w:r>
        <w:rPr>
          <w:rFonts w:hint="eastAsia" w:ascii="宋体" w:hAnsi="宋体"/>
          <w:sz w:val="24"/>
          <w:lang w:val="zh-CN"/>
        </w:rPr>
        <w:t>谈判小组经过谈判后，根据符合采购需求、技术和功能满足要求且报价合理的原则确定与报价人成交。</w:t>
      </w:r>
    </w:p>
    <w:p>
      <w:pPr>
        <w:numPr>
          <w:ilvl w:val="0"/>
          <w:numId w:val="48"/>
        </w:numPr>
        <w:snapToGrid w:val="0"/>
        <w:spacing w:line="360" w:lineRule="auto"/>
        <w:ind w:left="845"/>
        <w:rPr>
          <w:rFonts w:ascii="宋体" w:hAnsi="宋体"/>
          <w:sz w:val="24"/>
          <w:lang w:val="zh-CN"/>
        </w:rPr>
      </w:pPr>
      <w:r>
        <w:rPr>
          <w:rFonts w:hint="eastAsia" w:ascii="宋体" w:hAnsi="宋体"/>
          <w:sz w:val="24"/>
          <w:lang w:val="zh-CN"/>
        </w:rPr>
        <w:t>谈判结束后，参加谈判的报价人应当对谈判的承诺和最后报价以书面形式确认，并由法定代表人或其授权人签署。</w:t>
      </w:r>
    </w:p>
    <w:p>
      <w:pPr>
        <w:numPr>
          <w:ilvl w:val="0"/>
          <w:numId w:val="48"/>
        </w:numPr>
        <w:snapToGrid w:val="0"/>
        <w:spacing w:line="360" w:lineRule="auto"/>
        <w:ind w:left="845"/>
        <w:rPr>
          <w:rFonts w:ascii="宋体" w:hAnsi="宋体"/>
          <w:sz w:val="24"/>
          <w:lang w:val="zh-CN"/>
        </w:rPr>
      </w:pPr>
      <w:r>
        <w:rPr>
          <w:rFonts w:hint="eastAsia" w:ascii="宋体" w:hAnsi="宋体"/>
          <w:sz w:val="24"/>
          <w:lang w:val="zh-CN"/>
        </w:rPr>
        <w:t>谈判小组在保证采购项目质量和双方商定合理价格的基础上确认供应商并进行采购。</w:t>
      </w:r>
    </w:p>
    <w:p>
      <w:pPr>
        <w:autoSpaceDE w:val="0"/>
        <w:autoSpaceDN w:val="0"/>
        <w:adjustRightInd w:val="0"/>
        <w:snapToGrid w:val="0"/>
        <w:spacing w:line="360" w:lineRule="auto"/>
        <w:rPr>
          <w:rFonts w:ascii="宋体" w:hAnsi="宋体"/>
          <w:sz w:val="24"/>
          <w:lang w:val="zh-CN"/>
        </w:rPr>
      </w:pPr>
      <w:r>
        <w:rPr>
          <w:rFonts w:ascii="宋体" w:hAnsi="宋体"/>
          <w:sz w:val="24"/>
          <w:lang w:val="zh-CN"/>
        </w:rPr>
        <w:t xml:space="preserve">6.4 </w:t>
      </w:r>
      <w:r>
        <w:rPr>
          <w:rFonts w:hint="eastAsia" w:ascii="宋体" w:hAnsi="宋体"/>
          <w:sz w:val="24"/>
          <w:lang w:val="zh-CN"/>
        </w:rPr>
        <w:t>谈判的任何一方在未征得另一方同意的情况下，不得向第三方透露与谈判有关的一切技术资料、价格或其他信息。</w:t>
      </w:r>
    </w:p>
    <w:p>
      <w:pPr>
        <w:pStyle w:val="4"/>
      </w:pPr>
      <w:bookmarkStart w:id="40" w:name="_Toc67640142"/>
      <w:r>
        <w:rPr>
          <w:rFonts w:hint="eastAsia"/>
        </w:rPr>
        <w:t>七、签订合同</w:t>
      </w:r>
      <w:bookmarkEnd w:id="40"/>
    </w:p>
    <w:p>
      <w:pPr>
        <w:snapToGrid w:val="0"/>
        <w:spacing w:line="360" w:lineRule="auto"/>
        <w:rPr>
          <w:rFonts w:ascii="宋体" w:hAnsi="宋体"/>
          <w:sz w:val="24"/>
        </w:rPr>
      </w:pPr>
      <w:r>
        <w:rPr>
          <w:rFonts w:ascii="宋体" w:hAnsi="宋体"/>
          <w:sz w:val="24"/>
        </w:rPr>
        <w:t xml:space="preserve">7.1 </w:t>
      </w:r>
      <w:r>
        <w:rPr>
          <w:rFonts w:hint="eastAsia" w:ascii="宋体" w:hAnsi="宋体"/>
          <w:sz w:val="24"/>
        </w:rPr>
        <w:t>成交通知</w:t>
      </w:r>
    </w:p>
    <w:p>
      <w:pPr>
        <w:numPr>
          <w:ilvl w:val="0"/>
          <w:numId w:val="49"/>
        </w:numPr>
        <w:snapToGrid w:val="0"/>
        <w:spacing w:line="360" w:lineRule="auto"/>
        <w:ind w:left="845"/>
        <w:rPr>
          <w:rFonts w:ascii="宋体" w:hAnsi="宋体"/>
          <w:sz w:val="24"/>
          <w:lang w:val="zh-CN"/>
        </w:rPr>
      </w:pPr>
      <w:r>
        <w:rPr>
          <w:rFonts w:hint="eastAsia" w:ascii="宋体" w:hAnsi="宋体"/>
          <w:sz w:val="24"/>
          <w:lang w:val="zh-CN"/>
        </w:rPr>
        <w:t>定标后，招标人向成交供应商发出成交通知书。</w:t>
      </w:r>
    </w:p>
    <w:p>
      <w:pPr>
        <w:numPr>
          <w:ilvl w:val="0"/>
          <w:numId w:val="49"/>
        </w:numPr>
        <w:snapToGrid w:val="0"/>
        <w:spacing w:line="360" w:lineRule="auto"/>
        <w:ind w:left="845"/>
        <w:rPr>
          <w:rFonts w:ascii="宋体" w:hAnsi="宋体"/>
          <w:sz w:val="24"/>
          <w:lang w:val="zh-CN"/>
        </w:rPr>
      </w:pPr>
      <w:r>
        <w:rPr>
          <w:rFonts w:hint="eastAsia" w:ascii="宋体" w:hAnsi="宋体"/>
          <w:sz w:val="24"/>
          <w:lang w:val="zh-CN"/>
        </w:rPr>
        <w:t>成交通知书、谈判文件、成交人的响应文件及评标过程中有关澄清文件均应作为合同的组成部分。</w:t>
      </w:r>
    </w:p>
    <w:p>
      <w:pPr>
        <w:numPr>
          <w:ilvl w:val="0"/>
          <w:numId w:val="49"/>
        </w:numPr>
        <w:snapToGrid w:val="0"/>
        <w:spacing w:line="360" w:lineRule="auto"/>
        <w:ind w:left="845"/>
        <w:rPr>
          <w:rFonts w:ascii="宋体" w:hAnsi="宋体"/>
          <w:sz w:val="24"/>
          <w:lang w:val="zh-CN"/>
        </w:rPr>
      </w:pPr>
      <w:r>
        <w:rPr>
          <w:rFonts w:hint="eastAsia" w:ascii="宋体" w:hAnsi="宋体"/>
          <w:sz w:val="24"/>
          <w:lang w:val="zh-CN"/>
        </w:rPr>
        <w:t>成交供应商按成交通知书规定的时间、地点与采购人签订政府采购合同，否则报价保证金将不予退还，给采购人和招标人造成损失的，报价人还应承担赔偿责任。</w:t>
      </w:r>
    </w:p>
    <w:p>
      <w:pPr>
        <w:snapToGrid w:val="0"/>
        <w:spacing w:line="360" w:lineRule="auto"/>
        <w:rPr>
          <w:rFonts w:ascii="宋体" w:hAnsi="宋体"/>
          <w:sz w:val="24"/>
          <w:lang w:val="zh-CN"/>
        </w:rPr>
      </w:pPr>
      <w:r>
        <w:rPr>
          <w:rFonts w:ascii="宋体" w:hAnsi="宋体"/>
          <w:sz w:val="24"/>
          <w:lang w:val="zh-CN"/>
        </w:rPr>
        <w:t xml:space="preserve">7.2 </w:t>
      </w:r>
      <w:r>
        <w:rPr>
          <w:rFonts w:hint="eastAsia" w:ascii="宋体" w:hAnsi="宋体"/>
          <w:sz w:val="24"/>
          <w:lang w:val="zh-CN"/>
        </w:rPr>
        <w:t>招标代理服务费</w:t>
      </w:r>
    </w:p>
    <w:p>
      <w:pPr>
        <w:pStyle w:val="2"/>
        <w:ind w:firstLine="240" w:firstLineChars="100"/>
        <w:sectPr>
          <w:footnotePr>
            <w:pos w:val="beneathText"/>
          </w:footnotePr>
          <w:pgSz w:w="11905" w:h="16837"/>
          <w:pgMar w:top="1457" w:right="1548" w:bottom="1457" w:left="1945" w:header="964" w:footer="964" w:gutter="0"/>
          <w:pgNumType w:start="1"/>
          <w:cols w:space="720" w:num="1"/>
          <w:titlePg/>
          <w:docGrid w:linePitch="285" w:charSpace="2457"/>
        </w:sectPr>
      </w:pPr>
      <w:r>
        <w:rPr>
          <w:rFonts w:hint="eastAsia"/>
        </w:rPr>
        <w:t>按海南省相关标准收取。</w:t>
      </w:r>
    </w:p>
    <w:bookmarkEnd w:id="34"/>
    <w:p>
      <w:pPr>
        <w:pStyle w:val="3"/>
        <w:rPr>
          <w:b w:val="0"/>
        </w:rPr>
      </w:pPr>
      <w:bookmarkStart w:id="41" w:name="_Toc67640143"/>
      <w:bookmarkStart w:id="42" w:name="_Toc152129549"/>
      <w:bookmarkStart w:id="43" w:name="_Toc506611784"/>
      <w:bookmarkStart w:id="44" w:name="_Toc506628527"/>
      <w:bookmarkStart w:id="45" w:name="_Toc493385943"/>
      <w:bookmarkStart w:id="46" w:name="_Toc517502606"/>
      <w:bookmarkStart w:id="47" w:name="_Toc46738411"/>
      <w:bookmarkStart w:id="48" w:name="_Toc494875381"/>
      <w:bookmarkStart w:id="49" w:name="_Toc46738284"/>
      <w:bookmarkStart w:id="50" w:name="_Toc46738150"/>
      <w:bookmarkStart w:id="51" w:name="_Toc506611576"/>
      <w:bookmarkStart w:id="52" w:name="_Toc494597755"/>
      <w:bookmarkStart w:id="53" w:name="_Toc12118334"/>
      <w:bookmarkStart w:id="54" w:name="_Toc156186691"/>
      <w:r>
        <w:rPr>
          <w:rFonts w:hint="eastAsia"/>
          <w:b w:val="0"/>
        </w:rPr>
        <w:t>第三章  用户需求书</w:t>
      </w:r>
      <w:bookmarkEnd w:id="41"/>
    </w:p>
    <w:p>
      <w:pPr>
        <w:pStyle w:val="4"/>
      </w:pPr>
      <w:bookmarkStart w:id="55" w:name="_Toc30526773"/>
      <w:bookmarkStart w:id="56" w:name="_Toc67640144"/>
      <w:r>
        <w:rPr>
          <w:rFonts w:hint="eastAsia"/>
        </w:rPr>
        <w:t>一、项目名称</w:t>
      </w:r>
      <w:bookmarkEnd w:id="55"/>
      <w:bookmarkEnd w:id="56"/>
    </w:p>
    <w:p>
      <w:pPr>
        <w:pStyle w:val="2"/>
      </w:pPr>
      <w:r>
        <w:rPr>
          <w:rFonts w:hint="eastAsia" w:ascii="宋体" w:hAnsi="宋体"/>
        </w:rPr>
        <w:t>海南省“码上办事”平台项目</w:t>
      </w:r>
    </w:p>
    <w:p>
      <w:pPr>
        <w:pStyle w:val="4"/>
      </w:pPr>
      <w:bookmarkStart w:id="57" w:name="_Toc30526774"/>
      <w:bookmarkStart w:id="58" w:name="_Toc67640145"/>
      <w:r>
        <w:rPr>
          <w:rFonts w:hint="eastAsia"/>
        </w:rPr>
        <w:t>二、项目概述</w:t>
      </w:r>
      <w:bookmarkEnd w:id="57"/>
      <w:bookmarkEnd w:id="58"/>
    </w:p>
    <w:p>
      <w:pPr>
        <w:pStyle w:val="5"/>
      </w:pPr>
      <w:bookmarkStart w:id="59" w:name="_Toc30526775"/>
      <w:bookmarkStart w:id="60" w:name="_Toc67640146"/>
      <w:r>
        <w:t>2.</w:t>
      </w:r>
      <w:r>
        <w:rPr>
          <w:rFonts w:hint="eastAsia"/>
        </w:rPr>
        <w:t>1 项目</w:t>
      </w:r>
      <w:r>
        <w:t>背景</w:t>
      </w:r>
      <w:bookmarkEnd w:id="59"/>
      <w:bookmarkEnd w:id="60"/>
    </w:p>
    <w:p>
      <w:pPr>
        <w:widowControl/>
        <w:spacing w:line="360" w:lineRule="auto"/>
        <w:ind w:firstLine="480"/>
        <w:jc w:val="left"/>
        <w:rPr>
          <w:rFonts w:ascii="宋体" w:hAnsi="宋体" w:cs="宋体"/>
          <w:kern w:val="0"/>
          <w:sz w:val="24"/>
        </w:rPr>
      </w:pPr>
      <w:bookmarkStart w:id="61" w:name="_Toc30526777"/>
      <w:r>
        <w:rPr>
          <w:rFonts w:hint="eastAsia" w:ascii="宋体" w:hAnsi="宋体" w:cs="宋体"/>
          <w:kern w:val="0"/>
          <w:sz w:val="24"/>
        </w:rPr>
        <w:t>为做好我省疫情防控工作，建设海南省“健康一码通”，并以此为基础，将“码”的概念进行延伸，基于个人、法人各类身份标签，形成个人、法人服务的统一平台，更大范围上便利全省民众各类政务、生活服务</w:t>
      </w:r>
      <w:r>
        <w:rPr>
          <w:rFonts w:ascii="宋体" w:hAnsi="宋体" w:cs="宋体"/>
          <w:kern w:val="0"/>
          <w:sz w:val="24"/>
        </w:rPr>
        <w:t>；同时在</w:t>
      </w:r>
      <w:r>
        <w:rPr>
          <w:rFonts w:hint="eastAsia" w:ascii="宋体" w:hAnsi="宋体" w:cs="宋体"/>
          <w:kern w:val="0"/>
          <w:sz w:val="24"/>
        </w:rPr>
        <w:t>未来城市治理安全防范上，满足为民众精准服务、城市精细治理及安全的精确管控要求。</w:t>
      </w:r>
    </w:p>
    <w:p>
      <w:pPr>
        <w:widowControl/>
        <w:spacing w:line="360" w:lineRule="auto"/>
        <w:ind w:firstLine="480"/>
        <w:jc w:val="left"/>
        <w:rPr>
          <w:rFonts w:ascii="宋体" w:hAnsi="宋体" w:cs="宋体"/>
          <w:kern w:val="0"/>
          <w:sz w:val="24"/>
        </w:rPr>
      </w:pPr>
      <w:r>
        <w:rPr>
          <w:rFonts w:hint="eastAsia" w:ascii="宋体" w:hAnsi="宋体" w:cs="宋体"/>
          <w:kern w:val="0"/>
          <w:sz w:val="24"/>
        </w:rPr>
        <w:t xml:space="preserve"> “码上办事”平台将覆盖政务办事、医疗服务、社保服务、消费生活、信用服务等多类业务场景，实现与省政务一体化平台、全民医疗健康平台、省统一信用平台、国际贸易单一窗口、各类社会消费平台的对接和打通，为海南省居民打造融合办事、医疗、消费、生活等各方面场景于一体的综合移动应用，并通过二维码，实现各类信息的快速、可信交互，真正做到便民、利民。</w:t>
      </w:r>
    </w:p>
    <w:p>
      <w:pPr>
        <w:pStyle w:val="5"/>
      </w:pPr>
      <w:bookmarkStart w:id="62" w:name="_Toc67640147"/>
      <w:r>
        <w:t xml:space="preserve">2.2 </w:t>
      </w:r>
      <w:r>
        <w:rPr>
          <w:rFonts w:hint="eastAsia"/>
        </w:rPr>
        <w:t>建设</w:t>
      </w:r>
      <w:r>
        <w:t>内容</w:t>
      </w:r>
      <w:bookmarkEnd w:id="61"/>
      <w:bookmarkEnd w:id="62"/>
    </w:p>
    <w:p>
      <w:pPr>
        <w:pStyle w:val="6"/>
      </w:pPr>
      <w:bookmarkStart w:id="63" w:name="_Toc5119"/>
      <w:r>
        <w:rPr>
          <w:rFonts w:hint="eastAsia"/>
        </w:rPr>
        <w:t>2.2.1</w:t>
      </w:r>
      <w:r>
        <w:rPr>
          <w:rFonts w:hint="eastAsia" w:ascii="黑体" w:hAnsi="黑体"/>
          <w:sz w:val="32"/>
          <w:szCs w:val="32"/>
        </w:rPr>
        <w:t>平台基础支撑</w:t>
      </w:r>
    </w:p>
    <w:bookmarkEnd w:id="63"/>
    <w:p>
      <w:pPr>
        <w:spacing w:line="360" w:lineRule="auto"/>
        <w:ind w:firstLine="480" w:firstLineChars="200"/>
        <w:rPr>
          <w:rFonts w:ascii="宋体" w:hAnsi="宋体"/>
          <w:sz w:val="24"/>
        </w:rPr>
      </w:pPr>
      <w:r>
        <w:rPr>
          <w:rFonts w:ascii="宋体" w:hAnsi="宋体"/>
          <w:sz w:val="24"/>
        </w:rPr>
        <w:t>平台基础支撑能力建设主要包括：数字空间、码引擎支撑平台、</w:t>
      </w:r>
      <w:r>
        <w:rPr>
          <w:rFonts w:hint="eastAsia" w:ascii="宋体" w:hAnsi="宋体"/>
          <w:sz w:val="24"/>
        </w:rPr>
        <w:t>决策分析展现</w:t>
      </w:r>
      <w:r>
        <w:rPr>
          <w:rFonts w:ascii="宋体" w:hAnsi="宋体"/>
          <w:sz w:val="24"/>
        </w:rPr>
        <w:t>、码上办事移动端建设等。</w:t>
      </w:r>
    </w:p>
    <w:p>
      <w:pPr>
        <w:pStyle w:val="7"/>
        <w:keepLines w:val="0"/>
        <w:numPr>
          <w:ilvl w:val="2"/>
          <w:numId w:val="0"/>
        </w:numPr>
        <w:tabs>
          <w:tab w:val="left" w:pos="425"/>
          <w:tab w:val="left" w:pos="560"/>
        </w:tabs>
        <w:spacing w:before="240" w:after="120"/>
        <w:ind w:firstLine="640"/>
      </w:pPr>
      <w:r>
        <w:rPr>
          <w:rFonts w:hint="eastAsia"/>
        </w:rPr>
        <w:t>2.2.1.1“数字空间”建设需求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海南省“码上办事”平台项目的建设依托我省数据共享交换体系进行建设，将各厅局委办共享的个人、法人信息数据通过“数据质量提升工程”平台进行清洗、转换，最终形成以个人、法人为核心的两大核心主题数据信息。通过个人、法人的政务服务、公共服务、生活消费等领域的需求，抽象出个人、法人的信息标签，然后将标签信息向平台输出能力，为各类个人、法人的交互场景提供基础能力支撑，即个人数字空间和法人数字空间。因此建设个人、法人数字空间是本项目的基础支撑能力的核心，是整个平台基层能力的直接体现，是项目的核心需求所在。</w:t>
      </w:r>
    </w:p>
    <w:p>
      <w:pPr>
        <w:pStyle w:val="7"/>
        <w:keepLines w:val="0"/>
        <w:numPr>
          <w:ilvl w:val="2"/>
          <w:numId w:val="0"/>
        </w:numPr>
        <w:tabs>
          <w:tab w:val="left" w:pos="425"/>
          <w:tab w:val="left" w:pos="560"/>
        </w:tabs>
        <w:spacing w:before="240" w:after="120"/>
        <w:ind w:firstLine="640"/>
      </w:pPr>
      <w:bookmarkStart w:id="64" w:name="_Toc15010"/>
      <w:r>
        <w:rPr>
          <w:rFonts w:hint="eastAsia"/>
        </w:rPr>
        <w:t>2.2.1.2码引擎支撑平台建设需求</w:t>
      </w:r>
      <w:bookmarkEnd w:id="64"/>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平台的交互逻辑为二维码交互，通过亮码、扫码、授权确认等简单的步骤将个人、法人信息进行授权传递。因此需要建立核心的生码平台，包括基本的二维码生码，各场景信息授权管理，信息的安全控制，高并发的扫码请求支撑能力等。同时还需要能够管理各类场景的标签能力、场景规则的动态配置能力。</w:t>
      </w:r>
    </w:p>
    <w:p>
      <w:pPr>
        <w:pStyle w:val="7"/>
        <w:keepLines w:val="0"/>
        <w:numPr>
          <w:ilvl w:val="2"/>
          <w:numId w:val="0"/>
        </w:numPr>
        <w:tabs>
          <w:tab w:val="left" w:pos="425"/>
          <w:tab w:val="left" w:pos="560"/>
        </w:tabs>
        <w:spacing w:before="240" w:after="120"/>
        <w:ind w:firstLine="640"/>
      </w:pPr>
      <w:bookmarkStart w:id="65" w:name="_Hlk66873480"/>
      <w:bookmarkStart w:id="66" w:name="_Toc1381"/>
      <w:r>
        <w:rPr>
          <w:rFonts w:hint="eastAsia"/>
        </w:rPr>
        <w:t>2.2.1.3决策分析展现</w:t>
      </w:r>
      <w:bookmarkEnd w:id="65"/>
      <w:r>
        <w:rPr>
          <w:rFonts w:hint="eastAsia"/>
        </w:rPr>
        <w:t>需求</w:t>
      </w:r>
      <w:bookmarkEnd w:id="66"/>
    </w:p>
    <w:p>
      <w:pPr>
        <w:widowControl/>
        <w:spacing w:line="360" w:lineRule="auto"/>
        <w:ind w:firstLine="480" w:firstLineChars="200"/>
        <w:rPr>
          <w:rFonts w:ascii="宋体" w:hAnsi="宋体" w:cs="宋体"/>
          <w:kern w:val="0"/>
          <w:sz w:val="24"/>
        </w:rPr>
      </w:pPr>
      <w:r>
        <w:rPr>
          <w:rFonts w:hint="eastAsia" w:ascii="宋体" w:hAnsi="宋体" w:cs="宋体"/>
          <w:kern w:val="0"/>
          <w:sz w:val="24"/>
        </w:rPr>
        <w:t>在码上办事平台逐步投入使用，应用场景不断接入和完善的情况下，以及未来海南省自贸港政策开放，码上办事平台将成为覆盖政务服务、民生服务、进出岛管控等不同场景的有效手段。需要构建码上办事运营中心，形成对不同场景下的平台用户的统一管理，为日常监管、平台运营、码上营销等不同场景提供可视化的大数据分析平台。同时也需要基于汇聚数据和“码上办事”分发和使用情况进行全域的时空分析，基于生动友好的交互式实时数据可视化方式，以对“码上办事”的全局把握和决策分析提供科学依据，并要能够帮助城市治理的管理团队发现、诊断和协助解决具体问题。</w:t>
      </w:r>
    </w:p>
    <w:p>
      <w:pPr>
        <w:pStyle w:val="7"/>
        <w:keepLines w:val="0"/>
        <w:numPr>
          <w:ilvl w:val="2"/>
          <w:numId w:val="0"/>
        </w:numPr>
        <w:tabs>
          <w:tab w:val="left" w:pos="425"/>
          <w:tab w:val="left" w:pos="560"/>
        </w:tabs>
        <w:spacing w:before="240" w:after="120"/>
        <w:ind w:firstLine="640"/>
      </w:pPr>
      <w:bookmarkStart w:id="67" w:name="_Toc27179"/>
      <w:r>
        <w:rPr>
          <w:rFonts w:hint="eastAsia"/>
        </w:rPr>
        <w:t>2.2.1.4移动端开发需求</w:t>
      </w:r>
      <w:bookmarkEnd w:id="67"/>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“码上办事”平台项目的核心透出端为移动端，即A</w:t>
      </w:r>
      <w:r>
        <w:rPr>
          <w:rFonts w:ascii="宋体" w:hAnsi="宋体" w:cs="宋体"/>
          <w:kern w:val="0"/>
          <w:sz w:val="24"/>
        </w:rPr>
        <w:t>PP</w:t>
      </w:r>
      <w:r>
        <w:rPr>
          <w:rFonts w:hint="eastAsia" w:ascii="宋体" w:hAnsi="宋体" w:cs="宋体"/>
          <w:kern w:val="0"/>
          <w:sz w:val="24"/>
        </w:rPr>
        <w:t>、小程序；移动端需具备接入政务服务、生活消费服务的基层能力，同时还应提供扫码、人脸识别、信息授权，</w:t>
      </w:r>
      <w:r>
        <w:rPr>
          <w:rFonts w:ascii="宋体" w:hAnsi="宋体" w:cs="宋体"/>
          <w:kern w:val="0"/>
          <w:sz w:val="24"/>
        </w:rPr>
        <w:t xml:space="preserve"> </w:t>
      </w:r>
      <w:r>
        <w:rPr>
          <w:rFonts w:hint="eastAsia" w:ascii="宋体" w:hAnsi="宋体" w:cs="宋体"/>
          <w:kern w:val="0"/>
          <w:sz w:val="24"/>
        </w:rPr>
        <w:t>以及统一的客户端框架和开发标准，能够具备消息推送，L</w:t>
      </w:r>
      <w:r>
        <w:rPr>
          <w:rFonts w:ascii="宋体" w:hAnsi="宋体" w:cs="宋体"/>
          <w:kern w:val="0"/>
          <w:sz w:val="24"/>
        </w:rPr>
        <w:t>BS</w:t>
      </w:r>
      <w:r>
        <w:rPr>
          <w:rFonts w:hint="eastAsia" w:ascii="宋体" w:hAnsi="宋体" w:cs="宋体"/>
          <w:kern w:val="0"/>
          <w:sz w:val="24"/>
        </w:rPr>
        <w:t>定位，用户操作行为分析等能力。</w:t>
      </w:r>
    </w:p>
    <w:p>
      <w:pPr>
        <w:pStyle w:val="2"/>
      </w:pPr>
    </w:p>
    <w:p>
      <w:pPr>
        <w:pStyle w:val="6"/>
        <w:rPr>
          <w:rFonts w:ascii="黑体" w:hAnsi="黑体"/>
          <w:sz w:val="32"/>
          <w:szCs w:val="32"/>
        </w:rPr>
      </w:pPr>
      <w:bookmarkStart w:id="68" w:name="_Toc9746"/>
      <w:r>
        <w:rPr>
          <w:rFonts w:hint="eastAsia" w:ascii="黑体" w:hAnsi="黑体"/>
          <w:sz w:val="32"/>
          <w:szCs w:val="32"/>
        </w:rPr>
        <w:t>2.2.2场景应用建设</w:t>
      </w:r>
      <w:bookmarkEnd w:id="68"/>
    </w:p>
    <w:p>
      <w:pPr>
        <w:spacing w:line="360" w:lineRule="auto"/>
        <w:ind w:firstLine="480" w:firstLineChars="200"/>
        <w:rPr>
          <w:rFonts w:ascii="宋体" w:hAnsi="宋体"/>
          <w:sz w:val="24"/>
        </w:rPr>
      </w:pPr>
      <w:r>
        <w:rPr>
          <w:rFonts w:ascii="宋体" w:hAnsi="宋体"/>
          <w:sz w:val="24"/>
        </w:rPr>
        <w:t>场景应用建设主要包括：疫情防控、政务办事、扶贫服务、社保医保、免税消费服务、旅游服务、交通出行服务、民生保障服务、医疗卫生保障服务、教育服务等应用场景。</w:t>
      </w:r>
    </w:p>
    <w:p>
      <w:pPr>
        <w:pStyle w:val="7"/>
        <w:keepLines w:val="0"/>
        <w:numPr>
          <w:ilvl w:val="2"/>
          <w:numId w:val="0"/>
        </w:numPr>
        <w:tabs>
          <w:tab w:val="left" w:pos="425"/>
          <w:tab w:val="left" w:pos="560"/>
        </w:tabs>
        <w:spacing w:before="240" w:after="120"/>
        <w:ind w:firstLine="640"/>
      </w:pPr>
      <w:r>
        <w:rPr>
          <w:rFonts w:hint="eastAsia"/>
        </w:rPr>
        <w:t>2.2.2.1疫情防控业务需求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（1）健康登记场景</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用于个人自助的健康状态在线报告，无论是本地居民、省外返琼的人员，均可在一码通系统的健康登记功能进行自主健康打卡登记。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（2）单位企业复工复产的返岗登记场景</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返岗登记用于企业返岗人员的自我健康情况在线登记，含个人自报和单位企业组织申报和复工调查情况。</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复工复产申报和复工复产情况调查表，主要是了解这些企业的复工情况以及在复工复产过程中碰到的问题和难题进行调查登记。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（3）核验端场景介绍</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地点码：卡口值守人登记地点信息生成地点二维码，由关卡值守人分别打印粘贴在关口出入口，出入的人员扫描二维码出入。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核验端：用于各关口包括高速路口、小区出入口、村庄出入、商场出入、写字楼出入通道等通行场景，对进出车辆和人员进行扫健康码登记，确保不漏查一车一人。</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（4）管理端功能简介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用于向健康码系统管理员、网格员及防疫指挥部人员前端数据的汇总、展示及管理。核心用户包括：系统管理员、网格员以及防疫指挥部人员；</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（5）报表端功能简介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为提高信息化后端支撑能力，将健康一码通收集的健康信息进行集中分析统计，为防疫工作的指挥部署提供数据支撑。</w:t>
      </w:r>
    </w:p>
    <w:p>
      <w:pPr>
        <w:pStyle w:val="7"/>
        <w:keepLines w:val="0"/>
        <w:numPr>
          <w:ilvl w:val="2"/>
          <w:numId w:val="0"/>
        </w:numPr>
        <w:tabs>
          <w:tab w:val="left" w:pos="425"/>
          <w:tab w:val="left" w:pos="560"/>
        </w:tabs>
        <w:spacing w:before="240" w:after="120"/>
        <w:ind w:firstLine="640"/>
      </w:pPr>
      <w:r>
        <w:rPr>
          <w:rFonts w:hint="eastAsia"/>
        </w:rPr>
        <w:t>2.2.2.2政务服务场景需求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在政务服务行业具有非常重要的应用价值，通过与现有一体化政务服务平台及各类专项应用平台对接，构建全省性“码上办事”政务服务共性支撑能力，拓展政务服务能力和边界，支撑在多方面的特色应用创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在政务服务行业的广泛应用将显著提升全省政务服务效能，让全省群众和企业的办事体验、便捷度、幸福指数等继续上升一个台阶，是全省政务服务能力提升的具体体现。通过不断锐意创新，研究服务项目化、产品化，将政务服务打造成可复制、可推广的数字化产品，进一步提升服务水平，不断根据需求创新服务模式，探索建立政务服务超级APP新体验。</w:t>
      </w:r>
    </w:p>
    <w:p>
      <w:pPr>
        <w:pStyle w:val="7"/>
        <w:keepLines w:val="0"/>
        <w:numPr>
          <w:ilvl w:val="2"/>
          <w:numId w:val="0"/>
        </w:numPr>
        <w:tabs>
          <w:tab w:val="left" w:pos="425"/>
          <w:tab w:val="left" w:pos="560"/>
        </w:tabs>
        <w:spacing w:before="240" w:after="120"/>
        <w:ind w:firstLine="640"/>
      </w:pPr>
      <w:r>
        <w:rPr>
          <w:rFonts w:hint="eastAsia"/>
        </w:rPr>
        <w:t>2.2.2.3信用场景需求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个人信用体系是社会信用体系建设不可分割的一部分，加强社会成员诚信意识是社会信用体系建设的基础，个人信用体系建设备受重视。本项目将充分与金椰分项目对接，在本平台展现个人信用积分。</w:t>
      </w:r>
    </w:p>
    <w:p>
      <w:pPr>
        <w:pStyle w:val="7"/>
        <w:keepLines w:val="0"/>
        <w:numPr>
          <w:ilvl w:val="2"/>
          <w:numId w:val="0"/>
        </w:numPr>
        <w:tabs>
          <w:tab w:val="left" w:pos="425"/>
          <w:tab w:val="left" w:pos="560"/>
        </w:tabs>
        <w:spacing w:before="240" w:after="120"/>
        <w:ind w:firstLine="640"/>
      </w:pPr>
      <w:r>
        <w:rPr>
          <w:rFonts w:hint="eastAsia"/>
        </w:rPr>
        <w:t>2.2.2.4扶贫场景需求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扶贫场景通过与海南省精准扶贫大数据系统对接，实现移动端贫困人口信息的查询、认证，为贫困户提供专属服务。通过信息化手段，巩固现有脱贫成果，防止脱贫返贫，为政府工作提供技术支撑。同时依托健康码广大的用户群体，推广消费扶贫、社会扶贫、旅游扶贫，辅助建立长效扶贫机制，助力海南脱贫攻坚工作。</w:t>
      </w:r>
    </w:p>
    <w:p>
      <w:pPr>
        <w:pStyle w:val="7"/>
        <w:keepLines w:val="0"/>
        <w:numPr>
          <w:ilvl w:val="2"/>
          <w:numId w:val="0"/>
        </w:numPr>
        <w:tabs>
          <w:tab w:val="left" w:pos="425"/>
          <w:tab w:val="left" w:pos="560"/>
        </w:tabs>
        <w:spacing w:before="240" w:after="120"/>
        <w:ind w:firstLine="640"/>
      </w:pPr>
      <w:r>
        <w:rPr>
          <w:rFonts w:hint="eastAsia"/>
        </w:rPr>
        <w:t>2.2.2.5医疗健康领域服务需求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传统的健康档案多为个人病历本或是其他纸质资料，只能存放在固定的区域，查询和使用都十分不便，如果管理不善则会造成数据丢失，形成“死档”，并且信息的交流受时间和空间的限制，难以共享。随着计算机技术在卫生领域的应用，健康档案由纸质向电子化发展已成必然趋势，通过电子健康档案的查询，医生能快速地了解患者的基本情况，结合之前的病历记录，更好的、有针对性的对患者进行治疗，提高治疗效率。</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本项目需充分与国家、我省电子健康档案对接，为岛内个人提供一站式便民医疗健康服务渠道；</w:t>
      </w:r>
    </w:p>
    <w:p>
      <w:pPr>
        <w:pStyle w:val="7"/>
        <w:keepLines w:val="0"/>
        <w:numPr>
          <w:ilvl w:val="2"/>
          <w:numId w:val="0"/>
        </w:numPr>
        <w:tabs>
          <w:tab w:val="left" w:pos="425"/>
          <w:tab w:val="left" w:pos="560"/>
        </w:tabs>
        <w:spacing w:before="240" w:after="120"/>
        <w:ind w:firstLine="640"/>
      </w:pPr>
      <w:r>
        <w:rPr>
          <w:rFonts w:hint="eastAsia"/>
        </w:rPr>
        <w:t>2.2.2.6医院服务需求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项目在医院服务场景，需要通过电子健康档案，解决传统病历非数字、非互通、形式单一等问题，将用户病历统一数字化、互联网联通化。在用户层面实现电子健康档案全岛通用，通过数字档案的方式优化联动效率。</w:t>
      </w:r>
    </w:p>
    <w:p>
      <w:pPr>
        <w:pStyle w:val="7"/>
        <w:keepLines w:val="0"/>
        <w:numPr>
          <w:ilvl w:val="2"/>
          <w:numId w:val="0"/>
        </w:numPr>
        <w:tabs>
          <w:tab w:val="left" w:pos="425"/>
          <w:tab w:val="left" w:pos="560"/>
        </w:tabs>
        <w:spacing w:before="240" w:after="120"/>
        <w:ind w:firstLine="640"/>
      </w:pPr>
      <w:r>
        <w:rPr>
          <w:rFonts w:hint="eastAsia"/>
        </w:rPr>
        <w:t>2.2.2.7医保服务需求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医保电子凭证，由国家医保信息平台统一签发，是基于医保基础信息库为全体参保人员生成的医保身份识别电子介质。电子凭证通过实名/实人认证技术，采用加密算法形成电子标识，参保人可通过电子凭证享受各类在线医疗保障服务。医保电子凭证主要包括两项内容，分别是个人基本信息及医保电子凭证二维码。基本信息包括姓名、身份证号及参保状态；医保电子凭证二维码可以实现医保业务的办理及购药支付等功能。本项目要实现与医保电子凭证相关服务的对接与整合。</w:t>
      </w:r>
    </w:p>
    <w:p>
      <w:pPr>
        <w:pStyle w:val="7"/>
        <w:keepLines w:val="0"/>
        <w:numPr>
          <w:ilvl w:val="2"/>
          <w:numId w:val="0"/>
        </w:numPr>
        <w:tabs>
          <w:tab w:val="left" w:pos="425"/>
          <w:tab w:val="left" w:pos="560"/>
        </w:tabs>
        <w:spacing w:before="240" w:after="120"/>
        <w:ind w:firstLine="640"/>
      </w:pPr>
      <w:r>
        <w:rPr>
          <w:rFonts w:hint="eastAsia"/>
        </w:rPr>
        <w:t>2.2.2.8社保服务需求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社保服务领域本项目旨在整合我省现有的掌上社保服务，提供线上服务，建立统一的公共服务信息平台，统一线上服务入口，实现全业务、多渠道的便捷服务。构筑统一的网上服务大厅，凡具备网上办理条件的服务事项，都要实现网上受理、网上办理、网上反馈，提供办理进度和办理结果网上实时查询服务。</w:t>
      </w:r>
    </w:p>
    <w:p>
      <w:pPr>
        <w:pStyle w:val="7"/>
        <w:keepLines w:val="0"/>
        <w:numPr>
          <w:ilvl w:val="2"/>
          <w:numId w:val="0"/>
        </w:numPr>
        <w:tabs>
          <w:tab w:val="left" w:pos="425"/>
          <w:tab w:val="left" w:pos="560"/>
        </w:tabs>
        <w:spacing w:before="240" w:after="120"/>
        <w:ind w:firstLine="640"/>
      </w:pPr>
      <w:r>
        <w:rPr>
          <w:rFonts w:hint="eastAsia"/>
        </w:rPr>
        <w:t>2.2.2.9消费服务领域需求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为助力我省疫后经济复苏，推动复工复产，为群众提供统一的优惠集合平台，通过对接免税店、跨境购物店、中石化、海南航空等不同的商户，形成对优惠信息的发放。未来还将逐步拓展在更多领域、更多商户持续营销、持续应用，持续推出优惠，将“消费一码通”打造成为自贸港有影响力的公众消费平台，让广大商户和消费者在海南自贸港建设中提升获得感、幸福感。</w:t>
      </w:r>
    </w:p>
    <w:p>
      <w:pPr>
        <w:pStyle w:val="7"/>
        <w:keepLines w:val="0"/>
        <w:numPr>
          <w:ilvl w:val="2"/>
          <w:numId w:val="0"/>
        </w:numPr>
        <w:tabs>
          <w:tab w:val="left" w:pos="425"/>
          <w:tab w:val="left" w:pos="560"/>
        </w:tabs>
        <w:spacing w:before="240" w:after="120"/>
        <w:ind w:firstLine="640"/>
      </w:pPr>
      <w:r>
        <w:rPr>
          <w:rFonts w:hint="eastAsia"/>
        </w:rPr>
        <w:t>2.2.2.10公共服务场馆需求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平台不仅在于纯线上服务能力的建设，也需要不断拓展线上线下交互场景，充分利用码的能力，持续向公共服务场景延伸。如对接掌上省图书馆、省博物馆、南海博物馆等，打通门禁闸机，线上享受预约、购票等便利，线下还可以免带实体证件、凭证进出各类场所。</w:t>
      </w:r>
    </w:p>
    <w:p>
      <w:pPr>
        <w:pStyle w:val="7"/>
        <w:keepLines w:val="0"/>
        <w:numPr>
          <w:ilvl w:val="2"/>
          <w:numId w:val="0"/>
        </w:numPr>
        <w:tabs>
          <w:tab w:val="left" w:pos="425"/>
          <w:tab w:val="left" w:pos="560"/>
        </w:tabs>
        <w:spacing w:before="240" w:after="120"/>
        <w:ind w:firstLine="640"/>
      </w:pPr>
      <w:r>
        <w:rPr>
          <w:rFonts w:hint="eastAsia"/>
        </w:rPr>
        <w:t>2.2.2.11教育服务需求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为持续发挥平台价值，充分利用好“码上办事”平台的协同能力，本项目教育领域的主要需求有两个方面：第一个是突破创新，将传统的中小学入学招生流程结合“码上办事”平台，进行全流程升级。群众利用本平台可以直接掌上申请学位，同时审核端可以充分利用平台对接的其他厅局单位的信息，对学位申请信息进行快速核验。第二个需求主要是针对各类考试成绩的查询，通过与教育部门对接，将各类考试查询服务接入到本平台。</w:t>
      </w:r>
    </w:p>
    <w:p>
      <w:pPr>
        <w:pStyle w:val="7"/>
        <w:keepLines w:val="0"/>
        <w:numPr>
          <w:ilvl w:val="2"/>
          <w:numId w:val="0"/>
        </w:numPr>
        <w:tabs>
          <w:tab w:val="left" w:pos="425"/>
          <w:tab w:val="left" w:pos="560"/>
        </w:tabs>
        <w:spacing w:before="240" w:after="120"/>
        <w:ind w:firstLine="640"/>
      </w:pPr>
      <w:r>
        <w:rPr>
          <w:rFonts w:hint="eastAsia"/>
        </w:rPr>
        <w:t>2.2.2.12民生保障服务需求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为给群众提供一站式掌上民生服务，通过与省公安厅警民通对接，整合公安厅户政、出入境、交警、法制等服务。</w:t>
      </w:r>
    </w:p>
    <w:p>
      <w:pPr>
        <w:pStyle w:val="5"/>
      </w:pPr>
      <w:bookmarkStart w:id="69" w:name="_Toc67640148"/>
      <w:r>
        <w:rPr>
          <w:rFonts w:hint="eastAsia"/>
        </w:rPr>
        <w:t>2</w:t>
      </w:r>
      <w:r>
        <w:t xml:space="preserve">.3 </w:t>
      </w:r>
      <w:r>
        <w:rPr>
          <w:rFonts w:hint="eastAsia"/>
        </w:rPr>
        <w:t>采购清单</w:t>
      </w:r>
      <w:bookmarkEnd w:id="69"/>
    </w:p>
    <w:p>
      <w:pPr>
        <w:widowControl/>
        <w:spacing w:line="360" w:lineRule="auto"/>
        <w:ind w:firstLine="480" w:firstLineChars="200"/>
        <w:rPr>
          <w:rFonts w:ascii="宋体" w:hAnsi="宋体" w:cs="宋体"/>
          <w:kern w:val="0"/>
          <w:sz w:val="24"/>
        </w:rPr>
      </w:pPr>
      <w:r>
        <w:rPr>
          <w:rFonts w:hint="eastAsia" w:ascii="宋体" w:hAnsi="宋体" w:cs="宋体"/>
          <w:kern w:val="0"/>
          <w:sz w:val="24"/>
        </w:rPr>
        <w:t>本次项目主要对海南省“码上办事”平台进行服务采购，主要包括以下几个方面：</w:t>
      </w:r>
    </w:p>
    <w:p>
      <w:pPr>
        <w:pStyle w:val="6"/>
        <w:spacing w:before="240" w:after="240"/>
        <w:ind w:left="426"/>
      </w:pPr>
      <w:r>
        <w:t>2.3.</w:t>
      </w:r>
      <w:r>
        <w:rPr>
          <w:rFonts w:hint="eastAsia"/>
        </w:rPr>
        <w:t>1 软硬件设备采购清单</w:t>
      </w:r>
    </w:p>
    <w:tbl>
      <w:tblPr>
        <w:tblStyle w:val="53"/>
        <w:tblW w:w="8406" w:type="dxa"/>
        <w:jc w:val="center"/>
        <w:tblLayout w:type="fixed"/>
        <w:tblCellMar>
          <w:top w:w="0" w:type="dxa"/>
          <w:left w:w="0" w:type="dxa"/>
          <w:bottom w:w="0" w:type="dxa"/>
          <w:right w:w="0" w:type="dxa"/>
        </w:tblCellMar>
      </w:tblPr>
      <w:tblGrid>
        <w:gridCol w:w="726"/>
        <w:gridCol w:w="2655"/>
        <w:gridCol w:w="3373"/>
        <w:gridCol w:w="857"/>
        <w:gridCol w:w="795"/>
      </w:tblGrid>
      <w:tr>
        <w:tblPrEx>
          <w:tblCellMar>
            <w:top w:w="0" w:type="dxa"/>
            <w:left w:w="0" w:type="dxa"/>
            <w:bottom w:w="0" w:type="dxa"/>
            <w:right w:w="0" w:type="dxa"/>
          </w:tblCellMar>
        </w:tblPrEx>
        <w:trPr>
          <w:trHeight w:val="632" w:hRule="atLeast"/>
          <w:jc w:val="center"/>
        </w:trPr>
        <w:tc>
          <w:tcPr>
            <w:tcW w:w="726" w:type="dxa"/>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序号</w:t>
            </w:r>
          </w:p>
        </w:tc>
        <w:tc>
          <w:tcPr>
            <w:tcW w:w="2655"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名  称</w:t>
            </w:r>
          </w:p>
        </w:tc>
        <w:tc>
          <w:tcPr>
            <w:tcW w:w="3373"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规格配置</w:t>
            </w:r>
          </w:p>
        </w:tc>
        <w:tc>
          <w:tcPr>
            <w:tcW w:w="857"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单位</w:t>
            </w:r>
          </w:p>
        </w:tc>
        <w:tc>
          <w:tcPr>
            <w:tcW w:w="795"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数量</w:t>
            </w:r>
          </w:p>
        </w:tc>
      </w:tr>
      <w:tr>
        <w:tblPrEx>
          <w:tblCellMar>
            <w:top w:w="0" w:type="dxa"/>
            <w:left w:w="0" w:type="dxa"/>
            <w:bottom w:w="0" w:type="dxa"/>
            <w:right w:w="0" w:type="dxa"/>
          </w:tblCellMar>
        </w:tblPrEx>
        <w:trPr>
          <w:trHeight w:val="774" w:hRule="atLeast"/>
          <w:jc w:val="center"/>
        </w:trPr>
        <w:tc>
          <w:tcPr>
            <w:tcW w:w="72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决策驾驶舱管理软件</w:t>
            </w:r>
          </w:p>
        </w:tc>
        <w:tc>
          <w:tcPr>
            <w:tcW w:w="33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决策驾驶舱管理软件</w:t>
            </w: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r>
      <w:tr>
        <w:tblPrEx>
          <w:tblCellMar>
            <w:top w:w="0" w:type="dxa"/>
            <w:left w:w="0" w:type="dxa"/>
            <w:bottom w:w="0" w:type="dxa"/>
            <w:right w:w="0" w:type="dxa"/>
          </w:tblCellMar>
        </w:tblPrEx>
        <w:trPr>
          <w:trHeight w:val="728" w:hRule="atLeast"/>
          <w:jc w:val="center"/>
        </w:trPr>
        <w:tc>
          <w:tcPr>
            <w:tcW w:w="72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流程表单管理软件</w:t>
            </w:r>
          </w:p>
        </w:tc>
        <w:tc>
          <w:tcPr>
            <w:tcW w:w="33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疑似患者上报流程配置管理</w:t>
            </w: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r>
      <w:tr>
        <w:tblPrEx>
          <w:tblCellMar>
            <w:top w:w="0" w:type="dxa"/>
            <w:left w:w="0" w:type="dxa"/>
            <w:bottom w:w="0" w:type="dxa"/>
            <w:right w:w="0" w:type="dxa"/>
          </w:tblCellMar>
        </w:tblPrEx>
        <w:trPr>
          <w:trHeight w:val="529" w:hRule="atLeast"/>
          <w:jc w:val="center"/>
        </w:trPr>
        <w:tc>
          <w:tcPr>
            <w:tcW w:w="72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报表软件</w:t>
            </w:r>
          </w:p>
        </w:tc>
        <w:tc>
          <w:tcPr>
            <w:tcW w:w="33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健康码统计分析</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r>
      <w:tr>
        <w:tblPrEx>
          <w:tblCellMar>
            <w:top w:w="0" w:type="dxa"/>
            <w:left w:w="0" w:type="dxa"/>
            <w:bottom w:w="0" w:type="dxa"/>
            <w:right w:w="0" w:type="dxa"/>
          </w:tblCellMar>
        </w:tblPrEx>
        <w:trPr>
          <w:trHeight w:val="483" w:hRule="atLeast"/>
          <w:jc w:val="center"/>
        </w:trPr>
        <w:tc>
          <w:tcPr>
            <w:tcW w:w="72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应用高可用服务</w:t>
            </w:r>
          </w:p>
        </w:tc>
        <w:tc>
          <w:tcPr>
            <w:tcW w:w="33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宋体"/>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r>
      <w:tr>
        <w:tblPrEx>
          <w:tblCellMar>
            <w:top w:w="0" w:type="dxa"/>
            <w:left w:w="0" w:type="dxa"/>
            <w:bottom w:w="0" w:type="dxa"/>
            <w:right w:w="0" w:type="dxa"/>
          </w:tblCellMar>
        </w:tblPrEx>
        <w:trPr>
          <w:trHeight w:val="602" w:hRule="atLeast"/>
          <w:jc w:val="center"/>
        </w:trPr>
        <w:tc>
          <w:tcPr>
            <w:tcW w:w="72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应用服务总线</w:t>
            </w:r>
          </w:p>
        </w:tc>
        <w:tc>
          <w:tcPr>
            <w:tcW w:w="33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宋体"/>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r>
      <w:tr>
        <w:tblPrEx>
          <w:tblCellMar>
            <w:top w:w="0" w:type="dxa"/>
            <w:left w:w="0" w:type="dxa"/>
            <w:bottom w:w="0" w:type="dxa"/>
            <w:right w:w="0" w:type="dxa"/>
          </w:tblCellMar>
        </w:tblPrEx>
        <w:trPr>
          <w:trHeight w:val="558" w:hRule="atLeast"/>
          <w:jc w:val="center"/>
        </w:trPr>
        <w:tc>
          <w:tcPr>
            <w:tcW w:w="72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表格存储软件</w:t>
            </w:r>
          </w:p>
        </w:tc>
        <w:tc>
          <w:tcPr>
            <w:tcW w:w="33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宋体"/>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r>
      <w:tr>
        <w:tblPrEx>
          <w:tblCellMar>
            <w:top w:w="0" w:type="dxa"/>
            <w:left w:w="0" w:type="dxa"/>
            <w:bottom w:w="0" w:type="dxa"/>
            <w:right w:w="0" w:type="dxa"/>
          </w:tblCellMar>
        </w:tblPrEx>
        <w:trPr>
          <w:trHeight w:val="649" w:hRule="atLeast"/>
          <w:jc w:val="center"/>
        </w:trPr>
        <w:tc>
          <w:tcPr>
            <w:tcW w:w="72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26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全文检索引擎</w:t>
            </w:r>
          </w:p>
        </w:tc>
        <w:tc>
          <w:tcPr>
            <w:tcW w:w="33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宋体"/>
                <w:szCs w:val="21"/>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r>
      <w:tr>
        <w:tblPrEx>
          <w:tblCellMar>
            <w:top w:w="0" w:type="dxa"/>
            <w:left w:w="0" w:type="dxa"/>
            <w:bottom w:w="0" w:type="dxa"/>
            <w:right w:w="0" w:type="dxa"/>
          </w:tblCellMar>
        </w:tblPrEx>
        <w:trPr>
          <w:trHeight w:val="804" w:hRule="atLeast"/>
          <w:jc w:val="center"/>
        </w:trPr>
        <w:tc>
          <w:tcPr>
            <w:tcW w:w="72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265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通道摆闸</w:t>
            </w:r>
          </w:p>
        </w:tc>
        <w:tc>
          <w:tcPr>
            <w:tcW w:w="33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省图进出口摆闸</w:t>
            </w:r>
          </w:p>
        </w:tc>
        <w:tc>
          <w:tcPr>
            <w:tcW w:w="8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w:t>
            </w:r>
          </w:p>
        </w:tc>
      </w:tr>
    </w:tbl>
    <w:p>
      <w:pPr>
        <w:pStyle w:val="6"/>
        <w:spacing w:before="240" w:after="240"/>
        <w:ind w:left="426"/>
      </w:pPr>
      <w:r>
        <w:t>2.3</w:t>
      </w:r>
      <w:r>
        <w:rPr>
          <w:rFonts w:hint="eastAsia"/>
        </w:rPr>
        <w:t>.2 软件开发采购清单</w:t>
      </w:r>
    </w:p>
    <w:tbl>
      <w:tblPr>
        <w:tblStyle w:val="53"/>
        <w:tblW w:w="9120" w:type="dxa"/>
        <w:jc w:val="center"/>
        <w:tblLayout w:type="autofit"/>
        <w:tblCellMar>
          <w:top w:w="0" w:type="dxa"/>
          <w:left w:w="0" w:type="dxa"/>
          <w:bottom w:w="0" w:type="dxa"/>
          <w:right w:w="0" w:type="dxa"/>
        </w:tblCellMar>
      </w:tblPr>
      <w:tblGrid>
        <w:gridCol w:w="764"/>
        <w:gridCol w:w="1156"/>
        <w:gridCol w:w="1463"/>
        <w:gridCol w:w="2190"/>
        <w:gridCol w:w="3547"/>
      </w:tblGrid>
      <w:tr>
        <w:tblPrEx>
          <w:tblCellMar>
            <w:top w:w="0" w:type="dxa"/>
            <w:left w:w="0" w:type="dxa"/>
            <w:bottom w:w="0" w:type="dxa"/>
            <w:right w:w="0" w:type="dxa"/>
          </w:tblCellMar>
        </w:tblPrEx>
        <w:trPr>
          <w:trHeight w:val="48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板块</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系统</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功能模块</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功能点</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描述</w:t>
            </w: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数字空间建设</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外部资源对接</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政务信息化公共服务能力支撑平台对接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电子证照整合对接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省数据质量提升工程对接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政务专题数据整合对接</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事项目录管理系统对接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行政审批系统对接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统一好差评对接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统一咨询投诉对接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主题数据对接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扶贫专题数据整合对接</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精准扶贫系统数据对接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爱心扶贫网数据对接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扶贫办官网数据对接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信用专题数据整合对接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其他数据对接</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省公安厅对接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数据对接，支持实名、实人认证，及五类证明文件对接</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卫健委对接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电子健康档案对接，居民可查阅个人电子健康档案</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发改委对接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企业信用信息对接，可查阅企业信用信息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扶贫办对接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扶贫大数据对接，实现居民贫困信息同步</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省医院对接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预约系统对接，可实现在线预约、挂号，电子病历信息</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数字空间</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个人数字空间</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个人基础模型</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包括个人户籍、家庭成员、资质、资产等信息的数据模型，数据治理、监控、加工逻辑</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个人行为模型</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包括个人办件、消费、出行、违规、失信等行为数据模型，数据治理、监控、加工逻辑</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个人场景模型</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适配一码通场景业务的定制模型，数据治理、监控、加工逻辑</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法人数字空间</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企业基础模型</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包括企业的工商登记、变更、分支结构、资产、证照等模型内容，数据治理、监控、加工逻辑</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企业行为模型</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企业的经营、违规、纳税、社保等模型内容，数据治理、监控、加工逻辑</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企业场景模型</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适配一码通场景业务的定制模型，数据治理、监控、加工逻辑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场景数据标签体系建设</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平台积分服务体系</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积分系统建设</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积分系统框架搭建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包括积分成长值、成长周期、等级划分、风控、权益规划等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个人积分管理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主要包括积分规则设置、积分统计、分值设定</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积分后台管理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积分渠道管理，关联渠道、取消渠道；积分消费管理，积分累加管理、追溯奖品等</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积分奖励渠道</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签到积分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访问服务积分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触及行为方法积分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登录、实名认证积分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自定义渠道积分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用户等级划分</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用户等级划分系统</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动态管理用户等级，权益关联配置</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用户等级分类调控</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对用户等级与奖励权益进行分类调控，包括恶意操作提醒、预设提醒及人工强制等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奖励反馈</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抽奖活动建设</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提供抽奖活动功能，动态配置积分权益</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抽奖规则配置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配置抽奖次数、概率、奖励权益等</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奖励兑换渠道配置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配置奖励权益渠道</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自定义积分兑换规则</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建设动态配置自定义积分渠道规则，如兑换等级、数量等</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金椰分对接</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结果输出与统计分析对接</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结果输出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信用分总分输出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信用分明细指标分输出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信用分输出的隐私保护</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外域分转换结果输出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统计分析（图和表）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被评价主体总数分析</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被评价主体的诚信等级分布规律</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各诚信等级分布人数占比</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某一特征人群的诚信得分状况等</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实现外域分转换的总量</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诚信等级分布规律</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区块链应用</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上链资源管理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证照使用过程信息上链</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信息授权记录上链</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链上证照信息记录查询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链上授权记录查询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码引擎支撑平台</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接入管理</w:t>
            </w:r>
          </w:p>
        </w:tc>
        <w:tc>
          <w:tcPr>
            <w:tcW w:w="36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客户端管理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客户端创建，小程序、APP等用户申码用码端的注册开发</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客户端账户安全管理，小程序、APP等用户申码用码端账户安全水位管理</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实人认证解决方案，支持多端申码，提供实人认证等解决方案保障基于城市码的信息安全和结算安全</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客户端配置功能开发，涵盖客户端的管理配置，例如启用，禁用，编辑</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商户端管理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商户创建，城市码使用场景相关的业务后台系统、用户端H5等的注册</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场景配置，通过秘钥分配、场景映射等实现接口调用、数据查询的信息隔离及安全性。</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商户配置，商户的管理配置，例如启用，禁用，编辑</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接口管理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接口创建功能开发，能够自定义申码、查码、扫码、场景交互等各类接口出参入参定义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接口服务，实现客户端框架、场景H5、业务后台系统与码平台的交互</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接口配置，接口内容与字段灵活定制配置</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领域管理设计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领域创建 ，创建消费、医疗、政务、扶贫、信用等一级业务领域</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领域配置，商户的管理配置，例如启用，禁用，编辑</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场景管理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场景创建，定义以及业务领域下的原子场景，如离岛提货、线下购物等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动作配置，管理场景下一轮完整交互对应的接口调用、规则引擎调用等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场景配置，场景的管理配置，例如启用，禁用，编辑</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码规则引擎</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规则创建，基于用户申码、扫码等各类事件驱动，定义接口算子、数据处理算子、规则算子等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策略列表，支持对各类策略进行管理和后台适配对接</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策略建模，面向业务人员提供交互式建模能力，通过“拖、拉、拽”即可快速实现数据和规则的灵活快速组装</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参数配置，支持对参数进行控制，可通过参数实现规则的应用</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配置变量库，能够通过变量库实现对规则进行有效管理</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创建规则，能够对规则进行各类参数的自定义，配置后规则生效和命中</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规则引擎，融合实时和离线业务，产生决策结果</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身份码规范，定义身份码ID规范</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安全管理动态加密，动态加密机制，通过定时更新保障个人身份信息的安全性</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监控管理</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码监控管理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针对码的交互日志、使用日志、发码监控、接口调用等数据进行多维度统计</w:t>
            </w:r>
          </w:p>
        </w:tc>
      </w:tr>
      <w:tr>
        <w:tblPrEx>
          <w:tblCellMar>
            <w:top w:w="0" w:type="dxa"/>
            <w:left w:w="0" w:type="dxa"/>
            <w:bottom w:w="0" w:type="dxa"/>
            <w:right w:w="0" w:type="dxa"/>
          </w:tblCellMar>
        </w:tblPrEx>
        <w:trPr>
          <w:trHeight w:val="11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码安全管理</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码平台安全及防篡改设计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从二维码的仿冒、篡改、抵赖、信息泄露、拒绝服务、权限提升六方面对码平台进行精简的威胁分析、风险评估和安全加固</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与上游系统交互的安全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从传输、敏感信息、权限以及配置文件安全设计与上游系统的安全交互</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与下游系统交互的安全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从敏感信息、码串的管理刷新、规则逻辑以及调用接口的限流来设计与下游系统的交互安全</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码交互安全行为准则</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从最小攻击面、账户口令、权限控制、业务隔离等层面设计交互行为安全</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码标签管理</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场景数据标签</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医疗社保</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医疗社保标签，主要维度包括：电子健康卡信息、社保卡信息、就诊卡信息、个人健康信息等</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医疗机构</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基层医疗机构标签，结合海南省二级以上医疗机构、社保定点医院、社保定点药店，以及地理位置、责任人信息、医疗机构类别等</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政务服务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政务服务标签，主要维度包括：政务服务事项类别、政务服务事项办理方式、政务服务事项编码规范、政务服务事项依据等</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个人消费</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个人消费信息标签，主要维度包括：消费场所、消费时段、消费方式、消费金额、消费品类、支付方式、消费频次、消费人群画像等</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法人信息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法人信息标签，构建法人信息标签、关联企业标签、企业性质标签、企业经营类型标签、各类企业画像等标签体系</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扶贫信息标签，构建包括贫困人口库、贫困人口信息标签</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信用标签，信用分、最近一次被处罚、近一年被处罚等自然人、法人相关标签，数据治理、标签加工过程</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交通出行</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交通出行标签，主要维度包括：出行方式、出行时段、出行时间、出行路线、支付方式、转乘次数、出行场景、出行频次等</w:t>
            </w:r>
          </w:p>
        </w:tc>
      </w:tr>
      <w:tr>
        <w:tblPrEx>
          <w:tblCellMar>
            <w:top w:w="0" w:type="dxa"/>
            <w:left w:w="0" w:type="dxa"/>
            <w:bottom w:w="0" w:type="dxa"/>
            <w:right w:w="0" w:type="dxa"/>
          </w:tblCellMar>
        </w:tblPrEx>
        <w:trPr>
          <w:trHeight w:val="135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码平台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码平台运营标签，对码平台以及各应用场景产生的数据进行统一的归集接入和清洗，设计数据模型，针对场景分析码平台以及场景的应用情况，为运营平台提供数据输入</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其他</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其他场景扩展标签，为后续一码通场景定义和加工预留扩展</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资源目录管理</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资源搜索预览</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展示已创建数据资源层级结构，至少4级数据资源，分别为表组、表、字段组、字段</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资源同步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同步各业务口数据，建立逻辑组与实际库表之间的映射关联。</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资源管理</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目录页面管理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管理数据资源的目录基本信息，建立根节点。</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表组页面管理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管理数据资源的表组基本信息，建立二级节点，管理多个业务表。</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表页面管理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管理数据资源的表基本信息，建立三级节点，包含多个字段逻辑组。</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字段组页面管理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管理数据资源的字段组基本信息，建立四级节点，管理多个业务表字段。</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角色管理</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角色搜索预览</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支持平台角色搜索和预览。</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角色组管理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管理平台角色组。</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新增角色</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新增角色直接关联角色组。</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角色资源管理</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修改角色</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角色信息修改，支持转移所属角色组。</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角色资源管理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角色与资源目录建立联系，支撑平台用户资源权限体系。</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场景服务平台</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商户中心</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应用管理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管理平台应用，可以包含多个场景，满足应用不同需求接口。</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已购数据查看</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查看已经获得的数据接口列表详情。</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订单管理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管理资源订单，支持待支付、已支付、已取消订单。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发票管理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支持已支付订单的发票收开管理。</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计费中心</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计费单价配置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管理数据资源计费模式，支持业务数据对象按次、按时计费。</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计费规格配置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管理数据资源SKU信息，统一数据费用体系。</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服务商中心</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数据管理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支持服务商通过API、数据包形式在平台自主发布数据，平台本身具备审核管理能力下，提供服务商数据自主发布能力，用户购买服务等支持。</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订单管理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管理用户购买自主发布数据的订单情况，支持对订单发货、取消等操作。</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发票管理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管理服务商发票信息，支持对用户申请的开盘信息，做订单发票收开操作。</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服务商结算</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统计记录订单、佣金等账单根据约定周期结算的流水情况。</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管理中心</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数据目录审核</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支持商户创建应用、服务商自主发布数据的审核流程。</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场景使用管理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管理应用场景内容，支持平台访问日志预览下载。</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服务市场</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API服务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用户预览了解平台及服务商发布API详情，包含SKU、属性、入返参等，整合打通API服务申请内外部流程，支持API在线调试。</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数据包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用户预览了解平台及服务商发布数据包详情，包含简介、SKU等，并支持完成服务包申请。</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基本信息</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认证</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个体工商户认证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支持验证个体工商户身份信息。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企业认证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支持验证企业法人、代理人身份信息。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政府及事业单位认证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支持验证政府及事业单位法人身份信息。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其他组织</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支持验证其他组织法人身份信息。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注册</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支持个人、机构单位账号注册。</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账号信息管理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管理个人、机构单位账号信息。</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开放平台建设</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第三方开发组织申请/审批模块</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第三方开发企业和组织在线注册开发平台的账号，管理后台对服务进行审核</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第三方在线服务发布上线模块</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管理后台对第三方服务资源进行评估、测试以及最终上线审核</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第三方在线服务测试管理模块</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服务综合测试，上下线管理</w:t>
            </w: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码上办事决策驾驶舱</w:t>
            </w:r>
          </w:p>
        </w:tc>
        <w:tc>
          <w:tcPr>
            <w:tcW w:w="480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基于“决策驾驶舱管理软件”的数字决策驾驶舱系统的定制化开发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“码上办事”全省一张图</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医疗领域全省一张图</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政务领域全省一张图</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消费领域全省一张图</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信用体系全省一张图</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教育领域全省一张图</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其他</w:t>
            </w:r>
          </w:p>
        </w:tc>
      </w:tr>
      <w:tr>
        <w:tblPrEx>
          <w:tblCellMar>
            <w:top w:w="0" w:type="dxa"/>
            <w:left w:w="0" w:type="dxa"/>
            <w:bottom w:w="0" w:type="dxa"/>
            <w:right w:w="0" w:type="dxa"/>
          </w:tblCellMar>
        </w:tblPrEx>
        <w:trPr>
          <w:trHeight w:val="81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码上办事移动端建设</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移动端基础能力建设</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基础能力服务支持</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用户体系对接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用户体系建设，建立满足码上办事移动应用的用户体系，建设用户同步机制、用户权限、用户关系梳理等内容</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用户统一身份认证，通过对接数字空间，构建用户实人认证机制，支持与后台实人实名认证接口打通和验证</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应用服务接入，支持对所规划的应用进行移动端的接入，并进行应用的发布和更新</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标准规范对接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移动应用接口制定及发布</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移动应用接口调测（支持超过30个移动应用/服务对接，每个接口接入及调测预计投入5人天，不含接口沟通及对端接口改造）</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服务应用监测，针对接入接口使用情况进行应用的监测建设，并开发监测报表</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与省移动开发平台能力对接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移动开发平台脚手架建设，基于省移动开发平台，搭建开发环境，配置开发权限、数据同步机制和应用开发环境</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Style w:val="491"/>
                <w:rFonts w:hint="default"/>
                <w:color w:val="auto"/>
                <w:sz w:val="21"/>
                <w:szCs w:val="21"/>
              </w:rPr>
              <w:t>与省移动平台</w:t>
            </w:r>
            <w:r>
              <w:rPr>
                <w:rStyle w:val="492"/>
                <w:rFonts w:hint="default"/>
                <w:color w:val="auto"/>
                <w:sz w:val="21"/>
                <w:szCs w:val="21"/>
              </w:rPr>
              <w:t>网关服务</w:t>
            </w:r>
            <w:r>
              <w:rPr>
                <w:rStyle w:val="491"/>
                <w:rFonts w:hint="default"/>
                <w:color w:val="auto"/>
                <w:sz w:val="21"/>
                <w:szCs w:val="21"/>
              </w:rPr>
              <w:t>对接，结合码上办事场景应用进行网关服务、业务逻辑的设计和编写</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Style w:val="491"/>
                <w:rFonts w:hint="default"/>
                <w:color w:val="auto"/>
                <w:sz w:val="21"/>
                <w:szCs w:val="21"/>
              </w:rPr>
              <w:t>与省移动平台</w:t>
            </w:r>
            <w:r>
              <w:rPr>
                <w:rStyle w:val="492"/>
                <w:rFonts w:hint="default"/>
                <w:color w:val="auto"/>
                <w:sz w:val="21"/>
                <w:szCs w:val="21"/>
              </w:rPr>
              <w:t>发布服务</w:t>
            </w:r>
            <w:r>
              <w:rPr>
                <w:rStyle w:val="491"/>
                <w:rFonts w:hint="default"/>
                <w:color w:val="auto"/>
                <w:sz w:val="21"/>
                <w:szCs w:val="21"/>
              </w:rPr>
              <w:t>对接，按照省平台规范进行应用发布</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Style w:val="491"/>
                <w:rFonts w:hint="default"/>
                <w:color w:val="auto"/>
                <w:sz w:val="21"/>
                <w:szCs w:val="21"/>
              </w:rPr>
              <w:t>与省移动平台</w:t>
            </w:r>
            <w:r>
              <w:rPr>
                <w:rStyle w:val="492"/>
                <w:rFonts w:hint="default"/>
                <w:color w:val="auto"/>
                <w:sz w:val="21"/>
                <w:szCs w:val="21"/>
              </w:rPr>
              <w:t>推送服务</w:t>
            </w:r>
            <w:r>
              <w:rPr>
                <w:rStyle w:val="491"/>
                <w:rFonts w:hint="default"/>
                <w:color w:val="auto"/>
                <w:sz w:val="21"/>
                <w:szCs w:val="21"/>
              </w:rPr>
              <w:t>对接，设置业务逻辑中的推送服务调用规则和功能实现、校验</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与省移动平台分析服务对接，按照省平台规则要求，对原生业务进行埋点设计，实现业务数据分析和关键指标监测</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与省移动平台数据同步接口对接，实现对应用开发接入的各类数据同步和校验</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与省移动平台安全体系对接，确保移动开发平台的安全性满足要求</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与省移动平台组件能力对接，包括LBS、分享组件、识别组件、扫一扫、容器服务、客户端等多累组件，并按照业务逻辑进行组件调用的适配</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与省移动平台开发插件对接，包括Native开发组件、小程序开发组件，实现开发环境的调用</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开发框架搭建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基于省移动开发平台，搭建开发框架环境，设计整个APP的开发架构和业务模块</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梳理对接、原生应用的开发逻辑，搭建移动应用开发平台</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移动应用开发支持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移动应用开发阶段的打包、测试、代码管理、发布管理和运营分析</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可视化开发平台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UI设计及规范模块</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动效设计</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组件设计</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原子化设计</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适配规则</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设计生产和输出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前端H5设计开发支持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技术栈设计及开发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H5打包功能开发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组件库建设及开发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桥接API构建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离线包更新功能开发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调试功能开发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前端业务模块开发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客户端开发支持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技术栈设计及开发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打包功能开发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UI组件开发及建设</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API服务构建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后端开发支持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渠道网关服务</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微服务设计及构建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微服务运维功能开发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配置管理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可视化配置</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广告配置</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活动管理</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素材管理</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小程序组件对接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用户组件库</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设备组件库</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资源组件库</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页面组件库</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消息组件库</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移动端系统功能</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首页</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搜索服务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消费一码通</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免税商城</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跨境购物商城</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餐饮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加油站</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机票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商场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优惠券</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公安交管服务对接</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出入境港澳再次签注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出入境预约办证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出入境综合服务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港澳通行证查询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护照查询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华侨护照查询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台湾通行证查询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办事</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搜索服务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搜索服务实现对事项的搜索，可以通过事项名称的全文检索、分词模糊搜索，搜索结果可以高亮显示匹配关键词</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智能问答机器人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基于政务服务知识库、疫情防控知识库</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新闻资讯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对接南海网接入自贸港新闻专区、英文新闻专区、直播专区</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消息中心</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全站消息中心，为第三方应用提供统一的消息接口</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我的证件</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对接电子证照系统，展示个人、法人的电子证照信息</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国际投资单一窗口</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对接商务厅国际投资单一窗口平台，接入投资服务、公司开办，项目建设申报指引、联合服务业务指引等能力</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企业开办（E登记）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对接市监局E登记平台，接入设立登记、企业名称申请、企业开办等服务能力</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人才服务专区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整合人才服务，从人才登记、申报、认定，到补贴、落户以及其他生活福利等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海好办</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接入海口市政务服务能力，海好办平台。</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公积金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提供公积金查询、提取（4类11种）、贷款等服务。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亮证</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亮证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接入个人、法人证照信息，建立亮证场景专区，线下扫码亮证办事</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消费码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整合热门消费渠道、优惠信息，建立消费场景专区，线上领优化，线下凭码享优惠</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景区码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接入呀诺达景区服务，打通景区购票、导游平台，线下凭码进入景区</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人才码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整合人才服务事项，线下凭码享受人才场景服务</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我的荣誉</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通过数字空间的个人、法人数据标签，打造平台荣誉勋章，支撑平台积分体系建设</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区块链</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用户区块链上链信息分类展示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积分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用户积分展示与积分详情记录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我的卡券</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我的家庭</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监管投诉</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与“互联网+”监管平台对接，接入我省监管信息，</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政民互动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对接海南省信访局，接入网上信访功能，根据LBS定位动态显示地区的信访渠道。包括网上投诉和领导信箱</w:t>
            </w: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疫情防控场景</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健康一码通公众端</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基础功能</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地标健康码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健康码对接全国库，标注地区</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核酸检测证明</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对接核酸检测信息，将个人核酸检测信息进行展示</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抗体检测证明</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对接抗体检测证明信息，展示抗体检测证明</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健康码规则</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健康码规则发布与维护功能</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英文版切换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英文版健康码界面开发，切换界面功能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转码原因</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健康码码色原因展示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健康码申请记录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健康码申请记录展示</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出发地健康信息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对接来琼健康码信息，展示出发地健康信息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数字码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健康码的数字码，用于手工核验</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健康一码通</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每日健康打卡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每日健康信息上报功能，根据防疫指挥部动态要求迭代，已迭代60多个版本</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抵琼健康登记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抵琼人员健康信息上报功能，根据防疫指挥部动态要求迭代，已迭代60多个版本</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家人健康码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当前用户可以添加家人信息，同时可以为家人代填健康信息，代领健康码，还可以解除家庭成员</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消费一码通</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跨境购</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对接跨境购商城，通过本平台可以进入购买跨境商品</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餐饮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接入优惠餐饮商家信息到平台进行展示，后台可以动态维护商家信息</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加油站</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接入中石化、中石油两家本地平台，为平台用户提供加油服务，同时享受专属优惠</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机票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接入海南航空购票服务平台，为平台提供机票服务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商场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接入优惠商场信息到平台进行展示，后台可以动态维护商场信息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复工复产</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员工返岗登记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为企业提供返岗员工健康信息上报功能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复工复产申报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为企业提供复工复产申报登记功能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复工情况调查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为企业提供复工情况调查表填报功能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考试专区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支撑考试期间防疫专用功能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教育专区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支撑教育单位防疫专用功能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疫情举报</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线索提供</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疫情线索上报功能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群众监督</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群众监督情况上报功能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疫情AI助理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疫情知识智能问答机器人</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疫情信息平台</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省外返琼人员健康登记表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为防疫指挥部提供返琼人员健康信息查询统计的功能</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湖北来琼健康人员登记表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为防疫指挥部提供湖北来琼人员健康信息查询统计的功能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举报信息统计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举报信息统计</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举报信息审核</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举报信息后台审核</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举报信息已审核列表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举报信息已审核列表展示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家庭健康信息统计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家庭成员健康信息统计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返琼人员统计信息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返琼人员信息统计，按时间、入琼港口、地区等维度</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外部支撑</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CSB接口支撑平台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支撑健康码各类外部接口对接，接口的权限管理、配置管理、流量管控等</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支撑省医院挂号系统</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为省医院挂号平台提供健康信息核验，保障入院看病人员的疫情信息真实性</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支撑港航购票系统</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为离港购票平台提供健康信息核验，保障离岛人员疫情信息真实性</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支撑中航信航旅纵横</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支撑中航信航旅纵横APP，提供健康信息核验功能、返琼信息登记上报专属板块</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支撑凯亚机场进岛卡口</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支撑海口、三亚机场闸机口，提供健康信息核验、核酸检测信息核验等健康信息接口</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支撑国家政务一体化平台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为国家政务服务一体化平台提供我省全量的健康码信息，实时更新同步</w:t>
            </w:r>
          </w:p>
        </w:tc>
      </w:tr>
      <w:tr>
        <w:tblPrEx>
          <w:tblCellMar>
            <w:top w:w="0" w:type="dxa"/>
            <w:left w:w="0" w:type="dxa"/>
            <w:bottom w:w="0" w:type="dxa"/>
            <w:right w:w="0" w:type="dxa"/>
          </w:tblCellMar>
        </w:tblPrEx>
        <w:trPr>
          <w:trHeight w:val="135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全国34省健康码互认对接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对接国办一体化平台卫健委国办密接接口、卫健委确诊/密接接口、国办入境接口、国办入境密接接口、卫健委中高风险地区查询接口、外省健康码查询接口</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支撑公安厅情报布控平台与一标三实平台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与我省公安厅一标三实系统对接，健康码信息向一标三实同步，一标三实系统的地址信息向本平台同步</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椰城市民云接入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椰城市民云单点登录对接，提供健康码相关能力</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教育厅复学支撑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为教育厅提供全省200多万师生的健康信息，并且提供2000QPS高并发的实时验证接口，支撑学校复学、高考考场疫情防控</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海南农信社接入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海南农信社APP单点登录对接，提供健康码相关能力</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健康规则引擎</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根据我省疫情防控指挥部的要求，及时配置健康码规则。目前已经迭代112个版本的健康码规则</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健康一码通核验端与核码端</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医药登记</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发热门诊登记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发热门诊健康信息登记</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医学观察登记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医学留观信息登记</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购药登记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为药店提供购药信息登记表单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出入通行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出入通行登记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卡口出入通行登记表单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生成地点码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地点码信息录入与生码功能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核验助手</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扫码核验</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健康码信息核验</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数字码核验</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数字码健康信息核验</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H5核验端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H5页面的核验端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优惠券核销</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优惠券核销功能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核验记录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健康信息核验记录查询展示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健康一码通管理端</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个人信息管理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个人健康信息管理、增删改查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申请人管理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健康信息复合申请的申请管理</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“待甄别”核销</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待甄别人员信息核销管理、增删改查；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健康码信息动态管理</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转码审核管理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根据用户的信息情况填写审核意见，选择审核通过/不审核通过，并提交</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公务员/特岗教师考试查询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查询公务员考试和特岗教师考试名单中考生的个人健康状况和深度分析展示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家庭关系管理</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家庭关系解除</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解除记录查询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统计报表</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乡镇健康码人员分布</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全省健康码应用情况</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注册未领码人员名单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三天未打卡人员名单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报表整合开发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将健康一码通报表端的部分报表进行迭代整合</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关口人员登记管理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用于关口登记上报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实名认证管理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复工复产情况查询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系统管理</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组织机构人员设置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栏目信息管理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栏目权限组管理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健康一码通报表端</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每日通报</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注册用户国办四类人员查询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核酸抗体检测明细表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抵琼人员信息统计表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境外人员领码数据统计表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领码数汇总-实时</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场景数汇总-实时</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领码数-每整点版本</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场景数-没整点版本</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绿变灰人数统计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做实健康码红黄绿码统计表-每小时</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市县及乡镇统计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各乡镇平台注册情况-乡镇全名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红黄码人员信息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乡镇领码汇总信息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健康码人员详细（海口定制）</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乡镇注册情况-整点统计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领码数-每整点版本-环比固定</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口岸进岛人员统计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口岸进岛人员统计表-汇总</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口岸进岛人员统计表-明细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三亚火车站统计明细表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全省口岸进岛人员入琼事由登记信息统计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口岸进岛人员统计-截止时间汇总</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复工复产统计及报告</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复工复产企业统计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复工复产企业清单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复工复产企业统计报告</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红黄码统计及查询</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红码详细名单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黄码详细名单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个人健康查询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做实-四类人员分类</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红黄码分类统计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特殊统计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员工返岗登记汇总表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企业申报统计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领码数汇总-时段统计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返琼健康登记汇总查询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疫情举报平台统计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社管组专用统计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红码增加的明细数据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红码减量的明细数据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黄码增加的明细数据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黄码减量的明细数据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省外互认统计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省外互认异常汇总表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省外互认异常明细表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省外互认汇总表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湖北人员专用统计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打卡选择湖北、武汉或者6个地区旅居史人员</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个人承诺选择湖北、武汉或者6个地区旅居史人员</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抵琼选择湖北、武汉或者6个地区旅居史人员</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五一旅游人数统计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各景区通行人数情况表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各市县景区通行人数情况</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5A级旅游景区承载量</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五一通行人数折线图</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新冠肺炎患者病历上报系统</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基础组件二次开发</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工作流配置开发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疑似患者病历联合审批流程开发</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表单定制开发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疑似患者病历上报表单、患者病历上报表单配置</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信息发布平台配置开发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工作台动态信息发布</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门户平台配置开发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工作门户首页配置开发</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报表平台配置开发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疑似患者、患者动态统计表单、分实现、时间段、患者类型等维度</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系统权限管理配置开发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用户权限管理</w:t>
            </w:r>
          </w:p>
        </w:tc>
      </w:tr>
      <w:tr>
        <w:tblPrEx>
          <w:tblCellMar>
            <w:top w:w="0" w:type="dxa"/>
            <w:left w:w="0" w:type="dxa"/>
            <w:bottom w:w="0" w:type="dxa"/>
            <w:right w:w="0" w:type="dxa"/>
          </w:tblCellMar>
        </w:tblPrEx>
        <w:trPr>
          <w:trHeight w:val="54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政务服务场景</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通用功能</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在线申办</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在线申办个人部门服务导航</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按部门展示个人在线申办事项</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在线申办法人部门服务导航</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按部门展示法人在线申办事项</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法人主题服务事项列表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按主题展示法人事项</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个人主题服务事项列表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按主题展示个人事项</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智能搜索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包括模糊搜索、精确搜索、按部门、主题搜索等多维度搜索以及搜索记录留痕等</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事项基本信息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事项基本信息展示，包括不限于事项名称、事项编码、事项类型、办理类型、法定办结时限等</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事项受理条件</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事项办理受理条件</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事项常见问题</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事项办理常见问题</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事项办理流程</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事项办理流程</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事项材料清单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事项办理所需材料清单，包括材料形式、材料类型、材料数量等。</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事项申办表单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事项申报填写表单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事项材料上传</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办件材料上传</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事项快递表单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事项快递材料填写表单</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预约办事</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预约事项列表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梳理并接入100个可预约事项，包括清单梳理、事项配置、相关对接等工作，具体事项列表详见方案</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预约事项详情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点击查看所预约事项详情，包括事项名称、预约时间、预约地点等关键信息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预约事项搜索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可搜索所预约事项</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预约内容填写</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页面交互、UI设计、页面开发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取消预约</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可对已预约事项进行取消</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修改预约</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可对已预约事项进行修改</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个人预约列表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可查看个人预约事项列表</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远程取号定制开发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结合预约实现大厅远程叫号功能</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无感叫号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结合大厅叫号功能，实现手机端实时推送排号信息，到号手机自动提醒功能</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个人预约详情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可查看个人已预约、待赴约、已完成事项详情</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消息通知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根据提供的统一消息接口推送办事预约结果消息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办件中心</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导航页</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可查看用户所有办件列表</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办件管理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包括办件拿回、受理通知书下载，满意度管理等</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草稿管理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包括草稿编辑、批量删除等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办件状态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可同步查看办件实时状态，包括全部、待受理、办理中、已办结、草稿箱</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办件搜索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可根据申请时间搜索用户所有办件</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办件筛选</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支持日期、状态等多维度筛选条件</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进度查询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可查看当前办件状态，包括超期、已办理、正在办理、跳过、未办理等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进度详情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查看当前办件基本信息，邮寄信息和材料信息等</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码上评价</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办件评价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评价个人办件</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办事指南评价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评价办事指南</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服务大厅评价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评价服务大厅</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评价列表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评价信息列表</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评价指标</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不同评价类型的评价内容</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评价结果</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评价结果展示查看</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我的关注</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我的关注空间</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个人关注收藏空间</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关注管理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取消、新增、筛选、查找关注等</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关注事项详情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关注事项详情</w:t>
            </w:r>
          </w:p>
        </w:tc>
      </w:tr>
      <w:tr>
        <w:tblPrEx>
          <w:tblCellMar>
            <w:top w:w="0" w:type="dxa"/>
            <w:left w:w="0" w:type="dxa"/>
            <w:bottom w:w="0" w:type="dxa"/>
            <w:right w:w="0" w:type="dxa"/>
          </w:tblCellMar>
        </w:tblPrEx>
        <w:trPr>
          <w:trHeight w:val="216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个人办事</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主题服务</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就业创业</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就业服务：根据不同群体以及就业流程服务等提供相关服务，包括不限于毕业生档案服务、毕业生求职招聘、毕业生补贴；失业人员再就业服务、失业救助领取等；灵活就业人员服务；就业服务机构、培训机构查询；就业指导咨询服务；继续教育服务等</w:t>
            </w:r>
          </w:p>
        </w:tc>
      </w:tr>
      <w:tr>
        <w:tblPrEx>
          <w:tblCellMar>
            <w:top w:w="0" w:type="dxa"/>
            <w:left w:w="0" w:type="dxa"/>
            <w:bottom w:w="0" w:type="dxa"/>
            <w:right w:w="0" w:type="dxa"/>
          </w:tblCellMar>
        </w:tblPrEx>
        <w:trPr>
          <w:trHeight w:val="162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2、创业服务：围绕创业流程环节，提供对应服务，包括不限于创业能力测评、创业咨询服务、创业场地租赁服务、企业代办服务、创业优惠政策服务、融资贷款服务、创业项目、创业机构查询、创业大赛服务等</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3、就业创业服务8个事项实施，包括业务策划、清单梳理、申办配置、相关对接的工作；具体事项列表详见方案；</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法律服务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地图服务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普法学法服务（案例库、知识库、法律法规等）</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综合查询服务（律师律所、基层法律服务、公证、法律援助、司法鉴定、人民调解）</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法律援助申请（援助申请、我的援助、进度查询）</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公证预约</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其他服务（琼州公证处、海南庭审直播网、中国裁判文书网）</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法律服务12个事项实施，包括业务策划、清单梳理、相关对接的工作；具体事项列表详见方案；</w:t>
            </w:r>
          </w:p>
        </w:tc>
      </w:tr>
      <w:tr>
        <w:tblPrEx>
          <w:tblCellMar>
            <w:top w:w="0" w:type="dxa"/>
            <w:left w:w="0" w:type="dxa"/>
            <w:bottom w:w="0" w:type="dxa"/>
            <w:right w:w="0" w:type="dxa"/>
          </w:tblCellMar>
        </w:tblPrEx>
        <w:trPr>
          <w:trHeight w:val="216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执业资格</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执业资格包括17个事项实施，包括教师、工程师、导游、会计、律师、司法鉴定人员、特种作业人员和其他职业相关执业资格证办理事项，实现掌上办理包括清单梳理、申办配置、相关对接的工作；具体事项列表详见方案，其中页面交互、UI设计、页面开发、接口开发、接口测试；</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查询服务：包括海南《就业失业登记证》查询、全国技工院校毕业证书查询、社保基金全监督检查证查询等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职业资格目录、专业技术人员职业资格考试计划查询服务</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住房保障</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提供住房保障服务包括不限于产权信箱查询、不动产证明核验、中介机构查询、住房保障政策等服务、相关事项实施等服务；</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教育考试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提供成绩查询、院校查询、学历学籍查询、各类执业资格考试事项办理、考试指南等</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个人一件事</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出生</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提供出生一件事服务导办，包括接种、出生医学证明、户口登记等一站式服务；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求学</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提供求学一件事服务，包括学区、报名、转学、升学等服务；</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退养</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提供退养一件事服务，包括退休金领取、养老保险服务、老年人优待证、市民卡等服务；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置业</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提供置业一件事服务，包括置业政策、不动产登记、契税服务等；</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婚育</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提供婚育一件事服务，包括婚姻登记预约、变更登记、离婚服务、电子结婚证、生育证办理等</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去世</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提供身后一件事服务，包括身份证明、死亡证明、户口注销、公积金提取、丧葬抚恤等；</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专区服务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海外归国专区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海外归国人员相关业务办理事项接入，包括境外人员服务、海归就业服务（人才补贴、华人华侨子女入学等福利政策）等；</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少数民族专区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为少数民族在求学实现高考加分资格确认、成分认定、生育优惠政策等方面提供掌上办、掌上查服务；</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农业农村专区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农业农村专区掌上办事项接入，包括涉农人员、团体组织的相关福利申领和信息查询、事项导办、政策推送等服务；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自贸港人才专区服务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天涯英才卡对接，展示人才等级及其他信息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人才认定事项申报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人才政策；展示各类人才政策</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人才服务：补贴领取、各类优惠服务等</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群体服务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志愿者服务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支持新用户实名注册成为志愿者，同时为热爱志愿服务人群提供志愿活动查询、报名，活动扫码计时、服务记录查询等服务</w:t>
            </w:r>
          </w:p>
        </w:tc>
      </w:tr>
      <w:tr>
        <w:tblPrEx>
          <w:tblCellMar>
            <w:top w:w="0" w:type="dxa"/>
            <w:left w:w="0" w:type="dxa"/>
            <w:bottom w:w="0" w:type="dxa"/>
            <w:right w:w="0" w:type="dxa"/>
          </w:tblCellMar>
        </w:tblPrEx>
        <w:trPr>
          <w:trHeight w:val="135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残疾人服务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残疾人服务业务接入，包括残疾人证业务、福利政策、补贴申请等政务服务申请及便民服务（便民设施、辅具配发）等方面的调研策划、清单梳理、业务协同对接等工作；</w:t>
            </w:r>
          </w:p>
        </w:tc>
      </w:tr>
      <w:tr>
        <w:tblPrEx>
          <w:tblCellMar>
            <w:top w:w="0" w:type="dxa"/>
            <w:left w:w="0" w:type="dxa"/>
            <w:bottom w:w="0" w:type="dxa"/>
            <w:right w:w="0" w:type="dxa"/>
          </w:tblCellMar>
        </w:tblPrEx>
        <w:trPr>
          <w:trHeight w:val="135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法人办事</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特色专区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园区服务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园区服务专区向园区工作人员、企业开办人员、配套人才等人员提供政策推送、招商引资、园区布局介绍、园区对比、园区指引、园区极简审批等服务；</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中介服务超市</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超市指南查看、我要入驻指南查看，主要包括业务梳理、内容策划、页面设计等工作；</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中介机构服务主要提供包括需求报名、中选信息查询、备案查询、基本信息展示等服务功能；</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需求公告主要包括公告信息检索、公告信息展示、需求公告信息详情展示、重点关注公告推送等服务；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中选公示主要包括中选公告公示、项目检索、中选公告详情查看等服务；</w:t>
            </w:r>
          </w:p>
        </w:tc>
      </w:tr>
      <w:tr>
        <w:tblPrEx>
          <w:tblCellMar>
            <w:top w:w="0" w:type="dxa"/>
            <w:left w:w="0" w:type="dxa"/>
            <w:bottom w:w="0" w:type="dxa"/>
            <w:right w:w="0" w:type="dxa"/>
          </w:tblCellMar>
        </w:tblPrEx>
        <w:trPr>
          <w:trHeight w:val="216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名片：以公共基础信息和企业授权使用信息为主要内容，形成企业专属个性化数字名片，多维呈现企业发展概况。企业在办事或商务活动中，服务主体、第三机构或第三方企业可以通过扫码获取企业信息，大幅减少企业办事所需的各种证明、资质、材料等。</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码上政策：向企业推送各类涉企政策，实现政策的精准直达、掌上阅览、在线咨询。</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码上要办：向企业推送多类高频办事事项，让企业办事无忧。</w:t>
            </w:r>
          </w:p>
        </w:tc>
      </w:tr>
      <w:tr>
        <w:tblPrEx>
          <w:tblCellMar>
            <w:top w:w="0" w:type="dxa"/>
            <w:left w:w="0" w:type="dxa"/>
            <w:bottom w:w="0" w:type="dxa"/>
            <w:right w:w="0" w:type="dxa"/>
          </w:tblCellMar>
        </w:tblPrEx>
        <w:trPr>
          <w:trHeight w:val="135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码上融资：提供线上融资服务，为企业提供多类金融贷款产品服务；提供金融方案咨询服务；金融机构线下扫码，可快速了解企业信用情况，简化评估流程；</w:t>
            </w:r>
          </w:p>
        </w:tc>
      </w:tr>
      <w:tr>
        <w:tblPrEx>
          <w:tblCellMar>
            <w:top w:w="0" w:type="dxa"/>
            <w:left w:w="0" w:type="dxa"/>
            <w:bottom w:w="0" w:type="dxa"/>
            <w:right w:w="0" w:type="dxa"/>
          </w:tblCellMar>
        </w:tblPrEx>
        <w:trPr>
          <w:trHeight w:val="135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码上诉求：与省统一政务咨询投诉举报平台的数据通道，实现数据实时共享，形成诉求快速提交、后台及时受理、部门限时答复、企业满意度评价的工作机制。</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自贸港政策专区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主要包括自贸港政策检索、领导讲话信息回放、自贸港最新福利推送等服务；</w:t>
            </w:r>
          </w:p>
        </w:tc>
      </w:tr>
      <w:tr>
        <w:tblPrEx>
          <w:tblCellMar>
            <w:top w:w="0" w:type="dxa"/>
            <w:left w:w="0" w:type="dxa"/>
            <w:bottom w:w="0" w:type="dxa"/>
            <w:right w:w="0" w:type="dxa"/>
          </w:tblCellMar>
        </w:tblPrEx>
        <w:trPr>
          <w:trHeight w:val="162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小微企业和个体工商户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中小微企业和个体工商户专区接入，包括中小微企业和个体工商户专区将围绕中小微企业优惠政策，快速办事通道，创业贷款和税务等内容的调研策划、清单梳理、业务协同对接等工作；</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群体服务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社会组织服务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提供不同社会组织包括民办非企业、基金会等组织的登记备案、信息变更等事项的掌上办、掌上查等服务；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律所服务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律师事务所所涉及的相关政务服务事项对接，实现移动端在线办理；</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旅游公司服务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从旅游公司开办的角度出发，对接相关旅游公司开办事项，实现可在线办理的目标；</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主题服务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企业开办</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以企业开办主线，梳理企业开办全生命周期的服务内容，主要包括生命周期梳理、业务协同对接、数据对接、页面展示内容策划等内容；</w:t>
            </w:r>
          </w:p>
        </w:tc>
      </w:tr>
      <w:tr>
        <w:tblPrEx>
          <w:tblCellMar>
            <w:top w:w="0" w:type="dxa"/>
            <w:left w:w="0" w:type="dxa"/>
            <w:bottom w:w="0" w:type="dxa"/>
            <w:right w:w="0" w:type="dxa"/>
          </w:tblCellMar>
        </w:tblPrEx>
        <w:trPr>
          <w:trHeight w:val="162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成长发展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从促进企业发展，带动全省经济的角度出发，梳理包括不限于企业补贴奖励、正负面清单、跨境贸易、金融产品服务、企业信用、总部企业认定等6个主题服务策划、业务协同对接、数据对接等工作；</w:t>
            </w:r>
          </w:p>
        </w:tc>
      </w:tr>
      <w:tr>
        <w:tblPrEx>
          <w:tblCellMar>
            <w:top w:w="0" w:type="dxa"/>
            <w:left w:w="0" w:type="dxa"/>
            <w:bottom w:w="0" w:type="dxa"/>
            <w:right w:w="0" w:type="dxa"/>
          </w:tblCellMar>
        </w:tblPrEx>
        <w:trPr>
          <w:trHeight w:val="135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项目投资</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从企业投资申报指引、申报指引到产权登记、用水用电等一条服务的理念出发，主要包括梳理相关服务内容、业务系统对接、数据对接、展示内容策划等工作；</w:t>
            </w:r>
          </w:p>
        </w:tc>
      </w:tr>
      <w:tr>
        <w:tblPrEx>
          <w:tblCellMar>
            <w:top w:w="0" w:type="dxa"/>
            <w:left w:w="0" w:type="dxa"/>
            <w:bottom w:w="0" w:type="dxa"/>
            <w:right w:w="0" w:type="dxa"/>
          </w:tblCellMar>
        </w:tblPrEx>
        <w:trPr>
          <w:trHeight w:val="135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企业日常</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调研企业日常中的常见需求，梳理包括职工社保、公积金缴纳、税务服务、法律服务等企业日常中的高频服务内容，并进行业务对接、数据对接、服务内容</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变更注销</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包括企业变更备案、企业注销等事项在线办理的业务协同对接和内容策划等工作；</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企业一件事</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一件事服务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提供企业一件事服务，包括不限于表单梳理合并，导办服务等.</w:t>
            </w:r>
          </w:p>
        </w:tc>
      </w:tr>
      <w:tr>
        <w:tblPrEx>
          <w:tblCellMar>
            <w:top w:w="0" w:type="dxa"/>
            <w:left w:w="0" w:type="dxa"/>
            <w:bottom w:w="0" w:type="dxa"/>
            <w:right w:w="0" w:type="dxa"/>
          </w:tblCellMar>
        </w:tblPrEx>
        <w:trPr>
          <w:trHeight w:val="54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扶贫领域场景</w:t>
            </w: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业务调研梳理</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精准识贫系统调研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精准识贫系统系统现状及业务流程调研</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精准帮扶系统调研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精准帮扶系统现状及业务流程调研</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精准脱贫系统调研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精准脱贫系统现状及业务流程调研</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扶贫数据分析系统调研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数据分析系统现状及业务流程调研</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扶贫绩效评估系统调研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绩效评估系统现状及业务流程调研</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精准扶贫移动客户端调研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精准扶贫移动客户端系统现状及业务流程调研</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海南省爱心扶贫网调研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调研海南爱心扶贫网系统现状及业务流程</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海南省扶贫政策法规调研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调研海南省各领域政策法规现状及实施情况</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全省扶贫相关资源目录梳理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对目前全省数据共享交换平台中的扶贫领域数据进行整理，梳理可用数据</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贫困人口入口</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码上上报</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救助申报信息表单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救助申报信息填写保单</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救助申报信息管理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新增、删除、修改、查询、筛选救助申报信息等</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救助申报信息列表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救助申报信息列表</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码上项目</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帮扶措施列表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帮扶措施列表展示、数据对接</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帮扶措施详情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帮扶措施内容详情展示、数据对接，包括帮扶收益、帮扶单位、帮扶时间等等</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码上政策</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福利政策</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贫困人员能够享受的各类优惠措施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信息公开</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政府各类公示信息展示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扶贫动态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各市县扶贫动态展示</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知识大讲堂</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种植业主题</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提供种植业的知识视频、农资产品配套服务等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养殖业主题</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提供养殖业的知识视频、农资产品配套服务等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加工业主题</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提供加工业的知识视频、产品销售配套服务等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综合服务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就业服务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提供贫困人员就业岗位信息和岗位技能服务</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法律服务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为贫困户提供法律咨询援助服务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贷款服务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提供针对贫困人口的贷款信息服务及优惠信息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码上查询</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贫困身份识别</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实现用户贫困身份的识别</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贫困户信息获取、查询展示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贫困户详细信息获取、查询展示</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贫困人口信息获取、查询展示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贫困人口信息获取、查询展示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我的家庭</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查询贫困户家庭成员信息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我的帮扶责任人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查看帮扶责任人的个人信息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码上认证</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贫困人口授权</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用户个人信息授权</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贫困人口信息认证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第三方认证贫困人口信息</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非贫困人口入口</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码上帮扶</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农产品商城、战役助农、帮扶榜样、当日达</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农产品商城、战役助农、帮扶榜样、当日达等页面、数据对接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码上信息</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信息公开</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贫困人员能够享受的各类优惠措施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扶贫动态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政府各类公示信息展示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扶贫旅游地图</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推送展示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推送贫困村旅游特色展示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旅游地图查询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展示旅游景区各类服务信息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扶贫帮扶服务（针对帮扶责任人）</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我的帮扶对象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帮扶负责人信息查看、救助申请记录查看</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就业信息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帮扶责任人查看、分享各类就业信息至贫困人口</w:t>
            </w:r>
          </w:p>
        </w:tc>
      </w:tr>
      <w:tr>
        <w:tblPrEx>
          <w:tblCellMar>
            <w:top w:w="0" w:type="dxa"/>
            <w:left w:w="0" w:type="dxa"/>
            <w:bottom w:w="0" w:type="dxa"/>
            <w:right w:w="0" w:type="dxa"/>
          </w:tblCellMar>
        </w:tblPrEx>
        <w:trPr>
          <w:trHeight w:val="81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信用领域</w:t>
            </w: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业务梳理调研</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海南自贸试验区信用信息共享平台调研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调研海南自贸试验区信用信息共享平台现状和业务流程</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海南省市场监管综合业务平台调研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调研海南省市场监管综合业务平台现状和业务流程</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市场监管行政执法办案系统调研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调研市场监管行政执法办案系统现状和业务流程</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自贸区商事登记业务系统调研</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调研自贸区商事登记业务系统现状和业务流程</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我的信用</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订阅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可订阅“码上信用”场景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分享</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可分享“码上信用”场景；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信用详情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可查看企业信用详情；</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我的信用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查看个人信用分</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信用查询</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我的企业</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可查看用户绑定企业名称和详情；</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企业诚实守信黑名单查询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可查看用户绑定企业是否被纳入诚实守信黑名单；</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企业诚实守信红名单查询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可查看用户绑定企业是否被纳入诚实守信红名单；</w:t>
            </w:r>
          </w:p>
        </w:tc>
      </w:tr>
      <w:tr>
        <w:tblPrEx>
          <w:tblCellMar>
            <w:top w:w="0" w:type="dxa"/>
            <w:left w:w="0" w:type="dxa"/>
            <w:bottom w:w="0" w:type="dxa"/>
            <w:right w:w="0" w:type="dxa"/>
          </w:tblCellMar>
        </w:tblPrEx>
        <w:trPr>
          <w:trHeight w:val="108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信用地图</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企业信用分类化查询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针对企业信用查询和管理推出了一张覆盖全省企业的电子“信用地图”，通过该地图，可查询企业守信失信记录</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企业信用管理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实现企业信用信息区域化管理。在“信用地图”上，点击任意一家企业，信用记录、法人、工商登记等信息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企业信用热点集合展示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通过地图上热点和集合的展示，可以掌握企业信用情况的变化</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“信易游”</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信用游试点酒店查询/筛选</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展示试点信用度良好的酒店</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信用游试点景点查询/筛选</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展示试点信用度良好的景点</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信用游试点餐馆查询/筛选</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展示试点信用度良好的餐馆</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信用游试点购物查询/筛选</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展示试点信用度良好的购物场所</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“信易批”</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我的申请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信用分高企业可提出“容缺受理”申请</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跟踪督办</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用户可实时查询申请流程，并进行在线督办</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容缺服务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可在线查看不同信用等级办理事项时容缺材料详情等</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信用激励</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信用分高的企业可享受激励措施，查看被激励记录等</w:t>
            </w: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医疗健康</w:t>
            </w:r>
          </w:p>
        </w:tc>
        <w:tc>
          <w:tcPr>
            <w:tcW w:w="48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电子健康卡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用户个人电子健康卡管理</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基本信息</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显示用户姓名、身份证号、年龄、性别、血型等基本信息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既往史</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描述用户既往病史</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生活环境</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描述用户常住地的生活环境</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家庭档案</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记录用户个人及家庭成员的健康档案信息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健康管理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记录用户的身体各项数据，包括步数、血压、血糖等信息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门诊记录</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病历记录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查询门诊病历记录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处方记录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查询门诊处方记录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报告查询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查询门诊报告记录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住院记录</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入院信息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查询入院记录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出院信息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查询出院记录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病程记录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查询住院病程记录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医嘱信息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查询住院医嘱信息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报告查询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查询住院报告</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检验检查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查询检验检查记录</w:t>
            </w: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医保服务对接</w:t>
            </w: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医保电子凭证</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申领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实名实人认证，申领医保电子凭证</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查看</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查看医保电子凭证信息，包含个人基本信息及医保电子凭证二维码</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业务查询</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医保账户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查询到个人的基本信息以及医保账户信息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定点机构</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查询海南省定点医疗机构</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诊疗项目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查询用户个人在就医过程中所使用的具体诊疗项目信息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药品目录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查询使用药品信息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缴费记录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查询用户医保缴费记录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消费记录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查询用户医保消费记录</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医用耗材</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查询用户在医院治疗过程中使用过的医用耗材信息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医疗设施</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查询在诊疗过程中使用的医疗服务设施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业务办理</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异地就医备案</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线上异地就医备案登记</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居民参保登记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线上完成居民参保登记</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门诊挂号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门诊线上预约挂号</w:t>
            </w: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社保服务对接</w:t>
            </w:r>
          </w:p>
        </w:tc>
        <w:tc>
          <w:tcPr>
            <w:tcW w:w="48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社保卡申领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实名实人认证，申领医保电子凭证</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基础功能</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查看证件</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支持查看电子社保卡的详细信息</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我的</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支持开通缴费结算服务、我的社保卡、订单、银行卡、亲情服务、帮助中心、我要反馈、设置等功能服务</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电子社保码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查看</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本地服务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社保查询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在线查询社保缴纳信息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毕业生报到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在线办理毕业生报到</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专题服务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防疫健康信息码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健康码打码</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返岗复工服务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返岗服务信息查询</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就业创业</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就业在线</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招聘应聘</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就业创业证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在线查询就业创业证</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失业登记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失业人员在线登记</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失业登记审核结果</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查询失业登记审核记录的结果信息</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社会保险</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个人社保权益单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记载参保人员及其用人单位履行社会保险义务、享受社会保险权益状况的信息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个人社保权益单开通地区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查询全国各地个人社保权益单开通的地区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社保转移申请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在线申请社保转移</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社保转移申请审核结果</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查询社保转移申请后的审核结果信息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社保转移进度</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查询社保转移后的进度状态信息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社保转移申请开通地区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查询全国社保已转申请已经开通的地区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各地社保转移经办机构</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查询全国各地社保转移经办的机构</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社保待遇资格认证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查询社保待遇资格认证信息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养老金测算</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测算退休后养老金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失业保险待遇申领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在线申请失业保险待遇</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各地失业金申领渠道</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查询全国各地失业金线上申领渠道信息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各地企业稳岗返还申领渠道</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查询全国各地企业稳岗返还线上申领渠道信息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境外社保免缴证明申请状态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查询境外社保免缴证明申请状态</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社保基金监督检查证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通过社保基金监督检查证证件号码查询信息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社保网上办事大厅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查询全国各市的社保网上办事大厅的相关信息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人才人事</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技工院校毕业证书</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支持通过证书编号、身份证号、姓名等信息查询技工院校毕业证书信息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技能人员职业资格证书</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支持在线查询技能人员职业资格证书信息</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专业技术人员考试成绩查询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支持通过证件号码、考生姓名、考试名称等信息查询专业技术人员考试成绩信息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专业技术人员职业资格证书</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支持在线查询专业技术人员职业资格证书信息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劳动关系</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劳动人事争议调解申请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在线办理劳动人事争议调解申请</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劳动人事争议调解进展查询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在线查询劳动人事争议调解申请的进展情况信息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社保卡服务</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社会保障卡应用状态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查询全国各地社会保障卡应用状态信息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各地社保卡跨省服务网点</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查询全国各地社保卡跨省服务网点信息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各地社保卡即时补换网点</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查询全国各地社保卡即时补换网点信息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各地社保卡线上服务渠道</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查询全国各地社保卡线上服务渠道信息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电子社保卡开通渠道</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查询所有电子社保卡开通渠道信息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移动支付</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订单管理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查询使用电子社保卡支付的订单信息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银行卡管理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管理银行卡，支持添加、删除</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移动支付网点查询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查询用户所在地开通电子社保卡移动支服务</w:t>
            </w: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医院场景服务</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在线挂号</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按医院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按医院维度进行挂号</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按科室</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按科室维度进行挂号</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按疾病维度进行挂号</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医生信息展示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展示医生信息展示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号源信息展示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号源信息展示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支付模块整体设计开发</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支付模块整体设计开发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搜索功能</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按医院、科室、疾病进行搜索</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我的挂号-待支付</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查看我的挂号待支付信息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我的挂号-已支付</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查看我的挂号已支付信息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我的挂号-已取消</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查看我的挂号已取消信息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门诊缴费</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待缴费</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查询门诊待缴费订单信息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已缴费</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查询门诊已缴费订单信息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报告查询</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门诊-按医院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按医院维度查询门诊报告信息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门诊-按时间</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按时间维度查询门诊报告信息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门诊-按疾病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按疾病维度查询门诊报告信息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住院-按医院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按医院维度查询住院报告信息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住院-按时间</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按时间维度查询住院报告信息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住院-按疾病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按疾病维度查询住院报告信息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电子病历</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按医院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按医院维度查询电子病历信息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按时间</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按时间维度查询电子病历信息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按疾病维度查询电子病历信息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智慧接种</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疫苗知识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疫苗知识的科普</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预约接种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线上选择医院、时间预约接种</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预约记录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查询往期接种记录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接种点查询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查询本市可预约的接种点</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智能导诊</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按疾病进行挂号导诊，引导用户挂号</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人体图导诊</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按人体图形式进行挂号导诊，用户通过点击“人体图”各部位，系统引导用户挂号</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提醒服务</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用药提醒</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提醒患者按时用药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复诊提醒</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提醒患者进行复诊</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在线问诊</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用户线上问诊</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接口服务</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获取历次就诊记录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提供历次就诊数据接口，查询患者的历次就诊记录信息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获取处方</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提供医院处方查询接口，查询医生开具的处方信息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获取病历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提供病历查询接口，查询病历信息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 xml:space="preserve">历次就诊费用信息 </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提供就诊费用查询接口，查询患者历次就诊费用信息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获取健康卡(根据身份证号查询his系统档案信息)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提供健康卡数据接口，查询患者个人基本信息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成人建档接口</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提供成人建档接口，建立成人健康档案</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 xml:space="preserve">儿童建档  </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提供儿童建档接口，建立儿童健康档案</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 xml:space="preserve">门诊缴费代缴列表 (今日待缴、历史待缴) </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提供门诊缴费数据接口，查询门诊信息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历史已缴</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提供历史已缴接口，查询历史已缴信息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 xml:space="preserve">校验支付前的账单 </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提供账单信息接口，查询校验支付账单信息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获取结算类型(历史已缴详情)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提供已缴信息接口，查询历史已缴信息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 xml:space="preserve">门诊缴费同步给his </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提供同步接口，将门诊信息同步到HIS端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查询住院历次就诊列表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提供住院记录接口，查询住院历次就诊列表</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住院历次就诊基本信息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提供住院记录接口，查询住院历次就诊基本信息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住院历次结帐构成</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提供住院记录、支付接口，查询住院历次结账信息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住院历次就诊费用汇总</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提供住院费用接口，查询住院历次就诊费用信息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住院历次就诊费用清单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提供住院费用清单接口，查询住院历次就诊费用清单信息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查病历（患者）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提供患者病历接口，查询患者病历信息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历次检验</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提供检验记录接口，查询患者历次检验数据信息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查询院区列表接口</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提供院区接口，查询院区列表信息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查询科室列表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提供科室接口，查询科室列表信息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查询出诊医生列表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提供医生排班接口，查询出诊医生列表信息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查询出诊医生列表7天</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提供医生排班接口，查询7天内的出诊医生列表信息</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根据医生查询可挂号时间段和余号列表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提供挂号接口、号源接口、医生列表接口，查询医生可挂号时间段及余号列表</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提交挂号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提供挂号接口，提交挂号</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锁定号源</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提供号源接口、挂号接口，将号源池锁定</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查询可挂的七天号源数(根据医生查询号源列表接口)</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提供号源数据接口、医生列表接口，查询可挂的七天号源数据</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退号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提供号源池接口、挂号接口，完成退号操作</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根据病人ID查询挂号记录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提供病人ID接口、挂号信息接口，根据病人ID查询挂号记录</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锁号校验</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提供号源池接口、锁号接口，完成锁号校验功能</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根据医生、科室名称查询医生列表接口</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提供医生列表接口、科室列表接口，根据医生、科室名称查询医生信息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获取医生信息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提供医生列表接口，查询医生信息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检查报告</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提供报告数据接口，查询检查报告信息</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根据病人ID查询指定时间段的检验检查报告列表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提供病人ID接口、检验检查报告列表接口，查询对应时间段内的检验检查报告信息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获取指定检验报告详细信息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提供报告信息接口，获取检验报告信息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获取指定检验结果明细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提供检验报告数据接口，获取检验结果明细信息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获取指定检查报告详细信息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提供检查报告数据接口，获取检查报告详细信息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获取指定检查报告详细信息（诊断）</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提供检查报告数据接口，获取检查报告详细信息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检验结果历史数据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提供检验报告接口，查询检验结果历史数据信息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根据报告ID获取影像URL</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提供影像数据接口，报告信息接口，获取影像URL</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获取检查报告图片</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提高报告数据接口，报告图片接口，获取检查报告图片</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医生电脑端</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整体电脑版框架搭建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PC版页面设计、应用搭建</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患者扫码功能</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扫描患者“码上办事”二维码，读取信息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报告查询-门诊-按医院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按医院维度查询门诊报告信息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报告查询-门诊-按时间</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按时间维度查询门诊报告信息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报告查询-门诊-按疾病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按疾病维度查询门诊报告信息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报告查询-住院-按医院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按医院维度查询住院报告信息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报告查询-住院-按时间</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按时间维度查询住院报告信息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报告查询-住院-按疾病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按疾病维度查询住院报告信息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电子病历-按医院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按医院维度查询电子病历信息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电子病历-按时间</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按时间维度查询电子病历信息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电子病历-按疾病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按疾病维度查询电子病历信息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体检报告-体检报告</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按疾病维度查询电子病历信息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登录页面-注册用户</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提供用户注册功能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登录页面-短信验证码登录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提供用户短信验证码登录功能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登录页-扫码登录功能</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使用app扫码登录功能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登录页面-找回密码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提供用户找回密码功能</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授予用户角色权限</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授予用户某角色权限</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药店服务</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线下买药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线下根据医生处方在药店买药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线上买药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线上购药，支付后送货上门</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发热门诊</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数据调用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发热门诊挂号就诊调用数据</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新冠肺炎</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国外疫情信息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新冠肺炎实时疫情信息展示调用国外数据</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国内疫情信息</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新冠肺炎实时疫情信息展示调用国内数据</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个人服务中心</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家庭管理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家庭成员管理，添加、删除、编辑</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挂号记录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查询用户历次挂号记录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关注记录</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查询个人收藏记录</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医院服务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查询医院服务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线下医院场景</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自助机服务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线下自助机示码挂号、缴费支付、报告查询</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护士站签到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用户线下缴费前在护士站签到，按签到次序就诊</w:t>
            </w: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消费场景</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交通出行</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乘车码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接入公交乘车码，凭码乘车</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实时公交</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接入实施公交服务</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台风实时路径</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接入省水务厅台风实时路径信息服务</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充电桩查询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查询附近的充电桩信息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城际大巴服务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城际大巴信息查询与购票对接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动车高铁</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动车高铁购票服务对接</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天气服务</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接入天气服务，当日天气、15日预报、分时天气预报等服务；</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优惠生活</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海南免税</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对接海南免税平台，优惠信息互通，用户体系互通</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三亚免税</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对接三亚免税平台，优惠信息互通，用户体系互通</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扶贫助农</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对接爱心扶贫网，提供爱心助农渠道，打通用户体系</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银联优惠中心对接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接入了银联本地生活优惠券。实现在码上办事领取银联商户的优惠券，并支持亮码核销。</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便民服务</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生活缴费</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充值中心</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免税额度查询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对接国际贸易单一窗口平台，接入免税额度查询服务能力</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文化体育</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运动银行</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演出展览</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赛事活动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省图书馆对接</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图书馆微服务大厅对接</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数目检索对接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证（解）绑定</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新书通报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我的借阅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读者活动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图书推荐</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我的书架</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我的活动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我的荐购</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我的借阅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门禁闸机对接</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扫码进出馆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场馆人员统计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场馆参数配置</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设置开馆、闭馆时间、在馆人数上限等参数</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在馆人数统计展示</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展示当前在馆人数</w:t>
            </w: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省博物馆对接</w:t>
            </w:r>
          </w:p>
        </w:tc>
        <w:tc>
          <w:tcPr>
            <w:tcW w:w="48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预约系统对接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掌上预约</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48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门禁系统对接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凭码进出</w:t>
            </w:r>
          </w:p>
        </w:tc>
      </w:tr>
      <w:tr>
        <w:tblPrEx>
          <w:tblCellMar>
            <w:top w:w="0" w:type="dxa"/>
            <w:left w:w="0" w:type="dxa"/>
            <w:bottom w:w="0" w:type="dxa"/>
            <w:right w:w="0" w:type="dxa"/>
          </w:tblCellMar>
        </w:tblPrEx>
        <w:trPr>
          <w:trHeight w:val="54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中国南海博物馆对接</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公告栏</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重要通知</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如特殊时期开闭馆公告、特殊天气温馨提示等</w:t>
            </w:r>
          </w:p>
        </w:tc>
      </w:tr>
      <w:tr>
        <w:tblPrEx>
          <w:tblCellMar>
            <w:top w:w="0" w:type="dxa"/>
            <w:left w:w="0" w:type="dxa"/>
            <w:bottom w:w="0" w:type="dxa"/>
            <w:right w:w="0" w:type="dxa"/>
          </w:tblCellMar>
        </w:tblPrEx>
        <w:trPr>
          <w:trHeight w:val="81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电子优惠券</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节假日线下文创商店电子优惠券领取，关注公众号认领，具体使用流程需文创信息部确定</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门票预约</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个人预约</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通过文字说明进馆流程，并附上服务台联系方式及其他相关必要信息</w:t>
            </w:r>
          </w:p>
        </w:tc>
      </w:tr>
      <w:tr>
        <w:tblPrEx>
          <w:tblCellMar>
            <w:top w:w="0" w:type="dxa"/>
            <w:left w:w="0" w:type="dxa"/>
            <w:bottom w:w="0" w:type="dxa"/>
            <w:right w:w="0" w:type="dxa"/>
          </w:tblCellMar>
        </w:tblPrEx>
        <w:trPr>
          <w:trHeight w:val="54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团队预约</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通过文字说明团队预约流程，并附上服务台联系方式及其他相关必要信息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活动预约</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社教活动</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提供社教活动预约渠道</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志愿者</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提供志愿者申请及登录渠道</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展览信息</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开放展览</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当前对外开放展览的信息</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虚拟展览</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线上虚拟展厅</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文创商店</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新品上新</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展示最新文创产品</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产品推介</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馆内现有文创产品展示</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网上商城</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线上购买渠道</w:t>
            </w: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教育服务建设</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海口市中小学学位申请应用</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申请端H5开发</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幼升小阶段</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海口市城区户籍申请（公办）</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海口市城乡户籍申请（公办）</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非海口市户籍申请（公办）</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港澳台、华侨申请（公办）</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民办学校申请</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小升初阶段</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海口市城区户籍申请（公办）</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海口市城乡户籍申请（公办）</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非海口市户籍申请（公办）</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港澳台、华侨申请（公办）</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民办学校申请</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学区查询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后端管理系统</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学位申请管理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查询</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详情</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审核</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学区分配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分区统计分析</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权限管理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用户管理</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角色管理</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权限管理</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组织管理</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预约管理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预约报送资料</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短信管理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学校片区划分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核查接口管理</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不动产查询接口对接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房屋备案接口对接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户籍信息接口对接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居住证接口对接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社保接口对接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新生儿出生信息接口对接</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考试服务对接</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高学历证书查询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普通话证书查询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英语四六级成绩查询</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民生保障服务建设</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警民通服务对接</w:t>
            </w: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出入境服务接入68项</w:t>
            </w:r>
          </w:p>
        </w:tc>
        <w:tc>
          <w:tcPr>
            <w:tcW w:w="3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每项服务均是以接口的形式接入到本平台，考虑到共性工作如测试、联调等工作，每项服务按0.2人月计算</w:t>
            </w: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法制服务接入10项</w:t>
            </w:r>
          </w:p>
        </w:tc>
        <w:tc>
          <w:tcPr>
            <w:tcW w:w="3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户政服务接入125项</w:t>
            </w:r>
          </w:p>
        </w:tc>
        <w:tc>
          <w:tcPr>
            <w:tcW w:w="3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交警服务接入32项</w:t>
            </w:r>
          </w:p>
        </w:tc>
        <w:tc>
          <w:tcPr>
            <w:tcW w:w="3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r>
        <w:tblPrEx>
          <w:tblCellMar>
            <w:top w:w="0" w:type="dxa"/>
            <w:left w:w="0" w:type="dxa"/>
            <w:bottom w:w="0" w:type="dxa"/>
            <w:right w:w="0" w:type="dxa"/>
          </w:tblCellMar>
        </w:tblPrEx>
        <w:trPr>
          <w:trHeight w:val="27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p>
        </w:tc>
        <w:tc>
          <w:tcPr>
            <w:tcW w:w="36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治安服务接入53项</w:t>
            </w:r>
          </w:p>
        </w:tc>
        <w:tc>
          <w:tcPr>
            <w:tcW w:w="3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p>
        </w:tc>
      </w:tr>
    </w:tbl>
    <w:p/>
    <w:p>
      <w:pPr>
        <w:pStyle w:val="6"/>
        <w:spacing w:before="240" w:after="240"/>
        <w:ind w:left="426"/>
      </w:pPr>
      <w:r>
        <w:t>2.3</w:t>
      </w:r>
      <w:r>
        <w:rPr>
          <w:rFonts w:hint="eastAsia"/>
        </w:rPr>
        <w:t>.3 实施推广采购清单</w:t>
      </w:r>
    </w:p>
    <w:tbl>
      <w:tblPr>
        <w:tblStyle w:val="53"/>
        <w:tblW w:w="9210" w:type="dxa"/>
        <w:jc w:val="center"/>
        <w:tblLayout w:type="autofit"/>
        <w:tblCellMar>
          <w:top w:w="0" w:type="dxa"/>
          <w:left w:w="0" w:type="dxa"/>
          <w:bottom w:w="0" w:type="dxa"/>
          <w:right w:w="0" w:type="dxa"/>
        </w:tblCellMar>
      </w:tblPr>
      <w:tblGrid>
        <w:gridCol w:w="593"/>
        <w:gridCol w:w="855"/>
        <w:gridCol w:w="1380"/>
        <w:gridCol w:w="1005"/>
        <w:gridCol w:w="3390"/>
        <w:gridCol w:w="1987"/>
      </w:tblGrid>
      <w:tr>
        <w:tblPrEx>
          <w:tblCellMar>
            <w:top w:w="0" w:type="dxa"/>
            <w:left w:w="0" w:type="dxa"/>
            <w:bottom w:w="0" w:type="dxa"/>
            <w:right w:w="0" w:type="dxa"/>
          </w:tblCellMar>
        </w:tblPrEx>
        <w:trPr>
          <w:trHeight w:val="480" w:hRule="atLeast"/>
          <w:jc w:val="center"/>
        </w:trPr>
        <w:tc>
          <w:tcPr>
            <w:tcW w:w="593" w:type="dxa"/>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序号</w:t>
            </w:r>
          </w:p>
        </w:tc>
        <w:tc>
          <w:tcPr>
            <w:tcW w:w="855"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名称</w:t>
            </w:r>
          </w:p>
        </w:tc>
        <w:tc>
          <w:tcPr>
            <w:tcW w:w="138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推广服务子项名称</w:t>
            </w:r>
          </w:p>
        </w:tc>
        <w:tc>
          <w:tcPr>
            <w:tcW w:w="1005"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内容</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内容概述</w:t>
            </w: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备注</w:t>
            </w:r>
          </w:p>
        </w:tc>
      </w:tr>
      <w:tr>
        <w:tblPrEx>
          <w:tblCellMar>
            <w:top w:w="0" w:type="dxa"/>
            <w:left w:w="0" w:type="dxa"/>
            <w:bottom w:w="0" w:type="dxa"/>
            <w:right w:w="0" w:type="dxa"/>
          </w:tblCellMar>
        </w:tblPrEx>
        <w:trPr>
          <w:trHeight w:val="960" w:hRule="atLeast"/>
          <w:jc w:val="center"/>
        </w:trPr>
        <w:tc>
          <w:tcPr>
            <w:tcW w:w="59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实施推广服务</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推广活动</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线上推广活动</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与海南当地热门微信、微博账户以及当地论坛合作</w:t>
            </w: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规模：20000人/次，全年2次</w:t>
            </w:r>
          </w:p>
        </w:tc>
      </w:tr>
      <w:tr>
        <w:tblPrEx>
          <w:tblCellMar>
            <w:top w:w="0" w:type="dxa"/>
            <w:left w:w="0" w:type="dxa"/>
            <w:bottom w:w="0" w:type="dxa"/>
            <w:right w:w="0" w:type="dxa"/>
          </w:tblCellMar>
        </w:tblPrEx>
        <w:trPr>
          <w:trHeight w:val="740" w:hRule="atLeast"/>
          <w:jc w:val="center"/>
        </w:trPr>
        <w:tc>
          <w:tcPr>
            <w:tcW w:w="59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社区网络服务</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社区居民应用推广</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居委会协同推广</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活动形式：地推</w:t>
            </w: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共计21场，规模：30-50人/场</w:t>
            </w:r>
          </w:p>
        </w:tc>
      </w:tr>
      <w:tr>
        <w:tblPrEx>
          <w:tblCellMar>
            <w:top w:w="0" w:type="dxa"/>
            <w:left w:w="0" w:type="dxa"/>
            <w:bottom w:w="0" w:type="dxa"/>
            <w:right w:w="0" w:type="dxa"/>
          </w:tblCellMar>
        </w:tblPrEx>
        <w:trPr>
          <w:trHeight w:val="1560" w:hRule="atLeast"/>
          <w:jc w:val="center"/>
        </w:trPr>
        <w:tc>
          <w:tcPr>
            <w:tcW w:w="59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应用场景推广</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热门应用场景推广</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选择码上办事热门应用场景包含海南省人民医院、海南市场监督管理局、交警支队、公安局、公积金管理局、社保管理局、市政服务中心、国土大厦、社保局、政务中心、妇幼保健院、免税商城</w:t>
            </w: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应用场景</w:t>
            </w:r>
            <w:r>
              <w:rPr>
                <w:rFonts w:hint="eastAsia" w:ascii="宋体" w:hAnsi="宋体" w:cs="宋体"/>
                <w:kern w:val="0"/>
                <w:szCs w:val="21"/>
              </w:rPr>
              <w:br w:type="textWrapping"/>
            </w:r>
            <w:r>
              <w:rPr>
                <w:rFonts w:hint="eastAsia" w:ascii="宋体" w:hAnsi="宋体" w:cs="宋体"/>
                <w:kern w:val="0"/>
                <w:szCs w:val="21"/>
              </w:rPr>
              <w:t>每个场景推广7天</w:t>
            </w:r>
            <w:r>
              <w:rPr>
                <w:rFonts w:hint="eastAsia" w:ascii="宋体" w:hAnsi="宋体" w:cs="宋体"/>
                <w:kern w:val="0"/>
                <w:szCs w:val="21"/>
              </w:rPr>
              <w:br w:type="textWrapping"/>
            </w:r>
            <w:r>
              <w:rPr>
                <w:rFonts w:hint="eastAsia" w:ascii="宋体" w:hAnsi="宋体" w:cs="宋体"/>
                <w:kern w:val="0"/>
                <w:szCs w:val="21"/>
              </w:rPr>
              <w:t>每个场景推广2人</w:t>
            </w:r>
          </w:p>
        </w:tc>
      </w:tr>
      <w:tr>
        <w:tblPrEx>
          <w:tblCellMar>
            <w:top w:w="0" w:type="dxa"/>
            <w:left w:w="0" w:type="dxa"/>
            <w:bottom w:w="0" w:type="dxa"/>
            <w:right w:w="0" w:type="dxa"/>
          </w:tblCellMar>
        </w:tblPrEx>
        <w:trPr>
          <w:trHeight w:val="918" w:hRule="atLeast"/>
          <w:jc w:val="center"/>
        </w:trPr>
        <w:tc>
          <w:tcPr>
            <w:tcW w:w="59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推广内容服务</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推广材料撰写</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推广文案编写</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主题：省市重大活动、新增服务单位上线、版本更新等</w:t>
            </w: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65篇/年</w:t>
            </w:r>
          </w:p>
        </w:tc>
      </w:tr>
      <w:tr>
        <w:tblPrEx>
          <w:tblCellMar>
            <w:top w:w="0" w:type="dxa"/>
            <w:left w:w="0" w:type="dxa"/>
            <w:bottom w:w="0" w:type="dxa"/>
            <w:right w:w="0" w:type="dxa"/>
          </w:tblCellMar>
        </w:tblPrEx>
        <w:trPr>
          <w:trHeight w:val="1100" w:hRule="atLeast"/>
          <w:jc w:val="center"/>
        </w:trPr>
        <w:tc>
          <w:tcPr>
            <w:tcW w:w="59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素材设计和视频制作</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宣传物料</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如展架、易拉宝、折页宣传单、吉祥物）：需根据线下应用场景推广需求设计画面并制作物料</w:t>
            </w: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共需设计画面40个/年（展架12个/年，易拉宝12个/年，折页4个/年，海报12个/年</w:t>
            </w:r>
          </w:p>
        </w:tc>
      </w:tr>
      <w:tr>
        <w:tblPrEx>
          <w:tblCellMar>
            <w:top w:w="0" w:type="dxa"/>
            <w:left w:w="0" w:type="dxa"/>
            <w:bottom w:w="0" w:type="dxa"/>
            <w:right w:w="0" w:type="dxa"/>
          </w:tblCellMar>
        </w:tblPrEx>
        <w:trPr>
          <w:trHeight w:val="1135" w:hRule="atLeast"/>
          <w:jc w:val="center"/>
        </w:trPr>
        <w:tc>
          <w:tcPr>
            <w:tcW w:w="59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视频制作</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主要应用于重大活动及场合的视频宣传，完整地进行系统展示</w:t>
            </w: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2条/年</w:t>
            </w:r>
          </w:p>
        </w:tc>
      </w:tr>
      <w:tr>
        <w:tblPrEx>
          <w:tblCellMar>
            <w:top w:w="0" w:type="dxa"/>
            <w:left w:w="0" w:type="dxa"/>
            <w:bottom w:w="0" w:type="dxa"/>
            <w:right w:w="0" w:type="dxa"/>
          </w:tblCellMar>
        </w:tblPrEx>
        <w:trPr>
          <w:trHeight w:val="1933" w:hRule="atLeast"/>
          <w:jc w:val="center"/>
        </w:trPr>
        <w:tc>
          <w:tcPr>
            <w:tcW w:w="59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今日头条</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今日头条</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1、关注海南省、海口市政府网站，筛选海南重大新闻资讯。</w:t>
            </w:r>
            <w:r>
              <w:rPr>
                <w:rFonts w:hint="eastAsia" w:ascii="宋体" w:hAnsi="宋体" w:cs="宋体"/>
                <w:kern w:val="0"/>
                <w:szCs w:val="21"/>
              </w:rPr>
              <w:br w:type="textWrapping"/>
            </w:r>
            <w:r>
              <w:rPr>
                <w:rFonts w:hint="eastAsia" w:ascii="宋体" w:hAnsi="宋体" w:cs="宋体"/>
                <w:kern w:val="0"/>
                <w:szCs w:val="21"/>
              </w:rPr>
              <w:t>2、重新进行图文编辑（包含视频），每日晨间更新。</w:t>
            </w:r>
            <w:r>
              <w:rPr>
                <w:rFonts w:hint="eastAsia" w:ascii="宋体" w:hAnsi="宋体" w:cs="宋体"/>
                <w:kern w:val="0"/>
                <w:szCs w:val="21"/>
              </w:rPr>
              <w:br w:type="textWrapping"/>
            </w:r>
            <w:r>
              <w:rPr>
                <w:rFonts w:hint="eastAsia" w:ascii="宋体" w:hAnsi="宋体" w:cs="宋体"/>
                <w:kern w:val="0"/>
                <w:szCs w:val="21"/>
              </w:rPr>
              <w:t>3、以南海网、海南日报、海口晚报、海南特区报、国际旅游岛商报、海南广播电视台、海口广播电视台为主要新闻来源，头条进行内容取舍、整理发布。</w:t>
            </w: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3条/日，1095条/年</w:t>
            </w:r>
          </w:p>
        </w:tc>
      </w:tr>
      <w:tr>
        <w:tblPrEx>
          <w:tblCellMar>
            <w:top w:w="0" w:type="dxa"/>
            <w:left w:w="0" w:type="dxa"/>
            <w:bottom w:w="0" w:type="dxa"/>
            <w:right w:w="0" w:type="dxa"/>
          </w:tblCellMar>
        </w:tblPrEx>
        <w:trPr>
          <w:trHeight w:val="2203" w:hRule="atLeast"/>
          <w:jc w:val="center"/>
        </w:trPr>
        <w:tc>
          <w:tcPr>
            <w:tcW w:w="59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第三方平台推广及Push推送</w:t>
            </w: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微信公众号</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选择包括微信公众号、新浪微博、支付宝生活号等第三方平台进行宣传。提升APP活跃度，引导用户手动将软文转到微信群、朋友圈、QQ群、贴吧、论坛等有流量的公共平台上。2、不定期Push推送，主要针对天气/灾害/路况等突发信息，在字数要求内进行编写，及时传达给用户。</w:t>
            </w: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公众号图文3条/天，1095条/年</w:t>
            </w:r>
          </w:p>
        </w:tc>
      </w:tr>
      <w:tr>
        <w:tblPrEx>
          <w:tblCellMar>
            <w:top w:w="0" w:type="dxa"/>
            <w:left w:w="0" w:type="dxa"/>
            <w:bottom w:w="0" w:type="dxa"/>
            <w:right w:w="0" w:type="dxa"/>
          </w:tblCellMar>
        </w:tblPrEx>
        <w:trPr>
          <w:trHeight w:val="913" w:hRule="atLeast"/>
          <w:jc w:val="center"/>
        </w:trPr>
        <w:tc>
          <w:tcPr>
            <w:tcW w:w="59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新浪微博</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szCs w:val="21"/>
              </w:rPr>
            </w:pP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3条/天，1095条/年</w:t>
            </w:r>
          </w:p>
        </w:tc>
      </w:tr>
      <w:tr>
        <w:tblPrEx>
          <w:tblCellMar>
            <w:top w:w="0" w:type="dxa"/>
            <w:left w:w="0" w:type="dxa"/>
            <w:bottom w:w="0" w:type="dxa"/>
            <w:right w:w="0" w:type="dxa"/>
          </w:tblCellMar>
        </w:tblPrEx>
        <w:trPr>
          <w:trHeight w:val="1190" w:hRule="atLeast"/>
          <w:jc w:val="center"/>
        </w:trPr>
        <w:tc>
          <w:tcPr>
            <w:tcW w:w="59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支付宝生活号</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szCs w:val="21"/>
              </w:rPr>
            </w:pP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1-2条/天，520条/年</w:t>
            </w:r>
          </w:p>
        </w:tc>
      </w:tr>
      <w:tr>
        <w:tblPrEx>
          <w:tblCellMar>
            <w:top w:w="0" w:type="dxa"/>
            <w:left w:w="0" w:type="dxa"/>
            <w:bottom w:w="0" w:type="dxa"/>
            <w:right w:w="0" w:type="dxa"/>
          </w:tblCellMar>
        </w:tblPrEx>
        <w:trPr>
          <w:trHeight w:val="680" w:hRule="atLeast"/>
          <w:jc w:val="center"/>
        </w:trPr>
        <w:tc>
          <w:tcPr>
            <w:tcW w:w="59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11</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Push文字编辑</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szCs w:val="21"/>
              </w:rPr>
            </w:pPr>
          </w:p>
        </w:tc>
        <w:tc>
          <w:tcPr>
            <w:tcW w:w="1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4条/月，48条/年</w:t>
            </w:r>
          </w:p>
        </w:tc>
      </w:tr>
    </w:tbl>
    <w:p/>
    <w:p>
      <w:pPr>
        <w:pStyle w:val="6"/>
        <w:spacing w:before="240" w:after="240"/>
        <w:ind w:left="426"/>
      </w:pPr>
      <w:r>
        <w:t>2.3</w:t>
      </w:r>
      <w:r>
        <w:rPr>
          <w:rFonts w:hint="eastAsia"/>
        </w:rPr>
        <w:t>.4 第三方工具资源服务及健康码短信服务采购清单</w:t>
      </w:r>
    </w:p>
    <w:tbl>
      <w:tblPr>
        <w:tblStyle w:val="53"/>
        <w:tblW w:w="9330" w:type="dxa"/>
        <w:jc w:val="center"/>
        <w:tblLayout w:type="autofit"/>
        <w:tblCellMar>
          <w:top w:w="0" w:type="dxa"/>
          <w:left w:w="0" w:type="dxa"/>
          <w:bottom w:w="0" w:type="dxa"/>
          <w:right w:w="0" w:type="dxa"/>
        </w:tblCellMar>
      </w:tblPr>
      <w:tblGrid>
        <w:gridCol w:w="1163"/>
        <w:gridCol w:w="1275"/>
        <w:gridCol w:w="5325"/>
        <w:gridCol w:w="1567"/>
      </w:tblGrid>
      <w:tr>
        <w:tblPrEx>
          <w:tblCellMar>
            <w:top w:w="0" w:type="dxa"/>
            <w:left w:w="0" w:type="dxa"/>
            <w:bottom w:w="0" w:type="dxa"/>
            <w:right w:w="0" w:type="dxa"/>
          </w:tblCellMar>
        </w:tblPrEx>
        <w:trPr>
          <w:trHeight w:val="480" w:hRule="atLeast"/>
          <w:jc w:val="center"/>
        </w:trPr>
        <w:tc>
          <w:tcPr>
            <w:tcW w:w="1163" w:type="dxa"/>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名称</w:t>
            </w:r>
          </w:p>
        </w:tc>
        <w:tc>
          <w:tcPr>
            <w:tcW w:w="1275"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内容</w:t>
            </w:r>
          </w:p>
        </w:tc>
        <w:tc>
          <w:tcPr>
            <w:tcW w:w="5325"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说明</w:t>
            </w:r>
          </w:p>
        </w:tc>
        <w:tc>
          <w:tcPr>
            <w:tcW w:w="1567"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rPr>
              <w:t>数量（人月/套/个/月）</w:t>
            </w:r>
          </w:p>
        </w:tc>
      </w:tr>
      <w:tr>
        <w:tblPrEx>
          <w:tblCellMar>
            <w:top w:w="0" w:type="dxa"/>
            <w:left w:w="0" w:type="dxa"/>
            <w:bottom w:w="0" w:type="dxa"/>
            <w:right w:w="0" w:type="dxa"/>
          </w:tblCellMar>
        </w:tblPrEx>
        <w:trPr>
          <w:trHeight w:val="1715" w:hRule="atLeast"/>
          <w:jc w:val="center"/>
        </w:trPr>
        <w:tc>
          <w:tcPr>
            <w:tcW w:w="1163" w:type="dxa"/>
            <w:tcBorders>
              <w:top w:val="nil"/>
              <w:left w:val="single" w:color="000000" w:sz="8"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第三方工具资源服务费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全站加速</w:t>
            </w:r>
          </w:p>
        </w:tc>
        <w:tc>
          <w:tcPr>
            <w:tcW w:w="5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码上办事域名接入公有云CDN全站加速后，通过域名访问的动静态内容将被智能识别并区分：静态内容使用公共云CDN加速，缓存在CDN节点上，提供近访问。动态内容通过智能路由优化、协议优化等动态加速技术快速回源获取</w:t>
            </w:r>
          </w:p>
        </w:tc>
        <w:tc>
          <w:tcPr>
            <w:tcW w:w="1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18</w:t>
            </w:r>
          </w:p>
        </w:tc>
      </w:tr>
      <w:tr>
        <w:tblPrEx>
          <w:tblCellMar>
            <w:top w:w="0" w:type="dxa"/>
            <w:left w:w="0" w:type="dxa"/>
            <w:bottom w:w="0" w:type="dxa"/>
            <w:right w:w="0" w:type="dxa"/>
          </w:tblCellMar>
        </w:tblPrEx>
        <w:trPr>
          <w:trHeight w:val="960" w:hRule="atLeast"/>
          <w:jc w:val="center"/>
        </w:trPr>
        <w:tc>
          <w:tcPr>
            <w:tcW w:w="1163"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健康码短信服务费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szCs w:val="21"/>
              </w:rPr>
            </w:pPr>
          </w:p>
        </w:tc>
        <w:tc>
          <w:tcPr>
            <w:tcW w:w="5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根据目前实际使用情况取平均值，然后继续使用到年底，后续将迁移至短信平台另行收费</w:t>
            </w:r>
          </w:p>
        </w:tc>
        <w:tc>
          <w:tcPr>
            <w:tcW w:w="1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10</w:t>
            </w:r>
          </w:p>
        </w:tc>
      </w:tr>
    </w:tbl>
    <w:p/>
    <w:p>
      <w:pPr>
        <w:pStyle w:val="4"/>
        <w:numPr>
          <w:ilvl w:val="0"/>
          <w:numId w:val="39"/>
        </w:numPr>
      </w:pPr>
      <w:bookmarkStart w:id="70" w:name="_Toc30526786"/>
      <w:bookmarkStart w:id="71" w:name="_Toc67640149"/>
      <w:r>
        <w:rPr>
          <w:rFonts w:hint="eastAsia"/>
        </w:rPr>
        <w:t>项目要求</w:t>
      </w:r>
      <w:bookmarkEnd w:id="70"/>
      <w:bookmarkEnd w:id="71"/>
      <w:bookmarkStart w:id="72" w:name="_Toc23871664"/>
      <w:bookmarkStart w:id="73" w:name="_Toc494099782"/>
    </w:p>
    <w:bookmarkEnd w:id="72"/>
    <w:bookmarkEnd w:id="73"/>
    <w:p>
      <w:pPr>
        <w:pStyle w:val="5"/>
      </w:pPr>
      <w:bookmarkStart w:id="74" w:name="_Toc30526787"/>
      <w:bookmarkStart w:id="75" w:name="_Toc25605540"/>
      <w:bookmarkStart w:id="76" w:name="_Toc67640150"/>
      <w:r>
        <w:t>3.</w:t>
      </w:r>
      <w:r>
        <w:rPr>
          <w:rFonts w:hint="eastAsia"/>
        </w:rPr>
        <w:t>1</w:t>
      </w:r>
      <w:bookmarkEnd w:id="74"/>
      <w:bookmarkEnd w:id="75"/>
      <w:r>
        <w:rPr>
          <w:rFonts w:hint="eastAsia"/>
        </w:rPr>
        <w:t>技术参数要求</w:t>
      </w:r>
      <w:bookmarkEnd w:id="76"/>
    </w:p>
    <w:p>
      <w:pPr>
        <w:pStyle w:val="6"/>
      </w:pPr>
      <w:bookmarkStart w:id="77" w:name="_Toc26593"/>
      <w:bookmarkStart w:id="78" w:name="_Toc493702787"/>
      <w:bookmarkStart w:id="79" w:name="_Toc332971291"/>
      <w:r>
        <w:rPr>
          <w:rFonts w:hint="eastAsia"/>
        </w:rPr>
        <w:t>3.1.1</w:t>
      </w:r>
      <w:bookmarkEnd w:id="77"/>
      <w:bookmarkEnd w:id="78"/>
      <w:bookmarkEnd w:id="79"/>
      <w:bookmarkStart w:id="80" w:name="_Toc17261"/>
      <w:bookmarkStart w:id="81" w:name="_Toc34914150"/>
      <w:bookmarkStart w:id="82" w:name="_Toc493702791"/>
      <w:r>
        <w:rPr>
          <w:rFonts w:hint="eastAsia"/>
        </w:rPr>
        <w:t>“数字空间”建设需求</w:t>
      </w:r>
      <w:bookmarkEnd w:id="80"/>
    </w:p>
    <w:p>
      <w:pPr>
        <w:widowControl/>
        <w:spacing w:line="360" w:lineRule="auto"/>
        <w:ind w:firstLine="480" w:firstLineChars="200"/>
        <w:rPr>
          <w:rFonts w:ascii="宋体" w:hAnsi="宋体" w:cs="宋体"/>
          <w:kern w:val="0"/>
          <w:sz w:val="24"/>
        </w:rPr>
      </w:pPr>
      <w:r>
        <w:rPr>
          <w:rFonts w:hint="eastAsia" w:ascii="宋体" w:hAnsi="宋体" w:cs="宋体"/>
          <w:kern w:val="0"/>
          <w:sz w:val="24"/>
        </w:rPr>
        <w:t>海南省“码上办事”平台项目的建设将依托我省数据共享交换体系进行建设，将各厅局委办共享的个人、法人信息数据通过“数据质量提升工程”平台进行清洗、转换，最终形成以个人、法人为核心的两大核心主题数据信息。通过个人、法人的政务服务、公共服务、生活消费等领域的需求，抽象出个人、法人的信息标签，然后将标签信息向平台输出能力，为各类个人、法人的交互场景提供基础能力支撑，即个人数字空间和法人数字空间。因此建设个人、法人数字空间是本项目的基础支撑能力的核心，是整个平台基层能力的直接体现，是项目的核心需求所在。</w:t>
      </w:r>
    </w:p>
    <w:p>
      <w:pPr>
        <w:pStyle w:val="7"/>
        <w:tabs>
          <w:tab w:val="left" w:pos="425"/>
          <w:tab w:val="left" w:pos="560"/>
        </w:tabs>
        <w:spacing w:before="480" w:after="240"/>
        <w:ind w:firstLine="482" w:firstLineChars="200"/>
      </w:pPr>
      <w:bookmarkStart w:id="83" w:name="_Toc6212"/>
      <w:r>
        <w:rPr>
          <w:rFonts w:hint="eastAsia"/>
        </w:rPr>
        <w:t>3.1.1.1</w:t>
      </w:r>
      <w:bookmarkEnd w:id="83"/>
      <w:bookmarkStart w:id="84" w:name="_Toc2194"/>
      <w:r>
        <w:rPr>
          <w:rFonts w:hint="eastAsia"/>
        </w:rPr>
        <w:t>码上办事数据交互</w:t>
      </w:r>
      <w:bookmarkEnd w:id="84"/>
    </w:p>
    <w:p>
      <w:pPr>
        <w:widowControl/>
        <w:spacing w:line="360" w:lineRule="auto"/>
        <w:ind w:firstLine="480" w:firstLineChars="200"/>
        <w:rPr>
          <w:rFonts w:ascii="宋体" w:hAnsi="宋体" w:cs="宋体"/>
          <w:kern w:val="0"/>
          <w:sz w:val="24"/>
        </w:rPr>
      </w:pPr>
      <w:r>
        <w:rPr>
          <w:rFonts w:hint="eastAsia" w:ascii="宋体" w:hAnsi="宋体" w:cs="宋体"/>
          <w:kern w:val="0"/>
          <w:sz w:val="24"/>
        </w:rPr>
        <w:t>码平台数据架构底层沿用省大数据局已建设的政务数据中台的工具和数据内容，在数据中台之上构建码平台自身的个人数字空间和法人数据空间。</w:t>
      </w:r>
    </w:p>
    <w:p>
      <w:pPr>
        <w:pStyle w:val="2"/>
      </w:pPr>
    </w:p>
    <w:p>
      <w:pPr>
        <w:pStyle w:val="7"/>
        <w:numPr>
          <w:ilvl w:val="1"/>
          <w:numId w:val="0"/>
        </w:numPr>
        <w:tabs>
          <w:tab w:val="left" w:pos="425"/>
          <w:tab w:val="left" w:pos="560"/>
        </w:tabs>
        <w:spacing w:before="480" w:after="240"/>
        <w:ind w:firstLine="482" w:firstLineChars="200"/>
      </w:pPr>
      <w:bookmarkStart w:id="85" w:name="_Toc54564737"/>
      <w:bookmarkEnd w:id="85"/>
      <w:bookmarkStart w:id="86" w:name="_Toc54560612"/>
      <w:bookmarkEnd w:id="86"/>
      <w:bookmarkStart w:id="87" w:name="_Toc54564736"/>
      <w:bookmarkEnd w:id="87"/>
      <w:bookmarkStart w:id="88" w:name="_Toc54560611"/>
      <w:bookmarkEnd w:id="88"/>
      <w:bookmarkStart w:id="89" w:name="_Toc27040"/>
      <w:bookmarkStart w:id="90" w:name="_Toc30978"/>
      <w:r>
        <w:rPr>
          <w:rFonts w:hint="eastAsia"/>
        </w:rPr>
        <w:t>3.1.1.2外部数据资源对接</w:t>
      </w:r>
      <w:bookmarkEnd w:id="89"/>
    </w:p>
    <w:p>
      <w:pPr>
        <w:pStyle w:val="9"/>
        <w:widowControl/>
        <w:numPr>
          <w:ilvl w:val="3"/>
          <w:numId w:val="0"/>
        </w:numPr>
        <w:tabs>
          <w:tab w:val="left" w:pos="425"/>
          <w:tab w:val="left" w:pos="560"/>
          <w:tab w:val="left" w:pos="851"/>
        </w:tabs>
        <w:spacing w:after="120" w:line="360" w:lineRule="auto"/>
        <w:ind w:firstLine="482" w:firstLineChars="200"/>
        <w:rPr>
          <w:b/>
          <w:bCs/>
        </w:rPr>
      </w:pPr>
      <w:r>
        <w:rPr>
          <w:rFonts w:hint="eastAsia"/>
          <w:b/>
          <w:bCs/>
        </w:rPr>
        <w:t>（1）</w:t>
      </w:r>
      <w:r>
        <w:rPr>
          <w:b/>
          <w:bCs/>
        </w:rPr>
        <w:t>海南省政务信息化公共服务能力支撑</w:t>
      </w:r>
      <w:r>
        <w:rPr>
          <w:rFonts w:hint="eastAsia"/>
          <w:b/>
          <w:bCs/>
        </w:rPr>
        <w:t>平台对接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实现统一用户和统一身份认证。对接海南省政务信息化公共服务能力支撑平台，整合平台账号体系，实现与码上办事平台与海南省政务信息化公共服务能力支撑平台账号、身份注册信息规范化、认证标准统一化，打通系统间认证的互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实现与政务信息化公共服务能力支撑台之间数据资源的共享和交换。根据“海南省公共资源交易互联互通平台通数据接口”等相关规范，通过共享数据交换平台，实现公共政务服务数据的数据共享和同步，丰富数据来源，互补数据内容，实现数据资源的有效利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对接数据管理平台。通过数据治理实现码上办事数据管控，确保数据的标准性、准确性、完备性、一致性和安全性。另一方面，通过数据治理做好数据规划，为建设统一的数据采集、数据管理、数据统计分析及可视化平台奠定基础，提升数据质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对接海南省政务信息化公共服务能力支撑平台，通过标准接口获取平台信用基础库、电子证照基础库、空间地理基础库等公共基础库数据的共享数据，根据码上办事平台实际功能要求，结合不同板块应用，为政务、企业、市民等提供不同的公共基础数据服务。同时通过平台将为其他接入码上办事平台的业务系统提供数据服务，实现数据资源的有效利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对接移动门户网站，统一入口，实现两端统一管理，在保持移动门户原有功能的基础上，通过强大的渠道扩展能力，用户一次登录，数据一次创作，即可跨渠道、跨站点推送、发布，按照H5方式做移动端的自动适配，满足多端使用需求。并通过消息同步功能，实现两个平台之间消息同步、互相推送的功能，避免多端造成的消息遗漏或者丢失情况发生。同时通过后台内容管理平台，统计各栏目或服务的访问量，了解用户所关注的信息或服务，并接收用户反馈信息。统计用户订阅信息量、信息分享统计等功能。并将相关数据和移动门户后台进行同步，为移动门户的分析决策提供数据支撑。</w:t>
      </w:r>
    </w:p>
    <w:p>
      <w:pPr>
        <w:pStyle w:val="9"/>
        <w:widowControl/>
        <w:numPr>
          <w:ilvl w:val="3"/>
          <w:numId w:val="0"/>
        </w:numPr>
        <w:tabs>
          <w:tab w:val="left" w:pos="425"/>
          <w:tab w:val="left" w:pos="560"/>
          <w:tab w:val="left" w:pos="851"/>
        </w:tabs>
        <w:spacing w:after="120" w:line="360" w:lineRule="auto"/>
        <w:ind w:firstLine="482" w:firstLineChars="200"/>
        <w:rPr>
          <w:b/>
          <w:bCs/>
        </w:rPr>
      </w:pPr>
      <w:r>
        <w:rPr>
          <w:rFonts w:hint="eastAsia"/>
          <w:b/>
          <w:bCs/>
        </w:rPr>
        <w:t>（2）</w:t>
      </w:r>
      <w:r>
        <w:rPr>
          <w:b/>
          <w:bCs/>
        </w:rPr>
        <w:t>电子证照</w:t>
      </w:r>
      <w:r>
        <w:rPr>
          <w:rFonts w:hint="eastAsia"/>
          <w:b/>
          <w:bCs/>
        </w:rPr>
        <w:t>整合对接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为加快拓展海南省“自贸港码上办事”在个人电子证照中的应用，需进一步开发与海南省电子证照管理系统对接接口，依托“码上办事”的实名认证能力，打通个人、企业的证照关联，支撑“码上卡包”的构建和应用，逐步推进实现移动端电子亮证，能够在有限场景通过出示“码上证件”实现互认，部分证件无需随身携带，并逐步扩大范围，最终实现全岛“一码畅行”，提升群众和企业的获得感。</w:t>
      </w:r>
    </w:p>
    <w:p>
      <w:pPr>
        <w:pStyle w:val="9"/>
        <w:widowControl/>
        <w:numPr>
          <w:ilvl w:val="3"/>
          <w:numId w:val="0"/>
        </w:numPr>
        <w:tabs>
          <w:tab w:val="left" w:pos="425"/>
          <w:tab w:val="left" w:pos="560"/>
          <w:tab w:val="left" w:pos="851"/>
        </w:tabs>
        <w:spacing w:after="120" w:line="360" w:lineRule="auto"/>
        <w:ind w:firstLine="482" w:firstLineChars="200"/>
        <w:rPr>
          <w:b/>
          <w:bCs/>
        </w:rPr>
      </w:pPr>
      <w:r>
        <w:rPr>
          <w:rFonts w:hint="eastAsia"/>
          <w:b/>
          <w:bCs/>
        </w:rPr>
        <w:t>（3）与省数据质量提升项目的对接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项目与数据质量提升项目是基础数据与业务应用间的关系，码平台的基础数据来源于数据质量提升项目，在数据质量提升项目基础上，构建面向一码通服务场景的应用数据体系。对委办厅局的数据调研、归集、基础治理等方面能力，复用数据质量提升项目的成果，同时对一码通场景需要的基础信息、数据标签等进行二次业务加工。</w:t>
      </w:r>
    </w:p>
    <w:p>
      <w:pPr>
        <w:pStyle w:val="9"/>
        <w:widowControl/>
        <w:numPr>
          <w:ilvl w:val="3"/>
          <w:numId w:val="0"/>
        </w:numPr>
        <w:tabs>
          <w:tab w:val="left" w:pos="425"/>
          <w:tab w:val="left" w:pos="560"/>
          <w:tab w:val="left" w:pos="851"/>
        </w:tabs>
        <w:spacing w:after="120" w:line="360" w:lineRule="auto"/>
        <w:ind w:firstLine="482" w:firstLineChars="200"/>
        <w:rPr>
          <w:b/>
          <w:bCs/>
        </w:rPr>
      </w:pPr>
      <w:r>
        <w:rPr>
          <w:rFonts w:hint="eastAsia"/>
          <w:b/>
          <w:bCs/>
        </w:rPr>
        <w:t>（4）政务专题数据整合对接</w:t>
      </w:r>
    </w:p>
    <w:p>
      <w:pPr>
        <w:widowControl/>
        <w:spacing w:line="360" w:lineRule="auto"/>
        <w:ind w:firstLine="420" w:firstLineChars="200"/>
        <w:rPr>
          <w:rFonts w:ascii="宋体" w:hAnsi="宋体" w:cs="宋体"/>
          <w:kern w:val="0"/>
          <w:sz w:val="24"/>
        </w:rPr>
      </w:pPr>
      <w:r>
        <w:rPr>
          <w:rFonts w:hint="eastAsia"/>
        </w:rPr>
        <w:t>主要包括：事项目录管理系统对接、行政审批系统对接、统一好差评对接、统一咨询投诉对接、主题数据对接</w:t>
      </w:r>
      <w:r>
        <w:rPr>
          <w:rFonts w:hint="eastAsia" w:ascii="宋体" w:hAnsi="宋体" w:cs="宋体"/>
          <w:kern w:val="0"/>
          <w:sz w:val="24"/>
        </w:rPr>
        <w:t>。</w:t>
      </w:r>
    </w:p>
    <w:p>
      <w:pPr>
        <w:pStyle w:val="9"/>
        <w:widowControl/>
        <w:numPr>
          <w:ilvl w:val="3"/>
          <w:numId w:val="0"/>
        </w:numPr>
        <w:tabs>
          <w:tab w:val="left" w:pos="425"/>
          <w:tab w:val="left" w:pos="560"/>
          <w:tab w:val="left" w:pos="851"/>
        </w:tabs>
        <w:spacing w:after="120" w:line="360" w:lineRule="auto"/>
        <w:ind w:firstLine="482" w:firstLineChars="200"/>
        <w:rPr>
          <w:b/>
          <w:bCs/>
        </w:rPr>
      </w:pPr>
      <w:r>
        <w:rPr>
          <w:rFonts w:hint="eastAsia"/>
          <w:b/>
          <w:bCs/>
        </w:rPr>
        <w:t>（5）扶贫专题数据整合对接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主要包括：精准扶贫系统数据对接、爱心扶贫网数据对接、扶贫办官网数据对接。</w:t>
      </w:r>
    </w:p>
    <w:p>
      <w:pPr>
        <w:pStyle w:val="9"/>
        <w:widowControl/>
        <w:numPr>
          <w:ilvl w:val="3"/>
          <w:numId w:val="0"/>
        </w:numPr>
        <w:tabs>
          <w:tab w:val="left" w:pos="425"/>
          <w:tab w:val="left" w:pos="560"/>
          <w:tab w:val="left" w:pos="851"/>
        </w:tabs>
        <w:spacing w:after="120" w:line="360" w:lineRule="auto"/>
        <w:ind w:firstLine="482" w:firstLineChars="200"/>
        <w:rPr>
          <w:b/>
          <w:bCs/>
        </w:rPr>
      </w:pPr>
      <w:r>
        <w:rPr>
          <w:rFonts w:hint="eastAsia"/>
          <w:b/>
          <w:bCs/>
        </w:rPr>
        <w:t>（6）信用专题数据整合对接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通过海南省共享交换平台对接海南省发改委信用数据，实现信用专题的建设。对接海南自贸试验区信用信息共享平台，获取企业严重黑名单信息、诚实守信红名单信息等企业信用信息。主要包括社会法人严重失信黑名单（组织机构代码、法定代表人、统一社会信用代码、行政处理处罚或法院判决决定的主要内容、确认严重失信时间、黑名单类型、主要失信事实等）、社会法人诚实守信红名单（机构全称、组织机构代码、工商注册号、表彰名称、荣誉等级、荣誉内容、认定部门全称、认定日期、表彰文号等）。</w:t>
      </w:r>
    </w:p>
    <w:p>
      <w:pPr>
        <w:pStyle w:val="9"/>
        <w:widowControl/>
        <w:numPr>
          <w:ilvl w:val="3"/>
          <w:numId w:val="0"/>
        </w:numPr>
        <w:tabs>
          <w:tab w:val="left" w:pos="425"/>
          <w:tab w:val="left" w:pos="560"/>
          <w:tab w:val="left" w:pos="851"/>
        </w:tabs>
        <w:spacing w:after="120" w:line="360" w:lineRule="auto"/>
        <w:ind w:firstLine="482" w:firstLineChars="200"/>
        <w:rPr>
          <w:b/>
          <w:bCs/>
        </w:rPr>
      </w:pPr>
      <w:r>
        <w:rPr>
          <w:rFonts w:hint="eastAsia"/>
          <w:b/>
          <w:bCs/>
        </w:rPr>
        <w:t>（7）其他数据接口对接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依照海南省政务资源管理办法，将本项目采集、治理的数据通过一码通平台进行数据共享，提供给其他外部单位使用。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w:t>
      </w:r>
      <w:r>
        <w:rPr>
          <w:rFonts w:hint="eastAsia" w:ascii="宋体" w:hAnsi="宋体" w:cs="宋体"/>
          <w:kern w:val="0"/>
          <w:sz w:val="24"/>
        </w:rPr>
        <w:tab/>
      </w:r>
      <w:r>
        <w:rPr>
          <w:rFonts w:hint="eastAsia" w:ascii="宋体" w:hAnsi="宋体" w:cs="宋体"/>
          <w:kern w:val="0"/>
          <w:sz w:val="24"/>
        </w:rPr>
        <w:t>数据接口规范</w:t>
      </w:r>
    </w:p>
    <w:p>
      <w:pPr>
        <w:widowControl/>
        <w:spacing w:line="360" w:lineRule="auto"/>
        <w:ind w:firstLine="480" w:firstLineChars="200"/>
        <w:rPr>
          <w:rFonts w:ascii="宋体" w:hAnsi="宋体" w:cs="宋体"/>
          <w:kern w:val="0"/>
          <w:sz w:val="24"/>
        </w:rPr>
      </w:pPr>
      <w:r>
        <w:rPr>
          <w:rFonts w:hint="eastAsia" w:ascii="宋体" w:hAnsi="宋体" w:cs="宋体"/>
          <w:kern w:val="0"/>
          <w:sz w:val="24"/>
        </w:rPr>
        <w:tab/>
      </w:r>
      <w:r>
        <w:rPr>
          <w:rFonts w:hint="eastAsia" w:ascii="宋体" w:hAnsi="宋体" w:cs="宋体"/>
          <w:kern w:val="0"/>
          <w:sz w:val="24"/>
        </w:rPr>
        <w:t>构建数据接口规范，规定数据访问、接口的定义、数据格式等内容。</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w:t>
      </w:r>
      <w:r>
        <w:rPr>
          <w:rFonts w:hint="eastAsia" w:ascii="宋体" w:hAnsi="宋体" w:cs="宋体"/>
          <w:kern w:val="0"/>
          <w:sz w:val="24"/>
        </w:rPr>
        <w:tab/>
      </w:r>
      <w:r>
        <w:rPr>
          <w:rFonts w:hint="eastAsia" w:ascii="宋体" w:hAnsi="宋体" w:cs="宋体"/>
          <w:kern w:val="0"/>
          <w:sz w:val="24"/>
        </w:rPr>
        <w:t>提供接口注册与发布</w:t>
      </w:r>
    </w:p>
    <w:p>
      <w:pPr>
        <w:widowControl/>
        <w:spacing w:line="360" w:lineRule="auto"/>
        <w:ind w:firstLine="480" w:firstLineChars="200"/>
        <w:rPr>
          <w:rFonts w:ascii="宋体" w:hAnsi="宋体" w:cs="宋体"/>
          <w:kern w:val="0"/>
          <w:sz w:val="24"/>
        </w:rPr>
      </w:pPr>
      <w:r>
        <w:rPr>
          <w:rFonts w:hint="eastAsia" w:ascii="宋体" w:hAnsi="宋体" w:cs="宋体"/>
          <w:kern w:val="0"/>
          <w:sz w:val="24"/>
        </w:rPr>
        <w:tab/>
      </w:r>
      <w:r>
        <w:rPr>
          <w:rFonts w:hint="eastAsia" w:ascii="宋体" w:hAnsi="宋体" w:cs="宋体"/>
          <w:kern w:val="0"/>
          <w:sz w:val="24"/>
        </w:rPr>
        <w:t>数据资源提供方通过接口对外提供数据服务。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w:t>
      </w:r>
      <w:r>
        <w:rPr>
          <w:rFonts w:hint="eastAsia" w:ascii="宋体" w:hAnsi="宋体" w:cs="宋体"/>
          <w:kern w:val="0"/>
          <w:sz w:val="24"/>
        </w:rPr>
        <w:tab/>
      </w:r>
      <w:r>
        <w:rPr>
          <w:rFonts w:hint="eastAsia" w:ascii="宋体" w:hAnsi="宋体" w:cs="宋体"/>
          <w:kern w:val="0"/>
          <w:sz w:val="24"/>
        </w:rPr>
        <w:t>数据对接和接口发布内容，包括且不限于以下内容：</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公安：数据对接，支持实名、实人认证，及五类证明文件对接。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卫健：电子健康档案对接，居民可查阅个人电子健康档案。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发改：企业信用信息对接，可查阅企业信用信息。</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扶贫办：扶贫大数据对接，实现居民贫困信息同步。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省医：预约系统对接，可实现在线预约、挂号。</w:t>
      </w:r>
    </w:p>
    <w:p>
      <w:pPr>
        <w:pStyle w:val="7"/>
        <w:numPr>
          <w:ilvl w:val="1"/>
          <w:numId w:val="0"/>
        </w:numPr>
        <w:tabs>
          <w:tab w:val="left" w:pos="425"/>
          <w:tab w:val="left" w:pos="560"/>
        </w:tabs>
        <w:spacing w:before="480" w:after="240"/>
        <w:ind w:firstLine="482" w:firstLineChars="200"/>
      </w:pPr>
      <w:r>
        <w:rPr>
          <w:rFonts w:hint="eastAsia"/>
        </w:rPr>
        <w:t>3.1.1.3个人数字空间</w:t>
      </w:r>
      <w:bookmarkEnd w:id="90"/>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平台的核心定位是基于人的身份识别，通过对接海南省公安厅或第三方实名身份认证接口，对个人身份进行认定。同时基于码平台的标签管理，将关于个人的身份信息进行标签化管理，抽象出诸如：“志愿者”、“贫困户”、“学生”、“健康认证”等标签，赋予码平台对标签的决策能力，通过标签属性体系进行业务拓展。打通各标签对应的场景平台，通过个人数字空间的标签推荐，引入各场景的业务体系。</w:t>
      </w:r>
    </w:p>
    <w:p>
      <w:pPr>
        <w:pStyle w:val="7"/>
        <w:numPr>
          <w:ilvl w:val="1"/>
          <w:numId w:val="0"/>
        </w:numPr>
        <w:tabs>
          <w:tab w:val="left" w:pos="425"/>
          <w:tab w:val="left" w:pos="560"/>
        </w:tabs>
        <w:spacing w:before="480" w:after="240"/>
        <w:ind w:firstLine="482" w:firstLineChars="200"/>
      </w:pPr>
      <w:bookmarkStart w:id="91" w:name="_Toc6639"/>
      <w:r>
        <w:rPr>
          <w:rFonts w:hint="eastAsia"/>
        </w:rPr>
        <w:t>3.1.1.4法人数字空间</w:t>
      </w:r>
    </w:p>
    <w:bookmarkEnd w:id="91"/>
    <w:p>
      <w:pPr>
        <w:widowControl/>
        <w:spacing w:line="360" w:lineRule="auto"/>
        <w:ind w:firstLine="480" w:firstLineChars="200"/>
        <w:rPr>
          <w:rFonts w:ascii="宋体" w:hAnsi="宋体" w:cs="宋体"/>
          <w:kern w:val="0"/>
          <w:sz w:val="24"/>
        </w:rPr>
      </w:pPr>
      <w:r>
        <w:rPr>
          <w:rFonts w:hint="eastAsia" w:ascii="宋体" w:hAnsi="宋体" w:cs="宋体"/>
          <w:kern w:val="0"/>
          <w:sz w:val="24"/>
        </w:rPr>
        <w:t>法人数字空间以汇聚企业基本信息库数据，搭建企业精准画像和企业标签，为企业在码上办事提供精准、便捷的服务。法人数字空间计划涵盖以下内容：</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标准库：行业分类、分类编码、行业内容、行业标准编号、指标内容</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风险分类：分类编码、分类名称、分类内容</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风险等级：等级编码、等级名称、等级内容。</w:t>
      </w:r>
    </w:p>
    <w:p>
      <w:pPr>
        <w:pStyle w:val="7"/>
        <w:numPr>
          <w:ilvl w:val="1"/>
          <w:numId w:val="0"/>
        </w:numPr>
        <w:tabs>
          <w:tab w:val="left" w:pos="425"/>
          <w:tab w:val="left" w:pos="560"/>
        </w:tabs>
        <w:spacing w:before="480" w:after="240"/>
        <w:ind w:firstLine="482" w:firstLineChars="200"/>
      </w:pPr>
      <w:bookmarkStart w:id="92" w:name="_Toc21985"/>
      <w:r>
        <w:rPr>
          <w:rFonts w:hint="eastAsia"/>
        </w:rPr>
        <w:t>3.1.1.5场景数据标签建设</w:t>
      </w:r>
    </w:p>
    <w:bookmarkEnd w:id="92"/>
    <w:p>
      <w:pPr>
        <w:widowControl/>
        <w:spacing w:line="360" w:lineRule="auto"/>
        <w:ind w:firstLine="480" w:firstLineChars="200"/>
        <w:rPr>
          <w:rFonts w:ascii="宋体" w:hAnsi="宋体" w:cs="宋体"/>
          <w:kern w:val="0"/>
          <w:sz w:val="24"/>
        </w:rPr>
      </w:pPr>
      <w:r>
        <w:rPr>
          <w:rFonts w:hint="eastAsia" w:ascii="宋体" w:hAnsi="宋体" w:cs="宋体"/>
          <w:kern w:val="0"/>
          <w:sz w:val="24"/>
        </w:rPr>
        <w:t>场景数据标签体系，是码上办事平台面向公众服务所体现的涉及多个重复场景实体，依托数字空间构建场景化模型，包括场景设计、建模、编排、实例化、启动运行，来支持不同层面的服务运营。城市场景是一系列场景任务和公众服务在特定背景下的组合，通过场景数据标签体系的构建，形成各类大型场景应用的封装，将场景中所涉及的主体、资源及相关标签快速进行匹配，以支持上层应用的快速建设。</w:t>
      </w:r>
    </w:p>
    <w:p>
      <w:pPr>
        <w:pStyle w:val="7"/>
        <w:numPr>
          <w:ilvl w:val="1"/>
          <w:numId w:val="0"/>
        </w:numPr>
        <w:tabs>
          <w:tab w:val="left" w:pos="425"/>
          <w:tab w:val="left" w:pos="560"/>
        </w:tabs>
        <w:spacing w:before="480" w:after="240"/>
        <w:ind w:firstLine="482" w:firstLineChars="200"/>
      </w:pPr>
      <w:bookmarkStart w:id="93" w:name="_Toc25101"/>
      <w:r>
        <w:rPr>
          <w:rFonts w:hint="eastAsia"/>
        </w:rPr>
        <w:t>3.1.1.6 平台</w:t>
      </w:r>
      <w:r>
        <w:t>积分服务体系</w:t>
      </w:r>
    </w:p>
    <w:bookmarkEnd w:id="93"/>
    <w:p>
      <w:pPr>
        <w:widowControl/>
        <w:spacing w:line="360" w:lineRule="auto"/>
        <w:ind w:firstLine="480" w:firstLineChars="200"/>
        <w:rPr>
          <w:rFonts w:ascii="宋体" w:hAnsi="宋体" w:cs="宋体"/>
          <w:kern w:val="0"/>
          <w:sz w:val="24"/>
        </w:rPr>
      </w:pPr>
      <w:r>
        <w:rPr>
          <w:rFonts w:hint="eastAsia" w:ascii="宋体" w:hAnsi="宋体" w:cs="宋体"/>
          <w:kern w:val="0"/>
          <w:sz w:val="24"/>
        </w:rPr>
        <w:t>通过打造积分服务体系，以积分兑换奖品的形式，增强用户活跃度与用户粘性，实现从新用户到高价值用户，从沉默用户到活跃用户的转变，利用积分及福利促进其成长，实现活跃用户精准定位，扩大</w:t>
      </w:r>
      <w:r>
        <w:rPr>
          <w:rFonts w:ascii="宋体" w:hAnsi="宋体" w:cs="宋体"/>
          <w:kern w:val="0"/>
          <w:sz w:val="24"/>
        </w:rPr>
        <w:t>APP的上线服务的宣传渠道。制定积分服务体系，建立积分系统、设立积分奖励渠道、确认用户等级、设定积分奖励反馈机制，通过积分服务体系的建立，有效推动</w:t>
      </w:r>
      <w:r>
        <w:rPr>
          <w:rFonts w:hint="eastAsia" w:ascii="宋体" w:hAnsi="宋体" w:cs="宋体"/>
          <w:kern w:val="0"/>
          <w:sz w:val="24"/>
        </w:rPr>
        <w:t>平台</w:t>
      </w:r>
      <w:r>
        <w:rPr>
          <w:rFonts w:ascii="宋体" w:hAnsi="宋体" w:cs="宋体"/>
          <w:kern w:val="0"/>
          <w:sz w:val="24"/>
        </w:rPr>
        <w:t>服务活跃度，引导</w:t>
      </w:r>
      <w:r>
        <w:rPr>
          <w:rFonts w:hint="eastAsia" w:ascii="宋体" w:hAnsi="宋体" w:cs="宋体"/>
          <w:kern w:val="0"/>
          <w:sz w:val="24"/>
        </w:rPr>
        <w:t>用户</w:t>
      </w:r>
      <w:r>
        <w:rPr>
          <w:rFonts w:ascii="宋体" w:hAnsi="宋体" w:cs="宋体"/>
          <w:kern w:val="0"/>
          <w:sz w:val="24"/>
        </w:rPr>
        <w:t>生活办事从线下走到线上。</w:t>
      </w:r>
    </w:p>
    <w:p>
      <w:pPr>
        <w:pStyle w:val="7"/>
        <w:numPr>
          <w:ilvl w:val="1"/>
          <w:numId w:val="0"/>
        </w:numPr>
        <w:tabs>
          <w:tab w:val="left" w:pos="425"/>
          <w:tab w:val="left" w:pos="560"/>
        </w:tabs>
        <w:spacing w:before="480" w:after="240"/>
        <w:ind w:firstLine="482" w:firstLineChars="200"/>
      </w:pPr>
      <w:bookmarkStart w:id="94" w:name="_Toc26860"/>
      <w:bookmarkStart w:id="95" w:name="_Toc41256540"/>
      <w:r>
        <w:rPr>
          <w:rFonts w:hint="eastAsia"/>
        </w:rPr>
        <w:t>3.1.1.7金椰分系统对接</w:t>
      </w:r>
    </w:p>
    <w:bookmarkEnd w:id="94"/>
    <w:p>
      <w:pPr>
        <w:widowControl/>
        <w:spacing w:line="360" w:lineRule="auto"/>
        <w:ind w:firstLine="480" w:firstLineChars="200"/>
        <w:rPr>
          <w:rFonts w:ascii="宋体" w:hAnsi="宋体" w:cs="宋体"/>
          <w:kern w:val="0"/>
          <w:sz w:val="24"/>
        </w:rPr>
      </w:pPr>
      <w:r>
        <w:rPr>
          <w:rFonts w:hint="eastAsia" w:ascii="宋体" w:hAnsi="宋体" w:cs="宋体"/>
          <w:kern w:val="0"/>
          <w:sz w:val="24"/>
        </w:rPr>
        <w:t>金椰分系统以归集到个人信用数据为基础，通过数据清洗加工和处理，获得个人信用数据集。同时具备个人信用积分模型指标管理、评分模型动态配置、数据预处理、模型计算、结果输出与统计分析等功能，支撑实现个人信用积分体系建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码上办事将实现与海南金椰分系统的对接，用于开展海南省内常住人口的个人诚信评价，并能支持应用于政府公共服务、市场金融信息、商业消费等多种场景，推广移动端信用场景应用建设。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当系统完成模型计算后，码上办事对接系统计算结果，以便于用户对模型计算结果的查看、分析和使用。</w:t>
      </w:r>
    </w:p>
    <w:p>
      <w:pPr>
        <w:pStyle w:val="7"/>
        <w:numPr>
          <w:ilvl w:val="1"/>
          <w:numId w:val="0"/>
        </w:numPr>
        <w:tabs>
          <w:tab w:val="left" w:pos="425"/>
          <w:tab w:val="left" w:pos="560"/>
        </w:tabs>
        <w:spacing w:before="480" w:after="240"/>
        <w:ind w:firstLine="482" w:firstLineChars="200"/>
      </w:pPr>
      <w:bookmarkStart w:id="96" w:name="_Toc20437"/>
      <w:r>
        <w:rPr>
          <w:rFonts w:hint="eastAsia"/>
        </w:rPr>
        <w:t>3.1.1.8区块链应用</w:t>
      </w:r>
    </w:p>
    <w:bookmarkEnd w:id="95"/>
    <w:bookmarkEnd w:id="96"/>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平台是政府对公众提供服务的权威入口，在数据对接、业务应用、事项办理、生活消费等各不同的场景下，除了基础的码安全机制、平台安全机制、日志分析记录等手段外，还需要确保各类信息不可篡改，以此增加政府应用的公信力和权威。因此充分结合省平台已建区块链基础平台，搭建区块链应用服务，通过对码上办事平台的各类数据、交互过程等上链存证，确保信息不可篡改。本次拟针对电子证照使用过程、码上办事平台授权使用过程进行上链试点，在后续不断探索和拓展需要使用区块链存证的场景。</w:t>
      </w:r>
    </w:p>
    <w:p>
      <w:pPr>
        <w:pStyle w:val="6"/>
      </w:pPr>
      <w:r>
        <w:rPr>
          <w:rFonts w:hint="eastAsia"/>
        </w:rPr>
        <w:t>3.1.2码引擎支撑平台建设需求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平台的交互逻辑为二维码交互，通过亮码、扫码、授权确认等简单的步骤将个人、法人信息进行授权传递。因此需要建立核心的生码平台，包括基本的二维码生码，各场景信息授权管理，信息的安全控制，高并发的扫码请求支撑能力等。同时还需要能够管理各类场景的标签能力、场景规则的动态配置能力。</w:t>
      </w:r>
    </w:p>
    <w:p>
      <w:pPr>
        <w:pStyle w:val="7"/>
        <w:numPr>
          <w:ilvl w:val="1"/>
          <w:numId w:val="0"/>
        </w:numPr>
        <w:tabs>
          <w:tab w:val="left" w:pos="425"/>
          <w:tab w:val="left" w:pos="560"/>
        </w:tabs>
        <w:spacing w:before="480" w:after="240"/>
        <w:ind w:firstLine="482" w:firstLineChars="200"/>
      </w:pPr>
      <w:bookmarkStart w:id="97" w:name="_Toc32404"/>
      <w:r>
        <w:rPr>
          <w:rFonts w:hint="eastAsia"/>
        </w:rPr>
        <w:t>3.1.2.1码引擎平台建设功能框架</w:t>
      </w:r>
      <w:bookmarkEnd w:id="97"/>
    </w:p>
    <w:p>
      <w:pPr>
        <w:widowControl/>
        <w:spacing w:line="360" w:lineRule="auto"/>
        <w:ind w:firstLine="480" w:firstLineChars="200"/>
        <w:rPr>
          <w:rFonts w:ascii="宋体" w:hAnsi="宋体" w:cs="宋体"/>
          <w:kern w:val="0"/>
          <w:sz w:val="24"/>
        </w:rPr>
      </w:pPr>
      <w:r>
        <w:rPr>
          <w:rFonts w:hint="eastAsia" w:ascii="宋体" w:hAnsi="宋体" w:cs="宋体"/>
          <w:kern w:val="0"/>
          <w:sz w:val="24"/>
        </w:rPr>
        <w:t>基于汇聚和场景标签化的数据以及场景规则，建设码上办事码引擎平台，以支撑不同的领码、亮码和验码端以及政府服务、公众服务和消费服务等场景化服务。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引擎支撑平台主要包括的功能有：超高并发码申报和查询服务体系、码规则引擎、码标签引擎、码验核管理、码色管理和转换、码数据安全和码监控等。码平台数据来源于省内不同政府单位的基础数据，通过省共享交换平台，实现对人口、法人等不同数据的接入和存储，构建个人数字空间、企业数字空间。</w:t>
      </w:r>
    </w:p>
    <w:p>
      <w:pPr>
        <w:pStyle w:val="500"/>
        <w:jc w:val="both"/>
      </w:pPr>
    </w:p>
    <w:p>
      <w:pPr>
        <w:pStyle w:val="7"/>
        <w:numPr>
          <w:ilvl w:val="1"/>
          <w:numId w:val="0"/>
        </w:numPr>
        <w:tabs>
          <w:tab w:val="left" w:pos="425"/>
          <w:tab w:val="left" w:pos="560"/>
        </w:tabs>
        <w:spacing w:before="480" w:after="240"/>
        <w:ind w:firstLine="482" w:firstLineChars="200"/>
      </w:pPr>
      <w:bookmarkStart w:id="98" w:name="_Toc1430"/>
      <w:r>
        <w:rPr>
          <w:rFonts w:hint="eastAsia"/>
        </w:rPr>
        <w:t>3.1.2.2接入端管理</w:t>
      </w:r>
      <w:bookmarkEnd w:id="98"/>
    </w:p>
    <w:p>
      <w:pPr>
        <w:widowControl/>
        <w:spacing w:line="360" w:lineRule="auto"/>
        <w:ind w:firstLine="480" w:firstLineChars="200"/>
        <w:rPr>
          <w:rFonts w:ascii="宋体" w:hAnsi="宋体" w:cs="宋体"/>
          <w:kern w:val="0"/>
          <w:sz w:val="24"/>
        </w:rPr>
      </w:pPr>
      <w:r>
        <w:rPr>
          <w:rFonts w:ascii="宋体" w:hAnsi="宋体" w:cs="宋体"/>
          <w:kern w:val="0"/>
          <w:sz w:val="24"/>
        </w:rPr>
        <w:t>码平台上</w:t>
      </w:r>
      <w:r>
        <w:rPr>
          <w:rFonts w:hint="eastAsia" w:ascii="宋体" w:hAnsi="宋体" w:cs="宋体"/>
          <w:kern w:val="0"/>
          <w:sz w:val="24"/>
        </w:rPr>
        <w:t>，</w:t>
      </w:r>
      <w:r>
        <w:rPr>
          <w:rFonts w:ascii="宋体" w:hAnsi="宋体" w:cs="宋体"/>
          <w:kern w:val="0"/>
          <w:sz w:val="24"/>
        </w:rPr>
        <w:t>实人与码一一对应，身份码可以在不同的客户端上使用，如码上办事APP、支付宝小程序、微信小程序等</w:t>
      </w:r>
      <w:r>
        <w:rPr>
          <w:rFonts w:hint="eastAsia" w:ascii="宋体" w:hAnsi="宋体" w:cs="宋体"/>
          <w:kern w:val="0"/>
          <w:sz w:val="24"/>
        </w:rPr>
        <w:t>，实现客户端账户安全管理。端管理主要针对接入场景的业务单位、商户进行可视化适配管理，支持未来大量场景接入，以及场景适配调整。</w:t>
      </w:r>
    </w:p>
    <w:p>
      <w:pPr>
        <w:pStyle w:val="7"/>
        <w:numPr>
          <w:ilvl w:val="1"/>
          <w:numId w:val="0"/>
        </w:numPr>
        <w:tabs>
          <w:tab w:val="left" w:pos="425"/>
          <w:tab w:val="left" w:pos="560"/>
        </w:tabs>
        <w:spacing w:before="480" w:after="240"/>
        <w:ind w:firstLine="482" w:firstLineChars="200"/>
      </w:pPr>
      <w:bookmarkStart w:id="99" w:name="_Toc6243"/>
      <w:r>
        <w:rPr>
          <w:rFonts w:hint="eastAsia"/>
        </w:rPr>
        <w:t>3.1.2.3接口管理</w:t>
      </w:r>
      <w:bookmarkEnd w:id="99"/>
    </w:p>
    <w:p>
      <w:pPr>
        <w:widowControl/>
        <w:spacing w:line="360" w:lineRule="auto"/>
        <w:ind w:firstLine="480" w:firstLineChars="200"/>
        <w:rPr>
          <w:rFonts w:ascii="宋体" w:hAnsi="宋体" w:cs="宋体"/>
          <w:kern w:val="0"/>
          <w:sz w:val="24"/>
        </w:rPr>
      </w:pPr>
      <w:r>
        <w:rPr>
          <w:rFonts w:hint="eastAsia" w:ascii="宋体" w:hAnsi="宋体" w:cs="宋体"/>
          <w:kern w:val="0"/>
          <w:sz w:val="24"/>
        </w:rPr>
        <w:t>接口管理，以可视化的界面，为码上办事平台提供各类业务场景的对接适配能力，通过对接口进行发布，可由后台应用和前端场景进行接口的调用，支撑场景化开发和管理。</w:t>
      </w:r>
    </w:p>
    <w:p>
      <w:pPr>
        <w:pStyle w:val="7"/>
        <w:numPr>
          <w:ilvl w:val="1"/>
          <w:numId w:val="0"/>
        </w:numPr>
        <w:tabs>
          <w:tab w:val="left" w:pos="425"/>
          <w:tab w:val="left" w:pos="560"/>
        </w:tabs>
        <w:spacing w:before="480" w:after="240"/>
        <w:ind w:firstLine="482" w:firstLineChars="200"/>
      </w:pPr>
      <w:bookmarkStart w:id="100" w:name="_Toc23151"/>
      <w:r>
        <w:rPr>
          <w:rFonts w:hint="eastAsia"/>
        </w:rPr>
        <w:t>3.1.2.4领域管理设计</w:t>
      </w:r>
      <w:bookmarkEnd w:id="100"/>
    </w:p>
    <w:p>
      <w:pPr>
        <w:widowControl/>
        <w:spacing w:line="360" w:lineRule="auto"/>
        <w:ind w:firstLine="480" w:firstLineChars="200"/>
        <w:rPr>
          <w:rFonts w:ascii="宋体" w:hAnsi="宋体" w:cs="宋体"/>
          <w:kern w:val="0"/>
          <w:sz w:val="24"/>
        </w:rPr>
      </w:pPr>
      <w:r>
        <w:rPr>
          <w:rFonts w:hint="eastAsia" w:ascii="宋体" w:hAnsi="宋体" w:cs="宋体"/>
          <w:kern w:val="0"/>
          <w:sz w:val="24"/>
        </w:rPr>
        <w:t>领域用于区分场景的应用场景，用于更方便进行场景归纳、区分及管理。</w:t>
      </w:r>
    </w:p>
    <w:p>
      <w:pPr>
        <w:pStyle w:val="7"/>
        <w:numPr>
          <w:ilvl w:val="1"/>
          <w:numId w:val="0"/>
        </w:numPr>
        <w:tabs>
          <w:tab w:val="left" w:pos="425"/>
          <w:tab w:val="left" w:pos="560"/>
        </w:tabs>
        <w:spacing w:before="480" w:after="240"/>
        <w:ind w:firstLine="482" w:firstLineChars="200"/>
      </w:pPr>
      <w:bookmarkStart w:id="101" w:name="_Toc3869"/>
      <w:r>
        <w:rPr>
          <w:rFonts w:hint="eastAsia"/>
        </w:rPr>
        <w:t>3.1.2.5场景管理</w:t>
      </w:r>
      <w:bookmarkEnd w:id="101"/>
    </w:p>
    <w:p>
      <w:pPr>
        <w:widowControl/>
        <w:spacing w:line="360" w:lineRule="auto"/>
        <w:ind w:firstLine="480" w:firstLineChars="200"/>
        <w:rPr>
          <w:rFonts w:ascii="宋体" w:hAnsi="宋体" w:cs="宋体"/>
          <w:kern w:val="0"/>
          <w:sz w:val="24"/>
        </w:rPr>
      </w:pPr>
      <w:r>
        <w:rPr>
          <w:rFonts w:hint="eastAsia" w:ascii="宋体" w:hAnsi="宋体" w:cs="宋体"/>
          <w:kern w:val="0"/>
          <w:sz w:val="24"/>
        </w:rPr>
        <w:t>场景是接口的合集，场景将规则整合，做成固定模块，可以针对端进行快速配置。</w:t>
      </w:r>
    </w:p>
    <w:p>
      <w:pPr>
        <w:pStyle w:val="7"/>
        <w:numPr>
          <w:ilvl w:val="1"/>
          <w:numId w:val="0"/>
        </w:numPr>
        <w:tabs>
          <w:tab w:val="left" w:pos="425"/>
          <w:tab w:val="left" w:pos="560"/>
        </w:tabs>
        <w:spacing w:before="480" w:after="240"/>
        <w:ind w:firstLine="482" w:firstLineChars="200"/>
      </w:pPr>
      <w:bookmarkStart w:id="102" w:name="_Toc527"/>
      <w:r>
        <w:rPr>
          <w:rFonts w:hint="eastAsia"/>
        </w:rPr>
        <w:t>3.1.2.6码规则引擎</w:t>
      </w:r>
      <w:bookmarkEnd w:id="102"/>
    </w:p>
    <w:p>
      <w:pPr>
        <w:widowControl/>
        <w:spacing w:line="360" w:lineRule="auto"/>
        <w:ind w:firstLine="480" w:firstLineChars="200"/>
        <w:rPr>
          <w:rFonts w:ascii="宋体" w:hAnsi="宋体" w:cs="宋体"/>
          <w:kern w:val="0"/>
          <w:sz w:val="24"/>
        </w:rPr>
      </w:pPr>
      <w:r>
        <w:rPr>
          <w:rFonts w:hint="eastAsia" w:ascii="宋体" w:hAnsi="宋体" w:cs="宋体"/>
          <w:kern w:val="0"/>
          <w:sz w:val="24"/>
        </w:rPr>
        <w:t>码规则引擎，是码上办事平台的生码、亮码、验码环节的核心，是码上办事平台凭码交换信息的基础。规则引擎需要全面支撑海量用户在不同场景下的交互使用，并确保信息安全。对于部分场景，如读取个人证照信息、健康档案信息等，需要通过码规则引擎进行个人授权，在拉取APP的实人认证基础上，完成实人授权和信息交互。</w:t>
      </w:r>
    </w:p>
    <w:p>
      <w:pPr>
        <w:pStyle w:val="7"/>
        <w:numPr>
          <w:ilvl w:val="1"/>
          <w:numId w:val="0"/>
        </w:numPr>
        <w:tabs>
          <w:tab w:val="left" w:pos="425"/>
          <w:tab w:val="left" w:pos="560"/>
        </w:tabs>
        <w:spacing w:before="480" w:after="240"/>
        <w:ind w:firstLine="482" w:firstLineChars="200"/>
      </w:pPr>
      <w:bookmarkStart w:id="103" w:name="_Toc12792"/>
      <w:r>
        <w:rPr>
          <w:rFonts w:hint="eastAsia"/>
        </w:rPr>
        <w:t>3.1.2.7码监控管理</w:t>
      </w:r>
      <w:bookmarkEnd w:id="103"/>
    </w:p>
    <w:p>
      <w:pPr>
        <w:widowControl/>
        <w:spacing w:line="360" w:lineRule="auto"/>
        <w:ind w:firstLine="480" w:firstLineChars="200"/>
        <w:rPr>
          <w:rFonts w:ascii="宋体" w:hAnsi="宋体" w:cs="宋体"/>
          <w:kern w:val="0"/>
          <w:sz w:val="24"/>
        </w:rPr>
      </w:pPr>
      <w:r>
        <w:rPr>
          <w:rFonts w:hint="eastAsia" w:ascii="宋体" w:hAnsi="宋体" w:cs="宋体"/>
          <w:kern w:val="0"/>
          <w:sz w:val="24"/>
        </w:rPr>
        <w:t>码数据监控：查看码结果的数据展示。</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码日志查询：查看码的运行日志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发码信息查询：可以反馈给客户码结果的原因</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码操作日志：可以查看对应码的操作日志</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接口调用列表：展示每次接口调用记录</w:t>
      </w:r>
    </w:p>
    <w:p>
      <w:pPr>
        <w:pStyle w:val="7"/>
        <w:numPr>
          <w:ilvl w:val="1"/>
          <w:numId w:val="0"/>
        </w:numPr>
        <w:tabs>
          <w:tab w:val="left" w:pos="425"/>
          <w:tab w:val="left" w:pos="560"/>
        </w:tabs>
        <w:spacing w:before="480" w:after="240"/>
        <w:ind w:firstLine="482" w:firstLineChars="200"/>
      </w:pPr>
      <w:bookmarkStart w:id="104" w:name="_Toc5361"/>
      <w:r>
        <w:rPr>
          <w:rFonts w:hint="eastAsia"/>
        </w:rPr>
        <w:t>3.1.2.8</w:t>
      </w:r>
      <w:r>
        <w:t>码标签管理</w:t>
      </w:r>
      <w:bookmarkEnd w:id="104"/>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需要实现已有数据和待接入数据的全面融合，建设场景化数据融合标签体系，通过标签体系，实现一码多用、一码多认证等内容。数据处理平台包括一个动态生成码标签的技术平台，以及对应项目场景的标签体系建设，在各应用场景下，需要用的的标签类型与内涵，针对场景特点，在智能标签上建立以健康码、免税消费、信用、实名、扶贫等实体为核心的实体体系与基础属性、行为属性类标签体系，形成面向标签的不同主题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（1）医疗社保信息标签库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构建市民医疗社保信息标签库，主要维度包括：电子健康卡信息、社保卡信息、就诊卡信息、个人健康信息等，支持信用支付、一码看病、一码支付等场景，并且可以通过标签体系分析医疗服务效率、医疗服务信用、医疗支付情况分析等。</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（2）基层医疗机构信息标签库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结合海南省二级以上医疗机构、社保定点医院、社保定点药店，以及地理位置、责任人信息、医疗机构类别等，形成医疗机构信息的标签库，形成码上办事平台在医疗机构预约、就医、住院、结算等多个环节的应用场景支撑。</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（3）政务服务信息标签库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构建政务服务信息标签库，主要维度包括：政务服务事项类别、政务服务事项办理方式、政务服务事项编码规范、政务服务事项依据、政务服务事项要素、政务服务事项材料、政务服务事项流程和政务服务事项时限等，支持政府服务的事项流转效率优化、事项依赖材料优化、事项办理方式优化等。</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（4）个人消费信息标签库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构建全省个人消费信息标签库，主要维度包括：消费场所、消费时段、消费方式、消费金额、消费品类、支付方式、消费频次、消费人群画像等，支持“码上办事”二维码在各类消费场景下的落地和拓展，并可基于此分析消费现状和趋势、消费稀疏度和品类聚集度等，更好的进行营销和拉动内需政策和规划的落地等。</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（5）个人信用信息标签库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构建个人信用信息的标签库，结合个人信息，构建信用模型。同时，信用模型将参考海南省统一信用平台、芝麻信用体系等，为个人加载信用标签以及码上呈现，形成后续基于信用模型的各类实际应用场景。</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（6）法人信息标签库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法人信息标签库，构建法人信息标签、关联企业标签、企业性质标签、企业经营类型标签、各类企业画像等标签体系，构建与电子证照、企业经营、企业服务等在码上办事的应用场景。</w:t>
      </w:r>
    </w:p>
    <w:p>
      <w:pPr>
        <w:widowControl/>
        <w:spacing w:line="360" w:lineRule="auto"/>
        <w:ind w:firstLine="480" w:firstLineChars="200"/>
        <w:rPr>
          <w:rFonts w:ascii="宋体" w:hAnsi="宋体" w:cs="宋体"/>
          <w:kern w:val="0"/>
          <w:sz w:val="24"/>
        </w:rPr>
      </w:pPr>
      <w:r>
        <w:rPr>
          <w:rFonts w:hint="eastAsia" w:ascii="宋体" w:hAnsi="宋体" w:cs="宋体"/>
          <w:kern w:val="0"/>
          <w:sz w:val="24"/>
        </w:rPr>
        <w:t>（7）扶贫信息标签库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基于海南省所建设的扶贫大数据平台，进行扶贫相关信息标签库，通过码上办事精准识别贫困人口信息，为贫困帮扶、脱贫跟踪等进行精准化管理和服务。构建包括贫困人口库、贫困人口信息标签、贫困人口性质标签、贫困家庭标签、贫困人口帮扶等相关标签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（8）交通出行信息标签库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构建交通出行信息标签库，主要维度包括：出行方式、出行时段、出行时间、出行路线、支付方式、转乘次数、出行场景、出行频次等，支持出行场景码的应用和落地，并且可以基于此分析出行规律，更好的进行城市交通组织管理和秩序管理，以及交通规划等。</w:t>
      </w:r>
    </w:p>
    <w:p>
      <w:pPr>
        <w:widowControl/>
        <w:spacing w:line="360" w:lineRule="auto"/>
        <w:ind w:firstLine="480" w:firstLineChars="200"/>
        <w:rPr>
          <w:rFonts w:ascii="宋体" w:hAnsi="宋体" w:cs="宋体"/>
          <w:kern w:val="0"/>
          <w:sz w:val="24"/>
        </w:rPr>
      </w:pPr>
      <w:r>
        <w:rPr>
          <w:rFonts w:hint="eastAsia" w:ascii="宋体" w:hAnsi="宋体" w:cs="宋体"/>
          <w:kern w:val="0"/>
          <w:sz w:val="24"/>
        </w:rPr>
        <w:t>（9）码平台运营标签库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平台运营是作为码上办事平台整体向管理者及运营者透出的综合性智能分析体系，按照不同场景的应用和数据接入，对码平台以及各应用场景产生的数据进行统一的归集接入和清洗，设计数据模型，针对场景分析码平台以及场景的应用情况，为运营平台提供数据输入。</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（10）其他标签库</w:t>
      </w:r>
    </w:p>
    <w:p>
      <w:pPr>
        <w:widowControl/>
        <w:spacing w:line="360" w:lineRule="auto"/>
        <w:ind w:firstLine="480" w:firstLineChars="200"/>
        <w:rPr>
          <w:rFonts w:ascii="宋体" w:hAnsi="宋体" w:cs="宋体"/>
          <w:kern w:val="0"/>
          <w:sz w:val="24"/>
        </w:rPr>
      </w:pPr>
      <w:r>
        <w:rPr>
          <w:rFonts w:hint="eastAsia" w:ascii="宋体" w:hAnsi="宋体" w:cs="宋体"/>
          <w:kern w:val="0"/>
          <w:sz w:val="24"/>
        </w:rPr>
        <w:t>随着自贸港政策的不断开放，码上办事平台在未来将逐步融合大量的业务应用场景，包括免税消费、跨境购物、海外游客等多种标准库，来支撑未来拓展场景的建设。</w:t>
      </w:r>
    </w:p>
    <w:p>
      <w:pPr>
        <w:pStyle w:val="7"/>
        <w:numPr>
          <w:ilvl w:val="1"/>
          <w:numId w:val="0"/>
        </w:numPr>
        <w:tabs>
          <w:tab w:val="left" w:pos="425"/>
          <w:tab w:val="left" w:pos="560"/>
        </w:tabs>
        <w:spacing w:before="480" w:after="240"/>
        <w:ind w:firstLine="482" w:firstLineChars="200"/>
      </w:pPr>
      <w:bookmarkStart w:id="105" w:name="_Toc11544"/>
      <w:r>
        <w:rPr>
          <w:rFonts w:hint="eastAsia"/>
        </w:rPr>
        <w:t>3.1.2.9码安全管理</w:t>
      </w:r>
      <w:bookmarkEnd w:id="105"/>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平台需要构建陌生人之间信息的快速传递，因此在安全方面是不可忽视的问题。在交互过程中，除了需要做好本人实人实名认证及授权外，还需要确保信息交互、码本身加密等安全机制，确保信息不被泄露，在未来各类业务场景中不会出现因为信息交互产生的安全问题。</w:t>
      </w:r>
    </w:p>
    <w:p>
      <w:pPr>
        <w:pStyle w:val="7"/>
        <w:numPr>
          <w:ilvl w:val="1"/>
          <w:numId w:val="0"/>
        </w:numPr>
        <w:tabs>
          <w:tab w:val="left" w:pos="425"/>
          <w:tab w:val="left" w:pos="560"/>
        </w:tabs>
        <w:spacing w:before="480" w:after="240"/>
        <w:ind w:firstLine="482" w:firstLineChars="200"/>
      </w:pPr>
      <w:bookmarkStart w:id="106" w:name="_Toc48255192"/>
      <w:bookmarkStart w:id="107" w:name="_Toc5595"/>
      <w:r>
        <w:rPr>
          <w:rFonts w:hint="eastAsia"/>
        </w:rPr>
        <w:t>3.1.2.10未来新场景扩展对接</w:t>
      </w:r>
      <w:bookmarkEnd w:id="106"/>
      <w:bookmarkEnd w:id="107"/>
    </w:p>
    <w:p>
      <w:pPr>
        <w:widowControl/>
        <w:spacing w:line="360" w:lineRule="auto"/>
        <w:ind w:firstLine="480" w:firstLineChars="200"/>
        <w:rPr>
          <w:rFonts w:ascii="宋体" w:hAnsi="宋体" w:cs="宋体"/>
          <w:kern w:val="0"/>
          <w:sz w:val="24"/>
        </w:rPr>
      </w:pPr>
      <w:r>
        <w:rPr>
          <w:rFonts w:hint="eastAsia" w:ascii="宋体" w:hAnsi="宋体" w:cs="宋体"/>
          <w:kern w:val="0"/>
          <w:sz w:val="24"/>
        </w:rPr>
        <w:t>在本阶段完成码上办事所规划的各类场景基础上，后续将不断拓展各类应用场景的接入。按照项目整体规划，本阶段主要是完成码上办事平台热门场景、平台底座的搭建，按照海南省统一要求，结合实际出发，从技术实现、政策要求等方面综合考虑，未来将不断根据自贸港政策要求，拓展完成各类服务场景的覆盖。因此，城市码平台（码引擎）将形成统一的标准，在未来支持自贸港二维码使用场景下，形成快速、灵活的对接能力。</w:t>
      </w:r>
    </w:p>
    <w:p>
      <w:pPr>
        <w:pStyle w:val="7"/>
        <w:numPr>
          <w:ilvl w:val="1"/>
          <w:numId w:val="0"/>
        </w:numPr>
        <w:tabs>
          <w:tab w:val="left" w:pos="425"/>
          <w:tab w:val="left" w:pos="560"/>
        </w:tabs>
        <w:spacing w:before="480" w:after="240"/>
        <w:ind w:firstLine="482" w:firstLineChars="200"/>
      </w:pPr>
      <w:bookmarkStart w:id="108" w:name="_Toc10903"/>
      <w:r>
        <w:rPr>
          <w:rFonts w:hint="eastAsia"/>
        </w:rPr>
        <w:t>3.1.2.11其他场景支持</w:t>
      </w:r>
      <w:bookmarkEnd w:id="108"/>
    </w:p>
    <w:p>
      <w:pPr>
        <w:widowControl/>
        <w:spacing w:line="360" w:lineRule="auto"/>
        <w:ind w:firstLine="480" w:firstLineChars="200"/>
        <w:rPr>
          <w:rFonts w:ascii="宋体" w:hAnsi="宋体" w:cs="宋体"/>
          <w:kern w:val="0"/>
          <w:sz w:val="24"/>
        </w:rPr>
      </w:pPr>
      <w:r>
        <w:rPr>
          <w:rFonts w:hint="eastAsia" w:ascii="宋体" w:hAnsi="宋体" w:cs="宋体"/>
          <w:kern w:val="0"/>
          <w:sz w:val="24"/>
        </w:rPr>
        <w:t>在未来，码上办事平台可逐步向其他场景进行拓展，本期所建设的码上办事平台将提供技术支撑和对接能力，包括如电梯码、公共设施码、消防设施码等一物一码体系，让各类监管工作、社会服务工作都可以通过码上办事平台快速、便捷的开展。</w:t>
      </w:r>
    </w:p>
    <w:p>
      <w:pPr>
        <w:pStyle w:val="7"/>
        <w:numPr>
          <w:ilvl w:val="1"/>
          <w:numId w:val="0"/>
        </w:numPr>
        <w:tabs>
          <w:tab w:val="left" w:pos="425"/>
          <w:tab w:val="left" w:pos="560"/>
        </w:tabs>
        <w:spacing w:before="480" w:after="240"/>
        <w:ind w:firstLine="482" w:firstLineChars="200"/>
      </w:pPr>
      <w:bookmarkStart w:id="109" w:name="_Toc5956"/>
      <w:r>
        <w:rPr>
          <w:rFonts w:hint="eastAsia"/>
        </w:rPr>
        <w:t>3.1.2.12数据资源支撑平台</w:t>
      </w:r>
      <w:bookmarkEnd w:id="109"/>
    </w:p>
    <w:p>
      <w:pPr>
        <w:pStyle w:val="9"/>
        <w:widowControl/>
        <w:numPr>
          <w:ilvl w:val="3"/>
          <w:numId w:val="0"/>
        </w:numPr>
        <w:tabs>
          <w:tab w:val="left" w:pos="425"/>
          <w:tab w:val="left" w:pos="560"/>
          <w:tab w:val="left" w:pos="851"/>
        </w:tabs>
        <w:spacing w:after="120" w:line="360" w:lineRule="auto"/>
        <w:ind w:firstLine="482" w:firstLineChars="200"/>
        <w:rPr>
          <w:b/>
          <w:bCs/>
        </w:rPr>
      </w:pPr>
      <w:r>
        <w:rPr>
          <w:rFonts w:hint="eastAsia"/>
          <w:b/>
          <w:bCs/>
        </w:rPr>
        <w:t>（1）</w:t>
      </w:r>
      <w:r>
        <w:rPr>
          <w:b/>
          <w:bCs/>
        </w:rPr>
        <w:t>资源目录</w:t>
      </w:r>
      <w:r>
        <w:rPr>
          <w:rFonts w:hint="eastAsia"/>
          <w:b/>
          <w:bCs/>
        </w:rPr>
        <w:t>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当前各个厅局的业务系统数据分别独立存在，尚未清洗深挖形成主题清晰、可用性高的主题业务数据，造成一定的数据浪费。我们可以将同步清洗后的业务数据，通过资源目录系统组合成适用于多种业务场景的主题式数据，提供给单位及企业简单高效的数据获取途径。</w:t>
      </w:r>
    </w:p>
    <w:p>
      <w:pPr>
        <w:pStyle w:val="500"/>
      </w:pPr>
    </w:p>
    <w:p>
      <w:pPr>
        <w:pStyle w:val="9"/>
        <w:widowControl/>
        <w:numPr>
          <w:ilvl w:val="3"/>
          <w:numId w:val="0"/>
        </w:numPr>
        <w:tabs>
          <w:tab w:val="left" w:pos="425"/>
          <w:tab w:val="left" w:pos="560"/>
          <w:tab w:val="left" w:pos="851"/>
        </w:tabs>
        <w:spacing w:after="120" w:line="360" w:lineRule="auto"/>
        <w:ind w:firstLine="482" w:firstLineChars="200"/>
        <w:rPr>
          <w:b/>
          <w:bCs/>
        </w:rPr>
      </w:pPr>
      <w:r>
        <w:rPr>
          <w:rFonts w:hint="eastAsia"/>
          <w:b/>
          <w:bCs/>
        </w:rPr>
        <w:t>（2）角色管理</w:t>
      </w:r>
    </w:p>
    <w:p>
      <w:pPr>
        <w:pStyle w:val="10"/>
        <w:numPr>
          <w:ilvl w:val="4"/>
          <w:numId w:val="0"/>
        </w:numPr>
        <w:tabs>
          <w:tab w:val="left" w:pos="425"/>
          <w:tab w:val="left" w:pos="560"/>
        </w:tabs>
        <w:spacing w:after="120"/>
        <w:ind w:firstLine="482"/>
      </w:pPr>
      <w:r>
        <w:rPr>
          <w:rFonts w:hint="eastAsia"/>
        </w:rPr>
        <w:t>1）</w:t>
      </w:r>
      <w:r>
        <w:t>角色搜索</w:t>
      </w:r>
      <w:r>
        <w:rPr>
          <w:rFonts w:hint="eastAsia"/>
        </w:rPr>
        <w:t>预览</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可以支持搜索已创建的角色组及角色，并通过清晰的树状结构展示。</w:t>
      </w:r>
    </w:p>
    <w:p>
      <w:r>
        <w:rPr>
          <w:rFonts w:hint="eastAsia"/>
        </w:rPr>
        <w:t>（初始化有一个“默认”角色组）。</w:t>
      </w:r>
    </w:p>
    <w:p>
      <w:pPr>
        <w:pStyle w:val="10"/>
        <w:numPr>
          <w:ilvl w:val="4"/>
          <w:numId w:val="0"/>
        </w:numPr>
        <w:tabs>
          <w:tab w:val="left" w:pos="425"/>
          <w:tab w:val="left" w:pos="560"/>
        </w:tabs>
        <w:spacing w:after="120"/>
        <w:ind w:firstLine="482"/>
      </w:pPr>
      <w:r>
        <w:rPr>
          <w:rFonts w:hint="eastAsia"/>
        </w:rPr>
        <w:t>2）</w:t>
      </w:r>
      <w:r>
        <w:t>角色组</w:t>
      </w:r>
      <w:r>
        <w:rPr>
          <w:rFonts w:hint="eastAsia"/>
        </w:rPr>
        <w:t>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支持新增、编辑和删除角色组。</w:t>
      </w:r>
    </w:p>
    <w:p>
      <w:pPr>
        <w:pStyle w:val="10"/>
        <w:numPr>
          <w:ilvl w:val="4"/>
          <w:numId w:val="0"/>
        </w:numPr>
        <w:tabs>
          <w:tab w:val="left" w:pos="425"/>
          <w:tab w:val="left" w:pos="560"/>
        </w:tabs>
        <w:spacing w:after="120"/>
        <w:ind w:firstLine="482"/>
      </w:pPr>
      <w:r>
        <w:rPr>
          <w:rFonts w:hint="eastAsia"/>
        </w:rPr>
        <w:t>3）</w:t>
      </w:r>
      <w:r>
        <w:t>新增角色</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支持新增角色，将角色与角色组一一关联。</w:t>
      </w:r>
    </w:p>
    <w:p>
      <w:pPr>
        <w:pStyle w:val="10"/>
        <w:numPr>
          <w:ilvl w:val="4"/>
          <w:numId w:val="0"/>
        </w:numPr>
        <w:tabs>
          <w:tab w:val="left" w:pos="425"/>
          <w:tab w:val="left" w:pos="560"/>
        </w:tabs>
        <w:spacing w:after="120"/>
        <w:ind w:firstLine="482"/>
      </w:pPr>
      <w:r>
        <w:rPr>
          <w:rFonts w:hint="eastAsia"/>
        </w:rPr>
        <w:t>4）角色资源管理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修改角色：支持编辑和删除角色内容，可以将角色转移到其他角色组，一个角色仅属于一个角色组。</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角色资源管理：支持增删角色的资源权限，可选资源依赖于资源目录已创建资源，选择父级支持默认拥有所有子级资源权限。</w:t>
      </w:r>
    </w:p>
    <w:p>
      <w:pPr>
        <w:pStyle w:val="9"/>
        <w:widowControl/>
        <w:numPr>
          <w:ilvl w:val="3"/>
          <w:numId w:val="0"/>
        </w:numPr>
        <w:tabs>
          <w:tab w:val="left" w:pos="425"/>
          <w:tab w:val="left" w:pos="560"/>
          <w:tab w:val="left" w:pos="851"/>
        </w:tabs>
        <w:spacing w:after="120" w:line="360" w:lineRule="auto"/>
        <w:ind w:firstLine="482" w:firstLineChars="200"/>
        <w:rPr>
          <w:b/>
          <w:bCs/>
        </w:rPr>
      </w:pPr>
      <w:r>
        <w:rPr>
          <w:rFonts w:hint="eastAsia"/>
          <w:b/>
          <w:bCs/>
        </w:rPr>
        <w:t>（3）场景服务平台</w:t>
      </w:r>
    </w:p>
    <w:p>
      <w:pPr>
        <w:pStyle w:val="10"/>
        <w:numPr>
          <w:ilvl w:val="4"/>
          <w:numId w:val="0"/>
        </w:numPr>
        <w:tabs>
          <w:tab w:val="left" w:pos="425"/>
          <w:tab w:val="left" w:pos="560"/>
        </w:tabs>
        <w:spacing w:after="120"/>
        <w:ind w:firstLine="482"/>
      </w:pPr>
      <w:r>
        <w:rPr>
          <w:rFonts w:hint="eastAsia"/>
        </w:rPr>
        <w:t>1）</w:t>
      </w:r>
      <w:r>
        <w:t>商户中心</w:t>
      </w:r>
    </w:p>
    <w:p>
      <w:pPr>
        <w:widowControl/>
        <w:spacing w:line="360" w:lineRule="auto"/>
        <w:ind w:firstLine="482" w:firstLineChars="200"/>
        <w:rPr>
          <w:rFonts w:ascii="宋体" w:hAnsi="宋体" w:cs="宋体"/>
          <w:b/>
          <w:bCs/>
          <w:kern w:val="0"/>
          <w:sz w:val="24"/>
        </w:rPr>
      </w:pPr>
      <w:r>
        <w:rPr>
          <w:rFonts w:hint="eastAsia" w:ascii="宋体" w:hAnsi="宋体" w:cs="宋体"/>
          <w:b/>
          <w:bCs/>
          <w:kern w:val="0"/>
          <w:sz w:val="24"/>
        </w:rPr>
        <w:t>应用管理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商户根据需求创建的不同应用，应用中可以包含一种或多种应用场景，应用场景可自定义添加不同的数据资源。</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根据使用需求创建场景，满足多种场景下的数据需求。支持设置场景信息、数据需求定义、选择回调API。</w:t>
      </w:r>
    </w:p>
    <w:p>
      <w:pPr>
        <w:widowControl/>
        <w:spacing w:line="360" w:lineRule="auto"/>
        <w:ind w:firstLine="482" w:firstLineChars="200"/>
        <w:rPr>
          <w:rFonts w:ascii="宋体" w:hAnsi="宋体" w:cs="宋体"/>
          <w:b/>
          <w:bCs/>
          <w:kern w:val="0"/>
          <w:sz w:val="24"/>
        </w:rPr>
      </w:pPr>
      <w:r>
        <w:rPr>
          <w:rFonts w:hint="eastAsia" w:ascii="宋体" w:hAnsi="宋体" w:cs="宋体"/>
          <w:b/>
          <w:bCs/>
          <w:kern w:val="0"/>
          <w:sz w:val="24"/>
        </w:rPr>
        <w:t>已购数据查看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商户平台支持查看已购数据资源的情况。</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其中已购数据分为免费、收费2种：</w:t>
      </w:r>
    </w:p>
    <w:p>
      <w:pPr>
        <w:widowControl/>
        <w:spacing w:line="360" w:lineRule="auto"/>
        <w:ind w:firstLine="480" w:firstLineChars="200"/>
        <w:rPr>
          <w:rFonts w:ascii="宋体" w:hAnsi="宋体" w:cs="宋体"/>
          <w:kern w:val="0"/>
          <w:sz w:val="24"/>
        </w:rPr>
      </w:pPr>
      <w:r>
        <w:rPr>
          <w:rFonts w:hint="eastAsia" w:ascii="宋体" w:hAnsi="宋体" w:cs="宋体"/>
          <w:kern w:val="0"/>
          <w:sz w:val="24"/>
        </w:rPr>
        <w:t>①免费资源：根据账户角色授权给对应账号角色的用户免费使用。（账户角色对应的免费资源由设置决定）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②收费资源：收费资源需要付费后才能查看。</w:t>
      </w:r>
    </w:p>
    <w:p>
      <w:pPr>
        <w:widowControl/>
        <w:spacing w:line="360" w:lineRule="auto"/>
        <w:ind w:firstLine="482" w:firstLineChars="200"/>
        <w:rPr>
          <w:rFonts w:ascii="宋体" w:hAnsi="宋体" w:cs="宋体"/>
          <w:b/>
          <w:bCs/>
          <w:kern w:val="0"/>
          <w:sz w:val="24"/>
        </w:rPr>
      </w:pPr>
      <w:r>
        <w:rPr>
          <w:rFonts w:hint="eastAsia" w:ascii="宋体" w:hAnsi="宋体" w:cs="宋体"/>
          <w:b/>
          <w:bCs/>
          <w:kern w:val="0"/>
          <w:sz w:val="24"/>
        </w:rPr>
        <w:t>订单管理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数据订单管理，支持商户查看下单的数据订单历史信息，订单状态包括待支付、已支付、已取消。</w:t>
      </w:r>
    </w:p>
    <w:p>
      <w:pPr>
        <w:widowControl/>
        <w:spacing w:line="360" w:lineRule="auto"/>
        <w:ind w:firstLine="480" w:firstLineChars="200"/>
        <w:rPr>
          <w:rFonts w:ascii="宋体" w:hAnsi="宋体" w:cs="宋体"/>
          <w:kern w:val="0"/>
          <w:sz w:val="24"/>
        </w:rPr>
      </w:pPr>
      <w:bookmarkStart w:id="110" w:name="_Hlk41511362"/>
      <w:r>
        <w:rPr>
          <w:rFonts w:hint="eastAsia" w:ascii="宋体" w:hAnsi="宋体" w:cs="宋体"/>
          <w:kern w:val="0"/>
          <w:sz w:val="24"/>
        </w:rPr>
        <w:t>①</w:t>
      </w:r>
      <w:r>
        <w:rPr>
          <w:rFonts w:ascii="宋体" w:hAnsi="宋体" w:cs="宋体"/>
          <w:kern w:val="0"/>
          <w:sz w:val="24"/>
        </w:rPr>
        <w:t>待支付</w:t>
      </w:r>
      <w:r>
        <w:rPr>
          <w:rFonts w:hint="eastAsia" w:ascii="宋体" w:hAnsi="宋体" w:cs="宋体"/>
          <w:kern w:val="0"/>
          <w:sz w:val="24"/>
        </w:rPr>
        <w:t>订单，指已下单通过审核，但未付款的</w:t>
      </w:r>
      <w:r>
        <w:rPr>
          <w:rFonts w:ascii="宋体" w:hAnsi="宋体" w:cs="宋体"/>
          <w:kern w:val="0"/>
          <w:sz w:val="24"/>
        </w:rPr>
        <w:t>数据订单</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②</w:t>
      </w:r>
      <w:r>
        <w:rPr>
          <w:rFonts w:ascii="宋体" w:hAnsi="宋体" w:cs="宋体"/>
          <w:kern w:val="0"/>
          <w:sz w:val="24"/>
        </w:rPr>
        <w:t>已支付</w:t>
      </w:r>
      <w:r>
        <w:rPr>
          <w:rFonts w:hint="eastAsia" w:ascii="宋体" w:hAnsi="宋体" w:cs="宋体"/>
          <w:kern w:val="0"/>
          <w:sz w:val="24"/>
        </w:rPr>
        <w:t>订单，指已付款的数据订单。</w:t>
      </w:r>
    </w:p>
    <w:p>
      <w:pPr>
        <w:widowControl/>
        <w:spacing w:line="360" w:lineRule="auto"/>
        <w:ind w:firstLine="480" w:firstLineChars="200"/>
        <w:rPr>
          <w:rFonts w:ascii="宋体" w:hAnsi="宋体" w:cs="宋体"/>
          <w:kern w:val="0"/>
          <w:sz w:val="24"/>
        </w:rPr>
      </w:pPr>
      <w:r>
        <w:rPr>
          <w:rFonts w:hint="eastAsia" w:ascii="宋体" w:hAnsi="宋体" w:cs="宋体"/>
          <w:kern w:val="0"/>
          <w:sz w:val="24"/>
        </w:rPr>
        <w:t>③</w:t>
      </w:r>
      <w:r>
        <w:rPr>
          <w:rFonts w:ascii="宋体" w:hAnsi="宋体" w:cs="宋体"/>
          <w:kern w:val="0"/>
          <w:sz w:val="24"/>
        </w:rPr>
        <w:t>已取消</w:t>
      </w:r>
      <w:r>
        <w:rPr>
          <w:rFonts w:hint="eastAsia" w:ascii="宋体" w:hAnsi="宋体" w:cs="宋体"/>
          <w:kern w:val="0"/>
          <w:sz w:val="24"/>
        </w:rPr>
        <w:t>，指超时未支付的订单或者用户自行取消订单的数据订单。</w:t>
      </w:r>
    </w:p>
    <w:bookmarkEnd w:id="110"/>
    <w:p>
      <w:pPr>
        <w:widowControl/>
        <w:spacing w:line="360" w:lineRule="auto"/>
        <w:ind w:firstLine="482" w:firstLineChars="200"/>
        <w:rPr>
          <w:rFonts w:ascii="宋体" w:hAnsi="宋体" w:cs="宋体"/>
          <w:b/>
          <w:bCs/>
          <w:kern w:val="0"/>
          <w:sz w:val="24"/>
        </w:rPr>
      </w:pPr>
      <w:r>
        <w:rPr>
          <w:rFonts w:hint="eastAsia" w:ascii="宋体" w:hAnsi="宋体" w:cs="宋体"/>
          <w:b/>
          <w:bCs/>
          <w:kern w:val="0"/>
          <w:sz w:val="24"/>
        </w:rPr>
        <w:t>发票管理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已支付订单可以在线申请电子发票或者邮寄纸质发票，可以在线申请开具发票，以及查看订单关联的历史发票信息，跟踪邮寄发票物流状态。包括发票列表、发票状态、开票信息管理、邮寄地址管理。</w:t>
      </w:r>
    </w:p>
    <w:p>
      <w:pPr>
        <w:pStyle w:val="10"/>
        <w:numPr>
          <w:ilvl w:val="4"/>
          <w:numId w:val="0"/>
        </w:numPr>
        <w:tabs>
          <w:tab w:val="left" w:pos="425"/>
          <w:tab w:val="left" w:pos="560"/>
        </w:tabs>
        <w:spacing w:after="120"/>
        <w:ind w:firstLine="482"/>
      </w:pPr>
      <w:r>
        <w:rPr>
          <w:rFonts w:hint="eastAsia"/>
        </w:rPr>
        <w:t xml:space="preserve">2）计费中心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包括：计费单价配置和计费规格配置。</w:t>
      </w:r>
    </w:p>
    <w:p>
      <w:pPr>
        <w:pStyle w:val="10"/>
        <w:numPr>
          <w:ilvl w:val="4"/>
          <w:numId w:val="0"/>
        </w:numPr>
        <w:tabs>
          <w:tab w:val="left" w:pos="425"/>
          <w:tab w:val="left" w:pos="560"/>
        </w:tabs>
        <w:spacing w:after="120"/>
        <w:ind w:firstLine="482"/>
      </w:pPr>
      <w:r>
        <w:rPr>
          <w:rFonts w:hint="eastAsia"/>
        </w:rPr>
        <w:t>3）服务商中心</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包括：数据管理、订单管理、发票管理、服务商结算。</w:t>
      </w:r>
    </w:p>
    <w:p>
      <w:pPr>
        <w:pStyle w:val="10"/>
        <w:numPr>
          <w:ilvl w:val="4"/>
          <w:numId w:val="0"/>
        </w:numPr>
        <w:tabs>
          <w:tab w:val="left" w:pos="425"/>
          <w:tab w:val="left" w:pos="560"/>
        </w:tabs>
        <w:spacing w:after="120"/>
        <w:ind w:firstLine="482"/>
      </w:pPr>
      <w:r>
        <w:rPr>
          <w:rFonts w:hint="eastAsia"/>
        </w:rPr>
        <w:t>4）管理中心</w:t>
      </w:r>
    </w:p>
    <w:p>
      <w:pPr>
        <w:widowControl/>
        <w:spacing w:line="360" w:lineRule="auto"/>
        <w:ind w:firstLine="482" w:firstLineChars="200"/>
        <w:rPr>
          <w:rFonts w:ascii="宋体" w:hAnsi="宋体" w:cs="宋体"/>
          <w:b/>
          <w:bCs/>
          <w:kern w:val="0"/>
          <w:sz w:val="24"/>
        </w:rPr>
      </w:pPr>
      <w:r>
        <w:rPr>
          <w:rFonts w:hint="eastAsia" w:ascii="宋体" w:hAnsi="宋体" w:cs="宋体"/>
          <w:b/>
          <w:bCs/>
          <w:kern w:val="0"/>
          <w:sz w:val="24"/>
        </w:rPr>
        <w:t>数据目录审核</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审核对象主要针对商户及服务商提供的数据请求。如：商户创建应用时购买的数据是否合法合规；服务商兜售的数据情况是否存在违规内容。此外，服务商的数据订单结算审核也需审核通过后方可结算。</w:t>
      </w:r>
    </w:p>
    <w:p>
      <w:pPr>
        <w:widowControl/>
        <w:spacing w:line="360" w:lineRule="auto"/>
        <w:ind w:firstLine="482" w:firstLineChars="200"/>
        <w:rPr>
          <w:rFonts w:ascii="宋体" w:hAnsi="宋体" w:cs="宋体"/>
          <w:b/>
          <w:bCs/>
          <w:kern w:val="0"/>
          <w:sz w:val="24"/>
        </w:rPr>
      </w:pPr>
      <w:r>
        <w:rPr>
          <w:rFonts w:hint="eastAsia" w:ascii="宋体" w:hAnsi="宋体" w:cs="宋体"/>
          <w:b/>
          <w:bCs/>
          <w:kern w:val="0"/>
          <w:sz w:val="24"/>
        </w:rPr>
        <w:t>场景应用管理</w:t>
      </w:r>
    </w:p>
    <w:p>
      <w:pPr>
        <w:rPr>
          <w:sz w:val="24"/>
        </w:rPr>
      </w:pPr>
      <w:r>
        <w:rPr>
          <w:rFonts w:hint="eastAsia"/>
          <w:sz w:val="24"/>
        </w:rPr>
        <w:t>可管理所有的场景应用，支持预览及启禁用。</w:t>
      </w:r>
    </w:p>
    <w:p>
      <w:pPr>
        <w:widowControl/>
        <w:numPr>
          <w:ilvl w:val="0"/>
          <w:numId w:val="50"/>
        </w:numPr>
        <w:spacing w:line="360" w:lineRule="auto"/>
        <w:rPr>
          <w:sz w:val="24"/>
        </w:rPr>
      </w:pPr>
      <w:r>
        <w:rPr>
          <w:sz w:val="24"/>
        </w:rPr>
        <w:t>场景应用列表</w:t>
      </w:r>
      <w:r>
        <w:rPr>
          <w:rFonts w:hint="eastAsia"/>
          <w:sz w:val="24"/>
        </w:rPr>
        <w:t>。支持预览所用的场景应用。</w:t>
      </w:r>
    </w:p>
    <w:p>
      <w:pPr>
        <w:widowControl/>
        <w:numPr>
          <w:ilvl w:val="0"/>
          <w:numId w:val="50"/>
        </w:numPr>
        <w:spacing w:line="360" w:lineRule="auto"/>
        <w:rPr>
          <w:sz w:val="24"/>
        </w:rPr>
      </w:pPr>
      <w:r>
        <w:rPr>
          <w:sz w:val="24"/>
        </w:rPr>
        <w:t>场景应用详情</w:t>
      </w:r>
      <w:r>
        <w:rPr>
          <w:rFonts w:hint="eastAsia"/>
          <w:sz w:val="24"/>
        </w:rPr>
        <w:t>。点击列表单项场景应用可详细了解该场景应用。</w:t>
      </w:r>
    </w:p>
    <w:p>
      <w:pPr>
        <w:widowControl/>
        <w:numPr>
          <w:ilvl w:val="0"/>
          <w:numId w:val="50"/>
        </w:numPr>
        <w:spacing w:line="360" w:lineRule="auto"/>
        <w:rPr>
          <w:sz w:val="24"/>
        </w:rPr>
      </w:pPr>
      <w:r>
        <w:rPr>
          <w:sz w:val="24"/>
        </w:rPr>
        <w:t>访问数据日志</w:t>
      </w:r>
      <w:r>
        <w:rPr>
          <w:rFonts w:hint="eastAsia"/>
          <w:sz w:val="24"/>
        </w:rPr>
        <w:t>。记录平台使用行为数据，支持管理员下载、查询平台用户行为。</w:t>
      </w:r>
    </w:p>
    <w:p>
      <w:pPr>
        <w:pStyle w:val="10"/>
        <w:numPr>
          <w:ilvl w:val="4"/>
          <w:numId w:val="0"/>
        </w:numPr>
        <w:tabs>
          <w:tab w:val="left" w:pos="425"/>
          <w:tab w:val="left" w:pos="560"/>
        </w:tabs>
        <w:spacing w:after="120"/>
        <w:ind w:firstLine="482"/>
      </w:pPr>
      <w:r>
        <w:rPr>
          <w:rFonts w:hint="eastAsia"/>
        </w:rPr>
        <w:t>5）服务市场</w:t>
      </w:r>
    </w:p>
    <w:p>
      <w:pPr>
        <w:widowControl/>
        <w:spacing w:line="360" w:lineRule="auto"/>
        <w:ind w:firstLine="482" w:firstLineChars="200"/>
        <w:rPr>
          <w:rFonts w:ascii="宋体" w:hAnsi="宋体" w:cs="宋体"/>
          <w:b/>
          <w:bCs/>
          <w:kern w:val="0"/>
          <w:sz w:val="24"/>
        </w:rPr>
      </w:pPr>
      <w:r>
        <w:rPr>
          <w:rFonts w:hint="eastAsia" w:ascii="宋体" w:hAnsi="宋体" w:cs="宋体"/>
          <w:b/>
          <w:bCs/>
          <w:kern w:val="0"/>
          <w:sz w:val="24"/>
        </w:rPr>
        <w:t>API服务</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商户可以浏览通过审核的API服务，展示API价格、规格及详情描述。</w:t>
      </w:r>
    </w:p>
    <w:p>
      <w:pPr>
        <w:widowControl/>
        <w:spacing w:line="360" w:lineRule="auto"/>
        <w:ind w:firstLine="482" w:firstLineChars="200"/>
        <w:rPr>
          <w:rFonts w:ascii="宋体" w:hAnsi="宋体" w:cs="宋体"/>
          <w:b/>
          <w:bCs/>
          <w:kern w:val="0"/>
          <w:sz w:val="24"/>
        </w:rPr>
      </w:pPr>
      <w:r>
        <w:rPr>
          <w:rFonts w:hint="eastAsia" w:ascii="宋体" w:hAnsi="宋体" w:cs="宋体"/>
          <w:b/>
          <w:bCs/>
          <w:kern w:val="0"/>
          <w:sz w:val="24"/>
        </w:rPr>
        <w:t>数据包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商户可以浏通过审核的数据包，展示数据包价格、规格及详情描述。</w:t>
      </w:r>
    </w:p>
    <w:p>
      <w:pPr>
        <w:pStyle w:val="10"/>
        <w:numPr>
          <w:ilvl w:val="4"/>
          <w:numId w:val="0"/>
        </w:numPr>
        <w:tabs>
          <w:tab w:val="left" w:pos="425"/>
          <w:tab w:val="left" w:pos="560"/>
        </w:tabs>
        <w:spacing w:after="120"/>
        <w:ind w:firstLine="482"/>
      </w:pPr>
      <w:r>
        <w:rPr>
          <w:rFonts w:hint="eastAsia"/>
        </w:rPr>
        <w:t>6）基本信息</w:t>
      </w:r>
    </w:p>
    <w:p>
      <w:pPr>
        <w:widowControl/>
        <w:spacing w:line="360" w:lineRule="auto"/>
        <w:ind w:firstLine="482" w:firstLineChars="200"/>
        <w:rPr>
          <w:rFonts w:ascii="宋体" w:hAnsi="宋体" w:cs="宋体"/>
          <w:b/>
          <w:bCs/>
          <w:kern w:val="0"/>
          <w:sz w:val="24"/>
        </w:rPr>
      </w:pPr>
      <w:r>
        <w:rPr>
          <w:rFonts w:hint="eastAsia" w:ascii="宋体" w:hAnsi="宋体" w:cs="宋体"/>
          <w:b/>
          <w:bCs/>
          <w:kern w:val="0"/>
          <w:sz w:val="24"/>
        </w:rPr>
        <w:t>①认证</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具体是：个体工商户认证、企业认证、政府及事业单位、其他组织认证；</w:t>
      </w:r>
    </w:p>
    <w:p>
      <w:pPr>
        <w:widowControl/>
        <w:spacing w:line="360" w:lineRule="auto"/>
        <w:ind w:firstLine="482" w:firstLineChars="200"/>
        <w:rPr>
          <w:rFonts w:ascii="宋体" w:hAnsi="宋体" w:cs="宋体"/>
          <w:b/>
          <w:bCs/>
          <w:kern w:val="0"/>
          <w:sz w:val="24"/>
        </w:rPr>
      </w:pPr>
      <w:r>
        <w:rPr>
          <w:rFonts w:hint="eastAsia" w:ascii="宋体" w:hAnsi="宋体" w:cs="宋体"/>
          <w:b/>
          <w:bCs/>
          <w:kern w:val="0"/>
          <w:sz w:val="24"/>
        </w:rPr>
        <w:t>②注册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支持个人注册、商户注册和服务商注册等多种身份的账号，注册后根据不同的身份权限提供不同身份模块，做到精细化管理，同一个账号支持多个不同身份。</w:t>
      </w:r>
    </w:p>
    <w:p>
      <w:pPr>
        <w:widowControl/>
        <w:spacing w:line="360" w:lineRule="auto"/>
        <w:ind w:firstLine="482" w:firstLineChars="200"/>
        <w:rPr>
          <w:rFonts w:ascii="宋体" w:hAnsi="宋体" w:cs="宋体"/>
          <w:b/>
          <w:bCs/>
          <w:kern w:val="0"/>
          <w:sz w:val="24"/>
        </w:rPr>
      </w:pPr>
      <w:bookmarkStart w:id="111" w:name="_Toc18636"/>
      <w:r>
        <w:rPr>
          <w:rFonts w:hint="eastAsia" w:ascii="宋体" w:hAnsi="宋体" w:cs="宋体"/>
          <w:b/>
          <w:bCs/>
          <w:kern w:val="0"/>
          <w:sz w:val="24"/>
        </w:rPr>
        <w:t>③账号信息</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支持展示、修改注册基本信息、个人或者企业信息，获取开发者信息，包括AK/SK等。</w:t>
      </w:r>
    </w:p>
    <w:p>
      <w:pPr>
        <w:pStyle w:val="7"/>
        <w:numPr>
          <w:ilvl w:val="1"/>
          <w:numId w:val="0"/>
        </w:numPr>
        <w:tabs>
          <w:tab w:val="left" w:pos="425"/>
          <w:tab w:val="left" w:pos="560"/>
        </w:tabs>
        <w:spacing w:before="480" w:after="240"/>
        <w:ind w:firstLine="482" w:firstLineChars="200"/>
      </w:pPr>
      <w:r>
        <w:rPr>
          <w:rFonts w:hint="eastAsia"/>
        </w:rPr>
        <w:t>3.1.2.13码上办事开放平台建设</w:t>
      </w:r>
    </w:p>
    <w:bookmarkEnd w:id="111"/>
    <w:p>
      <w:pPr>
        <w:widowControl/>
        <w:spacing w:line="360" w:lineRule="auto"/>
        <w:ind w:firstLine="480" w:firstLineChars="200"/>
        <w:rPr>
          <w:rFonts w:ascii="宋体" w:hAnsi="宋体" w:cs="宋体"/>
          <w:kern w:val="0"/>
          <w:sz w:val="24"/>
        </w:rPr>
      </w:pPr>
      <w:r>
        <w:rPr>
          <w:rFonts w:hint="eastAsia" w:ascii="宋体" w:hAnsi="宋体" w:cs="宋体"/>
          <w:kern w:val="0"/>
          <w:sz w:val="24"/>
        </w:rPr>
        <w:t>为进一步丰富和优化平台</w:t>
      </w:r>
      <w:r>
        <w:rPr>
          <w:rFonts w:ascii="宋体" w:hAnsi="宋体" w:cs="宋体"/>
          <w:kern w:val="0"/>
          <w:sz w:val="24"/>
        </w:rPr>
        <w:t>的内容和在线服务，本期建设开放平台模块。通过开放平台模块可以引入第三方企业和组织为</w:t>
      </w:r>
      <w:r>
        <w:rPr>
          <w:rFonts w:hint="eastAsia" w:ascii="宋体" w:hAnsi="宋体" w:cs="宋体"/>
          <w:kern w:val="0"/>
          <w:sz w:val="24"/>
        </w:rPr>
        <w:t>平台</w:t>
      </w:r>
      <w:r>
        <w:rPr>
          <w:rFonts w:ascii="宋体" w:hAnsi="宋体" w:cs="宋体"/>
          <w:kern w:val="0"/>
          <w:sz w:val="24"/>
        </w:rPr>
        <w:t>开发提供更多优质的在线服务和内容。</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为保证第三方服务和内容的质量、可用性，以及一致的用户体验，所有第三方服务都必须遵循平台指定的U</w:t>
      </w:r>
      <w:r>
        <w:rPr>
          <w:rFonts w:ascii="宋体" w:hAnsi="宋体" w:cs="宋体"/>
          <w:kern w:val="0"/>
          <w:sz w:val="24"/>
        </w:rPr>
        <w:t>I</w:t>
      </w:r>
      <w:r>
        <w:rPr>
          <w:rFonts w:hint="eastAsia" w:ascii="宋体" w:hAnsi="宋体" w:cs="宋体"/>
          <w:kern w:val="0"/>
          <w:sz w:val="24"/>
        </w:rPr>
        <w:t>规范和性能要求等规范</w:t>
      </w:r>
      <w:r>
        <w:rPr>
          <w:rFonts w:ascii="宋体" w:hAnsi="宋体" w:cs="宋体"/>
          <w:kern w:val="0"/>
          <w:sz w:val="24"/>
        </w:rPr>
        <w:t>。</w:t>
      </w:r>
    </w:p>
    <w:p>
      <w:pPr>
        <w:pStyle w:val="6"/>
      </w:pPr>
      <w:r>
        <w:rPr>
          <w:rFonts w:hint="eastAsia"/>
        </w:rPr>
        <w:t>3.1.3决策分析展现需求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在码上办事平台逐步投入使用，应用场景不断接入和完善的情况下，以及未来海南省自贸港政策开放，码上办事平台将成为覆盖政务服务、民生服务、进出岛管控等不同场景的有效手段。需要构建码上办事运营中心，形成对不同场景下的平台用户的统一管理，为日常监管、平台运营、码上营销等不同场景提供可视化的大数据分析平台。同时也需要基于汇聚数据和“码上办事”分发和使用情况进行全域的时空分析，基于生动友好的交互式实时数据可视化方式，以对“码上办事”的全局把握和决策分析提供科学依据，并要能够帮助城市治理的管理团队发现、诊断和协助解决具体问题。</w:t>
      </w:r>
    </w:p>
    <w:p>
      <w:pPr>
        <w:pStyle w:val="7"/>
        <w:keepLines w:val="0"/>
        <w:tabs>
          <w:tab w:val="left" w:pos="425"/>
          <w:tab w:val="left" w:pos="560"/>
        </w:tabs>
        <w:spacing w:before="240" w:after="120"/>
        <w:ind w:firstLine="640"/>
      </w:pPr>
      <w:bookmarkStart w:id="112" w:name="_Toc30688"/>
      <w:r>
        <w:rPr>
          <w:rFonts w:hint="eastAsia"/>
        </w:rPr>
        <w:t>3.1.3.1决策驾驶舱定位</w:t>
      </w:r>
    </w:p>
    <w:bookmarkEnd w:id="112"/>
    <w:p>
      <w:pPr>
        <w:widowControl/>
        <w:spacing w:line="360" w:lineRule="auto"/>
        <w:ind w:firstLine="480" w:firstLineChars="200"/>
        <w:rPr>
          <w:rFonts w:ascii="宋体" w:hAnsi="宋体" w:cs="宋体"/>
          <w:kern w:val="0"/>
          <w:sz w:val="24"/>
        </w:rPr>
      </w:pPr>
      <w:r>
        <w:rPr>
          <w:rFonts w:hint="eastAsia" w:ascii="宋体" w:hAnsi="宋体" w:cs="宋体"/>
          <w:kern w:val="0"/>
          <w:sz w:val="24"/>
        </w:rPr>
        <w:t>在码上办事平台逐步投入使用，应用场景不断接入和完善的情况下，以及未来海南省自贸港政策开放，码上办事平台将成为覆盖政务服务、民生服务、进出岛管控等不同场景的有效手段。构建码上办事运营中心，形成对不同场景下的平台用户的统一管理，为日常监管、平台运营、码上营销等不同场景提供可视化的大数据分析平台。基于汇聚数据和“码上办事”分发和使用情况进行全域的时空分析，基于生动友好的交互式实时数据可视化方式，以对“码上办事”的全局把握和决策分析提供科学依据，并帮助城市治理的管理团队发现、诊断和协助解决具体问题。</w:t>
      </w:r>
    </w:p>
    <w:p>
      <w:pPr>
        <w:pStyle w:val="7"/>
        <w:keepLines w:val="0"/>
        <w:tabs>
          <w:tab w:val="left" w:pos="425"/>
          <w:tab w:val="left" w:pos="560"/>
        </w:tabs>
        <w:spacing w:before="240" w:after="120"/>
        <w:ind w:firstLine="640"/>
      </w:pPr>
      <w:bookmarkStart w:id="113" w:name="_Toc23517"/>
      <w:r>
        <w:rPr>
          <w:rFonts w:hint="eastAsia"/>
        </w:rPr>
        <w:t>3.1.3.2决策驾驶舱架构</w:t>
      </w:r>
    </w:p>
    <w:bookmarkEnd w:id="113"/>
    <w:p>
      <w:pPr>
        <w:widowControl/>
        <w:spacing w:line="360" w:lineRule="auto"/>
        <w:ind w:firstLine="480" w:firstLineChars="200"/>
      </w:pPr>
      <w:r>
        <w:rPr>
          <w:rFonts w:hint="eastAsia" w:ascii="宋体" w:hAnsi="宋体" w:cs="宋体"/>
          <w:kern w:val="0"/>
          <w:sz w:val="24"/>
        </w:rPr>
        <w:t>通过提供数据可视化平台，提供包括数据API、WEB客户端、应用服务端等多部分组成，采用B/S结构设计，核心内容是数据展现部分，支持绘制各类基础图表，接入ECharts、AntV-G2等第三方图表库，支持专业级地理信息可视化，配套丰富的行业模版，最终数据可视化平台能实现灵活部署与适配，并呈现丰富的数据展现形式。</w:t>
      </w:r>
    </w:p>
    <w:p>
      <w:pPr>
        <w:pStyle w:val="7"/>
        <w:keepLines w:val="0"/>
        <w:tabs>
          <w:tab w:val="left" w:pos="425"/>
          <w:tab w:val="left" w:pos="560"/>
        </w:tabs>
        <w:spacing w:before="240" w:after="120"/>
        <w:ind w:firstLine="482" w:firstLineChars="200"/>
      </w:pPr>
      <w:bookmarkStart w:id="114" w:name="_Toc8428"/>
      <w:r>
        <w:rPr>
          <w:rFonts w:hint="eastAsia"/>
        </w:rPr>
        <w:t>3.1.3.3定制开发内容</w:t>
      </w:r>
      <w:bookmarkEnd w:id="114"/>
    </w:p>
    <w:bookmarkEnd w:id="81"/>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“码上办事”决策驾驶舱，主要从全省、各市，以及多维度的全省运营情况的呈现。主要包括：</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（1）“码上办事”全省一张图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）医疗领域全省一张图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）政务领域全省一张图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）消费领域全省一张图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）信用体系全省一张图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）教育领域全省一张图</w:t>
      </w:r>
    </w:p>
    <w:p>
      <w:pPr>
        <w:widowControl/>
        <w:spacing w:line="360" w:lineRule="auto"/>
        <w:ind w:firstLine="480" w:firstLineChars="200"/>
        <w:rPr>
          <w:rFonts w:ascii="宋体" w:hAnsi="宋体" w:cs="宋体"/>
          <w:kern w:val="0"/>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其他：以“码上办事”平台为基础，全面发挥在认证、对接、应用等多个维度的数据信息，实现分领域、分行业、多维度的综合数据呈现，如旅游一张图、交通出行一张图、民生服务一张图等，通过码上办事一张图，为领导决策、市民服务、安全防范等提供可用、动态、真实的数据基础。</w:t>
      </w:r>
    </w:p>
    <w:p>
      <w:pPr>
        <w:pStyle w:val="6"/>
      </w:pPr>
      <w:r>
        <w:rPr>
          <w:rFonts w:hint="eastAsia"/>
        </w:rPr>
        <w:t>3.1.4移动端开发需求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 xml:space="preserve"> “码上办事”平台核心用户端是手机移动端，本期建设分为A</w:t>
      </w:r>
      <w:r>
        <w:rPr>
          <w:rFonts w:ascii="宋体" w:hAnsi="宋体" w:cs="宋体"/>
          <w:kern w:val="0"/>
          <w:sz w:val="24"/>
        </w:rPr>
        <w:t>PP</w:t>
      </w:r>
      <w:r>
        <w:rPr>
          <w:rFonts w:hint="eastAsia" w:ascii="宋体" w:hAnsi="宋体" w:cs="宋体"/>
          <w:kern w:val="0"/>
          <w:sz w:val="24"/>
        </w:rPr>
        <w:t>（安卓系统/苹果系统）以及小程序（支付宝/微信）两种形态4个渠道全覆盖。</w:t>
      </w:r>
    </w:p>
    <w:p>
      <w:pPr>
        <w:pStyle w:val="7"/>
        <w:keepLines w:val="0"/>
        <w:tabs>
          <w:tab w:val="left" w:pos="425"/>
          <w:tab w:val="left" w:pos="560"/>
        </w:tabs>
        <w:spacing w:before="240" w:after="156"/>
        <w:ind w:firstLine="482" w:firstLineChars="200"/>
      </w:pPr>
      <w:bookmarkStart w:id="115" w:name="_Toc54274187"/>
      <w:bookmarkStart w:id="116" w:name="_Toc19262"/>
      <w:r>
        <w:rPr>
          <w:rFonts w:hint="eastAsia"/>
        </w:rPr>
        <w:t>3.1.4.1移动端基础能力建设</w:t>
      </w:r>
    </w:p>
    <w:bookmarkEnd w:id="115"/>
    <w:bookmarkEnd w:id="116"/>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（1）移动端建设整体开发框架</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移动端是本项目核心的用户交互端，通过移动端进行各场景的二维码交互，如亮码、扫码。考虑到码上办事平台将不断进行场景的拓展和深化，需要采用支持敏捷开发的技术框架和基于原生的应用开发模式，码上办事移动端将基于成熟的移动开发框架进行搭建，第一阶段需要支撑的核心业务能力主要有：政务服务办理、生活消费服务、个人信用服务以及医疗健康服务等。同时，需要考虑整体规划和设计，同步支持会员模式及在线商城模式，以支持未来自贸港政策在消费、生活领域的落地。</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（2）基础能力服务支持</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码上办事移动端需要实现统一的</w:t>
      </w:r>
      <w:r>
        <w:rPr>
          <w:rFonts w:ascii="宋体" w:hAnsi="宋体" w:cs="宋体"/>
          <w:kern w:val="0"/>
          <w:sz w:val="24"/>
        </w:rPr>
        <w:t>用户身份认</w:t>
      </w:r>
      <w:r>
        <w:rPr>
          <w:rFonts w:hint="eastAsia" w:ascii="宋体" w:hAnsi="宋体" w:cs="宋体"/>
          <w:kern w:val="0"/>
          <w:sz w:val="24"/>
        </w:rPr>
        <w:t>体系，用户通过实人认证</w:t>
      </w:r>
      <w:r>
        <w:rPr>
          <w:rFonts w:ascii="宋体" w:hAnsi="宋体" w:cs="宋体"/>
          <w:kern w:val="0"/>
          <w:sz w:val="24"/>
        </w:rPr>
        <w:t>后可以获取唯一的二维码，二维码可以作为后续政务服务、公众服务</w:t>
      </w:r>
      <w:r>
        <w:rPr>
          <w:rFonts w:hint="eastAsia" w:ascii="宋体" w:hAnsi="宋体" w:cs="宋体"/>
          <w:kern w:val="0"/>
          <w:sz w:val="24"/>
        </w:rPr>
        <w:t>、消费服务等</w:t>
      </w:r>
      <w:r>
        <w:rPr>
          <w:rFonts w:ascii="宋体" w:hAnsi="宋体" w:cs="宋体"/>
          <w:kern w:val="0"/>
          <w:sz w:val="24"/>
        </w:rPr>
        <w:t>各应用场景中对外展示的唯一标识码。</w:t>
      </w:r>
      <w:r>
        <w:rPr>
          <w:rFonts w:hint="eastAsia" w:ascii="宋体" w:hAnsi="宋体" w:cs="宋体"/>
          <w:kern w:val="0"/>
          <w:sz w:val="24"/>
        </w:rPr>
        <w:t>通过</w:t>
      </w:r>
      <w:r>
        <w:rPr>
          <w:rFonts w:ascii="宋体" w:hAnsi="宋体" w:cs="宋体"/>
          <w:kern w:val="0"/>
          <w:sz w:val="24"/>
        </w:rPr>
        <w:t>制定用户数据模型和标准，实现与中台的对接，汇聚形成用户各类政务数据、社会数据，生成针对个人和法人的专题数据库以及场景化标签；由码引擎提供统一的生码、验码、变码、查码等服务，对外展示二维码的内容。除此，需要建立一套统一的二维码标准，包括出码标准、扫码标准，将</w:t>
      </w:r>
      <w:r>
        <w:rPr>
          <w:rFonts w:hint="eastAsia" w:ascii="宋体" w:hAnsi="宋体" w:cs="宋体"/>
          <w:kern w:val="0"/>
          <w:sz w:val="24"/>
        </w:rPr>
        <w:t>“码上办事”</w:t>
      </w:r>
      <w:r>
        <w:rPr>
          <w:rFonts w:ascii="宋体" w:hAnsi="宋体" w:cs="宋体"/>
          <w:kern w:val="0"/>
          <w:sz w:val="24"/>
        </w:rPr>
        <w:t>平台的能力向全省行政部门以及全社会全面开放，鼓励和支持业务的创</w:t>
      </w:r>
      <w:r>
        <w:rPr>
          <w:rFonts w:hint="eastAsia" w:ascii="宋体" w:hAnsi="宋体" w:cs="宋体"/>
          <w:kern w:val="0"/>
          <w:sz w:val="24"/>
        </w:rPr>
        <w:t>新，第三方机构要为二维码进行赋能时，应按照二维码标准对扫码设备进行升级改造。以用户为中心，从实际场景出发，模拟用户使用二维码的场景，建立“码上办事”平台办专区，集成“码上办事”的功能及服务，最大程度降低用户的时间成本。</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（3）可视化开发平台</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平台的移动应用，是充分基于底层码平台技术，打通不同的业务应用场景，快速构建一个兼容性、易用性、稳定性强的产品。借助于移动互联网技术，包括终端的处理能力及便携性、网络的通达、以及用户身份感知、位置识别、实时推送等特性，推动老百姓能够快速使用APP平台，带来触达性更强的产品。</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因此通过在标准技术框架基础上，通过提供覆盖设计到实施框架、实施方案，从前端到后端的一整套解决方案，以支撑APP的快速搭建。技术层面包含：UI设计规范、前端H5框架、客户端（iOS、Android）框架、服务器端开发平台IFP框架（基于Spring的服务架构）。业务层面包含：基于技术实施的体验设计、客户端首屏可视化配置、广告投放（包含H5与客户端闪屏、弹窗等）、数据版本管理（首屏配置数据、菜单数据、广告）、活动管理、菜单管理、多渠道管理。</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（4）前端H5设计开发支持</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前端架构以支持码上办事移动端快速进行开发和封装为目的，提供包括移动H5及内管系统（快速进行页面应用封装）两大部分。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移动端H5以vue模板以及es6语法为基础，一方面通过jsapi与客户端桥接,实现H5对系统功能的管控调用。另一方面通过组件以及常用的工具api来为业务层的离线包提供便捷服务。调试模块通过开发调试以及在线调试能力提供快速定位H5问题。</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（5）客户端开发支持</w:t>
      </w:r>
    </w:p>
    <w:p>
      <w:r>
        <w:rPr>
          <w:rFonts w:hint="eastAsia"/>
        </w:rPr>
        <w:t>主要包括技术栈搭建、构建打包、UI组件、以及API服务。</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（6）后端开发支持</w:t>
      </w:r>
    </w:p>
    <w:p>
      <w:pPr>
        <w:pStyle w:val="8"/>
        <w:numPr>
          <w:ilvl w:val="0"/>
          <w:numId w:val="51"/>
        </w:numPr>
        <w:spacing w:before="120" w:line="360" w:lineRule="auto"/>
        <w:ind w:right="240"/>
        <w:jc w:val="both"/>
        <w:rPr>
          <w:sz w:val="24"/>
          <w:szCs w:val="24"/>
        </w:rPr>
      </w:pPr>
      <w:r>
        <w:rPr>
          <w:sz w:val="24"/>
          <w:szCs w:val="24"/>
        </w:rPr>
        <w:t>IFP开发平台</w:t>
      </w:r>
      <w:r>
        <w:rPr>
          <w:rFonts w:hint="eastAsia"/>
          <w:sz w:val="24"/>
          <w:szCs w:val="24"/>
        </w:rPr>
        <w:t>搭建</w:t>
      </w:r>
    </w:p>
    <w:p>
      <w:pPr>
        <w:pStyle w:val="8"/>
        <w:spacing w:before="120" w:line="360" w:lineRule="auto"/>
        <w:ind w:right="240" w:firstLine="480" w:firstLineChars="200"/>
        <w:rPr>
          <w:sz w:val="24"/>
          <w:szCs w:val="24"/>
        </w:rPr>
      </w:pPr>
      <w:r>
        <w:rPr>
          <w:rFonts w:hint="eastAsia"/>
          <w:sz w:val="24"/>
          <w:szCs w:val="24"/>
        </w:rPr>
        <w:t>开发基于</w:t>
      </w:r>
      <w:r>
        <w:rPr>
          <w:sz w:val="24"/>
          <w:szCs w:val="24"/>
        </w:rPr>
        <w:t>SpringMVC框架的IFP架构，一方面集成各中间件的服务配置，另一方面为微服务架构服务之间的发布运维提供便捷，包括日志提取以及日志跟踪、服务发布管理。另外IFP框架基于MVC提供可视化业务逻辑层的原子化配置，方便对接口业务逻辑的提取以及复用。</w:t>
      </w:r>
    </w:p>
    <w:p>
      <w:pPr>
        <w:pStyle w:val="8"/>
        <w:numPr>
          <w:ilvl w:val="0"/>
          <w:numId w:val="51"/>
        </w:numPr>
        <w:spacing w:before="120" w:line="360" w:lineRule="auto"/>
        <w:ind w:right="240"/>
        <w:jc w:val="both"/>
        <w:rPr>
          <w:sz w:val="24"/>
          <w:szCs w:val="24"/>
        </w:rPr>
      </w:pPr>
      <w:r>
        <w:rPr>
          <w:rFonts w:hint="eastAsia"/>
          <w:sz w:val="24"/>
          <w:szCs w:val="24"/>
        </w:rPr>
        <w:t>微服务架构搭建</w:t>
      </w:r>
    </w:p>
    <w:p>
      <w:pPr>
        <w:pStyle w:val="8"/>
        <w:spacing w:before="120" w:line="360" w:lineRule="auto"/>
        <w:ind w:right="240" w:firstLine="480" w:firstLineChars="200"/>
        <w:rPr>
          <w:sz w:val="24"/>
          <w:szCs w:val="24"/>
        </w:rPr>
      </w:pPr>
      <w:r>
        <w:rPr>
          <w:rFonts w:hint="eastAsia"/>
          <w:sz w:val="24"/>
          <w:szCs w:val="24"/>
        </w:rPr>
        <w:t>以</w:t>
      </w:r>
      <w:r>
        <w:rPr>
          <w:sz w:val="24"/>
          <w:szCs w:val="24"/>
        </w:rPr>
        <w:t>IFP框架为技术平台，以微服务的形式部署服务。各服务之间相互独立，应对高并发压力，可针对具体服务动态扩容。针对客户端的管控，本期项目设计完成以下几个服务：</w:t>
      </w:r>
      <w:r>
        <w:rPr>
          <w:rFonts w:hint="eastAsia"/>
          <w:sz w:val="24"/>
          <w:szCs w:val="24"/>
        </w:rPr>
        <w:t>渠道网关、微服务设计、微服务运维</w:t>
      </w:r>
      <w:r>
        <w:rPr>
          <w:sz w:val="24"/>
          <w:szCs w:val="24"/>
        </w:rPr>
        <w:t>。</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（7）配置管理</w:t>
      </w:r>
    </w:p>
    <w:p>
      <w:pPr>
        <w:spacing w:line="360" w:lineRule="auto"/>
        <w:ind w:right="240"/>
        <w:rPr>
          <w:sz w:val="24"/>
        </w:rPr>
      </w:pPr>
      <w:r>
        <w:rPr>
          <w:rFonts w:hint="eastAsia"/>
        </w:rPr>
        <w:t>配置管理包括：可视化配置、广告管理、活动管理、素材管理。</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（8）小程序应用组件库对接</w:t>
      </w:r>
    </w:p>
    <w:p>
      <w:pPr>
        <w:spacing w:line="360" w:lineRule="auto"/>
        <w:ind w:right="240" w:firstLine="480" w:firstLineChars="200"/>
        <w:rPr>
          <w:sz w:val="24"/>
        </w:rPr>
      </w:pPr>
      <w:r>
        <w:rPr>
          <w:rFonts w:hint="eastAsia"/>
          <w:sz w:val="24"/>
        </w:rPr>
        <w:t>提供标准化组件库服务，桥接各省厅和市县应用系统模块和原生服务应用，对用户体系、设备终端的调用、常用界面流转、推送消息、支付功能和基础数据的统计等功能进行开放。</w:t>
      </w:r>
    </w:p>
    <w:p>
      <w:pPr>
        <w:pStyle w:val="7"/>
        <w:keepLines w:val="0"/>
        <w:tabs>
          <w:tab w:val="left" w:pos="425"/>
          <w:tab w:val="left" w:pos="560"/>
        </w:tabs>
        <w:spacing w:before="240" w:after="156"/>
        <w:ind w:left="640"/>
        <w:rPr>
          <w:szCs w:val="24"/>
        </w:rPr>
      </w:pPr>
      <w:bookmarkStart w:id="117" w:name="_Toc54564867"/>
      <w:bookmarkEnd w:id="117"/>
      <w:bookmarkStart w:id="118" w:name="_Toc54564865"/>
      <w:bookmarkEnd w:id="118"/>
      <w:bookmarkStart w:id="119" w:name="_Toc54564866"/>
      <w:bookmarkEnd w:id="119"/>
      <w:bookmarkStart w:id="120" w:name="_Toc54564864"/>
      <w:bookmarkEnd w:id="120"/>
      <w:bookmarkStart w:id="121" w:name="_Toc54564863"/>
      <w:bookmarkEnd w:id="121"/>
      <w:bookmarkStart w:id="122" w:name="_Toc54564861"/>
      <w:bookmarkEnd w:id="122"/>
      <w:bookmarkStart w:id="123" w:name="_Toc54564859"/>
      <w:bookmarkEnd w:id="123"/>
      <w:bookmarkStart w:id="124" w:name="_Toc54564860"/>
      <w:bookmarkEnd w:id="124"/>
      <w:bookmarkStart w:id="125" w:name="_Toc54564862"/>
      <w:bookmarkEnd w:id="125"/>
      <w:bookmarkStart w:id="126" w:name="_Toc54564858"/>
      <w:bookmarkEnd w:id="126"/>
      <w:bookmarkStart w:id="127" w:name="_Toc54564857"/>
      <w:bookmarkEnd w:id="127"/>
      <w:bookmarkStart w:id="128" w:name="_Toc54564855"/>
      <w:bookmarkEnd w:id="128"/>
      <w:bookmarkStart w:id="129" w:name="_Toc54564853"/>
      <w:bookmarkEnd w:id="129"/>
      <w:bookmarkStart w:id="130" w:name="_Toc54564854"/>
      <w:bookmarkEnd w:id="130"/>
      <w:bookmarkStart w:id="131" w:name="_Toc54564856"/>
      <w:bookmarkEnd w:id="131"/>
      <w:bookmarkStart w:id="132" w:name="_Toc54564852"/>
      <w:bookmarkEnd w:id="132"/>
      <w:bookmarkStart w:id="133" w:name="_Toc54564851"/>
      <w:bookmarkEnd w:id="133"/>
      <w:bookmarkStart w:id="134" w:name="_Toc54564849"/>
      <w:bookmarkEnd w:id="134"/>
      <w:bookmarkStart w:id="135" w:name="_Toc54564847"/>
      <w:bookmarkEnd w:id="135"/>
      <w:bookmarkStart w:id="136" w:name="_Toc54564848"/>
      <w:bookmarkEnd w:id="136"/>
      <w:bookmarkStart w:id="137" w:name="_Toc54564850"/>
      <w:bookmarkEnd w:id="137"/>
      <w:bookmarkStart w:id="138" w:name="_Toc54564846"/>
      <w:bookmarkEnd w:id="138"/>
      <w:bookmarkStart w:id="139" w:name="_Toc54564845"/>
      <w:bookmarkEnd w:id="139"/>
      <w:bookmarkStart w:id="140" w:name="_Toc54564843"/>
      <w:bookmarkEnd w:id="140"/>
      <w:bookmarkStart w:id="141" w:name="_Toc54564841"/>
      <w:bookmarkEnd w:id="141"/>
      <w:bookmarkStart w:id="142" w:name="_Toc54564842"/>
      <w:bookmarkEnd w:id="142"/>
      <w:bookmarkStart w:id="143" w:name="_Toc54564844"/>
      <w:bookmarkEnd w:id="143"/>
      <w:bookmarkStart w:id="144" w:name="_Toc54564840"/>
      <w:bookmarkEnd w:id="144"/>
      <w:bookmarkStart w:id="145" w:name="_Toc54564838"/>
      <w:bookmarkEnd w:id="145"/>
      <w:bookmarkStart w:id="146" w:name="_Toc54564839"/>
      <w:bookmarkEnd w:id="146"/>
      <w:bookmarkStart w:id="147" w:name="_Toc54564837"/>
      <w:bookmarkEnd w:id="147"/>
      <w:bookmarkStart w:id="148" w:name="_Toc54564836"/>
      <w:bookmarkEnd w:id="148"/>
      <w:bookmarkStart w:id="149" w:name="_Toc54564835"/>
      <w:bookmarkEnd w:id="149"/>
      <w:bookmarkStart w:id="150" w:name="_Toc54564832"/>
      <w:bookmarkEnd w:id="150"/>
      <w:bookmarkStart w:id="151" w:name="_Toc54564833"/>
      <w:bookmarkEnd w:id="151"/>
      <w:bookmarkStart w:id="152" w:name="_Toc54564830"/>
      <w:bookmarkEnd w:id="152"/>
      <w:bookmarkStart w:id="153" w:name="_Toc54564831"/>
      <w:bookmarkEnd w:id="153"/>
      <w:bookmarkStart w:id="154" w:name="_Toc54564829"/>
      <w:bookmarkEnd w:id="154"/>
      <w:bookmarkStart w:id="155" w:name="_Toc54564828"/>
      <w:bookmarkEnd w:id="155"/>
      <w:bookmarkStart w:id="156" w:name="_Toc54564827"/>
      <w:bookmarkEnd w:id="156"/>
      <w:bookmarkStart w:id="157" w:name="_Toc54564834"/>
      <w:bookmarkEnd w:id="157"/>
      <w:bookmarkStart w:id="158" w:name="_Toc54564825"/>
      <w:bookmarkEnd w:id="158"/>
      <w:bookmarkStart w:id="159" w:name="_Toc54564826"/>
      <w:bookmarkEnd w:id="159"/>
      <w:bookmarkStart w:id="160" w:name="_Toc54564824"/>
      <w:bookmarkEnd w:id="160"/>
      <w:bookmarkStart w:id="161" w:name="_Toc54564823"/>
      <w:bookmarkEnd w:id="161"/>
      <w:bookmarkStart w:id="162" w:name="_Toc54564822"/>
      <w:bookmarkEnd w:id="162"/>
      <w:bookmarkStart w:id="163" w:name="_Toc54564821"/>
      <w:bookmarkEnd w:id="163"/>
      <w:bookmarkStart w:id="164" w:name="_Toc54564820"/>
      <w:bookmarkEnd w:id="164"/>
      <w:bookmarkStart w:id="165" w:name="_Toc54564818"/>
      <w:bookmarkEnd w:id="165"/>
      <w:bookmarkStart w:id="166" w:name="_Toc54564816"/>
      <w:bookmarkEnd w:id="166"/>
      <w:bookmarkStart w:id="167" w:name="_Toc54564817"/>
      <w:bookmarkEnd w:id="167"/>
      <w:bookmarkStart w:id="168" w:name="_Toc54564815"/>
      <w:bookmarkEnd w:id="168"/>
      <w:bookmarkStart w:id="169" w:name="_Toc54564814"/>
      <w:bookmarkEnd w:id="169"/>
      <w:bookmarkStart w:id="170" w:name="_Toc54564813"/>
      <w:bookmarkEnd w:id="170"/>
      <w:bookmarkStart w:id="171" w:name="_Toc54564819"/>
      <w:bookmarkEnd w:id="171"/>
      <w:bookmarkStart w:id="172" w:name="_Toc54564810"/>
      <w:bookmarkEnd w:id="172"/>
      <w:bookmarkStart w:id="173" w:name="_Toc54564811"/>
      <w:bookmarkEnd w:id="173"/>
      <w:bookmarkStart w:id="174" w:name="_Toc54564809"/>
      <w:bookmarkEnd w:id="174"/>
      <w:bookmarkStart w:id="175" w:name="_Toc54564808"/>
      <w:bookmarkEnd w:id="175"/>
      <w:bookmarkStart w:id="176" w:name="_Toc54564807"/>
      <w:bookmarkEnd w:id="176"/>
      <w:bookmarkStart w:id="177" w:name="_Toc54564806"/>
      <w:bookmarkEnd w:id="177"/>
      <w:bookmarkStart w:id="178" w:name="_Toc54564805"/>
      <w:bookmarkEnd w:id="178"/>
      <w:bookmarkStart w:id="179" w:name="_Toc54564803"/>
      <w:bookmarkEnd w:id="179"/>
      <w:bookmarkStart w:id="180" w:name="_Toc54564801"/>
      <w:bookmarkEnd w:id="180"/>
      <w:bookmarkStart w:id="181" w:name="_Toc54564802"/>
      <w:bookmarkEnd w:id="181"/>
      <w:bookmarkStart w:id="182" w:name="_Toc54564800"/>
      <w:bookmarkEnd w:id="182"/>
      <w:bookmarkStart w:id="183" w:name="_Toc54564799"/>
      <w:bookmarkEnd w:id="183"/>
      <w:bookmarkStart w:id="184" w:name="_Toc54564798"/>
      <w:bookmarkEnd w:id="184"/>
      <w:bookmarkStart w:id="185" w:name="_Toc54564804"/>
      <w:bookmarkEnd w:id="185"/>
      <w:bookmarkStart w:id="186" w:name="_Toc54564796"/>
      <w:bookmarkEnd w:id="186"/>
      <w:bookmarkStart w:id="187" w:name="_Toc54564797"/>
      <w:bookmarkEnd w:id="187"/>
      <w:bookmarkStart w:id="188" w:name="_Toc54564795"/>
      <w:bookmarkEnd w:id="188"/>
      <w:bookmarkStart w:id="189" w:name="_Toc54564794"/>
      <w:bookmarkEnd w:id="189"/>
      <w:bookmarkStart w:id="190" w:name="_Toc54564793"/>
      <w:bookmarkEnd w:id="190"/>
      <w:bookmarkStart w:id="191" w:name="_Toc54564792"/>
      <w:bookmarkEnd w:id="191"/>
      <w:bookmarkStart w:id="192" w:name="_Toc54564791"/>
      <w:bookmarkEnd w:id="192"/>
      <w:bookmarkStart w:id="193" w:name="_Toc54564789"/>
      <w:bookmarkEnd w:id="193"/>
      <w:bookmarkStart w:id="194" w:name="_Toc54564787"/>
      <w:bookmarkEnd w:id="194"/>
      <w:bookmarkStart w:id="195" w:name="_Toc54564788"/>
      <w:bookmarkEnd w:id="195"/>
      <w:bookmarkStart w:id="196" w:name="_Toc54564786"/>
      <w:bookmarkEnd w:id="196"/>
      <w:bookmarkStart w:id="197" w:name="_Toc54564785"/>
      <w:bookmarkEnd w:id="197"/>
      <w:bookmarkStart w:id="198" w:name="_Toc54564784"/>
      <w:bookmarkEnd w:id="198"/>
      <w:bookmarkStart w:id="199" w:name="_Toc54564783"/>
      <w:bookmarkEnd w:id="199"/>
      <w:bookmarkStart w:id="200" w:name="_Toc54564790"/>
      <w:bookmarkEnd w:id="200"/>
      <w:bookmarkStart w:id="201" w:name="_Toc54564781"/>
      <w:bookmarkEnd w:id="201"/>
      <w:bookmarkStart w:id="202" w:name="_Toc54564769"/>
      <w:bookmarkEnd w:id="202"/>
      <w:bookmarkStart w:id="203" w:name="_Toc54564768"/>
      <w:bookmarkEnd w:id="203"/>
      <w:bookmarkStart w:id="204" w:name="_Toc54564770"/>
      <w:bookmarkEnd w:id="204"/>
      <w:bookmarkStart w:id="205" w:name="_Toc54564930"/>
      <w:bookmarkEnd w:id="205"/>
      <w:bookmarkStart w:id="206" w:name="_Toc54564929"/>
      <w:bookmarkEnd w:id="206"/>
      <w:bookmarkStart w:id="207" w:name="_Toc54564782"/>
      <w:bookmarkEnd w:id="207"/>
      <w:bookmarkStart w:id="208" w:name="_Toc54564927"/>
      <w:bookmarkEnd w:id="208"/>
      <w:bookmarkStart w:id="209" w:name="_Toc54564928"/>
      <w:bookmarkEnd w:id="209"/>
      <w:bookmarkStart w:id="210" w:name="_Toc54564926"/>
      <w:bookmarkEnd w:id="210"/>
      <w:bookmarkStart w:id="211" w:name="_Toc54564925"/>
      <w:bookmarkEnd w:id="211"/>
      <w:bookmarkStart w:id="212" w:name="_Toc54564924"/>
      <w:bookmarkEnd w:id="212"/>
      <w:bookmarkStart w:id="213" w:name="_Toc54564923"/>
      <w:bookmarkEnd w:id="213"/>
      <w:bookmarkStart w:id="214" w:name="_Toc54564922"/>
      <w:bookmarkEnd w:id="214"/>
      <w:bookmarkStart w:id="215" w:name="_Toc54564920"/>
      <w:bookmarkEnd w:id="215"/>
      <w:bookmarkStart w:id="216" w:name="_Toc54564918"/>
      <w:bookmarkEnd w:id="216"/>
      <w:bookmarkStart w:id="217" w:name="_Toc54564919"/>
      <w:bookmarkEnd w:id="217"/>
      <w:bookmarkStart w:id="218" w:name="_Toc54564917"/>
      <w:bookmarkEnd w:id="218"/>
      <w:bookmarkStart w:id="219" w:name="_Toc54564916"/>
      <w:bookmarkEnd w:id="219"/>
      <w:bookmarkStart w:id="220" w:name="_Toc54564915"/>
      <w:bookmarkEnd w:id="220"/>
      <w:bookmarkStart w:id="221" w:name="_Toc54564921"/>
      <w:bookmarkEnd w:id="221"/>
      <w:bookmarkStart w:id="222" w:name="_Toc54564913"/>
      <w:bookmarkEnd w:id="222"/>
      <w:bookmarkStart w:id="223" w:name="_Toc54564914"/>
      <w:bookmarkEnd w:id="223"/>
      <w:bookmarkStart w:id="224" w:name="_Toc54564912"/>
      <w:bookmarkEnd w:id="224"/>
      <w:bookmarkStart w:id="225" w:name="_Toc54564911"/>
      <w:bookmarkEnd w:id="225"/>
      <w:bookmarkStart w:id="226" w:name="_Toc54564910"/>
      <w:bookmarkEnd w:id="226"/>
      <w:bookmarkStart w:id="227" w:name="_Toc54564909"/>
      <w:bookmarkEnd w:id="227"/>
      <w:bookmarkStart w:id="228" w:name="_Toc54564812"/>
      <w:bookmarkEnd w:id="228"/>
      <w:bookmarkStart w:id="229" w:name="_Toc54564907"/>
      <w:bookmarkEnd w:id="229"/>
      <w:bookmarkStart w:id="230" w:name="_Toc54564905"/>
      <w:bookmarkEnd w:id="230"/>
      <w:bookmarkStart w:id="231" w:name="_Toc54564904"/>
      <w:bookmarkEnd w:id="231"/>
      <w:bookmarkStart w:id="232" w:name="_Toc54564906"/>
      <w:bookmarkEnd w:id="232"/>
      <w:bookmarkStart w:id="233" w:name="_Toc54564903"/>
      <w:bookmarkEnd w:id="233"/>
      <w:bookmarkStart w:id="234" w:name="_Toc54564902"/>
      <w:bookmarkEnd w:id="234"/>
      <w:bookmarkStart w:id="235" w:name="_Toc54564900"/>
      <w:bookmarkEnd w:id="235"/>
      <w:bookmarkStart w:id="236" w:name="_Toc54564898"/>
      <w:bookmarkEnd w:id="236"/>
      <w:bookmarkStart w:id="237" w:name="_Toc54564899"/>
      <w:bookmarkEnd w:id="237"/>
      <w:bookmarkStart w:id="238" w:name="_Toc54564897"/>
      <w:bookmarkEnd w:id="238"/>
      <w:bookmarkStart w:id="239" w:name="_Toc54564896"/>
      <w:bookmarkEnd w:id="239"/>
      <w:bookmarkStart w:id="240" w:name="_Toc54564895"/>
      <w:bookmarkEnd w:id="240"/>
      <w:bookmarkStart w:id="241" w:name="_Toc54564901"/>
      <w:bookmarkEnd w:id="241"/>
      <w:bookmarkStart w:id="242" w:name="_Toc54564893"/>
      <w:bookmarkEnd w:id="242"/>
      <w:bookmarkStart w:id="243" w:name="_Toc54564894"/>
      <w:bookmarkEnd w:id="243"/>
      <w:bookmarkStart w:id="244" w:name="_Toc54564892"/>
      <w:bookmarkEnd w:id="244"/>
      <w:bookmarkStart w:id="245" w:name="_Toc54564891"/>
      <w:bookmarkEnd w:id="245"/>
      <w:bookmarkStart w:id="246" w:name="_Toc54564890"/>
      <w:bookmarkEnd w:id="246"/>
      <w:bookmarkStart w:id="247" w:name="_Toc54564889"/>
      <w:bookmarkEnd w:id="247"/>
      <w:bookmarkStart w:id="248" w:name="_Toc54564888"/>
      <w:bookmarkEnd w:id="248"/>
      <w:bookmarkStart w:id="249" w:name="_Toc54564886"/>
      <w:bookmarkEnd w:id="249"/>
      <w:bookmarkStart w:id="250" w:name="_Toc54564884"/>
      <w:bookmarkEnd w:id="250"/>
      <w:bookmarkStart w:id="251" w:name="_Toc54564885"/>
      <w:bookmarkEnd w:id="251"/>
      <w:bookmarkStart w:id="252" w:name="_Toc54564883"/>
      <w:bookmarkEnd w:id="252"/>
      <w:bookmarkStart w:id="253" w:name="_Toc54564882"/>
      <w:bookmarkEnd w:id="253"/>
      <w:bookmarkStart w:id="254" w:name="_Toc54564881"/>
      <w:bookmarkEnd w:id="254"/>
      <w:bookmarkStart w:id="255" w:name="_Toc54564887"/>
      <w:bookmarkEnd w:id="255"/>
      <w:bookmarkStart w:id="256" w:name="_Toc54564879"/>
      <w:bookmarkEnd w:id="256"/>
      <w:bookmarkStart w:id="257" w:name="_Toc54564880"/>
      <w:bookmarkEnd w:id="257"/>
      <w:bookmarkStart w:id="258" w:name="_Toc54564878"/>
      <w:bookmarkEnd w:id="258"/>
      <w:bookmarkStart w:id="259" w:name="_Toc54564877"/>
      <w:bookmarkEnd w:id="259"/>
      <w:bookmarkStart w:id="260" w:name="_Toc54564876"/>
      <w:bookmarkEnd w:id="260"/>
      <w:bookmarkStart w:id="261" w:name="_Toc54564875"/>
      <w:bookmarkEnd w:id="261"/>
      <w:bookmarkStart w:id="262" w:name="_Toc54564874"/>
      <w:bookmarkEnd w:id="262"/>
      <w:bookmarkStart w:id="263" w:name="_Toc54564873"/>
      <w:bookmarkEnd w:id="263"/>
      <w:bookmarkStart w:id="264" w:name="_Toc54564871"/>
      <w:bookmarkEnd w:id="264"/>
      <w:bookmarkStart w:id="265" w:name="_Toc54564869"/>
      <w:bookmarkEnd w:id="265"/>
      <w:bookmarkStart w:id="266" w:name="_Toc54564870"/>
      <w:bookmarkEnd w:id="266"/>
      <w:bookmarkStart w:id="267" w:name="_Toc54564872"/>
      <w:bookmarkEnd w:id="267"/>
      <w:bookmarkStart w:id="268" w:name="_Toc54564868"/>
      <w:bookmarkEnd w:id="268"/>
      <w:bookmarkStart w:id="269" w:name="_Toc54564771"/>
      <w:bookmarkEnd w:id="269"/>
      <w:bookmarkStart w:id="270" w:name="_Toc54564776"/>
      <w:bookmarkEnd w:id="270"/>
      <w:bookmarkStart w:id="271" w:name="_Toc54564767"/>
      <w:bookmarkEnd w:id="271"/>
      <w:bookmarkStart w:id="272" w:name="_Toc54564778"/>
      <w:bookmarkEnd w:id="272"/>
      <w:bookmarkStart w:id="273" w:name="_Toc54564780"/>
      <w:bookmarkEnd w:id="273"/>
      <w:bookmarkStart w:id="274" w:name="_Toc54564775"/>
      <w:bookmarkEnd w:id="274"/>
      <w:bookmarkStart w:id="275" w:name="_Toc54564774"/>
      <w:bookmarkEnd w:id="275"/>
      <w:bookmarkStart w:id="276" w:name="_Toc54564773"/>
      <w:bookmarkEnd w:id="276"/>
      <w:bookmarkStart w:id="277" w:name="_Toc54564777"/>
      <w:bookmarkEnd w:id="277"/>
      <w:bookmarkStart w:id="278" w:name="_Toc54564908"/>
      <w:bookmarkEnd w:id="278"/>
      <w:bookmarkStart w:id="279" w:name="_Toc54564766"/>
      <w:bookmarkEnd w:id="279"/>
      <w:bookmarkStart w:id="280" w:name="_Toc54564779"/>
      <w:bookmarkEnd w:id="280"/>
      <w:bookmarkStart w:id="281" w:name="_Toc54564765"/>
      <w:bookmarkEnd w:id="281"/>
      <w:bookmarkStart w:id="282" w:name="_Toc12997"/>
      <w:r>
        <w:rPr>
          <w:rFonts w:hint="eastAsia"/>
          <w:szCs w:val="24"/>
        </w:rPr>
        <w:t>3.1.4.2</w:t>
      </w:r>
      <w:r>
        <w:rPr>
          <w:szCs w:val="24"/>
        </w:rPr>
        <w:t>移动端系统功能</w:t>
      </w:r>
      <w:r>
        <w:rPr>
          <w:rFonts w:hint="eastAsia"/>
          <w:szCs w:val="24"/>
        </w:rPr>
        <w:t>设计</w:t>
      </w:r>
    </w:p>
    <w:bookmarkEnd w:id="282"/>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（1）首页</w:t>
      </w:r>
    </w:p>
    <w:p>
      <w:pPr>
        <w:spacing w:line="360" w:lineRule="auto"/>
        <w:ind w:firstLine="480" w:firstLineChars="200"/>
        <w:rPr>
          <w:sz w:val="24"/>
        </w:rPr>
      </w:pPr>
      <w:r>
        <w:rPr>
          <w:rFonts w:hint="eastAsia"/>
          <w:sz w:val="24"/>
        </w:rPr>
        <w:t>首页包含搜索、快捷服务入口、头条资讯、热门服务、为你推荐等功能，是一个信息综合展示页面。</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（2）消费一码通</w:t>
      </w:r>
    </w:p>
    <w:p>
      <w:pPr>
        <w:spacing w:line="360" w:lineRule="auto"/>
        <w:ind w:firstLine="480" w:firstLineChars="200"/>
        <w:rPr>
          <w:sz w:val="24"/>
        </w:rPr>
      </w:pPr>
      <w:r>
        <w:rPr>
          <w:rFonts w:hint="eastAsia"/>
          <w:sz w:val="24"/>
        </w:rPr>
        <w:t>消费一码通是政府促进消费的有力工具，通过连接大型企业商家与普通居民，将线上商城、线下优惠、优惠信息等数据进行打通，实现居民在码上办事体验到优惠的生活消费服务。</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（3）办事</w:t>
      </w:r>
    </w:p>
    <w:p>
      <w:pPr>
        <w:spacing w:line="360" w:lineRule="auto"/>
        <w:ind w:firstLine="480" w:firstLineChars="200"/>
        <w:rPr>
          <w:sz w:val="24"/>
        </w:rPr>
      </w:pPr>
      <w:r>
        <w:rPr>
          <w:rFonts w:hint="eastAsia"/>
          <w:sz w:val="24"/>
        </w:rPr>
        <w:t>办事板块总体以一体化政务服务平台对接，实现政务服务事项账上办理。将掌上约、掌上办、掌上查、掌上评价等能力在此板块实现。</w:t>
      </w:r>
    </w:p>
    <w:p>
      <w:pPr>
        <w:pStyle w:val="9"/>
        <w:numPr>
          <w:ilvl w:val="5"/>
          <w:numId w:val="0"/>
        </w:numPr>
        <w:spacing w:line="360" w:lineRule="auto"/>
        <w:ind w:firstLine="482" w:firstLineChars="200"/>
        <w:rPr>
          <w:b/>
          <w:bCs/>
          <w:szCs w:val="24"/>
        </w:rPr>
      </w:pPr>
      <w:r>
        <w:rPr>
          <w:rFonts w:hint="eastAsia"/>
          <w:b/>
          <w:bCs/>
          <w:szCs w:val="24"/>
        </w:rPr>
        <w:t>（4）亮证</w:t>
      </w:r>
    </w:p>
    <w:p>
      <w:pPr>
        <w:pStyle w:val="10"/>
        <w:numPr>
          <w:ilvl w:val="4"/>
          <w:numId w:val="0"/>
        </w:numPr>
        <w:tabs>
          <w:tab w:val="left" w:pos="425"/>
          <w:tab w:val="left" w:pos="560"/>
        </w:tabs>
        <w:spacing w:after="120"/>
        <w:ind w:firstLine="482"/>
      </w:pPr>
      <w:r>
        <w:rPr>
          <w:rFonts w:hint="eastAsia"/>
        </w:rPr>
        <w:t>1）个人亮证</w:t>
      </w:r>
    </w:p>
    <w:p>
      <w:pPr>
        <w:spacing w:line="360" w:lineRule="auto"/>
        <w:ind w:firstLine="480" w:firstLineChars="200"/>
        <w:rPr>
          <w:sz w:val="24"/>
        </w:rPr>
      </w:pPr>
      <w:r>
        <w:rPr>
          <w:rFonts w:hint="eastAsia"/>
          <w:sz w:val="24"/>
        </w:rPr>
        <w:t>建立亮证场景专区</w:t>
      </w:r>
      <w:r>
        <w:rPr>
          <w:sz w:val="24"/>
        </w:rPr>
        <w:t>，</w:t>
      </w:r>
      <w:r>
        <w:rPr>
          <w:rFonts w:hint="eastAsia"/>
          <w:sz w:val="24"/>
        </w:rPr>
        <w:t>根据不同场景，展示我的电子证件信息，包括身份证、驾驶证、户口簿、居住证、结婚证、学历证书等</w:t>
      </w:r>
      <w:r>
        <w:rPr>
          <w:sz w:val="24"/>
        </w:rPr>
        <w:t>，结合电子证照管理办法和各部门管理规定，逐步实现线下扫码亮证办事。</w:t>
      </w:r>
    </w:p>
    <w:p>
      <w:pPr>
        <w:pStyle w:val="10"/>
        <w:numPr>
          <w:ilvl w:val="4"/>
          <w:numId w:val="0"/>
        </w:numPr>
        <w:tabs>
          <w:tab w:val="left" w:pos="425"/>
          <w:tab w:val="left" w:pos="560"/>
        </w:tabs>
        <w:spacing w:after="120"/>
        <w:ind w:firstLine="482"/>
      </w:pPr>
      <w:r>
        <w:rPr>
          <w:rFonts w:hint="eastAsia"/>
        </w:rPr>
        <w:t>2）法人亮证</w:t>
      </w:r>
    </w:p>
    <w:p>
      <w:pPr>
        <w:spacing w:line="360" w:lineRule="auto"/>
        <w:ind w:firstLine="480" w:firstLineChars="200"/>
        <w:rPr>
          <w:sz w:val="24"/>
        </w:rPr>
      </w:pPr>
      <w:r>
        <w:rPr>
          <w:rFonts w:hint="eastAsia"/>
          <w:sz w:val="24"/>
        </w:rPr>
        <w:t>根据不同场景，展示法人电子证件信息，包括营业执照、各类登记证书和许可证书等。</w:t>
      </w:r>
    </w:p>
    <w:p>
      <w:pPr>
        <w:pStyle w:val="9"/>
        <w:numPr>
          <w:ilvl w:val="5"/>
          <w:numId w:val="0"/>
        </w:numPr>
        <w:spacing w:line="360" w:lineRule="auto"/>
        <w:ind w:firstLine="482" w:firstLineChars="200"/>
        <w:rPr>
          <w:rFonts w:ascii="Arial" w:hAnsi="Arial"/>
          <w:b/>
          <w:bCs/>
          <w:szCs w:val="24"/>
        </w:rPr>
      </w:pPr>
      <w:r>
        <w:rPr>
          <w:rFonts w:hint="eastAsia" w:ascii="Arial" w:hAnsi="Arial"/>
          <w:b/>
          <w:bCs/>
          <w:szCs w:val="24"/>
        </w:rPr>
        <w:t>（5）个人中心</w:t>
      </w:r>
    </w:p>
    <w:p>
      <w:pPr>
        <w:spacing w:line="360" w:lineRule="auto"/>
        <w:ind w:firstLine="480" w:firstLineChars="200"/>
        <w:rPr>
          <w:sz w:val="24"/>
        </w:rPr>
      </w:pPr>
      <w:r>
        <w:rPr>
          <w:rFonts w:hint="eastAsia"/>
          <w:sz w:val="24"/>
        </w:rPr>
        <w:t>包括个人基本信息、会员信息、我的荣誉、我的积分、我的优惠券、我的家庭信息、证照信息、健康档案和系统设置等功能。</w:t>
      </w:r>
    </w:p>
    <w:p>
      <w:pPr>
        <w:pStyle w:val="6"/>
        <w:spacing w:line="360" w:lineRule="auto"/>
        <w:ind w:left="402"/>
      </w:pPr>
      <w:bookmarkStart w:id="283" w:name="_Toc34914152"/>
      <w:bookmarkStart w:id="284" w:name="_Toc10775"/>
      <w:r>
        <w:rPr>
          <w:rFonts w:hint="eastAsia"/>
        </w:rPr>
        <w:t>3.1.5场景应用需求</w:t>
      </w:r>
      <w:bookmarkEnd w:id="283"/>
      <w:bookmarkEnd w:id="284"/>
    </w:p>
    <w:p>
      <w:pPr>
        <w:pStyle w:val="7"/>
        <w:keepLines w:val="0"/>
        <w:tabs>
          <w:tab w:val="left" w:pos="425"/>
          <w:tab w:val="left" w:pos="560"/>
        </w:tabs>
        <w:spacing w:before="240" w:after="156"/>
        <w:ind w:firstLine="482" w:firstLineChars="200"/>
      </w:pPr>
      <w:bookmarkStart w:id="285" w:name="_Hlk66874379"/>
      <w:r>
        <w:rPr>
          <w:rFonts w:hint="eastAsia"/>
        </w:rPr>
        <w:t>3.1.5.1</w:t>
      </w:r>
      <w:bookmarkStart w:id="286" w:name="_Toc49272132"/>
      <w:bookmarkStart w:id="287" w:name="_Toc16434"/>
      <w:r>
        <w:rPr>
          <w:rFonts w:hint="eastAsia"/>
        </w:rPr>
        <w:t>疫情防控场景</w:t>
      </w:r>
      <w:bookmarkEnd w:id="286"/>
      <w:bookmarkEnd w:id="287"/>
    </w:p>
    <w:p>
      <w:pPr>
        <w:spacing w:line="360" w:lineRule="auto"/>
        <w:ind w:firstLine="480" w:firstLineChars="200"/>
        <w:rPr>
          <w:sz w:val="24"/>
        </w:rPr>
      </w:pPr>
      <w:r>
        <w:rPr>
          <w:rFonts w:hint="eastAsia"/>
          <w:sz w:val="24"/>
        </w:rPr>
        <w:t>为快速响应国家以及我省疫情防控指挥政策，助力我省疫情防控，疫情期间已经针对各类防控场景需求建立了“海南省健康一码通”平台。平台在我省信息化基础平台优势的基础上快速落地成型，在极短时间内覆盖全省各类防控业务场景。核心用户主要有：我省疫情防控指挥部各级领导、各市县指挥领导、各卡口/港口防控管理人员、全省网格员以及用户端的都全社会人群。</w:t>
      </w:r>
    </w:p>
    <w:p>
      <w:pPr>
        <w:spacing w:line="360" w:lineRule="auto"/>
        <w:ind w:firstLine="480" w:firstLineChars="200"/>
        <w:rPr>
          <w:sz w:val="24"/>
        </w:rPr>
      </w:pPr>
      <w:r>
        <w:rPr>
          <w:rFonts w:hint="eastAsia"/>
          <w:sz w:val="24"/>
        </w:rPr>
        <w:t>平台主要包括：健康一码通平台、新冠肺炎健康管理系统、新冠肺炎患者病例上报系统以及疫情指挥部文档管理系统；</w:t>
      </w:r>
    </w:p>
    <w:p>
      <w:pPr>
        <w:spacing w:line="360" w:lineRule="auto"/>
        <w:ind w:firstLine="480" w:firstLineChars="200"/>
        <w:rPr>
          <w:sz w:val="24"/>
        </w:rPr>
      </w:pPr>
      <w:r>
        <w:rPr>
          <w:rFonts w:hint="eastAsia"/>
          <w:sz w:val="24"/>
        </w:rPr>
        <w:t>健康一码通平台核心以公众端注册、领码、健康打卡以及各场景出行提供凭证服务。新冠肺炎健康管理系统主要是卫健委发热门诊、网格员以及重要卡口负责人进行健康管理使用的，可以通过平台进行卡口现场黄码转绿码等操作。新冠肺炎患者病例上报系统主要是针对疫情期间专家组分散，无法及时进行患者病例收集，从而无法随时针对病况开展会诊的情况而建设的信息化收集平台。供专家组在线集中会诊。</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（1）健康一码通公众端</w:t>
      </w:r>
    </w:p>
    <w:p>
      <w:pPr>
        <w:spacing w:line="360" w:lineRule="auto"/>
        <w:ind w:firstLine="480" w:firstLineChars="200"/>
        <w:rPr>
          <w:sz w:val="24"/>
        </w:rPr>
      </w:pPr>
      <w:r>
        <w:rPr>
          <w:rFonts w:hint="eastAsia"/>
          <w:sz w:val="24"/>
        </w:rPr>
        <w:t>海南省健康一码通系统（简称健康码系统）是全省统一健康码运行的信息系统，面向全省提供个人健康自查报告、社区卡口人员登记、发热门诊医疗信息采集、退烧药品购买登记、复工返岗人员登记，外出务工登记以及集成疫情线索举报、防疫信息查询等功能，为疫情防控工作提供能力支撑。</w:t>
      </w:r>
    </w:p>
    <w:p>
      <w:pPr>
        <w:pStyle w:val="9"/>
        <w:widowControl/>
        <w:numPr>
          <w:ilvl w:val="5"/>
          <w:numId w:val="0"/>
        </w:numPr>
        <w:tabs>
          <w:tab w:val="left" w:pos="425"/>
          <w:tab w:val="left" w:pos="560"/>
        </w:tabs>
        <w:spacing w:after="156" w:line="360" w:lineRule="auto"/>
        <w:ind w:firstLine="482" w:firstLineChars="200"/>
        <w:rPr>
          <w:b/>
          <w:bCs/>
          <w:szCs w:val="24"/>
        </w:rPr>
      </w:pPr>
      <w:r>
        <w:rPr>
          <w:rFonts w:hint="eastAsia"/>
          <w:b/>
          <w:bCs/>
          <w:szCs w:val="24"/>
        </w:rPr>
        <w:t>（2）健康码系统功能</w:t>
      </w:r>
    </w:p>
    <w:p>
      <w:pPr>
        <w:pStyle w:val="10"/>
        <w:numPr>
          <w:ilvl w:val="4"/>
          <w:numId w:val="0"/>
        </w:numPr>
        <w:tabs>
          <w:tab w:val="left" w:pos="425"/>
          <w:tab w:val="left" w:pos="560"/>
        </w:tabs>
        <w:spacing w:after="120"/>
        <w:ind w:firstLine="482"/>
      </w:pPr>
      <w:r>
        <w:rPr>
          <w:rFonts w:hint="eastAsia"/>
        </w:rPr>
        <w:t>1）基础功能</w:t>
      </w:r>
    </w:p>
    <w:p>
      <w:pPr>
        <w:spacing w:line="360" w:lineRule="auto"/>
        <w:ind w:firstLine="482" w:firstLineChars="200"/>
        <w:rPr>
          <w:b/>
          <w:bCs/>
          <w:sz w:val="24"/>
        </w:rPr>
      </w:pPr>
      <w:r>
        <w:rPr>
          <w:rFonts w:hint="eastAsia"/>
          <w:b/>
          <w:bCs/>
          <w:sz w:val="24"/>
        </w:rPr>
        <w:t>系统入口</w:t>
      </w:r>
    </w:p>
    <w:p>
      <w:pPr>
        <w:spacing w:line="360" w:lineRule="auto"/>
        <w:ind w:firstLine="420" w:firstLineChars="175"/>
        <w:rPr>
          <w:sz w:val="24"/>
        </w:rPr>
      </w:pPr>
      <w:r>
        <w:rPr>
          <w:rFonts w:hint="eastAsia"/>
          <w:sz w:val="24"/>
        </w:rPr>
        <w:t>通过海南政务服务</w:t>
      </w:r>
      <w:r>
        <w:rPr>
          <w:sz w:val="24"/>
        </w:rPr>
        <w:t>APP、椰城市民云、支付宝、政务大数据公众号等渠道提供入口，同时还可以通过扫二维码进行登录。</w:t>
      </w:r>
    </w:p>
    <w:p>
      <w:pPr>
        <w:spacing w:line="360" w:lineRule="auto"/>
        <w:ind w:firstLine="482" w:firstLineChars="200"/>
        <w:rPr>
          <w:b/>
          <w:bCs/>
          <w:sz w:val="24"/>
        </w:rPr>
      </w:pPr>
      <w:r>
        <w:rPr>
          <w:rFonts w:hint="eastAsia"/>
          <w:b/>
          <w:bCs/>
          <w:sz w:val="24"/>
        </w:rPr>
        <w:t>国家一体化平台对接</w:t>
      </w:r>
    </w:p>
    <w:p>
      <w:pPr>
        <w:spacing w:line="360" w:lineRule="auto"/>
        <w:ind w:firstLine="480" w:firstLineChars="200"/>
        <w:rPr>
          <w:sz w:val="24"/>
        </w:rPr>
      </w:pPr>
      <w:r>
        <w:rPr>
          <w:rFonts w:hint="eastAsia" w:ascii="宋体" w:hAnsi="宋体" w:cs="宋体"/>
          <w:sz w:val="24"/>
        </w:rPr>
        <w:t>①</w:t>
      </w:r>
      <w:r>
        <w:rPr>
          <w:rFonts w:hint="eastAsia"/>
          <w:sz w:val="24"/>
        </w:rPr>
        <w:t>海南健康码对接全国一体化政务服务平台，支持识别其他省份健康码并标注地区。同时海南健康码</w:t>
      </w:r>
      <w:r>
        <w:rPr>
          <w:sz w:val="24"/>
        </w:rPr>
        <w:t>每小时增量更新码颜色变化或者新增的用户至国家平台</w:t>
      </w:r>
      <w:r>
        <w:rPr>
          <w:rFonts w:hint="eastAsia"/>
          <w:sz w:val="24"/>
        </w:rPr>
        <w:t>。</w:t>
      </w:r>
    </w:p>
    <w:p>
      <w:pPr>
        <w:spacing w:line="360" w:lineRule="auto"/>
        <w:ind w:firstLine="480" w:firstLineChars="200"/>
        <w:rPr>
          <w:sz w:val="24"/>
        </w:rPr>
      </w:pPr>
      <w:r>
        <w:rPr>
          <w:rFonts w:hint="eastAsia" w:ascii="宋体" w:hAnsi="宋体" w:cs="宋体"/>
          <w:sz w:val="24"/>
        </w:rPr>
        <w:t>②</w:t>
      </w:r>
      <w:r>
        <w:rPr>
          <w:rFonts w:hint="eastAsia"/>
          <w:sz w:val="24"/>
        </w:rPr>
        <w:t>省外互认逻辑：根据外省风险级别和码颜色进行海南健康码赋码。互认外省码颜色后，健康打卡即按照海南规则重新算吗，但部分高风险地区继承红黄码，打卡不能直接转绿且互认时海南红码为第一优先级。</w:t>
      </w:r>
    </w:p>
    <w:p>
      <w:pPr>
        <w:spacing w:line="360" w:lineRule="auto"/>
        <w:ind w:firstLine="482" w:firstLineChars="200"/>
        <w:rPr>
          <w:b/>
          <w:bCs/>
          <w:sz w:val="24"/>
        </w:rPr>
      </w:pPr>
      <w:r>
        <w:rPr>
          <w:rFonts w:hint="eastAsia"/>
          <w:b/>
          <w:bCs/>
          <w:sz w:val="24"/>
        </w:rPr>
        <w:t>抗体检测证明</w:t>
      </w:r>
    </w:p>
    <w:p>
      <w:pPr>
        <w:spacing w:line="360" w:lineRule="auto"/>
        <w:ind w:firstLine="480" w:firstLineChars="200"/>
        <w:rPr>
          <w:sz w:val="24"/>
        </w:rPr>
      </w:pPr>
      <w:r>
        <w:rPr>
          <w:rFonts w:hint="eastAsia"/>
          <w:sz w:val="24"/>
        </w:rPr>
        <w:t>展示个人核酸抗体证明：通过全国一体化平台获取个人核酸抗体结果，在健康码首页进行展示。</w:t>
      </w:r>
    </w:p>
    <w:p>
      <w:pPr>
        <w:spacing w:line="360" w:lineRule="auto"/>
        <w:ind w:firstLine="482" w:firstLineChars="200"/>
        <w:rPr>
          <w:b/>
          <w:bCs/>
          <w:sz w:val="24"/>
        </w:rPr>
      </w:pPr>
      <w:r>
        <w:rPr>
          <w:rFonts w:hint="eastAsia"/>
          <w:b/>
          <w:bCs/>
          <w:sz w:val="24"/>
        </w:rPr>
        <w:t>健康码转码规则</w:t>
      </w:r>
    </w:p>
    <w:p>
      <w:pPr>
        <w:spacing w:line="360" w:lineRule="auto"/>
        <w:ind w:firstLine="480" w:firstLineChars="200"/>
        <w:rPr>
          <w:sz w:val="24"/>
        </w:rPr>
      </w:pPr>
      <w:r>
        <w:rPr>
          <w:rFonts w:hint="eastAsia"/>
          <w:sz w:val="24"/>
        </w:rPr>
        <w:t>初次使用健康码的用户，如对健康码的规则不太了解，可通过点击个人二维码上方的【健康码规则】，了解健康码的规则解读，如健康码的含义、场景应用情况、无码人员如何管理、外籍人员是否可使用以及红码、黄码的转码操作等，并附上了各市县的咨询名单，如使用遇到任何问题可拨打电话咨询。</w:t>
      </w:r>
    </w:p>
    <w:p>
      <w:pPr>
        <w:spacing w:line="360" w:lineRule="auto"/>
        <w:ind w:firstLine="482" w:firstLineChars="200"/>
        <w:rPr>
          <w:b/>
          <w:bCs/>
          <w:sz w:val="24"/>
        </w:rPr>
      </w:pPr>
      <w:r>
        <w:rPr>
          <w:rFonts w:hint="eastAsia"/>
          <w:b/>
          <w:bCs/>
          <w:sz w:val="24"/>
        </w:rPr>
        <w:t>转码原因</w:t>
      </w:r>
    </w:p>
    <w:p>
      <w:pPr>
        <w:spacing w:line="360" w:lineRule="auto"/>
        <w:ind w:firstLine="480" w:firstLineChars="200"/>
        <w:rPr>
          <w:sz w:val="24"/>
        </w:rPr>
      </w:pPr>
      <w:r>
        <w:rPr>
          <w:rFonts w:hint="eastAsia"/>
          <w:sz w:val="24"/>
        </w:rPr>
        <w:t>另外，系统还提供了【转码原因】以及【申领记录】查看，对于健康码颜色有疑虑，可通过查看【转码原因】，了解健康码的转码历史；【申领记录】功能可展示最近一次申领健康码的具体内容，如因申领填报信息有误导致健康码颜色有误，系统可提供一次修改功能。</w:t>
      </w:r>
    </w:p>
    <w:p>
      <w:pPr>
        <w:spacing w:line="360" w:lineRule="auto"/>
        <w:ind w:firstLine="482" w:firstLineChars="200"/>
        <w:rPr>
          <w:b/>
          <w:bCs/>
          <w:sz w:val="24"/>
        </w:rPr>
      </w:pPr>
      <w:r>
        <w:rPr>
          <w:rFonts w:hint="eastAsia"/>
          <w:b/>
          <w:bCs/>
          <w:sz w:val="24"/>
        </w:rPr>
        <w:t>地标健康码</w:t>
      </w:r>
    </w:p>
    <w:p>
      <w:pPr>
        <w:spacing w:line="360" w:lineRule="auto"/>
        <w:ind w:firstLine="480" w:firstLineChars="200"/>
        <w:rPr>
          <w:sz w:val="24"/>
        </w:rPr>
      </w:pPr>
      <w:r>
        <w:rPr>
          <w:rFonts w:hint="eastAsia"/>
          <w:sz w:val="24"/>
        </w:rPr>
        <w:t>海南健康码与国家政务一体化平台对接后，省外来琼人员健康码信息可以直接同步到本地，填写完成抵琼登记信息后，外省的健康码信息将同步展示到海南健康码平台。同时在健康码左上角会显示来琼地方的名称。</w:t>
      </w:r>
    </w:p>
    <w:p>
      <w:pPr>
        <w:spacing w:line="360" w:lineRule="auto"/>
        <w:ind w:firstLine="482" w:firstLineChars="200"/>
        <w:rPr>
          <w:b/>
          <w:bCs/>
          <w:sz w:val="24"/>
        </w:rPr>
      </w:pPr>
      <w:r>
        <w:rPr>
          <w:rFonts w:hint="eastAsia"/>
          <w:b/>
          <w:bCs/>
          <w:sz w:val="24"/>
        </w:rPr>
        <w:t>英文版切换</w:t>
      </w:r>
    </w:p>
    <w:p>
      <w:pPr>
        <w:spacing w:line="360" w:lineRule="auto"/>
        <w:ind w:firstLine="424" w:firstLineChars="177"/>
        <w:rPr>
          <w:sz w:val="24"/>
        </w:rPr>
      </w:pPr>
      <w:r>
        <w:rPr>
          <w:rFonts w:hint="eastAsia"/>
          <w:sz w:val="24"/>
        </w:rPr>
        <w:t>为了方便外国用户，在首页的右上角可以进行中英文切换，可以实现首页和各个表单的中英文一键切换功能。</w:t>
      </w:r>
    </w:p>
    <w:p>
      <w:pPr>
        <w:spacing w:line="360" w:lineRule="auto"/>
        <w:ind w:firstLine="482" w:firstLineChars="200"/>
        <w:rPr>
          <w:b/>
          <w:bCs/>
          <w:sz w:val="24"/>
        </w:rPr>
      </w:pPr>
      <w:r>
        <w:rPr>
          <w:rFonts w:hint="eastAsia"/>
          <w:b/>
          <w:bCs/>
          <w:sz w:val="24"/>
        </w:rPr>
        <w:t>数字码</w:t>
      </w:r>
    </w:p>
    <w:p>
      <w:pPr>
        <w:spacing w:line="360" w:lineRule="auto"/>
        <w:ind w:firstLine="566" w:firstLineChars="236"/>
        <w:rPr>
          <w:sz w:val="24"/>
        </w:rPr>
      </w:pPr>
      <w:r>
        <w:rPr>
          <w:sz w:val="24"/>
        </w:rPr>
        <w:t>数字码用于无手机人员出行时出示核验的动态码。点击个人健康码，即可看到健康码下面有个“数字码”，外出通行时出示户主的手机号+数字码，由相关人员进行核验，凭绿码通行。</w:t>
      </w:r>
    </w:p>
    <w:p>
      <w:pPr>
        <w:spacing w:line="360" w:lineRule="auto"/>
        <w:ind w:firstLine="482" w:firstLineChars="200"/>
        <w:rPr>
          <w:b/>
          <w:bCs/>
          <w:sz w:val="24"/>
        </w:rPr>
      </w:pPr>
      <w:r>
        <w:rPr>
          <w:rFonts w:hint="eastAsia"/>
          <w:b/>
          <w:bCs/>
          <w:sz w:val="24"/>
        </w:rPr>
        <w:t>出发地健康信息</w:t>
      </w:r>
    </w:p>
    <w:p>
      <w:pPr>
        <w:pStyle w:val="2"/>
        <w:rPr>
          <w:szCs w:val="24"/>
        </w:rPr>
      </w:pPr>
      <w:r>
        <w:rPr>
          <w:szCs w:val="24"/>
        </w:rPr>
        <w:t>在首页核心信息下方提供“出发地健康信息”功能，点击后可以查看抵琼出发地健康信息情况</w:t>
      </w:r>
      <w:r>
        <w:rPr>
          <w:rFonts w:hint="eastAsia"/>
          <w:szCs w:val="24"/>
        </w:rPr>
        <w:t>。</w:t>
      </w:r>
    </w:p>
    <w:p>
      <w:pPr>
        <w:pStyle w:val="10"/>
        <w:numPr>
          <w:ilvl w:val="4"/>
          <w:numId w:val="0"/>
        </w:numPr>
        <w:tabs>
          <w:tab w:val="left" w:pos="425"/>
          <w:tab w:val="left" w:pos="560"/>
        </w:tabs>
        <w:spacing w:after="120"/>
        <w:ind w:firstLine="482"/>
      </w:pPr>
      <w:r>
        <w:rPr>
          <w:rFonts w:hint="eastAsia"/>
        </w:rPr>
        <w:t>2）健康一码通</w:t>
      </w:r>
    </w:p>
    <w:p>
      <w:pPr>
        <w:spacing w:line="360" w:lineRule="auto"/>
        <w:ind w:firstLine="480" w:firstLineChars="200"/>
        <w:rPr>
          <w:sz w:val="24"/>
        </w:rPr>
      </w:pPr>
      <w:r>
        <w:rPr>
          <w:sz w:val="24"/>
        </w:rPr>
        <w:t>用于个人自助的健康状态在线报告，无论是本地居民、省外返琼的人员，均可在一码通系统的健康登记功能进行自主健康打卡登记。</w:t>
      </w:r>
    </w:p>
    <w:p>
      <w:pPr>
        <w:pStyle w:val="10"/>
        <w:numPr>
          <w:ilvl w:val="4"/>
          <w:numId w:val="0"/>
        </w:numPr>
        <w:tabs>
          <w:tab w:val="left" w:pos="425"/>
          <w:tab w:val="left" w:pos="560"/>
        </w:tabs>
        <w:spacing w:after="120"/>
        <w:ind w:firstLine="482"/>
      </w:pPr>
      <w:r>
        <w:rPr>
          <w:rFonts w:hint="eastAsia"/>
        </w:rPr>
        <w:t>3）复工复产</w:t>
      </w:r>
    </w:p>
    <w:p>
      <w:pPr>
        <w:spacing w:line="360" w:lineRule="auto"/>
        <w:ind w:firstLine="480" w:firstLineChars="200"/>
        <w:rPr>
          <w:sz w:val="24"/>
        </w:rPr>
      </w:pPr>
      <w:r>
        <w:rPr>
          <w:sz w:val="24"/>
        </w:rPr>
        <w:t>返岗登记用于企业返岗人员的自我健康情况在线登记，含个人自报和单位企业组织申报和复工调查情况。</w:t>
      </w:r>
    </w:p>
    <w:p>
      <w:pPr>
        <w:spacing w:line="360" w:lineRule="auto"/>
        <w:ind w:firstLine="480" w:firstLineChars="200"/>
        <w:rPr>
          <w:sz w:val="24"/>
        </w:rPr>
      </w:pPr>
      <w:r>
        <w:rPr>
          <w:sz w:val="24"/>
        </w:rPr>
        <w:t>员工返岗登记。无论是外省返琼复工或者省内返岗人员，均可在一码通系统的返岗登记功能进行返岗登记信息填写，如实填写个人基本信息、所在企业。拟返岗人员健康码为“绿码”才能正常上岗。</w:t>
      </w:r>
    </w:p>
    <w:p>
      <w:pPr>
        <w:spacing w:line="360" w:lineRule="auto"/>
        <w:ind w:firstLine="480" w:firstLineChars="200"/>
        <w:rPr>
          <w:sz w:val="24"/>
        </w:rPr>
      </w:pPr>
      <w:r>
        <w:rPr>
          <w:sz w:val="24"/>
        </w:rPr>
        <w:t>复工复产申报。由拟复工复产的单位企业组织进行复工复产登记，有企业负责人填写企业相关信息后提交复工复产登记申报，并组织员工在员工返岗登记功能进行返岗登记。</w:t>
      </w:r>
    </w:p>
    <w:p>
      <w:pPr>
        <w:spacing w:line="360" w:lineRule="auto"/>
        <w:ind w:firstLine="480" w:firstLineChars="200"/>
        <w:rPr>
          <w:sz w:val="24"/>
        </w:rPr>
      </w:pPr>
      <w:r>
        <w:rPr>
          <w:sz w:val="24"/>
        </w:rPr>
        <w:t>复工情况调查。主要是针对海南省中小微企业（含个体工商户）复工复产情况调查表，主要是了解这些企业在复工复产过程中碰到的问题和难题进行调查登记。</w:t>
      </w:r>
    </w:p>
    <w:p>
      <w:pPr>
        <w:pStyle w:val="10"/>
        <w:numPr>
          <w:ilvl w:val="4"/>
          <w:numId w:val="0"/>
        </w:numPr>
        <w:tabs>
          <w:tab w:val="left" w:pos="425"/>
          <w:tab w:val="left" w:pos="560"/>
        </w:tabs>
        <w:spacing w:after="120"/>
        <w:ind w:firstLine="482"/>
      </w:pPr>
      <w:r>
        <w:rPr>
          <w:rFonts w:hint="eastAsia"/>
        </w:rPr>
        <w:t>4）考试专区</w:t>
      </w:r>
    </w:p>
    <w:p>
      <w:pPr>
        <w:spacing w:line="360" w:lineRule="auto"/>
        <w:ind w:firstLine="566" w:firstLineChars="236"/>
        <w:rPr>
          <w:sz w:val="24"/>
        </w:rPr>
      </w:pPr>
      <w:r>
        <w:rPr>
          <w:rFonts w:hint="eastAsia"/>
          <w:sz w:val="24"/>
        </w:rPr>
        <w:t>根据健康码的个人健康和抵琼情况，结合国家一体化平台的四类人信息、密切接触者信息、入境信息、核酸抗体信息，对即将要参加省内各类大型考试的考生，给出综合评估，提前防范潜在风险，有效的进行精准防控。</w:t>
      </w:r>
    </w:p>
    <w:p>
      <w:pPr>
        <w:spacing w:line="360" w:lineRule="auto"/>
        <w:ind w:firstLine="566" w:firstLineChars="236"/>
        <w:rPr>
          <w:sz w:val="24"/>
        </w:rPr>
      </w:pPr>
      <w:r>
        <w:rPr>
          <w:rFonts w:hint="eastAsia"/>
          <w:sz w:val="24"/>
        </w:rPr>
        <w:t>考试专区分为两种形式：前端打卡、后台数据匹配。其中高考、中考、专升本、公务员考试为前端打卡形式。另外如特岗教师考试等则是进行后台数据匹配。</w:t>
      </w:r>
    </w:p>
    <w:p>
      <w:pPr>
        <w:pStyle w:val="10"/>
        <w:numPr>
          <w:ilvl w:val="4"/>
          <w:numId w:val="0"/>
        </w:numPr>
        <w:tabs>
          <w:tab w:val="left" w:pos="425"/>
          <w:tab w:val="left" w:pos="560"/>
        </w:tabs>
        <w:spacing w:after="120"/>
        <w:ind w:firstLine="482"/>
      </w:pPr>
      <w:r>
        <w:rPr>
          <w:rFonts w:hint="eastAsia"/>
        </w:rPr>
        <w:t>5）教育专区</w:t>
      </w:r>
    </w:p>
    <w:p>
      <w:pPr>
        <w:spacing w:line="360" w:lineRule="auto"/>
        <w:ind w:firstLine="480" w:firstLineChars="200"/>
        <w:rPr>
          <w:sz w:val="24"/>
        </w:rPr>
      </w:pPr>
      <w:r>
        <w:rPr>
          <w:rFonts w:hint="eastAsia"/>
          <w:sz w:val="24"/>
        </w:rPr>
        <w:t>根据教育部印发的通知，要求科学精准做好校园疫情防控。开学前，要“一人一档”制定返校学生信息台账，确保学生返校全程可追溯，健康码开辟教育专区模块，用于高校师生返校、中小幼返琼、以及个人身体状况进行健康登记。</w:t>
      </w:r>
    </w:p>
    <w:p>
      <w:pPr>
        <w:spacing w:line="360" w:lineRule="auto"/>
        <w:rPr>
          <w:sz w:val="24"/>
        </w:rPr>
      </w:pPr>
      <w:r>
        <w:rPr>
          <w:rFonts w:hint="eastAsia"/>
          <w:sz w:val="24"/>
        </w:rPr>
        <w:t>高校师生打卡：用于高校的师生进行日常的健康状况打卡，并登记返校情况和出行方式。</w:t>
      </w:r>
    </w:p>
    <w:p>
      <w:pPr>
        <w:spacing w:line="360" w:lineRule="auto"/>
        <w:ind w:firstLine="480" w:firstLineChars="200"/>
        <w:rPr>
          <w:sz w:val="24"/>
        </w:rPr>
      </w:pPr>
      <w:r>
        <w:rPr>
          <w:rFonts w:hint="eastAsia"/>
          <w:sz w:val="24"/>
        </w:rPr>
        <w:t>高校新生报到：因大一新生多为省外来琼人员，故专门开辟新生报到模块，用于大一新生抵琼情况和个人身体状况进行申报。</w:t>
      </w:r>
    </w:p>
    <w:p>
      <w:pPr>
        <w:spacing w:line="360" w:lineRule="auto"/>
        <w:ind w:firstLine="480" w:firstLineChars="200"/>
        <w:rPr>
          <w:sz w:val="24"/>
        </w:rPr>
      </w:pPr>
      <w:r>
        <w:rPr>
          <w:rFonts w:hint="eastAsia"/>
          <w:sz w:val="24"/>
        </w:rPr>
        <w:t>中小学及幼儿园返琼登记：对中小学及幼儿园，在暑假期间有出岛记录的学生，在开学前进行返琼健康等级，记录去过的地区和当前的个人身体状况。</w:t>
      </w:r>
    </w:p>
    <w:p>
      <w:pPr>
        <w:pStyle w:val="10"/>
        <w:numPr>
          <w:ilvl w:val="4"/>
          <w:numId w:val="0"/>
        </w:numPr>
        <w:tabs>
          <w:tab w:val="left" w:pos="425"/>
          <w:tab w:val="left" w:pos="560"/>
        </w:tabs>
        <w:spacing w:after="120"/>
        <w:ind w:firstLine="482"/>
      </w:pPr>
      <w:r>
        <w:rPr>
          <w:rFonts w:hint="eastAsia"/>
        </w:rPr>
        <w:t>6）疫情举报</w:t>
      </w:r>
    </w:p>
    <w:p>
      <w:pPr>
        <w:pStyle w:val="2"/>
        <w:rPr>
          <w:szCs w:val="24"/>
        </w:rPr>
      </w:pPr>
      <w:r>
        <w:rPr>
          <w:rFonts w:hint="eastAsia"/>
          <w:szCs w:val="24"/>
        </w:rPr>
        <w:t>系统主要集成了疫情线索举报、群众监督举报等功能。疫情举报主要是用于居民在发现情况后，可以在手机上随时对身边疑似肺炎症状患者的线索或对群众聚集活动、哄抬物价等扰乱防控的违规行为进行举报。举报成功以后，平台将信息发送到本辖区负责的疫情处理联络员，进一步联系落实情况。</w:t>
      </w:r>
    </w:p>
    <w:p>
      <w:pPr>
        <w:pStyle w:val="10"/>
        <w:numPr>
          <w:ilvl w:val="4"/>
          <w:numId w:val="0"/>
        </w:numPr>
        <w:tabs>
          <w:tab w:val="left" w:pos="425"/>
          <w:tab w:val="left" w:pos="560"/>
        </w:tabs>
        <w:spacing w:after="120"/>
        <w:ind w:firstLine="482"/>
      </w:pPr>
      <w:r>
        <w:rPr>
          <w:rFonts w:hint="eastAsia"/>
        </w:rPr>
        <w:t>7）疫情信息平台</w:t>
      </w:r>
    </w:p>
    <w:p>
      <w:pPr>
        <w:pStyle w:val="12"/>
        <w:numPr>
          <w:ilvl w:val="8"/>
          <w:numId w:val="0"/>
        </w:numPr>
        <w:spacing w:line="360" w:lineRule="auto"/>
        <w:ind w:left="420"/>
        <w:rPr>
          <w:b/>
          <w:bCs/>
          <w:sz w:val="24"/>
          <w:szCs w:val="24"/>
        </w:rPr>
      </w:pPr>
      <w:r>
        <w:rPr>
          <w:rFonts w:hint="eastAsia" w:ascii="宋体" w:hAnsi="宋体" w:eastAsia="宋体" w:cs="宋体"/>
          <w:b/>
          <w:bCs/>
          <w:sz w:val="24"/>
          <w:szCs w:val="24"/>
        </w:rPr>
        <w:t>①</w:t>
      </w:r>
      <w:r>
        <w:rPr>
          <w:rFonts w:hint="eastAsia"/>
          <w:b/>
          <w:bCs/>
          <w:sz w:val="24"/>
          <w:szCs w:val="24"/>
        </w:rPr>
        <w:t>外部支撑</w:t>
      </w:r>
    </w:p>
    <w:p>
      <w:pPr>
        <w:spacing w:line="360" w:lineRule="auto"/>
        <w:ind w:firstLine="482"/>
        <w:rPr>
          <w:sz w:val="24"/>
        </w:rPr>
      </w:pPr>
      <w:r>
        <w:rPr>
          <w:rFonts w:hint="eastAsia"/>
          <w:b/>
          <w:sz w:val="24"/>
        </w:rPr>
        <w:t>接口支撑平台：</w:t>
      </w:r>
      <w:r>
        <w:rPr>
          <w:rFonts w:hint="eastAsia"/>
          <w:sz w:val="24"/>
        </w:rPr>
        <w:t>支撑健康码各类外部接口对接，接口的权限管理、配置管理、流量管控等。</w:t>
      </w:r>
    </w:p>
    <w:p>
      <w:pPr>
        <w:spacing w:line="360" w:lineRule="auto"/>
        <w:ind w:firstLine="482"/>
        <w:rPr>
          <w:sz w:val="24"/>
        </w:rPr>
      </w:pPr>
      <w:r>
        <w:rPr>
          <w:rFonts w:hint="eastAsia"/>
          <w:b/>
          <w:sz w:val="24"/>
        </w:rPr>
        <w:t>支撑省医院挂号系统：</w:t>
      </w:r>
      <w:r>
        <w:rPr>
          <w:rFonts w:hint="eastAsia"/>
          <w:sz w:val="24"/>
        </w:rPr>
        <w:t>为省医院挂号平台提供健康信息核验，保障入院看病人员的疫情信息真实性。</w:t>
      </w:r>
    </w:p>
    <w:p>
      <w:pPr>
        <w:spacing w:line="360" w:lineRule="auto"/>
        <w:ind w:firstLine="482"/>
        <w:rPr>
          <w:sz w:val="24"/>
        </w:rPr>
      </w:pPr>
      <w:r>
        <w:rPr>
          <w:rFonts w:hint="eastAsia"/>
          <w:b/>
          <w:sz w:val="24"/>
        </w:rPr>
        <w:t>支撑港航购票系统：</w:t>
      </w:r>
      <w:r>
        <w:rPr>
          <w:rFonts w:hint="eastAsia"/>
          <w:sz w:val="24"/>
        </w:rPr>
        <w:t>为离港购票平台提供健康信息核验，保障离岛人员疫情信息真实性。</w:t>
      </w:r>
    </w:p>
    <w:p>
      <w:pPr>
        <w:spacing w:line="360" w:lineRule="auto"/>
        <w:ind w:firstLine="482"/>
        <w:rPr>
          <w:sz w:val="24"/>
        </w:rPr>
      </w:pPr>
      <w:r>
        <w:rPr>
          <w:rFonts w:hint="eastAsia"/>
          <w:b/>
          <w:sz w:val="24"/>
        </w:rPr>
        <w:t>支撑中航信航旅纵横：</w:t>
      </w:r>
      <w:r>
        <w:rPr>
          <w:rFonts w:hint="eastAsia"/>
          <w:sz w:val="24"/>
        </w:rPr>
        <w:t>支撑中航信航旅纵横</w:t>
      </w:r>
      <w:r>
        <w:rPr>
          <w:sz w:val="24"/>
        </w:rPr>
        <w:t>APP，提供健康信息核验功能、返琼信息登记上报专属板块。</w:t>
      </w:r>
    </w:p>
    <w:p>
      <w:pPr>
        <w:spacing w:line="360" w:lineRule="auto"/>
        <w:ind w:firstLine="482"/>
        <w:rPr>
          <w:sz w:val="24"/>
        </w:rPr>
      </w:pPr>
      <w:r>
        <w:rPr>
          <w:rFonts w:hint="eastAsia"/>
          <w:b/>
          <w:sz w:val="24"/>
        </w:rPr>
        <w:t>支撑凯亚机场进岛卡口：</w:t>
      </w:r>
      <w:r>
        <w:rPr>
          <w:rFonts w:hint="eastAsia"/>
          <w:sz w:val="24"/>
        </w:rPr>
        <w:t>支撑海口、三亚机场闸机口，提供健康信息核验、核酸检测信息核验等健康信息接口。</w:t>
      </w:r>
    </w:p>
    <w:p>
      <w:pPr>
        <w:spacing w:line="360" w:lineRule="auto"/>
        <w:ind w:firstLine="482"/>
        <w:rPr>
          <w:sz w:val="24"/>
        </w:rPr>
      </w:pPr>
      <w:r>
        <w:rPr>
          <w:rFonts w:hint="eastAsia"/>
          <w:b/>
          <w:sz w:val="24"/>
        </w:rPr>
        <w:t>支撑国家政务一体化平台：</w:t>
      </w:r>
      <w:r>
        <w:rPr>
          <w:rFonts w:hint="eastAsia"/>
          <w:sz w:val="24"/>
        </w:rPr>
        <w:t>为国家政务服务一体化平台提供我省全量的健康码信息，实时更新同步。</w:t>
      </w:r>
    </w:p>
    <w:p>
      <w:pPr>
        <w:spacing w:line="360" w:lineRule="auto"/>
        <w:ind w:firstLine="482"/>
        <w:rPr>
          <w:sz w:val="24"/>
        </w:rPr>
      </w:pPr>
      <w:r>
        <w:rPr>
          <w:rFonts w:hint="eastAsia"/>
          <w:b/>
          <w:sz w:val="24"/>
        </w:rPr>
        <w:t>全国</w:t>
      </w:r>
      <w:r>
        <w:rPr>
          <w:b/>
          <w:sz w:val="24"/>
        </w:rPr>
        <w:t>34省健康码互认对接</w:t>
      </w:r>
      <w:r>
        <w:rPr>
          <w:rFonts w:hint="eastAsia"/>
          <w:b/>
          <w:sz w:val="24"/>
        </w:rPr>
        <w:t>：</w:t>
      </w:r>
      <w:r>
        <w:rPr>
          <w:rFonts w:hint="eastAsia"/>
          <w:sz w:val="24"/>
        </w:rPr>
        <w:t>在国办平台未与全国其他疫区打通之前，分别与浙江、云南、广西、四川、贵州等地采用单点接口对接的形式。疫情中后期对接国办一体化平台卫健委国办密接接口、卫健委确诊</w:t>
      </w:r>
      <w:r>
        <w:rPr>
          <w:sz w:val="24"/>
        </w:rPr>
        <w:t>/密接接口、国办入境接口、国办入境密接接口、卫健委中高风险地区查询接口、外省健康码查询接口。</w:t>
      </w:r>
    </w:p>
    <w:p>
      <w:pPr>
        <w:spacing w:line="360" w:lineRule="auto"/>
        <w:ind w:firstLine="482"/>
        <w:rPr>
          <w:sz w:val="24"/>
        </w:rPr>
      </w:pPr>
      <w:r>
        <w:rPr>
          <w:rFonts w:hint="eastAsia"/>
          <w:b/>
          <w:sz w:val="24"/>
        </w:rPr>
        <w:t>支撑公安厅情报布控平台与一标三实平台：</w:t>
      </w:r>
      <w:r>
        <w:rPr>
          <w:rFonts w:hint="eastAsia"/>
          <w:sz w:val="24"/>
        </w:rPr>
        <w:t>与我省公安厅一标三实系统对接，健康码信息向一标三实同步，一标三实系统的地址信息向本平台同步。</w:t>
      </w:r>
    </w:p>
    <w:p>
      <w:pPr>
        <w:spacing w:line="360" w:lineRule="auto"/>
        <w:ind w:firstLine="482"/>
        <w:rPr>
          <w:sz w:val="24"/>
        </w:rPr>
      </w:pPr>
      <w:r>
        <w:rPr>
          <w:rFonts w:hint="eastAsia"/>
          <w:b/>
          <w:sz w:val="24"/>
        </w:rPr>
        <w:t>椰城市民云接入：</w:t>
      </w:r>
      <w:r>
        <w:rPr>
          <w:rFonts w:hint="eastAsia"/>
          <w:sz w:val="24"/>
        </w:rPr>
        <w:t>椰城市民云单点登录对接，提供健康码相关能力。</w:t>
      </w:r>
    </w:p>
    <w:p>
      <w:pPr>
        <w:spacing w:line="360" w:lineRule="auto"/>
        <w:ind w:firstLine="482"/>
        <w:rPr>
          <w:sz w:val="24"/>
        </w:rPr>
      </w:pPr>
      <w:r>
        <w:rPr>
          <w:rFonts w:hint="eastAsia"/>
          <w:b/>
          <w:sz w:val="24"/>
        </w:rPr>
        <w:t>教育厅复学支撑:</w:t>
      </w:r>
      <w:r>
        <w:rPr>
          <w:rFonts w:hint="eastAsia"/>
          <w:sz w:val="24"/>
        </w:rPr>
        <w:t>为教育厅提供全省</w:t>
      </w:r>
      <w:r>
        <w:rPr>
          <w:sz w:val="24"/>
        </w:rPr>
        <w:t>200多万师生的健康信息，并且提供2000QPS高并发的实时验证接口，支撑学校复学、高考考场疫情防控。</w:t>
      </w:r>
    </w:p>
    <w:p>
      <w:pPr>
        <w:spacing w:line="360" w:lineRule="auto"/>
        <w:ind w:firstLine="482"/>
        <w:rPr>
          <w:sz w:val="24"/>
        </w:rPr>
      </w:pPr>
      <w:r>
        <w:rPr>
          <w:rFonts w:hint="eastAsia"/>
          <w:b/>
          <w:sz w:val="24"/>
        </w:rPr>
        <w:t>海南农信社接入:</w:t>
      </w:r>
      <w:r>
        <w:rPr>
          <w:rFonts w:hint="eastAsia"/>
          <w:sz w:val="24"/>
        </w:rPr>
        <w:t>海南农信社</w:t>
      </w:r>
      <w:r>
        <w:rPr>
          <w:sz w:val="24"/>
        </w:rPr>
        <w:t>APP单点登录对接，提供健康码相关能力。</w:t>
      </w:r>
    </w:p>
    <w:p>
      <w:pPr>
        <w:pStyle w:val="12"/>
        <w:numPr>
          <w:ilvl w:val="8"/>
          <w:numId w:val="0"/>
        </w:numPr>
        <w:spacing w:line="360" w:lineRule="auto"/>
        <w:ind w:left="420"/>
        <w:rPr>
          <w:b/>
          <w:bCs/>
          <w:sz w:val="24"/>
          <w:szCs w:val="24"/>
        </w:rPr>
      </w:pPr>
      <w:r>
        <w:rPr>
          <w:rFonts w:hint="eastAsia" w:ascii="宋体" w:hAnsi="宋体" w:eastAsia="宋体" w:cs="宋体"/>
          <w:b/>
          <w:bCs/>
          <w:sz w:val="24"/>
          <w:szCs w:val="24"/>
        </w:rPr>
        <w:t>②</w:t>
      </w:r>
      <w:r>
        <w:rPr>
          <w:b/>
          <w:bCs/>
          <w:sz w:val="24"/>
          <w:szCs w:val="24"/>
        </w:rPr>
        <w:t>健康码规则引擎</w:t>
      </w:r>
    </w:p>
    <w:p>
      <w:pPr>
        <w:spacing w:line="360" w:lineRule="auto"/>
        <w:ind w:firstLine="480" w:firstLineChars="200"/>
        <w:rPr>
          <w:sz w:val="24"/>
        </w:rPr>
      </w:pPr>
      <w:r>
        <w:rPr>
          <w:rFonts w:hint="eastAsia"/>
          <w:sz w:val="24"/>
        </w:rPr>
        <w:t>针对国家以及我省的防疫指挥部要求，动态迭代健康码规则。截止5月3</w:t>
      </w:r>
      <w:r>
        <w:rPr>
          <w:sz w:val="24"/>
        </w:rPr>
        <w:t>0日已经迭代超过</w:t>
      </w:r>
      <w:r>
        <w:rPr>
          <w:rFonts w:hint="eastAsia"/>
          <w:sz w:val="24"/>
        </w:rPr>
        <w:t>6</w:t>
      </w:r>
      <w:r>
        <w:rPr>
          <w:sz w:val="24"/>
        </w:rPr>
        <w:t>0个版本。</w:t>
      </w:r>
    </w:p>
    <w:p>
      <w:pPr>
        <w:pStyle w:val="9"/>
        <w:widowControl/>
        <w:numPr>
          <w:ilvl w:val="5"/>
          <w:numId w:val="0"/>
        </w:numPr>
        <w:tabs>
          <w:tab w:val="left" w:pos="425"/>
          <w:tab w:val="left" w:pos="560"/>
        </w:tabs>
        <w:spacing w:after="156" w:line="360" w:lineRule="auto"/>
        <w:ind w:firstLine="482" w:firstLineChars="200"/>
        <w:rPr>
          <w:b/>
          <w:bCs/>
          <w:szCs w:val="24"/>
        </w:rPr>
      </w:pPr>
      <w:r>
        <w:rPr>
          <w:rFonts w:hint="eastAsia"/>
          <w:b/>
          <w:bCs/>
          <w:szCs w:val="24"/>
        </w:rPr>
        <w:t>（3）健康一码通核验端与核码端</w:t>
      </w:r>
    </w:p>
    <w:p>
      <w:pPr>
        <w:pStyle w:val="10"/>
        <w:numPr>
          <w:ilvl w:val="4"/>
          <w:numId w:val="0"/>
        </w:numPr>
        <w:tabs>
          <w:tab w:val="left" w:pos="425"/>
          <w:tab w:val="left" w:pos="560"/>
        </w:tabs>
        <w:spacing w:after="120"/>
        <w:ind w:firstLine="482"/>
      </w:pPr>
      <w:r>
        <w:rPr>
          <w:rFonts w:hint="eastAsia"/>
        </w:rPr>
        <w:t>1）医药登记</w:t>
      </w:r>
    </w:p>
    <w:p>
      <w:pPr>
        <w:spacing w:line="360" w:lineRule="auto"/>
        <w:ind w:firstLine="480" w:firstLineChars="200"/>
        <w:rPr>
          <w:sz w:val="24"/>
        </w:rPr>
      </w:pPr>
      <w:r>
        <w:rPr>
          <w:sz w:val="24"/>
        </w:rPr>
        <w:t>用于发热门诊就诊过程中对就诊人员的相关信息如姓名、身份证号、体温、有无疫区旅居史或发热人员基础史等情况进行登记记录，医护人员还可通过此功能记录上报病例信息及就诊意见。</w:t>
      </w:r>
    </w:p>
    <w:p>
      <w:pPr>
        <w:pStyle w:val="10"/>
        <w:numPr>
          <w:ilvl w:val="4"/>
          <w:numId w:val="0"/>
        </w:numPr>
        <w:tabs>
          <w:tab w:val="left" w:pos="425"/>
          <w:tab w:val="left" w:pos="560"/>
        </w:tabs>
        <w:spacing w:after="120"/>
        <w:ind w:firstLine="482"/>
      </w:pPr>
      <w:r>
        <w:rPr>
          <w:rFonts w:hint="eastAsia"/>
        </w:rPr>
        <w:t>2）出入通行</w:t>
      </w:r>
    </w:p>
    <w:p>
      <w:pPr>
        <w:spacing w:line="360" w:lineRule="auto"/>
        <w:ind w:firstLine="480" w:firstLineChars="200"/>
        <w:rPr>
          <w:sz w:val="24"/>
        </w:rPr>
      </w:pPr>
      <w:r>
        <w:rPr>
          <w:sz w:val="24"/>
        </w:rPr>
        <w:t>用于各关口包括高速路口、小区出入口、村庄出入、商场出入、写字楼出入通道等通行场景，对进出车辆和人员进行扫健康码登记，确保不漏查一车一人。改变传统的人工记录方式，借助手机扫码功能，实现扫码登记进出卡口的管理方式，采用一次登记、多次扫码进出，提高效率；依照各地返乡返工人员居家隔离政策，使卡口管理人员可以快速识别、记录、管理返乡返工居家隔离人员，避免人员流动带来的疫情扩散风险。</w:t>
      </w:r>
    </w:p>
    <w:p>
      <w:pPr>
        <w:pStyle w:val="10"/>
        <w:numPr>
          <w:ilvl w:val="4"/>
          <w:numId w:val="0"/>
        </w:numPr>
        <w:tabs>
          <w:tab w:val="left" w:pos="425"/>
          <w:tab w:val="left" w:pos="560"/>
        </w:tabs>
        <w:spacing w:after="120"/>
        <w:ind w:firstLine="482"/>
      </w:pPr>
      <w:r>
        <w:rPr>
          <w:rFonts w:hint="eastAsia"/>
        </w:rPr>
        <w:t>3）核验助手</w:t>
      </w:r>
    </w:p>
    <w:p>
      <w:pPr>
        <w:spacing w:line="360" w:lineRule="auto"/>
        <w:ind w:left="630"/>
        <w:rPr>
          <w:sz w:val="24"/>
        </w:rPr>
      </w:pPr>
      <w:r>
        <w:rPr>
          <w:rFonts w:hint="eastAsia" w:ascii="宋体" w:hAnsi="宋体" w:cs="宋体"/>
          <w:sz w:val="24"/>
        </w:rPr>
        <w:t>①</w:t>
      </w:r>
      <w:r>
        <w:rPr>
          <w:rFonts w:hint="eastAsia"/>
          <w:sz w:val="24"/>
        </w:rPr>
        <w:t>扫描他人健康二维码，可以进入核验端，进行健康码信息核验。</w:t>
      </w:r>
    </w:p>
    <w:p>
      <w:pPr>
        <w:spacing w:line="360" w:lineRule="auto"/>
        <w:ind w:left="630"/>
        <w:rPr>
          <w:sz w:val="24"/>
        </w:rPr>
      </w:pPr>
      <w:r>
        <w:rPr>
          <w:rFonts w:hint="eastAsia" w:ascii="宋体" w:hAnsi="宋体" w:cs="宋体"/>
          <w:sz w:val="24"/>
        </w:rPr>
        <w:t>②</w:t>
      </w:r>
      <w:r>
        <w:rPr>
          <w:rFonts w:hint="eastAsia"/>
          <w:sz w:val="24"/>
        </w:rPr>
        <w:t>数字码核验</w:t>
      </w:r>
    </w:p>
    <w:p>
      <w:pPr>
        <w:spacing w:line="360" w:lineRule="auto"/>
        <w:ind w:firstLine="480" w:firstLineChars="200"/>
        <w:rPr>
          <w:sz w:val="24"/>
        </w:rPr>
      </w:pPr>
      <w:r>
        <w:rPr>
          <w:rFonts w:hint="eastAsia"/>
          <w:sz w:val="24"/>
        </w:rPr>
        <w:t>针对于无手机人员的核验操作，通行人员提供其个人生成健康码的户主手机号+数字码，卡口值守人员在“核码端”界面输入相应信息完成核码操作，显示绿码即可通行。</w:t>
      </w:r>
    </w:p>
    <w:p>
      <w:pPr>
        <w:spacing w:line="360" w:lineRule="auto"/>
        <w:ind w:left="630"/>
        <w:rPr>
          <w:sz w:val="24"/>
        </w:rPr>
      </w:pPr>
      <w:r>
        <w:rPr>
          <w:rFonts w:hint="eastAsia" w:ascii="宋体" w:hAnsi="宋体" w:cs="宋体"/>
          <w:sz w:val="24"/>
        </w:rPr>
        <w:t>③</w:t>
      </w:r>
      <w:r>
        <w:rPr>
          <w:rFonts w:hint="eastAsia"/>
          <w:sz w:val="24"/>
        </w:rPr>
        <w:t>优惠券核销</w:t>
      </w:r>
    </w:p>
    <w:p>
      <w:pPr>
        <w:spacing w:line="360" w:lineRule="auto"/>
        <w:ind w:firstLine="424" w:firstLineChars="177"/>
        <w:rPr>
          <w:sz w:val="24"/>
        </w:rPr>
      </w:pPr>
      <w:r>
        <w:rPr>
          <w:rFonts w:hint="eastAsia"/>
          <w:sz w:val="24"/>
        </w:rPr>
        <w:t>为了有效促进复工复产，各商家推出不同品类的代金券不同金额的，该功能以地点码为基础进行改造，店员作为核验人可以在健康码系统中可以进行优惠券核销。</w:t>
      </w:r>
    </w:p>
    <w:p>
      <w:pPr>
        <w:spacing w:line="360" w:lineRule="auto"/>
        <w:ind w:left="630"/>
        <w:rPr>
          <w:sz w:val="24"/>
        </w:rPr>
      </w:pPr>
      <w:r>
        <w:rPr>
          <w:rFonts w:hint="eastAsia" w:ascii="宋体" w:hAnsi="宋体" w:cs="宋体"/>
          <w:sz w:val="24"/>
        </w:rPr>
        <w:t>④</w:t>
      </w:r>
      <w:r>
        <w:rPr>
          <w:rFonts w:hint="eastAsia"/>
          <w:sz w:val="24"/>
        </w:rPr>
        <w:t>核验记录</w:t>
      </w:r>
    </w:p>
    <w:p>
      <w:pPr>
        <w:spacing w:line="360" w:lineRule="auto"/>
        <w:ind w:firstLine="424" w:firstLineChars="177"/>
        <w:rPr>
          <w:sz w:val="24"/>
        </w:rPr>
      </w:pPr>
      <w:r>
        <w:rPr>
          <w:rFonts w:hint="eastAsia"/>
          <w:sz w:val="24"/>
        </w:rPr>
        <w:t>核验人可以切换所属的地点，在页面下方展示已经核验过的用户信息以及核验时间等。</w:t>
      </w:r>
    </w:p>
    <w:p>
      <w:pPr>
        <w:spacing w:line="360" w:lineRule="auto"/>
        <w:ind w:left="630"/>
        <w:rPr>
          <w:sz w:val="24"/>
        </w:rPr>
      </w:pPr>
      <w:r>
        <w:rPr>
          <w:rFonts w:hint="eastAsia" w:ascii="宋体" w:hAnsi="宋体" w:cs="宋体"/>
          <w:sz w:val="24"/>
        </w:rPr>
        <w:t>⑤</w:t>
      </w:r>
      <w:r>
        <w:rPr>
          <w:rFonts w:hint="eastAsia"/>
          <w:sz w:val="24"/>
        </w:rPr>
        <w:t>外出务工登记</w:t>
      </w:r>
    </w:p>
    <w:p>
      <w:pPr>
        <w:spacing w:line="360" w:lineRule="auto"/>
        <w:ind w:firstLine="480" w:firstLineChars="200"/>
        <w:rPr>
          <w:sz w:val="24"/>
        </w:rPr>
      </w:pPr>
      <w:r>
        <w:rPr>
          <w:rFonts w:hint="eastAsia"/>
          <w:sz w:val="24"/>
        </w:rPr>
        <w:t>根据《关于做好外出务工人员健康证明申报服务工作的通知》要求，健康码系统上线“外出务工登记”功能。供社区卫生所、乡镇卫生院医务人员使用。</w:t>
      </w:r>
    </w:p>
    <w:p>
      <w:pPr>
        <w:pStyle w:val="9"/>
        <w:widowControl/>
        <w:numPr>
          <w:ilvl w:val="5"/>
          <w:numId w:val="0"/>
        </w:numPr>
        <w:tabs>
          <w:tab w:val="left" w:pos="425"/>
          <w:tab w:val="left" w:pos="560"/>
        </w:tabs>
        <w:spacing w:after="156" w:line="360" w:lineRule="auto"/>
        <w:ind w:firstLine="482" w:firstLineChars="200"/>
        <w:rPr>
          <w:b/>
          <w:bCs/>
          <w:szCs w:val="24"/>
        </w:rPr>
      </w:pPr>
      <w:r>
        <w:rPr>
          <w:rFonts w:hint="eastAsia"/>
          <w:b/>
          <w:bCs/>
          <w:szCs w:val="24"/>
        </w:rPr>
        <w:t>（4）健康一码通管理端</w:t>
      </w:r>
    </w:p>
    <w:p>
      <w:pPr>
        <w:spacing w:line="360" w:lineRule="auto"/>
        <w:ind w:firstLine="480" w:firstLineChars="200"/>
        <w:rPr>
          <w:sz w:val="24"/>
        </w:rPr>
      </w:pPr>
      <w:r>
        <w:rPr>
          <w:rFonts w:hint="eastAsia"/>
          <w:sz w:val="24"/>
        </w:rPr>
        <w:t>随着疫情攻坚战的打响，为了支持政府防疫工作，特设《海南健康一码通后台系统》用于健康码前端数据的汇总、展示及管理。本系统目前分为三类角色分别是系统管理员、网格员及防疫指挥部人员。</w:t>
      </w:r>
    </w:p>
    <w:p>
      <w:pPr>
        <w:spacing w:line="360" w:lineRule="auto"/>
        <w:ind w:firstLine="480" w:firstLineChars="200"/>
        <w:rPr>
          <w:sz w:val="24"/>
        </w:rPr>
      </w:pPr>
      <w:r>
        <w:rPr>
          <w:rFonts w:hint="eastAsia"/>
          <w:sz w:val="24"/>
        </w:rPr>
        <w:t>核心用户包括：系统管理员、网格员以及防疫指挥部人员；</w:t>
      </w:r>
    </w:p>
    <w:p>
      <w:pPr>
        <w:spacing w:line="360" w:lineRule="auto"/>
        <w:ind w:firstLine="480" w:firstLineChars="200"/>
        <w:rPr>
          <w:sz w:val="24"/>
        </w:rPr>
      </w:pPr>
      <w:r>
        <w:rPr>
          <w:rFonts w:hint="eastAsia"/>
          <w:sz w:val="24"/>
        </w:rPr>
        <w:t>系统管理员：支持对系统内所有数据的新增、编辑、删除、导入及导出，并可自定义设置下拉选项内容，以便系统账号人员录入数据。支持在系统设置中管理人员和用户角色以及查看操作日志等操作。</w:t>
      </w:r>
    </w:p>
    <w:p>
      <w:pPr>
        <w:pStyle w:val="9"/>
        <w:widowControl/>
        <w:numPr>
          <w:ilvl w:val="5"/>
          <w:numId w:val="0"/>
        </w:numPr>
        <w:tabs>
          <w:tab w:val="left" w:pos="425"/>
          <w:tab w:val="left" w:pos="560"/>
        </w:tabs>
        <w:spacing w:after="156" w:line="360" w:lineRule="auto"/>
        <w:ind w:firstLine="482" w:firstLineChars="200"/>
        <w:rPr>
          <w:b/>
          <w:bCs/>
          <w:szCs w:val="24"/>
        </w:rPr>
      </w:pPr>
      <w:r>
        <w:rPr>
          <w:rFonts w:hint="eastAsia"/>
          <w:b/>
          <w:bCs/>
          <w:szCs w:val="24"/>
        </w:rPr>
        <w:t>（5）健康一码通报表端</w:t>
      </w:r>
    </w:p>
    <w:p>
      <w:pPr>
        <w:spacing w:line="360" w:lineRule="auto"/>
        <w:ind w:firstLine="480" w:firstLineChars="200"/>
        <w:rPr>
          <w:sz w:val="24"/>
        </w:rPr>
      </w:pPr>
      <w:r>
        <w:rPr>
          <w:rFonts w:hint="eastAsia"/>
          <w:sz w:val="24"/>
        </w:rPr>
        <w:t>随着疫情攻坚战的打响，为了积极支持响应政府防疫工作，特设《海南健康一码通报表系统》用于一码通平台数据的汇总与展示。</w:t>
      </w:r>
    </w:p>
    <w:p>
      <w:pPr>
        <w:pStyle w:val="9"/>
        <w:widowControl/>
        <w:numPr>
          <w:ilvl w:val="5"/>
          <w:numId w:val="0"/>
        </w:numPr>
        <w:tabs>
          <w:tab w:val="left" w:pos="425"/>
          <w:tab w:val="left" w:pos="560"/>
        </w:tabs>
        <w:spacing w:after="156" w:line="360" w:lineRule="auto"/>
        <w:ind w:firstLine="482" w:firstLineChars="200"/>
        <w:rPr>
          <w:b/>
          <w:bCs/>
          <w:szCs w:val="24"/>
        </w:rPr>
      </w:pPr>
      <w:r>
        <w:rPr>
          <w:rFonts w:hint="eastAsia"/>
          <w:b/>
          <w:bCs/>
          <w:szCs w:val="24"/>
        </w:rPr>
        <w:t>（6）新冠肺炎患者病历上报系统</w:t>
      </w:r>
    </w:p>
    <w:p>
      <w:pPr>
        <w:spacing w:line="360" w:lineRule="auto"/>
        <w:ind w:firstLine="480" w:firstLineChars="200"/>
        <w:rPr>
          <w:sz w:val="24"/>
        </w:rPr>
      </w:pPr>
      <w:r>
        <w:rPr>
          <w:rFonts w:hint="eastAsia"/>
          <w:sz w:val="24"/>
        </w:rPr>
        <w:t>为了进一步巩固新冠肺炎防疫效果，提升防疫效率和加强防疫措施，帮助确诊病人、疑似病人评估快速收集资料。集专家组全员之力，远程评估患者病情，  为患者后续治疗提供精准、及时的指导。建议建设线上病例上报管理系统，为疑似、确诊病人病例提供集中上报平台，供专家组在线及时查阅患者病例资料。</w:t>
      </w:r>
    </w:p>
    <w:p>
      <w:pPr>
        <w:pStyle w:val="7"/>
        <w:keepLines w:val="0"/>
        <w:tabs>
          <w:tab w:val="left" w:pos="425"/>
          <w:tab w:val="left" w:pos="560"/>
        </w:tabs>
        <w:spacing w:before="240" w:after="156"/>
        <w:ind w:firstLine="482" w:firstLineChars="200"/>
        <w:rPr>
          <w:szCs w:val="24"/>
        </w:rPr>
      </w:pPr>
      <w:r>
        <w:rPr>
          <w:rFonts w:hint="eastAsia"/>
          <w:szCs w:val="24"/>
        </w:rPr>
        <w:t>3.1.5.2</w:t>
      </w:r>
      <w:bookmarkStart w:id="288" w:name="_Toc30305"/>
      <w:r>
        <w:rPr>
          <w:rFonts w:hint="eastAsia"/>
          <w:szCs w:val="24"/>
        </w:rPr>
        <w:t>政务服务场景</w:t>
      </w:r>
      <w:bookmarkEnd w:id="288"/>
    </w:p>
    <w:p>
      <w:pPr>
        <w:spacing w:line="360" w:lineRule="auto"/>
        <w:ind w:firstLine="480" w:firstLineChars="200"/>
        <w:rPr>
          <w:sz w:val="24"/>
        </w:rPr>
      </w:pPr>
      <w:r>
        <w:rPr>
          <w:rFonts w:hint="eastAsia"/>
          <w:sz w:val="24"/>
        </w:rPr>
        <w:t>“自贸港码上办事”在政务服务行业具有非常重要的应用价值，通过与现有一体化政务服务平台及各类专项应用平台对接，构建全省性“码上办事”政务服务共性支撑能力，拓展政务服务能力和边界，支撑在多方面的特色应用创新。</w:t>
      </w:r>
    </w:p>
    <w:p>
      <w:pPr>
        <w:spacing w:line="360" w:lineRule="auto"/>
        <w:ind w:firstLine="480" w:firstLineChars="200"/>
        <w:rPr>
          <w:sz w:val="24"/>
        </w:rPr>
      </w:pPr>
      <w:r>
        <w:rPr>
          <w:rFonts w:hint="eastAsia"/>
          <w:sz w:val="24"/>
        </w:rPr>
        <w:t>“自贸港码上办事”在政务服务行业的广泛应用将显著提升全省政务服务效能，让全省群众和企业的办事体验、便捷度、幸福指数等继续上升一个台阶，是全省政务服务能力提升的具体体现。</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（1）通用功能</w:t>
      </w:r>
    </w:p>
    <w:p>
      <w:pPr>
        <w:pStyle w:val="10"/>
        <w:tabs>
          <w:tab w:val="left" w:pos="560"/>
        </w:tabs>
        <w:spacing w:line="360" w:lineRule="auto"/>
        <w:ind w:firstLine="482"/>
        <w:rPr>
          <w:szCs w:val="24"/>
        </w:rPr>
      </w:pPr>
      <w:r>
        <w:rPr>
          <w:rFonts w:hint="eastAsia"/>
          <w:szCs w:val="24"/>
        </w:rPr>
        <w:t>1）预约办事场景应用</w:t>
      </w:r>
    </w:p>
    <w:p>
      <w:pPr>
        <w:spacing w:line="360" w:lineRule="auto"/>
        <w:ind w:firstLine="480" w:firstLineChars="200"/>
        <w:rPr>
          <w:sz w:val="24"/>
        </w:rPr>
      </w:pPr>
      <w:r>
        <w:rPr>
          <w:rFonts w:hint="eastAsia"/>
          <w:sz w:val="24"/>
        </w:rPr>
        <w:t>依托“码上办事APP”和省一体化政务服务平台，打造提前预约、一事一约、一码多用、到站即办的便民利企的服务场景。通过“码上办事”平台的预约功能，生成对应的预约二维码，经现场办理柜台扫描确认后，该二维码可延用为办理事项受理码继续使用，同时在手机端预约后与大厅叫号系统进行对接，手机端可以实时显示前面排队人数，到号后弹出已到号信息，这样既能在短期内减少群众在省政务实体大厅的聚集和出行时间长的问题，还能为群众</w:t>
      </w:r>
      <w:r>
        <w:rPr>
          <w:sz w:val="24"/>
        </w:rPr>
        <w:t>提供长期简便、快捷、有序的个性化服务</w:t>
      </w:r>
      <w:r>
        <w:rPr>
          <w:rFonts w:hint="eastAsia"/>
          <w:sz w:val="24"/>
        </w:rPr>
        <w:t>。</w:t>
      </w:r>
    </w:p>
    <w:p>
      <w:pPr>
        <w:pStyle w:val="10"/>
        <w:tabs>
          <w:tab w:val="left" w:pos="560"/>
        </w:tabs>
        <w:spacing w:line="360" w:lineRule="auto"/>
        <w:ind w:firstLine="482"/>
        <w:rPr>
          <w:szCs w:val="24"/>
        </w:rPr>
      </w:pPr>
      <w:r>
        <w:rPr>
          <w:rFonts w:hint="eastAsia"/>
          <w:szCs w:val="24"/>
        </w:rPr>
        <w:t>2）“码上亮证”场景应用</w:t>
      </w:r>
    </w:p>
    <w:p>
      <w:pPr>
        <w:spacing w:line="360" w:lineRule="auto"/>
        <w:ind w:firstLine="480" w:firstLineChars="200"/>
        <w:rPr>
          <w:sz w:val="24"/>
        </w:rPr>
      </w:pPr>
      <w:r>
        <w:rPr>
          <w:rFonts w:hint="eastAsia"/>
          <w:sz w:val="24"/>
        </w:rPr>
        <w:t>为方便老百姓出行，免去一些不必要的来回奔波之苦，特此联合“码上办事APP”和省电子证照系统，创新推出“码上亮证”的便民功能，打造“实名”认证、“实人”核验、“实证”共享的新型业务办理模式，整体形成核验闭环。</w:t>
      </w:r>
    </w:p>
    <w:p>
      <w:pPr>
        <w:spacing w:line="360" w:lineRule="auto"/>
        <w:ind w:firstLine="480" w:firstLineChars="200"/>
        <w:rPr>
          <w:sz w:val="24"/>
        </w:rPr>
      </w:pPr>
      <w:r>
        <w:rPr>
          <w:rFonts w:hint="eastAsia"/>
          <w:sz w:val="24"/>
        </w:rPr>
        <w:t>依托省电子证照系统，对接公安大数据平台关于全省人口的身份证、驾驶证、居住证、户口本、行驶证等数据，确保数据实时传输，按照二维码代替纸质证照，实现无感亮证的目标，将公安的个人基本数据和省电子证照数据以及“码上办事A</w:t>
      </w:r>
      <w:r>
        <w:rPr>
          <w:sz w:val="24"/>
        </w:rPr>
        <w:t>PP</w:t>
      </w:r>
      <w:r>
        <w:rPr>
          <w:rFonts w:hint="eastAsia"/>
          <w:sz w:val="24"/>
        </w:rPr>
        <w:t>”进行数据对接。</w:t>
      </w:r>
    </w:p>
    <w:p>
      <w:pPr>
        <w:pStyle w:val="10"/>
        <w:tabs>
          <w:tab w:val="left" w:pos="560"/>
        </w:tabs>
        <w:spacing w:line="360" w:lineRule="auto"/>
        <w:ind w:firstLine="482"/>
        <w:rPr>
          <w:szCs w:val="24"/>
        </w:rPr>
      </w:pPr>
      <w:r>
        <w:rPr>
          <w:rFonts w:hint="eastAsia"/>
          <w:szCs w:val="24"/>
        </w:rPr>
        <w:t>3）在线申办场景应用</w:t>
      </w:r>
    </w:p>
    <w:p>
      <w:pPr>
        <w:pStyle w:val="274"/>
        <w:spacing w:line="360" w:lineRule="auto"/>
        <w:ind w:firstLine="480" w:firstLineChars="200"/>
        <w:rPr>
          <w:color w:val="auto"/>
        </w:rPr>
      </w:pPr>
      <w:r>
        <w:rPr>
          <w:rFonts w:hint="eastAsia"/>
          <w:color w:val="auto"/>
        </w:rPr>
        <w:t>依托一体化政务服务平台和码上办事A</w:t>
      </w:r>
      <w:r>
        <w:rPr>
          <w:color w:val="auto"/>
        </w:rPr>
        <w:t>PP</w:t>
      </w:r>
      <w:r>
        <w:rPr>
          <w:rFonts w:hint="eastAsia"/>
          <w:color w:val="auto"/>
        </w:rPr>
        <w:t>，进一步优化掌上政务服务体验，力争在部分高频服务事项上实现“零跑动”全程掌上办理，材料信息“少填少报”，身份信息验证全部“码上验证”，从而进一步提高海南省政务服务办事便捷性，让市民、企业在指尖上既能办事，又能好办事。</w:t>
      </w:r>
    </w:p>
    <w:p>
      <w:pPr>
        <w:pStyle w:val="10"/>
        <w:tabs>
          <w:tab w:val="left" w:pos="560"/>
        </w:tabs>
        <w:spacing w:line="360" w:lineRule="auto"/>
        <w:ind w:firstLine="482"/>
        <w:rPr>
          <w:szCs w:val="24"/>
        </w:rPr>
      </w:pPr>
      <w:r>
        <w:rPr>
          <w:rFonts w:hint="eastAsia"/>
          <w:szCs w:val="24"/>
        </w:rPr>
        <w:t>4）办件中心场景应用</w:t>
      </w:r>
    </w:p>
    <w:p>
      <w:pPr>
        <w:spacing w:line="360" w:lineRule="auto"/>
        <w:ind w:firstLine="480" w:firstLineChars="200"/>
        <w:rPr>
          <w:sz w:val="24"/>
        </w:rPr>
      </w:pPr>
      <w:r>
        <w:rPr>
          <w:rFonts w:hint="eastAsia"/>
          <w:sz w:val="24"/>
        </w:rPr>
        <w:t>依托“码上办事APP”与统一身份认证对接，实现“码上办事APP”实名认证，在“码上办事APP”上汇聚个人信息，成为身份通行证。基于“ 码上办事平台”与省一体化政务服务平台以及全省高频便民服务平台的对接，使群众不仅可以在A</w:t>
      </w:r>
      <w:r>
        <w:rPr>
          <w:sz w:val="24"/>
        </w:rPr>
        <w:t>PP上查询自己的办件信息</w:t>
      </w:r>
      <w:r>
        <w:rPr>
          <w:rFonts w:hint="eastAsia"/>
          <w:sz w:val="24"/>
        </w:rPr>
        <w:t>，</w:t>
      </w:r>
      <w:r>
        <w:rPr>
          <w:sz w:val="24"/>
        </w:rPr>
        <w:t>还可以在掌上查询生活缴费</w:t>
      </w:r>
      <w:r>
        <w:rPr>
          <w:rFonts w:hint="eastAsia"/>
          <w:sz w:val="24"/>
        </w:rPr>
        <w:t>、</w:t>
      </w:r>
      <w:r>
        <w:rPr>
          <w:sz w:val="24"/>
        </w:rPr>
        <w:t>交通出行等更多便民生活类主题</w:t>
      </w:r>
      <w:r>
        <w:rPr>
          <w:rFonts w:hint="eastAsia"/>
          <w:sz w:val="24"/>
        </w:rPr>
        <w:t>的主题服务，该功能将颠覆传统的导航形式，采用卡片式布局，动态展示用户需要查询的各类服务信息。</w:t>
      </w:r>
    </w:p>
    <w:p>
      <w:pPr>
        <w:pStyle w:val="10"/>
        <w:tabs>
          <w:tab w:val="left" w:pos="560"/>
        </w:tabs>
        <w:spacing w:line="360" w:lineRule="auto"/>
        <w:ind w:firstLine="482"/>
        <w:rPr>
          <w:szCs w:val="24"/>
        </w:rPr>
      </w:pPr>
      <w:r>
        <w:rPr>
          <w:rFonts w:hint="eastAsia"/>
          <w:szCs w:val="24"/>
        </w:rPr>
        <w:t>5）“码上评价”场景应用</w:t>
      </w:r>
    </w:p>
    <w:p>
      <w:pPr>
        <w:spacing w:line="360" w:lineRule="auto"/>
        <w:ind w:firstLine="480" w:firstLineChars="200"/>
        <w:rPr>
          <w:sz w:val="24"/>
        </w:rPr>
      </w:pPr>
      <w:r>
        <w:rPr>
          <w:rFonts w:hint="eastAsia"/>
          <w:sz w:val="24"/>
        </w:rPr>
        <w:t>政务服务不只是为民办好事办实事，更应该及时听取群众意见、主动作出回应、提升服务质效。依托庞大的用户基础以及一码通在政务服务领域的不断拓展延伸，势必要求码上办事平台为民众提供互动交流沟通的渠道。码上评价即通过与海南省政务服务平台好差评系统的对接，为用户提供办事评价、办事指南评价、大厅评价等，实现全省统一评价标准、全省统一评价通晒，助力建设服务型政府。用户可在移动端对办事指南、办件过程直接进行评价，也可通过扫码实现好差评。</w:t>
      </w:r>
    </w:p>
    <w:p>
      <w:pPr>
        <w:pStyle w:val="10"/>
        <w:tabs>
          <w:tab w:val="left" w:pos="560"/>
        </w:tabs>
        <w:spacing w:line="360" w:lineRule="auto"/>
        <w:ind w:firstLine="482"/>
        <w:rPr>
          <w:szCs w:val="24"/>
        </w:rPr>
      </w:pPr>
      <w:r>
        <w:rPr>
          <w:rFonts w:hint="eastAsia"/>
          <w:szCs w:val="24"/>
        </w:rPr>
        <w:t>6）“我的关注”场景应用</w:t>
      </w:r>
    </w:p>
    <w:p>
      <w:pPr>
        <w:spacing w:line="360" w:lineRule="auto"/>
        <w:ind w:firstLine="480" w:firstLineChars="200"/>
        <w:rPr>
          <w:sz w:val="24"/>
        </w:rPr>
      </w:pPr>
      <w:r>
        <w:rPr>
          <w:rFonts w:hint="eastAsia"/>
          <w:sz w:val="24"/>
        </w:rPr>
        <w:t>为使群众掌上办事的体验感更加便捷，结合一体化政务服务平台实际情况，在“码上办事”A</w:t>
      </w:r>
      <w:r>
        <w:rPr>
          <w:sz w:val="24"/>
        </w:rPr>
        <w:t>PP</w:t>
      </w:r>
      <w:r>
        <w:rPr>
          <w:rFonts w:hint="eastAsia"/>
          <w:sz w:val="24"/>
        </w:rPr>
        <w:t>办事页面的多个环节新增“我的关注”的功能，群众可从事项查询、办事指南、在线填报以及办件过程查询、办件结果查询等多个入口进行关注，同时可随时随地在“码上办事”A</w:t>
      </w:r>
      <w:r>
        <w:rPr>
          <w:sz w:val="24"/>
        </w:rPr>
        <w:t>PP的个人中心里查看关注的信息</w:t>
      </w:r>
      <w:r>
        <w:rPr>
          <w:rFonts w:hint="eastAsia"/>
          <w:sz w:val="24"/>
        </w:rPr>
        <w:t>，同时基于该用户关注的信息，对用户进行画像分析，以便后续为公众推送更加优质、精准的服务。</w:t>
      </w:r>
    </w:p>
    <w:p>
      <w:pPr>
        <w:pStyle w:val="10"/>
        <w:tabs>
          <w:tab w:val="left" w:pos="560"/>
        </w:tabs>
        <w:spacing w:line="360" w:lineRule="auto"/>
        <w:ind w:firstLine="482"/>
        <w:rPr>
          <w:szCs w:val="24"/>
        </w:rPr>
      </w:pPr>
      <w:r>
        <w:rPr>
          <w:rFonts w:hint="eastAsia"/>
          <w:szCs w:val="24"/>
        </w:rPr>
        <w:t>7）个人办事</w:t>
      </w:r>
    </w:p>
    <w:p>
      <w:pPr>
        <w:spacing w:line="360" w:lineRule="auto"/>
        <w:ind w:firstLine="482" w:firstLineChars="200"/>
        <w:rPr>
          <w:b/>
          <w:bCs/>
          <w:sz w:val="24"/>
        </w:rPr>
      </w:pPr>
      <w:r>
        <w:rPr>
          <w:rFonts w:hint="eastAsia"/>
          <w:b/>
          <w:bCs/>
          <w:sz w:val="24"/>
        </w:rPr>
        <w:t>“专区服务”场景应用</w:t>
      </w:r>
    </w:p>
    <w:p>
      <w:pPr>
        <w:spacing w:line="360" w:lineRule="auto"/>
        <w:ind w:firstLine="480" w:firstLineChars="200"/>
        <w:rPr>
          <w:sz w:val="24"/>
        </w:rPr>
      </w:pPr>
      <w:r>
        <w:rPr>
          <w:rFonts w:hint="eastAsia"/>
          <w:sz w:val="24"/>
        </w:rPr>
        <w:t>专区服务通过选取当下民众最为期盼以及影响力较为深远的社会热点问题，从民众需求角度出发，梳理政务服务和便民服务内容，为民众提供指导性建议与操作，提升用户体验。专区服务包括不限于以下内容：</w:t>
      </w:r>
    </w:p>
    <w:p>
      <w:pPr>
        <w:spacing w:line="360" w:lineRule="auto"/>
        <w:ind w:firstLine="480" w:firstLineChars="200"/>
        <w:rPr>
          <w:sz w:val="24"/>
        </w:rPr>
      </w:pPr>
      <w:r>
        <w:rPr>
          <w:rFonts w:hint="eastAsia" w:ascii="宋体" w:hAnsi="宋体" w:cs="宋体"/>
          <w:sz w:val="24"/>
        </w:rPr>
        <w:t>①</w:t>
      </w:r>
      <w:r>
        <w:rPr>
          <w:rFonts w:hint="eastAsia"/>
          <w:sz w:val="24"/>
        </w:rPr>
        <w:t>农业农村专区</w:t>
      </w:r>
      <w:r>
        <w:rPr>
          <w:rFonts w:hint="eastAsia" w:ascii="宋体" w:hAnsi="宋体" w:cs="宋体"/>
          <w:sz w:val="24"/>
        </w:rPr>
        <w:t>②</w:t>
      </w:r>
      <w:r>
        <w:rPr>
          <w:rFonts w:hint="eastAsia"/>
          <w:sz w:val="24"/>
        </w:rPr>
        <w:t>少数民族专区</w:t>
      </w:r>
      <w:r>
        <w:rPr>
          <w:rFonts w:hint="eastAsia" w:ascii="宋体" w:hAnsi="宋体" w:cs="宋体"/>
          <w:sz w:val="24"/>
        </w:rPr>
        <w:t>③</w:t>
      </w:r>
      <w:r>
        <w:rPr>
          <w:rFonts w:hint="eastAsia"/>
          <w:sz w:val="24"/>
        </w:rPr>
        <w:t>海外归国人员专区</w:t>
      </w:r>
      <w:r>
        <w:rPr>
          <w:rFonts w:hint="eastAsia" w:ascii="宋体" w:hAnsi="宋体" w:cs="宋体"/>
          <w:sz w:val="24"/>
        </w:rPr>
        <w:t>④</w:t>
      </w:r>
      <w:r>
        <w:rPr>
          <w:rFonts w:hint="eastAsia"/>
          <w:sz w:val="24"/>
        </w:rPr>
        <w:t>自贸港人才专区</w:t>
      </w:r>
    </w:p>
    <w:p>
      <w:pPr>
        <w:spacing w:line="360" w:lineRule="auto"/>
        <w:ind w:firstLine="482" w:firstLineChars="200"/>
        <w:rPr>
          <w:b/>
          <w:bCs/>
          <w:sz w:val="24"/>
        </w:rPr>
      </w:pPr>
      <w:r>
        <w:rPr>
          <w:rFonts w:hint="eastAsia"/>
          <w:b/>
          <w:bCs/>
          <w:sz w:val="24"/>
        </w:rPr>
        <w:t>“主题服务”场景应用</w:t>
      </w:r>
    </w:p>
    <w:p>
      <w:pPr>
        <w:spacing w:line="360" w:lineRule="auto"/>
        <w:ind w:firstLine="480" w:firstLineChars="200"/>
        <w:rPr>
          <w:sz w:val="24"/>
        </w:rPr>
      </w:pPr>
      <w:r>
        <w:rPr>
          <w:rFonts w:hint="eastAsia"/>
          <w:sz w:val="24"/>
        </w:rPr>
        <w:t>在政务服务方面，越来越多的公众开始不满足于仅仅使用网络来查询公共信息和政务资料、办理简单的公共业务，而是要求政府能够进一步提升信息化服务水平，强化在线服务能力，以“互联网+”的思维为公众提供便捷的“一站式”政务服务。“专题服务”即通过梳理民众高频常用的服务事项，融合办事服务与便民服务，提供一站式掌上服务，为用户提供便捷服务。专题服务包括不限于以下内容：</w:t>
      </w:r>
    </w:p>
    <w:p>
      <w:pPr>
        <w:spacing w:line="360" w:lineRule="auto"/>
        <w:ind w:firstLine="482" w:firstLineChars="200"/>
        <w:rPr>
          <w:b/>
          <w:bCs/>
          <w:sz w:val="24"/>
        </w:rPr>
      </w:pPr>
      <w:r>
        <w:rPr>
          <w:rFonts w:hint="eastAsia"/>
          <w:b/>
          <w:bCs/>
          <w:sz w:val="24"/>
        </w:rPr>
        <w:t>个人专题服务：</w:t>
      </w:r>
    </w:p>
    <w:p>
      <w:pPr>
        <w:numPr>
          <w:ilvl w:val="0"/>
          <w:numId w:val="52"/>
        </w:numPr>
        <w:spacing w:line="360" w:lineRule="auto"/>
        <w:rPr>
          <w:sz w:val="24"/>
        </w:rPr>
      </w:pPr>
      <w:r>
        <w:rPr>
          <w:rFonts w:hint="eastAsia"/>
          <w:sz w:val="24"/>
        </w:rPr>
        <w:t>教育考试：提供成绩查询、院校查询、学历学籍查询、各类执业资格考试事项办理、考试指南等；</w:t>
      </w:r>
    </w:p>
    <w:p>
      <w:pPr>
        <w:numPr>
          <w:ilvl w:val="0"/>
          <w:numId w:val="52"/>
        </w:numPr>
        <w:spacing w:line="360" w:lineRule="auto"/>
        <w:rPr>
          <w:sz w:val="24"/>
        </w:rPr>
      </w:pPr>
      <w:r>
        <w:rPr>
          <w:rFonts w:hint="eastAsia"/>
          <w:sz w:val="24"/>
        </w:rPr>
        <w:t>就业创业：提供毕业生服务、个人就业失业多维度信息查询、创业就业咨询服务；</w:t>
      </w:r>
    </w:p>
    <w:p>
      <w:pPr>
        <w:numPr>
          <w:ilvl w:val="0"/>
          <w:numId w:val="52"/>
        </w:numPr>
        <w:spacing w:line="360" w:lineRule="auto"/>
        <w:rPr>
          <w:sz w:val="24"/>
        </w:rPr>
      </w:pPr>
      <w:r>
        <w:rPr>
          <w:rFonts w:hint="eastAsia"/>
          <w:sz w:val="24"/>
        </w:rPr>
        <w:t>法律服务：提供地图服务、普法学法服务、律师执业事项办理、律师律所、法律援助等查询；</w:t>
      </w:r>
    </w:p>
    <w:p>
      <w:pPr>
        <w:numPr>
          <w:ilvl w:val="0"/>
          <w:numId w:val="52"/>
        </w:numPr>
        <w:spacing w:line="360" w:lineRule="auto"/>
        <w:rPr>
          <w:sz w:val="24"/>
        </w:rPr>
      </w:pPr>
      <w:r>
        <w:rPr>
          <w:rFonts w:hint="eastAsia"/>
          <w:sz w:val="24"/>
        </w:rPr>
        <w:t>执业资格：提供各类执业资格证书考试事项办理查询、执业资格服务等；</w:t>
      </w:r>
    </w:p>
    <w:p>
      <w:pPr>
        <w:numPr>
          <w:ilvl w:val="0"/>
          <w:numId w:val="52"/>
        </w:numPr>
        <w:spacing w:line="360" w:lineRule="auto"/>
        <w:rPr>
          <w:sz w:val="24"/>
        </w:rPr>
      </w:pPr>
      <w:r>
        <w:rPr>
          <w:rFonts w:hint="eastAsia"/>
          <w:sz w:val="24"/>
        </w:rPr>
        <w:t>住房保障：提供个人住房相关的在线查询、政策服务、事项服务等；</w:t>
      </w:r>
    </w:p>
    <w:p>
      <w:pPr>
        <w:spacing w:line="360" w:lineRule="auto"/>
        <w:ind w:firstLine="482" w:firstLineChars="200"/>
        <w:rPr>
          <w:b/>
          <w:bCs/>
          <w:sz w:val="24"/>
        </w:rPr>
      </w:pPr>
      <w:r>
        <w:rPr>
          <w:rFonts w:hint="eastAsia"/>
          <w:b/>
          <w:bCs/>
          <w:sz w:val="24"/>
        </w:rPr>
        <w:t>“群体服务”场景应用</w:t>
      </w:r>
    </w:p>
    <w:p>
      <w:pPr>
        <w:spacing w:line="360" w:lineRule="auto"/>
        <w:ind w:firstLine="480" w:firstLineChars="200"/>
        <w:rPr>
          <w:sz w:val="24"/>
        </w:rPr>
      </w:pPr>
      <w:r>
        <w:rPr>
          <w:rFonts w:hint="eastAsia"/>
          <w:sz w:val="24"/>
        </w:rPr>
        <w:t>根据不同的职业背景、年龄群体、心理特点等可以将人群划归为不同的群体，针对不同群体，通过详尽的需求分析，可以为不同的群体提供个性化服务。群体服务包括不限于以下内容：</w:t>
      </w:r>
    </w:p>
    <w:p>
      <w:pPr>
        <w:spacing w:line="360" w:lineRule="auto"/>
        <w:ind w:firstLine="480" w:firstLineChars="200"/>
        <w:rPr>
          <w:sz w:val="24"/>
        </w:rPr>
      </w:pPr>
      <w:r>
        <w:rPr>
          <w:rFonts w:hint="eastAsia" w:ascii="宋体" w:hAnsi="宋体" w:cs="宋体"/>
          <w:sz w:val="24"/>
        </w:rPr>
        <w:t>①</w:t>
      </w:r>
      <w:r>
        <w:rPr>
          <w:rFonts w:hint="eastAsia"/>
          <w:sz w:val="24"/>
        </w:rPr>
        <w:t>志愿者服务</w:t>
      </w:r>
    </w:p>
    <w:p>
      <w:pPr>
        <w:spacing w:line="360" w:lineRule="auto"/>
        <w:ind w:firstLine="480" w:firstLineChars="200"/>
        <w:rPr>
          <w:sz w:val="24"/>
        </w:rPr>
      </w:pPr>
      <w:r>
        <w:rPr>
          <w:rFonts w:hint="eastAsia" w:ascii="宋体" w:hAnsi="宋体" w:cs="宋体"/>
          <w:sz w:val="24"/>
        </w:rPr>
        <w:t>②</w:t>
      </w:r>
      <w:r>
        <w:rPr>
          <w:rFonts w:hint="eastAsia"/>
          <w:sz w:val="24"/>
        </w:rPr>
        <w:t>残疾人服务</w:t>
      </w:r>
    </w:p>
    <w:p>
      <w:pPr>
        <w:spacing w:line="360" w:lineRule="auto"/>
        <w:ind w:firstLine="482" w:firstLineChars="200"/>
        <w:rPr>
          <w:b/>
          <w:bCs/>
          <w:sz w:val="24"/>
        </w:rPr>
      </w:pPr>
      <w:r>
        <w:rPr>
          <w:rFonts w:hint="eastAsia"/>
          <w:b/>
          <w:bCs/>
          <w:sz w:val="24"/>
        </w:rPr>
        <w:t>个人一件事场景应用</w:t>
      </w:r>
    </w:p>
    <w:p>
      <w:pPr>
        <w:pStyle w:val="2"/>
        <w:rPr>
          <w:szCs w:val="24"/>
        </w:rPr>
      </w:pPr>
      <w:r>
        <w:rPr>
          <w:rFonts w:hint="eastAsia"/>
          <w:szCs w:val="24"/>
        </w:rPr>
        <w:t>按照“高频优先、热点优先”的原则，以老百姓“人生大小事”为服务核心，对接税务、人社、教育、公安、卫健、民政等热点事项，为全省人民提供覆盖“生老病死、衣食住行、安居乐业”全生命周期的移动端便民服务。</w:t>
      </w:r>
    </w:p>
    <w:p>
      <w:pPr>
        <w:pStyle w:val="10"/>
        <w:tabs>
          <w:tab w:val="left" w:pos="560"/>
        </w:tabs>
        <w:spacing w:line="360" w:lineRule="auto"/>
        <w:ind w:firstLine="482"/>
        <w:rPr>
          <w:szCs w:val="24"/>
        </w:rPr>
      </w:pPr>
      <w:r>
        <w:rPr>
          <w:rFonts w:hint="eastAsia"/>
          <w:szCs w:val="24"/>
        </w:rPr>
        <w:t>8）法人办事</w:t>
      </w:r>
    </w:p>
    <w:p>
      <w:pPr>
        <w:spacing w:line="360" w:lineRule="auto"/>
        <w:ind w:firstLine="482" w:firstLineChars="200"/>
        <w:rPr>
          <w:b/>
          <w:bCs/>
          <w:sz w:val="24"/>
        </w:rPr>
      </w:pPr>
      <w:r>
        <w:rPr>
          <w:rFonts w:hint="eastAsia"/>
          <w:b/>
          <w:bCs/>
          <w:sz w:val="24"/>
        </w:rPr>
        <w:t>“特色专区服务”场景应用</w:t>
      </w:r>
    </w:p>
    <w:p>
      <w:pPr>
        <w:spacing w:line="360" w:lineRule="auto"/>
        <w:ind w:firstLine="480" w:firstLineChars="200"/>
        <w:rPr>
          <w:sz w:val="24"/>
        </w:rPr>
      </w:pPr>
      <w:r>
        <w:rPr>
          <w:rFonts w:hint="eastAsia"/>
          <w:sz w:val="24"/>
        </w:rPr>
        <w:t>专区服务通过选取当下民众最为期盼以及影响力较为深远的社会热点问题，从民众需求角度出发，梳理政务服务和便民服务内容，为民众提供指导性建议与操作，提升用户体验。专区服务包括不限于以下内容：</w:t>
      </w:r>
    </w:p>
    <w:p>
      <w:pPr>
        <w:spacing w:line="360" w:lineRule="auto"/>
        <w:rPr>
          <w:sz w:val="24"/>
        </w:rPr>
      </w:pPr>
      <w:r>
        <w:rPr>
          <w:rFonts w:hint="eastAsia" w:ascii="宋体" w:hAnsi="宋体" w:cs="宋体"/>
          <w:sz w:val="24"/>
        </w:rPr>
        <w:t>①</w:t>
      </w:r>
      <w:r>
        <w:rPr>
          <w:rFonts w:hint="eastAsia"/>
          <w:sz w:val="24"/>
        </w:rPr>
        <w:t>园区服务专区</w:t>
      </w:r>
      <w:r>
        <w:rPr>
          <w:rFonts w:hint="eastAsia" w:ascii="宋体" w:hAnsi="宋体" w:cs="宋体"/>
          <w:sz w:val="24"/>
        </w:rPr>
        <w:t>②</w:t>
      </w:r>
      <w:r>
        <w:rPr>
          <w:rFonts w:hint="eastAsia"/>
          <w:sz w:val="24"/>
        </w:rPr>
        <w:t>中介服务超市专区</w:t>
      </w:r>
      <w:r>
        <w:rPr>
          <w:rFonts w:hint="eastAsia" w:ascii="宋体" w:hAnsi="宋体" w:cs="宋体"/>
          <w:sz w:val="24"/>
        </w:rPr>
        <w:t>③</w:t>
      </w:r>
      <w:r>
        <w:rPr>
          <w:rFonts w:hint="eastAsia"/>
          <w:sz w:val="24"/>
        </w:rPr>
        <w:t>企业码服务</w:t>
      </w:r>
      <w:r>
        <w:rPr>
          <w:rFonts w:hint="eastAsia" w:ascii="宋体" w:hAnsi="宋体" w:cs="宋体"/>
          <w:sz w:val="24"/>
        </w:rPr>
        <w:t>④</w:t>
      </w:r>
      <w:r>
        <w:rPr>
          <w:rFonts w:hint="eastAsia"/>
          <w:sz w:val="24"/>
        </w:rPr>
        <w:t>自贸港政策专区</w:t>
      </w:r>
      <w:r>
        <w:rPr>
          <w:rFonts w:hint="eastAsia" w:ascii="宋体" w:hAnsi="宋体" w:cs="宋体"/>
          <w:sz w:val="24"/>
        </w:rPr>
        <w:t>⑤</w:t>
      </w:r>
      <w:r>
        <w:rPr>
          <w:rFonts w:hint="eastAsia"/>
          <w:sz w:val="24"/>
        </w:rPr>
        <w:t>小微企业和个体工商户专区</w:t>
      </w:r>
    </w:p>
    <w:p>
      <w:pPr>
        <w:spacing w:line="360" w:lineRule="auto"/>
        <w:ind w:firstLine="482" w:firstLineChars="200"/>
        <w:rPr>
          <w:b/>
          <w:bCs/>
          <w:sz w:val="24"/>
        </w:rPr>
      </w:pPr>
      <w:r>
        <w:rPr>
          <w:rFonts w:hint="eastAsia"/>
          <w:b/>
          <w:bCs/>
          <w:sz w:val="24"/>
        </w:rPr>
        <w:t>“群体服务”场景应用</w:t>
      </w:r>
    </w:p>
    <w:p>
      <w:pPr>
        <w:spacing w:line="360" w:lineRule="auto"/>
        <w:ind w:firstLine="480" w:firstLineChars="200"/>
      </w:pPr>
      <w:r>
        <w:rPr>
          <w:rFonts w:hint="eastAsia"/>
          <w:sz w:val="24"/>
        </w:rPr>
        <w:t>根据不同的公司性质、经营范围、经营类型等可以将企业划归为不同的公司群体，针对不同企业群体，通过详尽的需求分析，可以为不同的企业群体提供个性化服务。群体服务包括不限于以下内容：</w:t>
      </w:r>
      <w:r>
        <w:rPr>
          <w:rFonts w:hint="eastAsia" w:ascii="宋体" w:hAnsi="宋体" w:cs="宋体"/>
          <w:sz w:val="24"/>
        </w:rPr>
        <w:t>①</w:t>
      </w:r>
      <w:r>
        <w:rPr>
          <w:rFonts w:hint="eastAsia"/>
          <w:sz w:val="24"/>
        </w:rPr>
        <w:t>律所服务</w:t>
      </w:r>
      <w:r>
        <w:rPr>
          <w:rFonts w:hint="eastAsia" w:ascii="宋体" w:hAnsi="宋体" w:cs="宋体"/>
          <w:sz w:val="24"/>
        </w:rPr>
        <w:t>②</w:t>
      </w:r>
      <w:r>
        <w:rPr>
          <w:rFonts w:hint="eastAsia"/>
          <w:sz w:val="24"/>
        </w:rPr>
        <w:t>旅游公司服务</w:t>
      </w:r>
      <w:r>
        <w:rPr>
          <w:rFonts w:hint="eastAsia" w:ascii="宋体" w:hAnsi="宋体" w:cs="宋体"/>
        </w:rPr>
        <w:t>③</w:t>
      </w:r>
      <w:r>
        <w:rPr>
          <w:rFonts w:hint="eastAsia"/>
        </w:rPr>
        <w:t>社会团体组织服务。</w:t>
      </w:r>
    </w:p>
    <w:p>
      <w:pPr>
        <w:spacing w:line="360" w:lineRule="auto"/>
        <w:ind w:firstLine="482" w:firstLineChars="200"/>
        <w:rPr>
          <w:b/>
          <w:bCs/>
          <w:sz w:val="24"/>
        </w:rPr>
      </w:pPr>
      <w:r>
        <w:rPr>
          <w:rFonts w:hint="eastAsia"/>
          <w:b/>
          <w:bCs/>
          <w:sz w:val="24"/>
        </w:rPr>
        <w:t>主题服务场景应用</w:t>
      </w:r>
    </w:p>
    <w:p>
      <w:pPr>
        <w:spacing w:line="360" w:lineRule="auto"/>
        <w:ind w:firstLine="480" w:firstLineChars="200"/>
        <w:rPr>
          <w:sz w:val="24"/>
        </w:rPr>
      </w:pPr>
      <w:r>
        <w:rPr>
          <w:rFonts w:hint="eastAsia"/>
          <w:sz w:val="24"/>
        </w:rPr>
        <w:t>针对企业从开办、成长发展、企业日常到企业变更注销等“全生命周期”的各个环节，不断优化营商环境，实现事项简化到底、一揽子办理，将围绕企业“全生命周期”打造企业主题服务，营造最优营商环境。</w:t>
      </w:r>
    </w:p>
    <w:p>
      <w:pPr>
        <w:spacing w:line="360" w:lineRule="auto"/>
        <w:ind w:firstLine="482" w:firstLineChars="200"/>
        <w:rPr>
          <w:b/>
          <w:bCs/>
          <w:sz w:val="24"/>
        </w:rPr>
      </w:pPr>
      <w:r>
        <w:rPr>
          <w:rFonts w:hint="eastAsia"/>
          <w:b/>
          <w:bCs/>
          <w:sz w:val="24"/>
        </w:rPr>
        <w:t>企业一件事场景应用</w:t>
      </w:r>
    </w:p>
    <w:p>
      <w:pPr>
        <w:spacing w:line="360" w:lineRule="auto"/>
        <w:ind w:firstLine="480" w:firstLineChars="200"/>
        <w:rPr>
          <w:sz w:val="24"/>
        </w:rPr>
      </w:pPr>
      <w:r>
        <w:rPr>
          <w:rFonts w:hint="eastAsia"/>
          <w:sz w:val="24"/>
        </w:rPr>
        <w:t>推广企业设立等“一网通办”服务模式，以办成“一件事”为目的，大力推进关联事项整合服务，打造多个涉及两个以上部门、两个以上事项合并成“一件事”的应用服务场景，比如：我要开餐馆、养老院、旅行社等民生小事，让群众能在移动端查看一件事导办指南，逐步实现掌上办。</w:t>
      </w:r>
    </w:p>
    <w:p>
      <w:pPr>
        <w:pStyle w:val="7"/>
        <w:keepLines w:val="0"/>
        <w:tabs>
          <w:tab w:val="left" w:pos="425"/>
          <w:tab w:val="left" w:pos="560"/>
        </w:tabs>
        <w:spacing w:before="240" w:after="156"/>
        <w:ind w:firstLine="482" w:firstLineChars="200"/>
        <w:rPr>
          <w:szCs w:val="24"/>
        </w:rPr>
      </w:pPr>
      <w:bookmarkStart w:id="289" w:name="_Toc7826"/>
      <w:bookmarkStart w:id="290" w:name="_Toc45526475"/>
      <w:r>
        <w:rPr>
          <w:rFonts w:hint="eastAsia"/>
          <w:szCs w:val="24"/>
        </w:rPr>
        <w:t>3.1.5.3信用领域</w:t>
      </w:r>
      <w:bookmarkEnd w:id="289"/>
      <w:bookmarkEnd w:id="290"/>
      <w:r>
        <w:rPr>
          <w:rFonts w:hint="eastAsia"/>
          <w:szCs w:val="24"/>
        </w:rPr>
        <w:t>需求</w:t>
      </w:r>
    </w:p>
    <w:p>
      <w:pPr>
        <w:spacing w:line="360" w:lineRule="auto"/>
        <w:ind w:firstLine="480" w:firstLineChars="200"/>
        <w:rPr>
          <w:sz w:val="24"/>
        </w:rPr>
      </w:pPr>
      <w:r>
        <w:rPr>
          <w:rFonts w:hint="eastAsia"/>
          <w:sz w:val="24"/>
        </w:rPr>
        <w:t>为贯彻落实《国务院办公厅关于加强个人诚信体系建设的指导意见》（国办发〔2016〕98号）精神，加快推进海南省个人诚信体系建设《海南省社会信用体系建设“十三五”规划》印发，规划指出要全面落实国务院关于加快建设社会信用体系的规划部署，围绕国际旅游岛建设和海南省国民经济社会发展“十三五”规划纲要，结合旅游、农业、医疗、金融等12个重点产业，全面推进诚信建设，实现信用赋能，进一步优化营商环境，助力企业发展、服务企业融资和便企惠民等。</w:t>
      </w:r>
    </w:p>
    <w:p>
      <w:pPr>
        <w:spacing w:line="360" w:lineRule="auto"/>
        <w:ind w:firstLine="480" w:firstLineChars="200"/>
        <w:rPr>
          <w:sz w:val="24"/>
        </w:rPr>
      </w:pPr>
      <w:r>
        <w:rPr>
          <w:rFonts w:hint="eastAsia"/>
          <w:sz w:val="24"/>
        </w:rPr>
        <w:t>个人信用体系是社会信用体系建设不可分割的一部分，加强社会成员诚信意识是社会信用体系建设的基础，个人信用体系建设备受重视。本项目将充分与金椰分项目对接，在本平台展现个人信用积分。</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（1）“我的信用”场景应用</w:t>
      </w:r>
    </w:p>
    <w:p>
      <w:pPr>
        <w:spacing w:line="360" w:lineRule="auto"/>
        <w:ind w:firstLine="480" w:firstLineChars="200"/>
        <w:rPr>
          <w:sz w:val="24"/>
        </w:rPr>
      </w:pPr>
      <w:r>
        <w:rPr>
          <w:rFonts w:hint="eastAsia"/>
          <w:sz w:val="24"/>
        </w:rPr>
        <w:t>企业法定代表人在“一码通”平台绑定企业信息后，经过实名验证后，用户可看到企业法定代表人名下企业组织信息，在“一码通”平台与自贸试验区信用信息共享平台对接的基础上，企业法定代表人可在“一码通”平台查看企业信用信息。</w:t>
      </w:r>
    </w:p>
    <w:p>
      <w:pPr>
        <w:pStyle w:val="9"/>
        <w:widowControl/>
        <w:numPr>
          <w:ilvl w:val="5"/>
          <w:numId w:val="0"/>
        </w:numPr>
        <w:tabs>
          <w:tab w:val="left" w:pos="425"/>
          <w:tab w:val="left" w:pos="560"/>
        </w:tabs>
        <w:spacing w:after="156" w:line="360" w:lineRule="auto"/>
        <w:ind w:firstLine="482" w:firstLineChars="200"/>
        <w:rPr>
          <w:b/>
          <w:bCs/>
          <w:szCs w:val="24"/>
        </w:rPr>
      </w:pPr>
      <w:r>
        <w:rPr>
          <w:rFonts w:hint="eastAsia"/>
          <w:b/>
          <w:bCs/>
          <w:szCs w:val="24"/>
        </w:rPr>
        <w:t>（2）“信用查询”场景应用</w:t>
      </w:r>
    </w:p>
    <w:p>
      <w:pPr>
        <w:spacing w:line="360" w:lineRule="auto"/>
        <w:ind w:firstLine="480" w:firstLineChars="200"/>
        <w:rPr>
          <w:sz w:val="24"/>
        </w:rPr>
      </w:pPr>
      <w:r>
        <w:rPr>
          <w:rFonts w:hint="eastAsia"/>
          <w:sz w:val="24"/>
        </w:rPr>
        <w:t>企业法定代表人在“一码通”平台绑定企业信息后，经过实名验证后，用户可、行政处罚公示信息、欠税信息、严重黑名单信息、诚实守信红名单信息、表彰信息、经营状态、职工人数、企业信用评级等级等。</w:t>
      </w:r>
    </w:p>
    <w:p>
      <w:pPr>
        <w:pStyle w:val="9"/>
        <w:widowControl/>
        <w:numPr>
          <w:ilvl w:val="5"/>
          <w:numId w:val="0"/>
        </w:numPr>
        <w:tabs>
          <w:tab w:val="left" w:pos="425"/>
          <w:tab w:val="left" w:pos="560"/>
        </w:tabs>
        <w:spacing w:after="156" w:line="360" w:lineRule="auto"/>
        <w:ind w:firstLine="482" w:firstLineChars="200"/>
        <w:rPr>
          <w:b/>
          <w:bCs/>
          <w:szCs w:val="24"/>
        </w:rPr>
      </w:pPr>
      <w:r>
        <w:rPr>
          <w:rFonts w:hint="eastAsia"/>
          <w:b/>
          <w:bCs/>
          <w:szCs w:val="24"/>
        </w:rPr>
        <w:t>（3）“信易游”场景应用</w:t>
      </w:r>
    </w:p>
    <w:p>
      <w:pPr>
        <w:spacing w:line="360" w:lineRule="auto"/>
        <w:ind w:firstLine="480" w:firstLineChars="200"/>
        <w:rPr>
          <w:sz w:val="24"/>
        </w:rPr>
      </w:pPr>
      <w:r>
        <w:rPr>
          <w:rFonts w:hint="eastAsia"/>
          <w:sz w:val="24"/>
        </w:rPr>
        <w:t>基于旅游相关企业信用综合评分，结合本场景特色设定相应评分规则，突出参考如旅游联合执法信息，旅游企业投诉申诉信息，旅游企业评价信息，同第三方旅游平台进行合作，结合其相应评价信息，输出官方旅游企业评价报告推送至游客参考。</w:t>
      </w:r>
    </w:p>
    <w:p>
      <w:pPr>
        <w:pStyle w:val="9"/>
        <w:widowControl/>
        <w:numPr>
          <w:ilvl w:val="5"/>
          <w:numId w:val="0"/>
        </w:numPr>
        <w:tabs>
          <w:tab w:val="left" w:pos="425"/>
          <w:tab w:val="left" w:pos="560"/>
        </w:tabs>
        <w:spacing w:after="156" w:line="360" w:lineRule="auto"/>
        <w:ind w:firstLine="482" w:firstLineChars="200"/>
        <w:rPr>
          <w:b/>
          <w:bCs/>
          <w:szCs w:val="24"/>
        </w:rPr>
      </w:pPr>
      <w:r>
        <w:rPr>
          <w:rFonts w:hint="eastAsia"/>
          <w:b/>
          <w:bCs/>
          <w:szCs w:val="24"/>
        </w:rPr>
        <w:t>（4）“信易批”场景应用</w:t>
      </w:r>
    </w:p>
    <w:p>
      <w:pPr>
        <w:spacing w:line="360" w:lineRule="auto"/>
        <w:ind w:firstLine="480" w:firstLineChars="200"/>
        <w:rPr>
          <w:sz w:val="24"/>
        </w:rPr>
      </w:pPr>
      <w:r>
        <w:rPr>
          <w:rFonts w:hint="eastAsia"/>
          <w:sz w:val="24"/>
        </w:rPr>
        <w:t>系统基于企业及个人信用综合评分，同各行政审批系统进行数据融合，对高信用对象实行信用承诺制审批机制，对高信用的企业和个人通过信用承诺替代部分审批材料，实施“容缺受理”的审批功能，先行发放证照。同时对违背承诺主体进行信用扣分，实施联合惩戒。</w:t>
      </w:r>
    </w:p>
    <w:p>
      <w:pPr>
        <w:pStyle w:val="9"/>
        <w:widowControl/>
        <w:numPr>
          <w:ilvl w:val="5"/>
          <w:numId w:val="0"/>
        </w:numPr>
        <w:tabs>
          <w:tab w:val="left" w:pos="425"/>
          <w:tab w:val="left" w:pos="560"/>
        </w:tabs>
        <w:spacing w:after="156" w:line="360" w:lineRule="auto"/>
        <w:ind w:firstLine="482" w:firstLineChars="200"/>
        <w:rPr>
          <w:szCs w:val="24"/>
        </w:rPr>
      </w:pPr>
      <w:r>
        <w:rPr>
          <w:rFonts w:hint="eastAsia"/>
          <w:b/>
          <w:bCs/>
          <w:szCs w:val="24"/>
        </w:rPr>
        <w:t>（5）“信用地图”场景应用</w:t>
      </w:r>
    </w:p>
    <w:p>
      <w:pPr>
        <w:spacing w:line="360" w:lineRule="auto"/>
        <w:ind w:firstLine="480" w:firstLineChars="200"/>
        <w:rPr>
          <w:sz w:val="24"/>
        </w:rPr>
      </w:pPr>
      <w:r>
        <w:rPr>
          <w:rFonts w:hint="eastAsia"/>
          <w:sz w:val="24"/>
        </w:rPr>
        <w:t>企业“信用地图”通过将企业信用数据嵌入地理信息软件，实现了企业信用信息区域化、分类化查询。在“信用地图”上，点击任意一家企业，信用记录、法人、工商登记等信息都一目了然。</w:t>
      </w:r>
    </w:p>
    <w:p>
      <w:pPr>
        <w:pStyle w:val="7"/>
        <w:keepLines w:val="0"/>
        <w:tabs>
          <w:tab w:val="left" w:pos="425"/>
          <w:tab w:val="left" w:pos="560"/>
        </w:tabs>
        <w:spacing w:before="240" w:after="156"/>
        <w:ind w:left="640"/>
        <w:rPr>
          <w:szCs w:val="24"/>
        </w:rPr>
      </w:pPr>
      <w:r>
        <w:rPr>
          <w:rFonts w:hint="eastAsia"/>
          <w:szCs w:val="24"/>
        </w:rPr>
        <w:t>3.1.5.4扶贫场景需求</w:t>
      </w:r>
    </w:p>
    <w:p>
      <w:pPr>
        <w:spacing w:line="360" w:lineRule="auto"/>
        <w:ind w:firstLine="480" w:firstLineChars="200"/>
        <w:rPr>
          <w:sz w:val="24"/>
        </w:rPr>
      </w:pPr>
      <w:r>
        <w:rPr>
          <w:rFonts w:hint="eastAsia"/>
          <w:sz w:val="24"/>
        </w:rPr>
        <w:t>码上扶贫场景通过与海南省精准扶贫大数据系统对接，实现移动端贫困人口信息的查询、认证，为贫困户提供专属服务。通过信息化手段，巩固现有脱贫成果，防止脱贫返贫，为政府工作提供技术支撑。同时依托健康码广大的用户群体，推广消费扶贫、社会扶贫、旅游扶贫，辅助建立长效扶贫机制，助力海南脱贫攻坚工作。</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（1）贫困人口入口</w:t>
      </w:r>
    </w:p>
    <w:p>
      <w:pPr>
        <w:pStyle w:val="10"/>
        <w:tabs>
          <w:tab w:val="left" w:pos="560"/>
        </w:tabs>
        <w:spacing w:line="360" w:lineRule="auto"/>
        <w:ind w:firstLine="482"/>
        <w:rPr>
          <w:szCs w:val="24"/>
        </w:rPr>
      </w:pPr>
      <w:r>
        <w:rPr>
          <w:rFonts w:hint="eastAsia"/>
          <w:szCs w:val="24"/>
        </w:rPr>
        <w:t>1）“码上上报”场景应用</w:t>
      </w:r>
    </w:p>
    <w:p>
      <w:pPr>
        <w:spacing w:line="360" w:lineRule="auto"/>
        <w:ind w:firstLine="480" w:firstLineChars="200"/>
        <w:rPr>
          <w:sz w:val="24"/>
        </w:rPr>
      </w:pPr>
      <w:r>
        <w:rPr>
          <w:rFonts w:hint="eastAsia"/>
          <w:sz w:val="24"/>
        </w:rPr>
        <w:t>贫困人口实现脱贫和贫困县摘帽并不意味扶贫工作结束，而是一个新的起点。不返贫才是真的脱贫，长效工作机制的建立对于脱贫工作跟踪是必然的。一码通平台通过共享贫困的身份识别，为贫困户设置专属信息上报功能模块，当贫困户发生因病需要帮扶、因自然灾害需要帮扶、失业需要帮扶的情况时，贫困户可以通过码上办事平台填写信息上报，一码通平台将数据推送到精准扶贫大数据管理平台，实时掌握贫困户帮扶信息，及时为贫困户提供帮扶，避免贫困户返贫现象发生。同时精准扶贫大数据平台通过对上报信息的分析后提取价值信息，再次同步更新信息反馈至码上办事平台，在信息交互共享反馈下，可实现二维码动态管理更新。</w:t>
      </w:r>
    </w:p>
    <w:p>
      <w:pPr>
        <w:pStyle w:val="10"/>
        <w:tabs>
          <w:tab w:val="left" w:pos="560"/>
        </w:tabs>
        <w:spacing w:line="360" w:lineRule="auto"/>
        <w:ind w:firstLine="482"/>
        <w:rPr>
          <w:szCs w:val="24"/>
        </w:rPr>
      </w:pPr>
      <w:r>
        <w:rPr>
          <w:rFonts w:hint="eastAsia"/>
          <w:szCs w:val="24"/>
        </w:rPr>
        <w:t>2）“码上项目”场景应用</w:t>
      </w:r>
    </w:p>
    <w:p>
      <w:pPr>
        <w:spacing w:line="360" w:lineRule="auto"/>
        <w:ind w:firstLine="480" w:firstLineChars="200"/>
        <w:rPr>
          <w:sz w:val="24"/>
        </w:rPr>
      </w:pPr>
      <w:r>
        <w:rPr>
          <w:rFonts w:hint="eastAsia"/>
          <w:sz w:val="24"/>
        </w:rPr>
        <w:t>当前扶贫方式已由“输血”向“造血”转变，产业项目扶贫是实现“精准扶贫、精准脱贫”的一项行之有效的政策措施。通过与精准扶贫大数据平台的对接，贫困户可在一码通端查看自己参与的项目有哪些，获取到的帮扶有哪些，实时了解相关信息。</w:t>
      </w:r>
    </w:p>
    <w:p>
      <w:pPr>
        <w:pStyle w:val="10"/>
        <w:tabs>
          <w:tab w:val="left" w:pos="560"/>
        </w:tabs>
        <w:spacing w:line="360" w:lineRule="auto"/>
        <w:ind w:firstLine="482"/>
        <w:rPr>
          <w:szCs w:val="24"/>
        </w:rPr>
      </w:pPr>
      <w:r>
        <w:rPr>
          <w:rFonts w:hint="eastAsia"/>
          <w:szCs w:val="24"/>
        </w:rPr>
        <w:t>3)“码上政策”场景应用</w:t>
      </w:r>
    </w:p>
    <w:p>
      <w:pPr>
        <w:spacing w:line="360" w:lineRule="auto"/>
        <w:ind w:firstLine="480" w:firstLineChars="200"/>
        <w:rPr>
          <w:sz w:val="24"/>
        </w:rPr>
      </w:pPr>
      <w:r>
        <w:rPr>
          <w:rFonts w:hint="eastAsia"/>
          <w:sz w:val="24"/>
        </w:rPr>
        <w:t>扶贫政策是国家、省市县以及相关机构针对贫困地区及贫困人群制定的优惠政策，扶贫政策涵盖贫困人口医疗、教育、产业帮扶、就业帮扶等多种类型。2</w:t>
      </w:r>
      <w:r>
        <w:rPr>
          <w:sz w:val="24"/>
        </w:rPr>
        <w:t>020</w:t>
      </w:r>
      <w:r>
        <w:rPr>
          <w:rFonts w:hint="eastAsia"/>
          <w:sz w:val="24"/>
        </w:rPr>
        <w:t>年是脱贫攻坚决胜之年，必须要必须确保党和政府的各项扶贫政策真正落地落细，确保贫困群众的应得利益得到有力维护。码上政策将对海南省扶贫办及各行业厅局提供的政策文件等进行归类，向贫困人口推送相关政策。用户在一码通移动端即可查询自己能够享受的福利政策，如危房改造政策、医疗优惠政策、产业帮扶政策等。</w:t>
      </w:r>
    </w:p>
    <w:p>
      <w:pPr>
        <w:pStyle w:val="10"/>
        <w:tabs>
          <w:tab w:val="left" w:pos="560"/>
        </w:tabs>
        <w:spacing w:line="360" w:lineRule="auto"/>
        <w:ind w:firstLine="482"/>
        <w:rPr>
          <w:szCs w:val="24"/>
        </w:rPr>
      </w:pPr>
      <w:r>
        <w:rPr>
          <w:rFonts w:hint="eastAsia"/>
          <w:szCs w:val="24"/>
        </w:rPr>
        <w:t>4)“码上查询”场景应用</w:t>
      </w:r>
    </w:p>
    <w:p>
      <w:pPr>
        <w:spacing w:line="360" w:lineRule="auto"/>
        <w:ind w:firstLine="480" w:firstLineChars="200"/>
        <w:rPr>
          <w:sz w:val="24"/>
        </w:rPr>
      </w:pPr>
      <w:r>
        <w:rPr>
          <w:rFonts w:hint="eastAsia"/>
          <w:sz w:val="24"/>
        </w:rPr>
        <w:t>一码通个人用户信息已经过实人身份认证，再此基础上通过与海南精准扶贫大数据平台的对接可实现移动端贫困人口的信息查询。贫困人口登录APP后，便可查询看到个人贫困人口编号、年龄、性别、民族、劳动力情况、健康情况、是否为在校生等以及个人所属的贫困户信息，包括贫困户编号、户主信息、致贫原因等。</w:t>
      </w:r>
    </w:p>
    <w:p>
      <w:pPr>
        <w:pStyle w:val="10"/>
        <w:tabs>
          <w:tab w:val="left" w:pos="560"/>
        </w:tabs>
        <w:spacing w:line="360" w:lineRule="auto"/>
        <w:ind w:firstLine="482"/>
        <w:rPr>
          <w:szCs w:val="24"/>
        </w:rPr>
      </w:pPr>
      <w:r>
        <w:rPr>
          <w:rFonts w:hint="eastAsia"/>
          <w:szCs w:val="24"/>
        </w:rPr>
        <w:t>5)知识大讲堂</w:t>
      </w:r>
    </w:p>
    <w:p>
      <w:pPr>
        <w:pStyle w:val="2"/>
        <w:rPr>
          <w:szCs w:val="24"/>
        </w:rPr>
      </w:pPr>
      <w:r>
        <w:rPr>
          <w:rFonts w:hint="eastAsia"/>
          <w:szCs w:val="24"/>
        </w:rPr>
        <w:t>知识大讲堂可以聚焦脱贫攻坚面对各种疑难杂症“对症下药”，敢啃硬骨头，攻坚拔寨，精准对靶，有的放矢，理清思路知标准，紧紧围绕国家扶贫政策，针对不同的贫困人员提供对应的技能讲堂，助力打赢脱贫最后的攻坚战。</w:t>
      </w:r>
    </w:p>
    <w:p>
      <w:pPr>
        <w:pStyle w:val="10"/>
        <w:tabs>
          <w:tab w:val="left" w:pos="560"/>
        </w:tabs>
        <w:spacing w:line="360" w:lineRule="auto"/>
        <w:ind w:firstLine="482"/>
        <w:rPr>
          <w:szCs w:val="24"/>
        </w:rPr>
      </w:pPr>
      <w:r>
        <w:rPr>
          <w:rFonts w:hint="eastAsia"/>
          <w:szCs w:val="24"/>
        </w:rPr>
        <w:t>6)综合服务</w:t>
      </w:r>
    </w:p>
    <w:p>
      <w:pPr>
        <w:spacing w:line="360" w:lineRule="auto"/>
        <w:ind w:firstLine="480" w:firstLineChars="200"/>
        <w:rPr>
          <w:sz w:val="24"/>
        </w:rPr>
      </w:pPr>
      <w:r>
        <w:rPr>
          <w:rFonts w:hint="eastAsia"/>
          <w:sz w:val="24"/>
        </w:rPr>
        <w:t>该场景支持贫困人员根据自己的诉求进行多维度多场景、多角色的组合筛选查询、精准定位贫困人员诉求，主要包括就业服务、法律服务、贷款服务等专题服务，就业服务包括就业岗位信息、就业技能培训知识；法律服务包括法律援助申请、法律咨询等；贷款服务包括贷款优惠信息、贷款产品信息等。</w:t>
      </w:r>
    </w:p>
    <w:p>
      <w:pPr>
        <w:pStyle w:val="10"/>
        <w:tabs>
          <w:tab w:val="left" w:pos="560"/>
        </w:tabs>
        <w:spacing w:line="360" w:lineRule="auto"/>
        <w:ind w:firstLine="482"/>
        <w:rPr>
          <w:szCs w:val="24"/>
        </w:rPr>
      </w:pPr>
      <w:r>
        <w:rPr>
          <w:rFonts w:hint="eastAsia"/>
          <w:szCs w:val="24"/>
        </w:rPr>
        <w:t>7)“码上认证”场景应用</w:t>
      </w:r>
    </w:p>
    <w:p>
      <w:pPr>
        <w:spacing w:line="360" w:lineRule="auto"/>
        <w:ind w:firstLine="480" w:firstLineChars="200"/>
        <w:rPr>
          <w:sz w:val="24"/>
        </w:rPr>
      </w:pPr>
      <w:r>
        <w:rPr>
          <w:rFonts w:hint="eastAsia"/>
          <w:sz w:val="24"/>
        </w:rPr>
        <w:t>码上认证为解决贫困人群的鉴别和证明问题，依托海南精准扶贫大数据平台汇集贫困户和贫困人口基础信息，通过信息共享支撑贫困人口实时在线认证。实际应用中可以通过扫描用户二维码，查看二维码信息，即可完成贫困户身份核验。例如：贫困户办理住院手续时，可出示二维码，由医院扫码确认是否为贫困户，替代传统户口本加扶贫手册的形式；学生在申请助学金的时候用二维码代替出具的纸质证明文件等。依托海南家庭健康码的已有设计基础，可覆盖无智能手机的老人、学生等群体。</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（2）非贫困人口入口</w:t>
      </w:r>
    </w:p>
    <w:p>
      <w:pPr>
        <w:pStyle w:val="10"/>
        <w:tabs>
          <w:tab w:val="left" w:pos="560"/>
        </w:tabs>
        <w:spacing w:line="360" w:lineRule="auto"/>
        <w:ind w:firstLine="482"/>
        <w:rPr>
          <w:szCs w:val="24"/>
        </w:rPr>
      </w:pPr>
      <w:r>
        <w:rPr>
          <w:rFonts w:hint="eastAsia"/>
          <w:szCs w:val="24"/>
        </w:rPr>
        <w:t>1）扶贫旅游地图</w:t>
      </w:r>
    </w:p>
    <w:p>
      <w:pPr>
        <w:spacing w:line="360" w:lineRule="auto"/>
        <w:ind w:firstLine="480" w:firstLineChars="200"/>
        <w:rPr>
          <w:sz w:val="24"/>
        </w:rPr>
      </w:pPr>
      <w:r>
        <w:rPr>
          <w:rFonts w:hint="eastAsia"/>
          <w:sz w:val="24"/>
        </w:rPr>
        <w:t>该场景将集成各类贫困县、贫困地区的景点信息，让普通群众第一时间了解到景区信息，并且可以在手机上在线查询景区的具体位置及相关服务，有助于带动贫困地区旅游收入。</w:t>
      </w:r>
    </w:p>
    <w:p>
      <w:pPr>
        <w:pStyle w:val="10"/>
        <w:tabs>
          <w:tab w:val="left" w:pos="560"/>
        </w:tabs>
        <w:spacing w:line="360" w:lineRule="auto"/>
        <w:ind w:firstLine="482"/>
        <w:rPr>
          <w:szCs w:val="24"/>
        </w:rPr>
      </w:pPr>
      <w:r>
        <w:rPr>
          <w:rFonts w:hint="eastAsia"/>
          <w:szCs w:val="24"/>
        </w:rPr>
        <w:t>2）扶贫帮扶服务</w:t>
      </w:r>
    </w:p>
    <w:p>
      <w:pPr>
        <w:pStyle w:val="2"/>
        <w:rPr>
          <w:szCs w:val="24"/>
        </w:rPr>
      </w:pPr>
      <w:r>
        <w:rPr>
          <w:rFonts w:hint="eastAsia"/>
          <w:szCs w:val="24"/>
        </w:rPr>
        <w:t>该场景主要针对帮扶责任人，帮扶责任人进行身份认证后，可以查看帮扶对象信息，包括基本信息和申报信息等，还可以在线转发就业信息。</w:t>
      </w:r>
    </w:p>
    <w:p>
      <w:pPr>
        <w:pStyle w:val="10"/>
        <w:tabs>
          <w:tab w:val="left" w:pos="560"/>
        </w:tabs>
        <w:spacing w:line="360" w:lineRule="auto"/>
        <w:ind w:firstLine="482"/>
        <w:rPr>
          <w:szCs w:val="24"/>
        </w:rPr>
      </w:pPr>
      <w:r>
        <w:rPr>
          <w:rFonts w:hint="eastAsia"/>
          <w:szCs w:val="24"/>
        </w:rPr>
        <w:t>3）“码上帮扶”场景应用</w:t>
      </w:r>
    </w:p>
    <w:p>
      <w:pPr>
        <w:spacing w:line="360" w:lineRule="auto"/>
        <w:ind w:firstLine="480" w:firstLineChars="200"/>
        <w:rPr>
          <w:sz w:val="24"/>
        </w:rPr>
      </w:pPr>
      <w:r>
        <w:rPr>
          <w:rFonts w:hint="eastAsia"/>
          <w:sz w:val="24"/>
        </w:rPr>
        <w:t>消费扶贫是社会各界通过消费来自贫困地区和贫困人口的产品与服务，帮助贫困人口增收脱贫的一种扶贫方式，是社会力量参与脱贫攻坚的重要途径。码上帮扶即通过与海南爱心扶贫网信息进行对接，展销海南贫困户或扶贫合作社所生产、提供的各类农产品和服务以及待帮扶信息，从而推动消费扶贫，发挥社会扶贫的作用。用户既可购买扶贫农产品，也可通过查看鉴别帮扶信息提供一对一的帮扶，从而实现精准帮扶。一码通将对接海南爱心扶贫网帮扶信息，借助庞大的用户基础，打通用户数据，促进消费扶贫。</w:t>
      </w:r>
    </w:p>
    <w:p>
      <w:pPr>
        <w:pStyle w:val="10"/>
        <w:tabs>
          <w:tab w:val="left" w:pos="560"/>
        </w:tabs>
        <w:spacing w:line="360" w:lineRule="auto"/>
        <w:ind w:firstLine="482"/>
        <w:rPr>
          <w:szCs w:val="24"/>
        </w:rPr>
      </w:pPr>
      <w:r>
        <w:rPr>
          <w:rFonts w:hint="eastAsia"/>
          <w:szCs w:val="24"/>
        </w:rPr>
        <w:t>4）“码上信息”场景应用</w:t>
      </w:r>
    </w:p>
    <w:p>
      <w:pPr>
        <w:spacing w:line="360" w:lineRule="auto"/>
        <w:ind w:firstLine="480" w:firstLineChars="200"/>
        <w:rPr>
          <w:sz w:val="24"/>
        </w:rPr>
      </w:pPr>
      <w:r>
        <w:rPr>
          <w:rFonts w:hint="eastAsia"/>
          <w:sz w:val="24"/>
        </w:rPr>
        <w:t>定期公示信息有助于帮助广大群众及时了解海南相关扶贫政策和扶贫动态，信息的公开透明，能够为用户提供监督渠道，提升政府的公信力和执行力。码上信息将展示扶贫动态和政策动态，提供移动端信息获取渠道。</w:t>
      </w:r>
    </w:p>
    <w:p>
      <w:pPr>
        <w:pStyle w:val="7"/>
        <w:keepLines w:val="0"/>
        <w:tabs>
          <w:tab w:val="left" w:pos="425"/>
          <w:tab w:val="left" w:pos="560"/>
        </w:tabs>
        <w:spacing w:before="240" w:after="156"/>
        <w:ind w:left="640"/>
        <w:rPr>
          <w:szCs w:val="24"/>
        </w:rPr>
      </w:pPr>
      <w:r>
        <w:rPr>
          <w:rFonts w:hint="eastAsia"/>
          <w:szCs w:val="24"/>
        </w:rPr>
        <w:t>3.1.5.5医疗健康领域服务</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（1）健康档案</w:t>
      </w:r>
    </w:p>
    <w:p>
      <w:pPr>
        <w:spacing w:line="360" w:lineRule="auto"/>
        <w:ind w:firstLine="480" w:firstLineChars="200"/>
        <w:rPr>
          <w:sz w:val="24"/>
        </w:rPr>
      </w:pPr>
      <w:r>
        <w:rPr>
          <w:rFonts w:hint="eastAsia"/>
          <w:sz w:val="24"/>
        </w:rPr>
        <w:t>对接海南</w:t>
      </w:r>
      <w:r>
        <w:rPr>
          <w:sz w:val="24"/>
        </w:rPr>
        <w:t>省卫健委全民医疗健康服务系统</w:t>
      </w:r>
      <w:r>
        <w:rPr>
          <w:rFonts w:hint="eastAsia"/>
          <w:sz w:val="24"/>
        </w:rPr>
        <w:t>的患者基本信息、门诊记录和住院记录的多维度信息。患者信息主要包括患者姓名、患者年龄、患者性别等一系列患者基本信息；门诊记录主要包括病历记录、处方记录、报告查询等信息；住院记录主要包括入院信息、出院信息、病程记录、医嘱信息等。</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（2）电子健康卡</w:t>
      </w:r>
    </w:p>
    <w:p>
      <w:pPr>
        <w:spacing w:line="360" w:lineRule="auto"/>
        <w:ind w:firstLine="480" w:firstLineChars="200"/>
        <w:rPr>
          <w:sz w:val="24"/>
        </w:rPr>
      </w:pPr>
      <w:r>
        <w:rPr>
          <w:rFonts w:hint="eastAsia"/>
          <w:sz w:val="24"/>
        </w:rPr>
        <w:t>对接实人认证实名实人认证接口、公安系统居民身份信息、健康卡列表信息。</w:t>
      </w:r>
    </w:p>
    <w:p>
      <w:pPr>
        <w:spacing w:line="360" w:lineRule="auto"/>
        <w:rPr>
          <w:sz w:val="24"/>
        </w:rPr>
      </w:pPr>
      <w:r>
        <w:rPr>
          <w:rFonts w:hint="eastAsia"/>
          <w:sz w:val="24"/>
        </w:rPr>
        <w:t>用户在进行在线挂号前，系统先判断该用户是否已经申领过本人电子健康卡，若没有申领过，则提示用户需要申领电子健康卡，若申领过，则默认就诊人为本人，同时允许用户选择其他人预约挂号，支持用户新建其他人的电子健康卡，新建时需要选择与用户本人的身份关系，用户可以编辑和删除已新建的健康卡。在编辑及新建健康卡时，如果对象没有身份证，则需要输入监护人的身份信息（姓名</w:t>
      </w:r>
      <w:r>
        <w:rPr>
          <w:sz w:val="24"/>
        </w:rPr>
        <w:t>+身份证号）</w:t>
      </w:r>
      <w:r>
        <w:rPr>
          <w:rFonts w:hint="eastAsia"/>
          <w:sz w:val="24"/>
        </w:rPr>
        <w:t>。</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（3）基本信息</w:t>
      </w:r>
    </w:p>
    <w:p>
      <w:pPr>
        <w:spacing w:line="360" w:lineRule="auto"/>
        <w:ind w:firstLine="480" w:firstLineChars="200"/>
        <w:rPr>
          <w:sz w:val="24"/>
        </w:rPr>
      </w:pPr>
      <w:r>
        <w:rPr>
          <w:rFonts w:hint="eastAsia"/>
          <w:sz w:val="24"/>
        </w:rPr>
        <w:t>记录用户的个人信息、既往史、生活环境等各项数据，包括显示用户姓名、身份证号、年龄、性别、血型、既往病史、常住地的生活环境等信息。</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（4）健康管理</w:t>
      </w:r>
    </w:p>
    <w:p>
      <w:pPr>
        <w:spacing w:line="360" w:lineRule="auto"/>
        <w:ind w:firstLine="480" w:firstLineChars="200"/>
        <w:rPr>
          <w:sz w:val="24"/>
        </w:rPr>
      </w:pPr>
      <w:r>
        <w:rPr>
          <w:rFonts w:hint="eastAsia"/>
          <w:sz w:val="24"/>
        </w:rPr>
        <w:t>记录用户的身体各项数据，包括步数、血压、血糖、血脂、血氧、体重、体温、心电等个人身体信息，辅助用户根据自身身体状况进行预防保健。</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（5）家庭档案</w:t>
      </w:r>
    </w:p>
    <w:p>
      <w:pPr>
        <w:spacing w:line="360" w:lineRule="auto"/>
        <w:ind w:firstLine="480" w:firstLineChars="200"/>
        <w:rPr>
          <w:sz w:val="24"/>
        </w:rPr>
      </w:pPr>
      <w:r>
        <w:rPr>
          <w:rFonts w:hint="eastAsia"/>
          <w:sz w:val="24"/>
        </w:rPr>
        <w:t>记录用户个人及家庭成员的健康档案信息，包括门诊信息和住院信息，门诊信息主要包括病历记录、处方记录及报告查询；住院信息主要包括入院信息、出院信息、病程记录及医嘱信息。家庭档案信息可按医院进行查询或按时间进行查询。</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（6）门诊记录</w:t>
      </w:r>
    </w:p>
    <w:p>
      <w:pPr>
        <w:spacing w:line="360" w:lineRule="auto"/>
        <w:ind w:firstLine="480" w:firstLineChars="200"/>
        <w:rPr>
          <w:sz w:val="24"/>
        </w:rPr>
      </w:pPr>
      <w:r>
        <w:rPr>
          <w:sz w:val="24"/>
        </w:rPr>
        <w:t>1）病历记录查询2）处方记录查询3）报告查询</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（7）住院记录</w:t>
      </w:r>
    </w:p>
    <w:p>
      <w:pPr>
        <w:spacing w:line="360" w:lineRule="auto"/>
        <w:ind w:firstLine="480" w:firstLineChars="200"/>
        <w:rPr>
          <w:sz w:val="24"/>
        </w:rPr>
      </w:pPr>
      <w:r>
        <w:rPr>
          <w:sz w:val="24"/>
        </w:rPr>
        <w:t>1）入院信息查询2）出院信息查询3）病程记录查询4）医嘱信息查询</w:t>
      </w:r>
    </w:p>
    <w:p>
      <w:pPr>
        <w:pStyle w:val="9"/>
        <w:widowControl/>
        <w:numPr>
          <w:ilvl w:val="5"/>
          <w:numId w:val="0"/>
        </w:numPr>
        <w:tabs>
          <w:tab w:val="left" w:pos="425"/>
          <w:tab w:val="left" w:pos="560"/>
        </w:tabs>
        <w:spacing w:after="156" w:line="360" w:lineRule="auto"/>
        <w:ind w:firstLine="482" w:firstLineChars="200"/>
        <w:rPr>
          <w:rFonts w:ascii="Arial" w:hAnsi="Arial"/>
          <w:b/>
          <w:bCs/>
          <w:szCs w:val="24"/>
        </w:rPr>
      </w:pPr>
      <w:r>
        <w:rPr>
          <w:rFonts w:hint="eastAsia" w:ascii="Arial" w:hAnsi="Arial"/>
          <w:b/>
          <w:bCs/>
          <w:szCs w:val="24"/>
        </w:rPr>
        <w:t>（8）检验检查</w:t>
      </w:r>
    </w:p>
    <w:p>
      <w:pPr>
        <w:spacing w:line="360" w:lineRule="auto"/>
        <w:ind w:firstLine="480" w:firstLineChars="200"/>
        <w:rPr>
          <w:sz w:val="24"/>
        </w:rPr>
      </w:pPr>
      <w:r>
        <w:rPr>
          <w:sz w:val="24"/>
        </w:rPr>
        <w:t>患者可通过“</w:t>
      </w:r>
      <w:r>
        <w:rPr>
          <w:rFonts w:hint="eastAsia"/>
          <w:sz w:val="24"/>
        </w:rPr>
        <w:t>检验检查</w:t>
      </w:r>
      <w:r>
        <w:rPr>
          <w:sz w:val="24"/>
        </w:rPr>
        <w:t>” 查询个人的</w:t>
      </w:r>
      <w:r>
        <w:rPr>
          <w:rFonts w:hint="eastAsia"/>
          <w:sz w:val="24"/>
        </w:rPr>
        <w:t>检验记录</w:t>
      </w:r>
      <w:r>
        <w:rPr>
          <w:sz w:val="24"/>
        </w:rPr>
        <w:t>，通过选择就诊医院和就诊时间查询就诊人在某个医院某个时间段内的</w:t>
      </w:r>
      <w:r>
        <w:rPr>
          <w:rFonts w:hint="eastAsia"/>
          <w:sz w:val="24"/>
        </w:rPr>
        <w:t>检验</w:t>
      </w:r>
      <w:r>
        <w:rPr>
          <w:sz w:val="24"/>
        </w:rPr>
        <w:t>检查报告，</w:t>
      </w:r>
      <w:r>
        <w:rPr>
          <w:rFonts w:hint="eastAsia"/>
          <w:sz w:val="24"/>
        </w:rPr>
        <w:t>通过检验尿液</w:t>
      </w:r>
      <w:r>
        <w:rPr>
          <w:sz w:val="24"/>
        </w:rPr>
        <w:t>、血液</w:t>
      </w:r>
      <w:r>
        <w:rPr>
          <w:rFonts w:hint="eastAsia"/>
          <w:sz w:val="24"/>
        </w:rPr>
        <w:t>血常规等</w:t>
      </w:r>
      <w:r>
        <w:rPr>
          <w:sz w:val="24"/>
        </w:rPr>
        <w:t>。</w:t>
      </w:r>
    </w:p>
    <w:p>
      <w:pPr>
        <w:pStyle w:val="6"/>
        <w:spacing w:line="360" w:lineRule="auto"/>
        <w:ind w:left="402"/>
      </w:pPr>
      <w:r>
        <w:rPr>
          <w:rFonts w:hint="eastAsia"/>
        </w:rPr>
        <w:t>3.1.6医院场景服务需求</w:t>
      </w:r>
    </w:p>
    <w:p>
      <w:pPr>
        <w:spacing w:line="360" w:lineRule="auto"/>
        <w:ind w:firstLine="480" w:firstLineChars="200"/>
        <w:rPr>
          <w:sz w:val="24"/>
        </w:rPr>
      </w:pPr>
      <w:r>
        <w:rPr>
          <w:rFonts w:hint="eastAsia"/>
          <w:sz w:val="24"/>
        </w:rPr>
        <w:t>本项目在医院服务场景，需要通过电子健康档案，解决传统病历非数字、非互通、形式单一等问题，将用户病历统一数字化、互联网联通化。在用户层面实现电子健康档案全岛通用，通过数字档案的方式优化联动效率。</w:t>
      </w:r>
    </w:p>
    <w:p>
      <w:pPr>
        <w:pStyle w:val="7"/>
        <w:keepNext w:val="0"/>
        <w:keepLines w:val="0"/>
        <w:numPr>
          <w:ilvl w:val="5"/>
          <w:numId w:val="0"/>
        </w:numPr>
        <w:tabs>
          <w:tab w:val="left" w:pos="425"/>
          <w:tab w:val="left" w:pos="560"/>
        </w:tabs>
        <w:spacing w:before="240" w:after="156"/>
        <w:ind w:firstLine="482" w:firstLineChars="200"/>
        <w:rPr>
          <w:rFonts w:ascii="Arial" w:hAnsi="Arial"/>
          <w:szCs w:val="24"/>
        </w:rPr>
      </w:pPr>
      <w:r>
        <w:rPr>
          <w:rFonts w:hint="eastAsia"/>
          <w:szCs w:val="24"/>
        </w:rPr>
        <w:t xml:space="preserve">3.1.6.1“在线挂号”场景应用    </w:t>
      </w:r>
      <w:r>
        <w:rPr>
          <w:rFonts w:hint="eastAsia" w:ascii="Arial" w:hAnsi="Arial"/>
          <w:szCs w:val="24"/>
        </w:rPr>
        <w:t xml:space="preserve">                           </w:t>
      </w:r>
    </w:p>
    <w:p>
      <w:pPr>
        <w:pStyle w:val="2"/>
        <w:rPr>
          <w:szCs w:val="24"/>
        </w:rPr>
      </w:pPr>
      <w:r>
        <w:rPr>
          <w:rFonts w:hint="eastAsia"/>
          <w:szCs w:val="24"/>
        </w:rPr>
        <w:t>对接三甲医院科室列表、医生排班计划、医院号源池、支付、疾病种类、预约时间等数据。</w:t>
      </w:r>
    </w:p>
    <w:p>
      <w:pPr>
        <w:pStyle w:val="7"/>
        <w:keepNext w:val="0"/>
        <w:keepLines w:val="0"/>
        <w:numPr>
          <w:ilvl w:val="5"/>
          <w:numId w:val="0"/>
        </w:numPr>
        <w:tabs>
          <w:tab w:val="left" w:pos="425"/>
          <w:tab w:val="left" w:pos="560"/>
        </w:tabs>
        <w:spacing w:before="240" w:after="156"/>
        <w:ind w:firstLine="482" w:firstLineChars="200"/>
        <w:rPr>
          <w:szCs w:val="24"/>
        </w:rPr>
      </w:pPr>
      <w:r>
        <w:rPr>
          <w:rFonts w:hint="eastAsia"/>
          <w:szCs w:val="24"/>
        </w:rPr>
        <w:t>3.1.6.2“门诊缴费”场景应用</w:t>
      </w:r>
    </w:p>
    <w:p>
      <w:pPr>
        <w:pStyle w:val="2"/>
        <w:rPr>
          <w:szCs w:val="24"/>
        </w:rPr>
      </w:pPr>
      <w:r>
        <w:rPr>
          <w:rFonts w:hint="eastAsia"/>
          <w:szCs w:val="24"/>
        </w:rPr>
        <w:t>对接各个医院支付数据、医院科室列表、就诊人基本信息、就诊时间、医院医生列表、单据号列表等数据用户登录，进入医疗健康模块，可以查询支付今日待缴订单及历史待缴订单，同时可以查看历史待缴订单信息、历史已缴订单信息，其中历史待缴在线缴费只支持支付7日内产生的订单，如果超过7日还未缴费，用户只能去医院缴费窗口缴清费用，否则会影响正常就医。</w:t>
      </w:r>
    </w:p>
    <w:p>
      <w:pPr>
        <w:pStyle w:val="7"/>
        <w:keepNext w:val="0"/>
        <w:keepLines w:val="0"/>
        <w:numPr>
          <w:ilvl w:val="5"/>
          <w:numId w:val="0"/>
        </w:numPr>
        <w:tabs>
          <w:tab w:val="left" w:pos="425"/>
          <w:tab w:val="left" w:pos="560"/>
        </w:tabs>
        <w:spacing w:before="240" w:after="156"/>
        <w:ind w:firstLine="482" w:firstLineChars="200"/>
        <w:rPr>
          <w:szCs w:val="24"/>
        </w:rPr>
      </w:pPr>
      <w:r>
        <w:rPr>
          <w:rFonts w:hint="eastAsia"/>
          <w:szCs w:val="24"/>
        </w:rPr>
        <w:t>3.1.6.3“电子病历”场景应用</w:t>
      </w:r>
    </w:p>
    <w:p>
      <w:pPr>
        <w:pStyle w:val="2"/>
        <w:rPr>
          <w:szCs w:val="24"/>
        </w:rPr>
      </w:pPr>
      <w:r>
        <w:rPr>
          <w:rFonts w:hint="eastAsia"/>
          <w:szCs w:val="24"/>
        </w:rPr>
        <w:t>对接医院门诊记录及住院记录的多维度信息，门诊记录主要包括门诊费用、门诊病历、门诊处方、门诊检查报告等信息，具体对接支付平台、医院病历数据、医生列表数据、挂号单号库、药品信息，报告列表等数据信息；住院记录主要包括患者住院基本信息、住院费用信息、住院检查报告等信息，具体对接医院住院列表，医院科室列表，支付平台、患者信息等数据信息。</w:t>
      </w:r>
    </w:p>
    <w:p>
      <w:pPr>
        <w:pStyle w:val="7"/>
        <w:keepNext w:val="0"/>
        <w:keepLines w:val="0"/>
        <w:numPr>
          <w:ilvl w:val="5"/>
          <w:numId w:val="0"/>
        </w:numPr>
        <w:tabs>
          <w:tab w:val="left" w:pos="425"/>
          <w:tab w:val="left" w:pos="560"/>
        </w:tabs>
        <w:spacing w:before="240" w:after="156"/>
        <w:ind w:firstLine="482" w:firstLineChars="200"/>
        <w:rPr>
          <w:szCs w:val="24"/>
        </w:rPr>
      </w:pPr>
      <w:r>
        <w:rPr>
          <w:rFonts w:hint="eastAsia"/>
          <w:szCs w:val="24"/>
        </w:rPr>
        <w:t>3.1.6.4“报告查询”场景应用</w:t>
      </w:r>
    </w:p>
    <w:p>
      <w:pPr>
        <w:pStyle w:val="2"/>
        <w:rPr>
          <w:szCs w:val="24"/>
        </w:rPr>
      </w:pPr>
      <w:r>
        <w:rPr>
          <w:rFonts w:hint="eastAsia"/>
          <w:szCs w:val="24"/>
        </w:rPr>
        <w:t>对接医院报告数据信息，包括报告检查结果及报告基本信息等多维度信息。</w:t>
      </w:r>
    </w:p>
    <w:p>
      <w:pPr>
        <w:pStyle w:val="7"/>
        <w:keepNext w:val="0"/>
        <w:keepLines w:val="0"/>
        <w:numPr>
          <w:ilvl w:val="5"/>
          <w:numId w:val="0"/>
        </w:numPr>
        <w:tabs>
          <w:tab w:val="left" w:pos="425"/>
          <w:tab w:val="left" w:pos="560"/>
        </w:tabs>
        <w:spacing w:before="240" w:after="156"/>
        <w:ind w:firstLine="482" w:firstLineChars="200"/>
        <w:rPr>
          <w:szCs w:val="24"/>
        </w:rPr>
      </w:pPr>
      <w:r>
        <w:rPr>
          <w:rFonts w:hint="eastAsia"/>
          <w:szCs w:val="24"/>
        </w:rPr>
        <w:t>3.1.6.5“码上自助机”场景应用</w:t>
      </w:r>
    </w:p>
    <w:p>
      <w:pPr>
        <w:pStyle w:val="2"/>
        <w:rPr>
          <w:szCs w:val="24"/>
        </w:rPr>
      </w:pPr>
      <w:r>
        <w:rPr>
          <w:rFonts w:hint="eastAsia"/>
          <w:szCs w:val="24"/>
        </w:rPr>
        <w:t>现在各大医院都会设置医院自助机，患者可以使用诊疗卡或社保卡自助进行挂号、缴费、打印报告单和化验单等操作。现在依托本平台，用户可以通过向自助机展示个人二维码，自助机扫描二维码后用户即可在自助机上完成操作，简化了使用读取社保可或诊疗卡的流程，提高操作效率。</w:t>
      </w:r>
    </w:p>
    <w:p>
      <w:pPr>
        <w:pStyle w:val="7"/>
        <w:keepNext w:val="0"/>
        <w:keepLines w:val="0"/>
        <w:numPr>
          <w:ilvl w:val="5"/>
          <w:numId w:val="0"/>
        </w:numPr>
        <w:tabs>
          <w:tab w:val="left" w:pos="425"/>
          <w:tab w:val="left" w:pos="560"/>
        </w:tabs>
        <w:spacing w:before="240" w:after="156"/>
        <w:ind w:firstLine="482" w:firstLineChars="200"/>
        <w:rPr>
          <w:szCs w:val="24"/>
        </w:rPr>
      </w:pPr>
      <w:r>
        <w:rPr>
          <w:rFonts w:hint="eastAsia"/>
          <w:szCs w:val="24"/>
        </w:rPr>
        <w:t>3.1.6.6“智能导诊”场景应用</w:t>
      </w:r>
    </w:p>
    <w:p>
      <w:pPr>
        <w:pStyle w:val="2"/>
        <w:rPr>
          <w:szCs w:val="24"/>
        </w:rPr>
      </w:pPr>
      <w:r>
        <w:rPr>
          <w:rFonts w:hint="eastAsia"/>
          <w:szCs w:val="24"/>
        </w:rPr>
        <w:t>“智能导诊”功能很好地解决了患者“挂号难”的痛点问题，“智能导诊”分为疾病导诊和人体图导诊。</w:t>
      </w:r>
    </w:p>
    <w:p>
      <w:pPr>
        <w:pStyle w:val="2"/>
        <w:rPr>
          <w:szCs w:val="24"/>
        </w:rPr>
      </w:pPr>
      <w:r>
        <w:rPr>
          <w:rFonts w:hint="eastAsia"/>
          <w:szCs w:val="24"/>
        </w:rPr>
        <w:t>疾病导诊：用户输入疾病症状（感冒流涕、手腕酸痛、头晕等症状）或疾病名称，系统根据用户疾病症状/疾病名称进行分析，向用户智能推荐可挂号科室、医生，用户根据自身实际情况进行选择，完成挂号。</w:t>
      </w:r>
    </w:p>
    <w:p>
      <w:pPr>
        <w:pStyle w:val="2"/>
        <w:rPr>
          <w:szCs w:val="24"/>
        </w:rPr>
      </w:pPr>
      <w:r>
        <w:rPr>
          <w:rFonts w:hint="eastAsia"/>
          <w:szCs w:val="24"/>
        </w:rPr>
        <w:t>人体图导诊：用户无法正确描述自身症状时，可以使用“人体图导诊”进行辅助挂号，点击人体图的“小人”的某个身体部位，界面上会显示此部位会出现的症状，选择与自身情况最接近的症状，系统会显示详细疾病信息，并且会向用户智能推荐可挂号科室、医生，用户根据自身实际情况进行选择，完成挂号。</w:t>
      </w:r>
    </w:p>
    <w:p>
      <w:pPr>
        <w:pStyle w:val="7"/>
        <w:keepNext w:val="0"/>
        <w:keepLines w:val="0"/>
        <w:numPr>
          <w:ilvl w:val="5"/>
          <w:numId w:val="0"/>
        </w:numPr>
        <w:tabs>
          <w:tab w:val="left" w:pos="425"/>
          <w:tab w:val="left" w:pos="560"/>
        </w:tabs>
        <w:spacing w:before="240" w:after="156"/>
        <w:ind w:firstLine="482" w:firstLineChars="200"/>
        <w:rPr>
          <w:szCs w:val="24"/>
        </w:rPr>
      </w:pPr>
      <w:r>
        <w:rPr>
          <w:rFonts w:hint="eastAsia"/>
          <w:szCs w:val="24"/>
        </w:rPr>
        <w:t>3.1.6.7“智能接种”场景应用</w:t>
      </w:r>
    </w:p>
    <w:p>
      <w:pPr>
        <w:pStyle w:val="2"/>
        <w:rPr>
          <w:szCs w:val="24"/>
        </w:rPr>
      </w:pPr>
      <w:r>
        <w:rPr>
          <w:rFonts w:hint="eastAsia"/>
          <w:szCs w:val="24"/>
        </w:rPr>
        <w:t>用户实名、实人登录后，可通过“智能接种”模块预约疫苗接种。选择接种点、接种时间、接种人后完成接种预约，还可以查询往期预约接种记录，按时间的维度或接种点的维度展现往期预约接种记录，支持输入接种点查询预约接种记录、输入时间区间查询预约接种记录。在“智能接种”模块中还能查询疫苗知识，包含疫苗科普、接种不良反应、疫苗生产厂家等信息。</w:t>
      </w:r>
    </w:p>
    <w:p>
      <w:pPr>
        <w:pStyle w:val="7"/>
        <w:keepNext w:val="0"/>
        <w:keepLines w:val="0"/>
        <w:numPr>
          <w:ilvl w:val="5"/>
          <w:numId w:val="0"/>
        </w:numPr>
        <w:tabs>
          <w:tab w:val="left" w:pos="425"/>
          <w:tab w:val="left" w:pos="560"/>
        </w:tabs>
        <w:spacing w:before="240" w:after="156"/>
        <w:ind w:firstLine="482" w:firstLineChars="200"/>
        <w:rPr>
          <w:szCs w:val="24"/>
        </w:rPr>
      </w:pPr>
      <w:r>
        <w:rPr>
          <w:rFonts w:hint="eastAsia"/>
          <w:szCs w:val="24"/>
        </w:rPr>
        <w:t>3.1.6.8“药店服务”场景应用</w:t>
      </w:r>
    </w:p>
    <w:p>
      <w:pPr>
        <w:pStyle w:val="2"/>
        <w:rPr>
          <w:szCs w:val="24"/>
        </w:rPr>
      </w:pPr>
      <w:r>
        <w:rPr>
          <w:rFonts w:hint="eastAsia"/>
          <w:szCs w:val="24"/>
        </w:rPr>
        <w:t>用户在医院完成就诊后，需要到药房领取医生开具的处方药，取药时，向药店出示个人二维码，药店终端设备扫描二维码后，读取药品信息及医生开具的处方信息，用户付款后完成取药。</w:t>
      </w:r>
    </w:p>
    <w:p>
      <w:pPr>
        <w:pStyle w:val="7"/>
        <w:keepNext w:val="0"/>
        <w:keepLines w:val="0"/>
        <w:numPr>
          <w:ilvl w:val="5"/>
          <w:numId w:val="0"/>
        </w:numPr>
        <w:tabs>
          <w:tab w:val="left" w:pos="425"/>
          <w:tab w:val="left" w:pos="560"/>
        </w:tabs>
        <w:spacing w:before="240" w:after="156"/>
        <w:ind w:firstLine="482" w:firstLineChars="200"/>
      </w:pPr>
      <w:r>
        <w:rPr>
          <w:rFonts w:hint="eastAsia"/>
        </w:rPr>
        <w:t>3.1.6.9“提醒服务”场景应用</w:t>
      </w:r>
    </w:p>
    <w:p>
      <w:pPr>
        <w:pStyle w:val="2"/>
      </w:pPr>
      <w:r>
        <w:rPr>
          <w:rFonts w:hint="eastAsia"/>
        </w:rPr>
        <w:t>对于慢性病患者，需要长期服用慢性病治疗药物，并且需要定时去医院进行复诊，传统的提醒方式多为医生护士口头提醒或是纸质材料提醒，许多患者会忘记医护人员的提醒，造成病情恶化。“提醒服务”会对患者和医生做双重提醒。首先，在患者出院前，医生会为患者安排复诊时间、教导患者使用慢性药，设置提醒时间，出院后“提醒服务”会对医生和患者双方进行提醒。对医生而言，提醒医生通知患者前往医院进行复诊或是提醒患者按时服用慢性药；对于患者而言，提醒患者前往医院进行复诊或提醒患者按时服药。</w:t>
      </w:r>
    </w:p>
    <w:p>
      <w:pPr>
        <w:pStyle w:val="7"/>
        <w:keepNext w:val="0"/>
        <w:keepLines w:val="0"/>
        <w:numPr>
          <w:ilvl w:val="5"/>
          <w:numId w:val="0"/>
        </w:numPr>
        <w:tabs>
          <w:tab w:val="left" w:pos="425"/>
          <w:tab w:val="left" w:pos="560"/>
        </w:tabs>
        <w:spacing w:before="240" w:after="156"/>
        <w:ind w:firstLine="482" w:firstLineChars="200"/>
      </w:pPr>
      <w:r>
        <w:rPr>
          <w:rFonts w:hint="eastAsia"/>
        </w:rPr>
        <w:t>3.1.6.10“在线问诊”场景应用</w:t>
      </w:r>
    </w:p>
    <w:p>
      <w:pPr>
        <w:pStyle w:val="2"/>
      </w:pPr>
      <w:r>
        <w:rPr>
          <w:rFonts w:hint="eastAsia"/>
        </w:rPr>
        <w:t>新冠肺炎疫情期间，对疾病的担忧，去医院的风险，疫情带来的多重焦虑让很多人选择了新的途径——在线问诊，用户线上问诊时最关心的就是如何辨别、预防新型冠状病毒。用户可使用在线问诊功能，输入描述个人的病情症状并附上图片，系统会根据描述智能推荐问诊科室，支用户付问诊金后开始问诊，问诊结束后用户可对此次问诊进行评分与留言。</w:t>
      </w:r>
    </w:p>
    <w:p>
      <w:pPr>
        <w:pStyle w:val="7"/>
        <w:keepNext w:val="0"/>
        <w:keepLines w:val="0"/>
        <w:numPr>
          <w:ilvl w:val="5"/>
          <w:numId w:val="0"/>
        </w:numPr>
        <w:tabs>
          <w:tab w:val="left" w:pos="425"/>
          <w:tab w:val="left" w:pos="560"/>
        </w:tabs>
        <w:spacing w:before="240" w:after="156"/>
        <w:ind w:firstLine="482" w:firstLineChars="200"/>
      </w:pPr>
      <w:r>
        <w:rPr>
          <w:rFonts w:hint="eastAsia"/>
        </w:rPr>
        <w:t>3.1.6.11接口服务</w:t>
      </w:r>
    </w:p>
    <w:p>
      <w:pPr>
        <w:pStyle w:val="2"/>
        <w:rPr>
          <w:rFonts w:ascii="宋体" w:hAnsi="宋体" w:cs="宋体"/>
          <w:szCs w:val="24"/>
        </w:rPr>
      </w:pPr>
      <w:r>
        <w:rPr>
          <w:rFonts w:hint="eastAsia"/>
        </w:rPr>
        <w:t>主要针对与医院系统对接而形成的接口建设需求，包括：获取历次就诊记录、获取处方、获取病历、历次就诊费用信息、获取健康卡(根据身份证号查询his系统档案信息)、成人建档接口、儿童建档接口、门诊缴费代缴列表 (今日待缴、历史待缴)、历史已缴、校验支付前的账单、获取结算类型(历史已缴详情)：、门诊缴费同步给his 、查询住院历次就诊列表、住院历次就诊基本信息、住院历次结帐构成、住院历次就诊费用汇总、住院历次就诊费用清单、查病历（患者）、历次检验、查询院区列表接口、查询科室列表、查询出诊医生列表、查询出诊医生列表7天、根据医生查询可挂号时间段和余号列表、提交挂号、锁定号源、查询可挂的七天号源数(根据医生查询号源列表接口)、退号、根据病人ID查询挂号记录、锁号校验、根据医生、科室名称查询医生列表接口、获取医生信息、检查报告、</w:t>
      </w:r>
      <w:r>
        <w:rPr>
          <w:rFonts w:hint="eastAsia" w:ascii="宋体" w:hAnsi="宋体" w:cs="宋体"/>
          <w:szCs w:val="24"/>
        </w:rPr>
        <w:t>根据病人ID查询指定时间段的检验检查报告列表、获取指定检验报告详细信息、获取指定检验结果明细、获取指定检查报告详细信息、获取指定检查报告详细信息（诊断）、检验结果历史数据、根据报告ID获取影像URL、获取检查报告图片。</w:t>
      </w:r>
    </w:p>
    <w:p>
      <w:pPr>
        <w:pStyle w:val="7"/>
        <w:keepNext w:val="0"/>
        <w:keepLines w:val="0"/>
        <w:numPr>
          <w:ilvl w:val="5"/>
          <w:numId w:val="0"/>
        </w:numPr>
        <w:tabs>
          <w:tab w:val="left" w:pos="425"/>
          <w:tab w:val="left" w:pos="560"/>
        </w:tabs>
        <w:spacing w:before="240" w:after="156"/>
        <w:ind w:firstLine="482" w:firstLineChars="200"/>
      </w:pPr>
      <w:r>
        <w:rPr>
          <w:rFonts w:hint="eastAsia"/>
        </w:rPr>
        <w:t>3.1.6.12医生电脑端</w:t>
      </w:r>
    </w:p>
    <w:p>
      <w:pPr>
        <w:pStyle w:val="8"/>
        <w:spacing w:line="360" w:lineRule="auto"/>
        <w:rPr>
          <w:sz w:val="24"/>
          <w:szCs w:val="24"/>
        </w:rPr>
      </w:pPr>
      <w:r>
        <w:rPr>
          <w:rFonts w:hint="eastAsia"/>
          <w:sz w:val="24"/>
          <w:szCs w:val="24"/>
        </w:rPr>
        <w:t>通过搭建医生电脑端系统和页面设计，使医生除了在手机端外，还能在电脑端使用相关应用。包括基本的账号提醒、权限体系、扫码能力、报告查询、电子病例以及体检报告信息服务；</w:t>
      </w:r>
    </w:p>
    <w:p>
      <w:pPr>
        <w:pStyle w:val="7"/>
        <w:keepNext w:val="0"/>
        <w:keepLines w:val="0"/>
        <w:numPr>
          <w:ilvl w:val="5"/>
          <w:numId w:val="0"/>
        </w:numPr>
        <w:tabs>
          <w:tab w:val="left" w:pos="425"/>
          <w:tab w:val="left" w:pos="560"/>
        </w:tabs>
        <w:spacing w:before="240" w:after="156"/>
        <w:ind w:firstLine="482" w:firstLineChars="200"/>
      </w:pPr>
      <w:r>
        <w:rPr>
          <w:rFonts w:hint="eastAsia"/>
        </w:rPr>
        <w:t>3.1.6.13发热门诊</w:t>
      </w:r>
    </w:p>
    <w:p>
      <w:pPr>
        <w:pStyle w:val="8"/>
        <w:spacing w:line="360" w:lineRule="auto"/>
        <w:ind w:firstLine="480" w:firstLineChars="200"/>
        <w:rPr>
          <w:sz w:val="24"/>
          <w:szCs w:val="24"/>
        </w:rPr>
      </w:pPr>
      <w:r>
        <w:rPr>
          <w:rFonts w:hint="eastAsia"/>
          <w:sz w:val="24"/>
          <w:szCs w:val="24"/>
        </w:rPr>
        <w:t>实现了快速查询全省各个市县有发热门诊的医院数量列表，并且可以查询指定单个市县下面的发热门诊的医院数量列表，以及查看相应发热门诊的医院信息。</w:t>
      </w:r>
    </w:p>
    <w:p>
      <w:pPr>
        <w:pStyle w:val="7"/>
        <w:keepNext w:val="0"/>
        <w:keepLines w:val="0"/>
        <w:numPr>
          <w:ilvl w:val="5"/>
          <w:numId w:val="0"/>
        </w:numPr>
        <w:tabs>
          <w:tab w:val="left" w:pos="425"/>
          <w:tab w:val="left" w:pos="560"/>
        </w:tabs>
        <w:spacing w:before="240" w:after="156"/>
        <w:ind w:firstLine="482" w:firstLineChars="200"/>
      </w:pPr>
      <w:r>
        <w:rPr>
          <w:rFonts w:hint="eastAsia"/>
        </w:rPr>
        <w:t>3.1.6.14新冠肺炎</w:t>
      </w:r>
    </w:p>
    <w:p>
      <w:pPr>
        <w:pStyle w:val="8"/>
        <w:spacing w:line="360" w:lineRule="auto"/>
        <w:ind w:firstLine="480" w:firstLineChars="200"/>
        <w:rPr>
          <w:sz w:val="24"/>
          <w:szCs w:val="24"/>
        </w:rPr>
      </w:pPr>
      <w:r>
        <w:rPr>
          <w:rFonts w:hint="eastAsia"/>
          <w:sz w:val="24"/>
          <w:szCs w:val="24"/>
        </w:rPr>
        <w:t>国外疫情信息：可以快速查询到国外有关于新冠疫情新增确诊，现有确诊，累计确诊，累计治愈，累计死亡等相关信息。</w:t>
      </w:r>
    </w:p>
    <w:p>
      <w:pPr>
        <w:pStyle w:val="8"/>
        <w:spacing w:line="360" w:lineRule="auto"/>
        <w:ind w:firstLine="480" w:firstLineChars="200"/>
        <w:rPr>
          <w:sz w:val="24"/>
          <w:szCs w:val="24"/>
        </w:rPr>
      </w:pPr>
      <w:r>
        <w:rPr>
          <w:rFonts w:hint="eastAsia"/>
          <w:sz w:val="24"/>
          <w:szCs w:val="24"/>
        </w:rPr>
        <w:t>国内疫情信息：可以快速查询到国内有关于新冠疫情新增确诊，现有确诊，累计确诊，累计治愈，累计死亡等相关信息，同时显示海南各个市县下面有关新冠疫情的统计信息。</w:t>
      </w:r>
    </w:p>
    <w:p>
      <w:pPr>
        <w:pStyle w:val="7"/>
        <w:keepNext w:val="0"/>
        <w:keepLines w:val="0"/>
        <w:numPr>
          <w:ilvl w:val="5"/>
          <w:numId w:val="0"/>
        </w:numPr>
        <w:tabs>
          <w:tab w:val="left" w:pos="425"/>
          <w:tab w:val="left" w:pos="560"/>
        </w:tabs>
        <w:spacing w:before="240" w:after="156"/>
        <w:ind w:firstLine="482" w:firstLineChars="200"/>
      </w:pPr>
      <w:r>
        <w:rPr>
          <w:rFonts w:hint="eastAsia"/>
        </w:rPr>
        <w:t>3.1.6.15个人服务中心</w:t>
      </w:r>
    </w:p>
    <w:p>
      <w:pPr>
        <w:pStyle w:val="8"/>
        <w:numPr>
          <w:ilvl w:val="0"/>
          <w:numId w:val="53"/>
        </w:numPr>
        <w:spacing w:line="360" w:lineRule="auto"/>
        <w:rPr>
          <w:sz w:val="24"/>
          <w:szCs w:val="24"/>
        </w:rPr>
      </w:pPr>
      <w:r>
        <w:rPr>
          <w:rFonts w:hint="eastAsia"/>
          <w:sz w:val="24"/>
          <w:szCs w:val="24"/>
        </w:rPr>
        <w:t>家庭管理：可对家庭成员进行添加、删除、编辑。</w:t>
      </w:r>
    </w:p>
    <w:p>
      <w:pPr>
        <w:pStyle w:val="8"/>
        <w:numPr>
          <w:ilvl w:val="0"/>
          <w:numId w:val="53"/>
        </w:numPr>
        <w:spacing w:line="360" w:lineRule="auto"/>
        <w:rPr>
          <w:sz w:val="24"/>
          <w:szCs w:val="24"/>
        </w:rPr>
      </w:pPr>
      <w:r>
        <w:rPr>
          <w:sz w:val="24"/>
          <w:szCs w:val="24"/>
        </w:rPr>
        <w:t>挂号记录</w:t>
      </w:r>
      <w:r>
        <w:rPr>
          <w:rFonts w:hint="eastAsia"/>
          <w:sz w:val="24"/>
          <w:szCs w:val="24"/>
        </w:rPr>
        <w:t>：</w:t>
      </w:r>
      <w:r>
        <w:rPr>
          <w:sz w:val="24"/>
          <w:szCs w:val="24"/>
        </w:rPr>
        <w:t>可以在待支付，已支付，已取消这三个模块中查询到有关于预约挂号信息，如预约的医院，预约科室，预约医生，就诊时间，金额，以及挂号结果等信息，同时还实现了地图导航功能</w:t>
      </w:r>
      <w:r>
        <w:rPr>
          <w:rFonts w:hint="eastAsia"/>
          <w:sz w:val="24"/>
          <w:szCs w:val="24"/>
        </w:rPr>
        <w:t>。</w:t>
      </w:r>
    </w:p>
    <w:p>
      <w:pPr>
        <w:pStyle w:val="8"/>
        <w:numPr>
          <w:ilvl w:val="0"/>
          <w:numId w:val="53"/>
        </w:numPr>
        <w:spacing w:line="360" w:lineRule="auto"/>
        <w:rPr>
          <w:sz w:val="24"/>
          <w:szCs w:val="24"/>
        </w:rPr>
      </w:pPr>
      <w:r>
        <w:rPr>
          <w:sz w:val="24"/>
          <w:szCs w:val="24"/>
        </w:rPr>
        <w:t>关注记录</w:t>
      </w:r>
      <w:r>
        <w:rPr>
          <w:rFonts w:hint="eastAsia"/>
          <w:sz w:val="24"/>
          <w:szCs w:val="24"/>
        </w:rPr>
        <w:t>：</w:t>
      </w:r>
      <w:r>
        <w:rPr>
          <w:sz w:val="24"/>
          <w:szCs w:val="24"/>
        </w:rPr>
        <w:t>用户可以对医院或者医生进行关注，以便在后面进行挂号时可以快速找要挂号的医院或者医生。</w:t>
      </w:r>
    </w:p>
    <w:p>
      <w:pPr>
        <w:pStyle w:val="8"/>
        <w:numPr>
          <w:ilvl w:val="0"/>
          <w:numId w:val="53"/>
        </w:numPr>
        <w:spacing w:line="360" w:lineRule="auto"/>
        <w:rPr>
          <w:sz w:val="24"/>
          <w:szCs w:val="24"/>
        </w:rPr>
      </w:pPr>
      <w:r>
        <w:rPr>
          <w:rFonts w:hint="eastAsia"/>
          <w:sz w:val="24"/>
          <w:szCs w:val="24"/>
        </w:rPr>
        <w:t>医院服务：可查询相关医院的服务。</w:t>
      </w:r>
    </w:p>
    <w:p>
      <w:pPr>
        <w:pStyle w:val="7"/>
        <w:keepNext w:val="0"/>
        <w:keepLines w:val="0"/>
        <w:numPr>
          <w:ilvl w:val="5"/>
          <w:numId w:val="0"/>
        </w:numPr>
        <w:tabs>
          <w:tab w:val="left" w:pos="425"/>
          <w:tab w:val="left" w:pos="560"/>
        </w:tabs>
        <w:spacing w:before="240" w:after="156"/>
        <w:ind w:firstLine="482" w:firstLineChars="200"/>
      </w:pPr>
      <w:r>
        <w:rPr>
          <w:rFonts w:hint="eastAsia"/>
        </w:rPr>
        <w:t>3.1.6.16线下医院</w:t>
      </w:r>
    </w:p>
    <w:p>
      <w:pPr>
        <w:pStyle w:val="2"/>
        <w:rPr>
          <w:szCs w:val="24"/>
        </w:rPr>
      </w:pPr>
      <w:r>
        <w:rPr>
          <w:rFonts w:hint="eastAsia"/>
          <w:szCs w:val="24"/>
        </w:rPr>
        <w:t>（1）自助机服务：线下自助机可提供示码挂号、缴费支付、报告查询等服务。</w:t>
      </w:r>
    </w:p>
    <w:p>
      <w:pPr>
        <w:pStyle w:val="2"/>
        <w:rPr>
          <w:szCs w:val="24"/>
        </w:rPr>
      </w:pPr>
      <w:r>
        <w:rPr>
          <w:rFonts w:hint="eastAsia"/>
          <w:szCs w:val="24"/>
        </w:rPr>
        <w:t>（2）</w:t>
      </w:r>
      <w:r>
        <w:rPr>
          <w:szCs w:val="24"/>
        </w:rPr>
        <w:t>护士站签到</w:t>
      </w:r>
      <w:r>
        <w:rPr>
          <w:rFonts w:hint="eastAsia"/>
          <w:szCs w:val="24"/>
        </w:rPr>
        <w:t>：用户线下缴费前在护士站签到，按签到次序就诊。</w:t>
      </w:r>
    </w:p>
    <w:p>
      <w:pPr>
        <w:pStyle w:val="6"/>
        <w:ind w:left="402"/>
      </w:pPr>
      <w:r>
        <w:rPr>
          <w:rFonts w:hint="eastAsia"/>
        </w:rPr>
        <w:t>3.1.7医保服务需求</w:t>
      </w:r>
    </w:p>
    <w:p>
      <w:pPr>
        <w:pStyle w:val="2"/>
        <w:rPr>
          <w:szCs w:val="24"/>
        </w:rPr>
      </w:pPr>
      <w:r>
        <w:rPr>
          <w:rFonts w:hint="eastAsia"/>
          <w:szCs w:val="24"/>
        </w:rPr>
        <w:t>用户可通过电子医保卡模块在个人的手机或者</w:t>
      </w:r>
      <w:r>
        <w:rPr>
          <w:szCs w:val="24"/>
        </w:rPr>
        <w:t>PC上自助查询个人医保的参保信息，现场办理时无须携带各种个人身份证明，真正实现“足不出户”查医保。</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3.1.7.1医保电子凭证</w:t>
      </w:r>
    </w:p>
    <w:p>
      <w:pPr>
        <w:pStyle w:val="2"/>
        <w:rPr>
          <w:szCs w:val="24"/>
        </w:rPr>
      </w:pPr>
      <w:r>
        <w:rPr>
          <w:rFonts w:hint="eastAsia"/>
          <w:szCs w:val="24"/>
        </w:rPr>
        <w:t>医保电子凭证，由国家医保信息平台统一签发，是基于医保基础信息库为全体参保人员生成的医保身份识别电子介质。电子凭证通过实名/实人认证技术，采用加密算法形成电子标识，参保人可通过电子凭证享受各类在线医疗保障服务。医保电子凭证主要包括两项内容，分别是个人基本信息及医保电子凭证二维码。基本信息包括姓名、身份证号及参保状态；医保电子凭证二维码可以实现医保业务的办理及购药支付等功能。</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3.1.7.2业务查询</w:t>
      </w:r>
    </w:p>
    <w:p>
      <w:pPr>
        <w:pStyle w:val="2"/>
        <w:rPr>
          <w:szCs w:val="24"/>
        </w:rPr>
      </w:pPr>
      <w:r>
        <w:rPr>
          <w:rFonts w:hint="eastAsia"/>
          <w:szCs w:val="24"/>
        </w:rPr>
        <w:t>主要包含一下需求（1）医保账户查询（2）定点机构查询（3）诊疗项目查询（4）药品目录查询（5）缴费记录查询（6）医用耗材查询（7）医疗设施查询（8）查询用户在医院就医消费记录。</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3.1.7.3业务办理</w:t>
      </w:r>
    </w:p>
    <w:p>
      <w:pPr>
        <w:pStyle w:val="2"/>
        <w:rPr>
          <w:szCs w:val="24"/>
        </w:rPr>
      </w:pPr>
      <w:r>
        <w:rPr>
          <w:rFonts w:hint="eastAsia"/>
          <w:szCs w:val="24"/>
        </w:rPr>
        <w:t>主要是以下需求：（1）异地就医备案（2）居民参保登记（3）门诊挂号。</w:t>
      </w:r>
    </w:p>
    <w:p>
      <w:pPr>
        <w:pStyle w:val="6"/>
      </w:pPr>
      <w:r>
        <w:rPr>
          <w:rFonts w:hint="eastAsia"/>
        </w:rPr>
        <w:t>3.1.8社保服务需求</w:t>
      </w:r>
    </w:p>
    <w:p>
      <w:pPr>
        <w:pStyle w:val="2"/>
        <w:rPr>
          <w:szCs w:val="24"/>
        </w:rPr>
      </w:pPr>
      <w:r>
        <w:rPr>
          <w:rFonts w:hint="eastAsia"/>
          <w:szCs w:val="24"/>
        </w:rPr>
        <w:t>社保服务领域本项目旨在整合我省现有的掌上社保服务，提供线上服务，建立统一的公共服务信息平台，统一线上服务入口，实现全业务、多渠道的便捷服务。构筑统一的网上服务大厅，凡具备网上办理条件的服务事项，都要实现网上受理、网上办理、网上反馈，提供办理进度和办理结果网上实时查询服务。</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3.1.8.1基础功能</w:t>
      </w:r>
    </w:p>
    <w:p>
      <w:pPr>
        <w:pStyle w:val="2"/>
        <w:rPr>
          <w:szCs w:val="24"/>
        </w:rPr>
      </w:pPr>
      <w:r>
        <w:rPr>
          <w:rFonts w:hint="eastAsia"/>
          <w:szCs w:val="24"/>
        </w:rPr>
        <w:t>电子社保卡作为社保卡线上应用的有效电子凭证，与实体社保卡一一对应、唯一映射。电子社保卡依托全国社保卡平台，以全国社保卡持卡人员基础信息库为支撑，全国统一、全国通用，具有身份凭着、信息记录、自助查询等功能。电子社保卡旨在让群众“少跑腿，好办事”。</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3.1.8.2我的</w:t>
      </w:r>
    </w:p>
    <w:p>
      <w:pPr>
        <w:pStyle w:val="2"/>
        <w:rPr>
          <w:szCs w:val="24"/>
        </w:rPr>
      </w:pPr>
      <w:r>
        <w:rPr>
          <w:rFonts w:hint="eastAsia"/>
          <w:szCs w:val="24"/>
        </w:rPr>
        <w:t>用户可以在“我的”界面开通缴费结算服务、我的社保卡、订单、银行卡、亲情服务、帮助中心、我要反馈、设置等功能服务。</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3.1.8.3本地服务</w:t>
      </w:r>
    </w:p>
    <w:p>
      <w:pPr>
        <w:pStyle w:val="2"/>
        <w:rPr>
          <w:szCs w:val="24"/>
        </w:rPr>
      </w:pPr>
      <w:r>
        <w:rPr>
          <w:rFonts w:hint="eastAsia"/>
          <w:szCs w:val="24"/>
        </w:rPr>
        <w:t>（1）社保查询：户通过社保查询，可查看年度社会保障个人权益记录单开通地区和年度社会保障个人权益记录单</w:t>
      </w:r>
    </w:p>
    <w:p>
      <w:pPr>
        <w:pStyle w:val="2"/>
        <w:rPr>
          <w:szCs w:val="24"/>
        </w:rPr>
      </w:pPr>
      <w:r>
        <w:rPr>
          <w:rFonts w:hint="eastAsia"/>
          <w:szCs w:val="24"/>
        </w:rPr>
        <w:t>（2）毕业生报到：高等院校毕业生毕业后需要在工作所在地的人力资源单位进行毕业生报到，通过本平台可以直接在网上填报相关内容直接进行报到，不必再到现场提供材料</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3.1.8.4专题服务</w:t>
      </w:r>
    </w:p>
    <w:p>
      <w:pPr>
        <w:pStyle w:val="2"/>
        <w:rPr>
          <w:szCs w:val="24"/>
        </w:rPr>
      </w:pPr>
      <w:r>
        <w:rPr>
          <w:rFonts w:hint="eastAsia"/>
          <w:szCs w:val="24"/>
        </w:rPr>
        <w:t>（1）防疫健康信息码：针对此次新冠肺炎疫情推出的功能，用户需要申领个人健康卡并进行每日健康打卡（输入实时体温，个人基本信息），更新个人状态，在公共场合需要出示个人健康码，出现问题后可进行确诊病例行程溯源，对接触人群进行医学隔离。</w:t>
      </w:r>
    </w:p>
    <w:p>
      <w:pPr>
        <w:pStyle w:val="2"/>
        <w:rPr>
          <w:szCs w:val="24"/>
        </w:rPr>
      </w:pPr>
      <w:r>
        <w:rPr>
          <w:rFonts w:hint="eastAsia"/>
          <w:szCs w:val="24"/>
        </w:rPr>
        <w:t>（1）返岗复工服务：返岗复工服务有三大功能，包括农民工返岗复工“点对点”服务、复工签到服务、健康信息查询。</w:t>
      </w:r>
    </w:p>
    <w:p>
      <w:pPr>
        <w:pStyle w:val="2"/>
        <w:rPr>
          <w:szCs w:val="24"/>
        </w:rPr>
      </w:pPr>
      <w:r>
        <w:rPr>
          <w:rFonts w:hint="eastAsia"/>
          <w:szCs w:val="24"/>
        </w:rPr>
        <w:t>①农民工返岗复工“点对点服务”主要疫情期间面向有返岗复工需求的农民工，有返岗需求的农民工可通过电子社保卡完成返岗复工登记，相关部门根据情况，组织时间段相近、务工目的地相近的农民工集中时间出行，适时安排专车进行引导。</w:t>
      </w:r>
    </w:p>
    <w:p>
      <w:pPr>
        <w:pStyle w:val="2"/>
        <w:rPr>
          <w:szCs w:val="24"/>
        </w:rPr>
      </w:pPr>
      <w:r>
        <w:rPr>
          <w:rFonts w:hint="eastAsia"/>
          <w:szCs w:val="24"/>
        </w:rPr>
        <w:t>②返岗复工服务主要面对疫情期间已经返岗复工的企业员工，企业员工完成每日的上班签到，电子社保卡为员工进行健康核验服务和签到位置定位服务。企业管理者可以获取本公司员工的复工情况、疫情期间的健康情况等信息。</w:t>
      </w:r>
    </w:p>
    <w:p>
      <w:pPr>
        <w:pStyle w:val="2"/>
        <w:rPr>
          <w:szCs w:val="24"/>
        </w:rPr>
      </w:pPr>
      <w:r>
        <w:rPr>
          <w:rFonts w:hint="eastAsia"/>
          <w:szCs w:val="24"/>
        </w:rPr>
        <w:t>③健康信息查询主要面向电子社保卡用户，疫情期间用户可在电子社保卡中查询本人当前防疫健康情况，做好自身防疫工作。</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3.1.8.5就业创业</w:t>
      </w:r>
    </w:p>
    <w:p>
      <w:pPr>
        <w:pStyle w:val="2"/>
        <w:rPr>
          <w:szCs w:val="24"/>
        </w:rPr>
      </w:pPr>
      <w:r>
        <w:rPr>
          <w:rFonts w:hint="eastAsia"/>
          <w:szCs w:val="24"/>
        </w:rPr>
        <w:t>（1）就业在线：通过网页和电子社保卡等方式开展应用，汇聚各地、各类人力资源服务机构的“旗舰店”，发挥公共就业人才服务机构和经营性人力资源服务机构的作用，实现招聘求职信息实时、全面汇聚、共享和发布，并基于平台统一提供的用户管理及岗位发布、简历投递、信息推送等能力，支持跨区域、跨层级开展招聘求职服务</w:t>
      </w:r>
    </w:p>
    <w:p>
      <w:pPr>
        <w:pStyle w:val="2"/>
        <w:rPr>
          <w:szCs w:val="24"/>
        </w:rPr>
      </w:pPr>
      <w:r>
        <w:rPr>
          <w:rFonts w:hint="eastAsia"/>
          <w:szCs w:val="24"/>
        </w:rPr>
        <w:t>（2）就业创业证：记载劳动者就业、失业状态，享受公共就业服务和就业扶持政策、享受失业保险待遇等的有效凭证</w:t>
      </w:r>
    </w:p>
    <w:p>
      <w:pPr>
        <w:pStyle w:val="2"/>
        <w:rPr>
          <w:szCs w:val="24"/>
        </w:rPr>
      </w:pPr>
      <w:r>
        <w:rPr>
          <w:rFonts w:hint="eastAsia"/>
          <w:szCs w:val="24"/>
        </w:rPr>
        <w:t>（3）失业登记：失业人员在线登记</w:t>
      </w:r>
    </w:p>
    <w:p>
      <w:pPr>
        <w:pStyle w:val="2"/>
        <w:rPr>
          <w:szCs w:val="24"/>
        </w:rPr>
      </w:pPr>
      <w:r>
        <w:rPr>
          <w:rFonts w:hint="eastAsia"/>
          <w:szCs w:val="24"/>
        </w:rPr>
        <w:t>（4）失业登记审核结果：查询失业登记审核记录的结果信息</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3.1.8.6社会保险</w:t>
      </w:r>
    </w:p>
    <w:p>
      <w:pPr>
        <w:pStyle w:val="2"/>
        <w:rPr>
          <w:szCs w:val="24"/>
        </w:rPr>
      </w:pPr>
      <w:r>
        <w:rPr>
          <w:rFonts w:hint="eastAsia"/>
          <w:szCs w:val="24"/>
        </w:rPr>
        <w:t>对接人社厅社保服务，包括：个人社保权益单、个人社保权益单开通地区、社保转移申请、社保转移申请审核结果、社保转移进度、社保转移申请开通地区、各地社保转移经办机构、社保待遇资格认证、养老金测算、失业保险待遇申领、各地失业金申领渠道、各地企业稳岗返还申请渠道、境外社保免缴证明申请状态、社保基金监督检查证、社保网上办事大厅。</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3.1.8.7人才人事</w:t>
      </w:r>
    </w:p>
    <w:p>
      <w:pPr>
        <w:pStyle w:val="2"/>
        <w:rPr>
          <w:szCs w:val="24"/>
        </w:rPr>
      </w:pPr>
      <w:r>
        <w:rPr>
          <w:rFonts w:hint="eastAsia"/>
          <w:szCs w:val="24"/>
        </w:rPr>
        <w:t>（1）技工院校毕业证书：支持通过证书编号、身份证号、姓名等信息查询技工院校毕业证书信息</w:t>
      </w:r>
    </w:p>
    <w:p>
      <w:pPr>
        <w:pStyle w:val="2"/>
        <w:rPr>
          <w:szCs w:val="24"/>
        </w:rPr>
      </w:pPr>
      <w:r>
        <w:rPr>
          <w:rFonts w:hint="eastAsia"/>
          <w:szCs w:val="24"/>
        </w:rPr>
        <w:t>（2）技能人员职业资格证书：支持在线查询技能人员职业资格证书信息</w:t>
      </w:r>
    </w:p>
    <w:p>
      <w:pPr>
        <w:pStyle w:val="2"/>
        <w:rPr>
          <w:szCs w:val="24"/>
        </w:rPr>
      </w:pPr>
      <w:r>
        <w:rPr>
          <w:rFonts w:hint="eastAsia"/>
          <w:szCs w:val="24"/>
        </w:rPr>
        <w:t>（3）专业技术人员考试成绩查询：支持通过证件号码、考生姓名、考试名称等信息查询专业技术人员考试成绩信息</w:t>
      </w:r>
    </w:p>
    <w:p>
      <w:pPr>
        <w:pStyle w:val="2"/>
        <w:rPr>
          <w:szCs w:val="24"/>
        </w:rPr>
      </w:pPr>
      <w:r>
        <w:rPr>
          <w:rFonts w:hint="eastAsia"/>
          <w:szCs w:val="24"/>
        </w:rPr>
        <w:t>（4）专业技术人员职业资格证书：支持在线查询专业技术人员职业资格证书信息</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3.1.8.8劳动关系</w:t>
      </w:r>
    </w:p>
    <w:p>
      <w:pPr>
        <w:pStyle w:val="2"/>
        <w:rPr>
          <w:szCs w:val="24"/>
        </w:rPr>
      </w:pPr>
      <w:r>
        <w:rPr>
          <w:rFonts w:hint="eastAsia"/>
          <w:szCs w:val="24"/>
        </w:rPr>
        <w:t>（1）劳动人事争议调解申请：在线办理劳动人事争议调解申请。</w:t>
      </w:r>
    </w:p>
    <w:p>
      <w:pPr>
        <w:pStyle w:val="2"/>
        <w:rPr>
          <w:szCs w:val="24"/>
        </w:rPr>
      </w:pPr>
      <w:r>
        <w:rPr>
          <w:rFonts w:hint="eastAsia"/>
          <w:szCs w:val="24"/>
        </w:rPr>
        <w:t>（2）劳动人事争议调解进展查询：在线查询劳动人事争议调解申请的进展情况信息。</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3.1.8.9社保卡服务</w:t>
      </w:r>
    </w:p>
    <w:p>
      <w:pPr>
        <w:pStyle w:val="2"/>
        <w:rPr>
          <w:szCs w:val="24"/>
        </w:rPr>
      </w:pPr>
      <w:r>
        <w:rPr>
          <w:rFonts w:hint="eastAsia"/>
          <w:szCs w:val="24"/>
        </w:rPr>
        <w:t>（1）社会保障卡应用状态：查询全国各地社会保障卡应用状态信息。</w:t>
      </w:r>
    </w:p>
    <w:p>
      <w:pPr>
        <w:pStyle w:val="2"/>
        <w:rPr>
          <w:szCs w:val="24"/>
        </w:rPr>
      </w:pPr>
      <w:r>
        <w:rPr>
          <w:rFonts w:hint="eastAsia"/>
          <w:szCs w:val="24"/>
        </w:rPr>
        <w:t>（2）各地社保卡跨省服务网点：查询全国各地社保卡跨省服务网点信息。</w:t>
      </w:r>
    </w:p>
    <w:p>
      <w:pPr>
        <w:pStyle w:val="2"/>
        <w:rPr>
          <w:szCs w:val="24"/>
        </w:rPr>
      </w:pPr>
      <w:r>
        <w:rPr>
          <w:rFonts w:hint="eastAsia"/>
          <w:szCs w:val="24"/>
        </w:rPr>
        <w:t>（3）各地社保卡即时补换网点：查询全国各地社保卡即时补换网点信息。</w:t>
      </w:r>
    </w:p>
    <w:p>
      <w:pPr>
        <w:pStyle w:val="2"/>
        <w:rPr>
          <w:szCs w:val="24"/>
        </w:rPr>
      </w:pPr>
      <w:r>
        <w:rPr>
          <w:rFonts w:hint="eastAsia"/>
          <w:szCs w:val="24"/>
        </w:rPr>
        <w:t>（4）各地社保卡线上服务渠道：查询全国各地社保卡线上服务渠道信息。</w:t>
      </w:r>
    </w:p>
    <w:p>
      <w:pPr>
        <w:pStyle w:val="2"/>
        <w:rPr>
          <w:szCs w:val="24"/>
        </w:rPr>
      </w:pPr>
      <w:r>
        <w:rPr>
          <w:rFonts w:hint="eastAsia"/>
          <w:szCs w:val="24"/>
        </w:rPr>
        <w:t>（5）电子社保卡开通渠道：查询所有电子社保卡开通渠道信息。</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3.1.8.10移动支付</w:t>
      </w:r>
    </w:p>
    <w:p>
      <w:pPr>
        <w:pStyle w:val="2"/>
        <w:rPr>
          <w:szCs w:val="24"/>
        </w:rPr>
      </w:pPr>
      <w:r>
        <w:rPr>
          <w:rFonts w:hint="eastAsia"/>
          <w:szCs w:val="24"/>
        </w:rPr>
        <w:t>（1）订单管理：查询使用电子社保卡支付的订单信息。</w:t>
      </w:r>
    </w:p>
    <w:p>
      <w:pPr>
        <w:pStyle w:val="2"/>
        <w:rPr>
          <w:szCs w:val="24"/>
        </w:rPr>
      </w:pPr>
      <w:r>
        <w:rPr>
          <w:rFonts w:hint="eastAsia"/>
          <w:szCs w:val="24"/>
        </w:rPr>
        <w:t>（2）银行卡管理：管理银行卡，支持添加、删除。</w:t>
      </w:r>
    </w:p>
    <w:p>
      <w:pPr>
        <w:pStyle w:val="2"/>
        <w:rPr>
          <w:szCs w:val="24"/>
        </w:rPr>
      </w:pPr>
      <w:r>
        <w:rPr>
          <w:rFonts w:hint="eastAsia"/>
          <w:szCs w:val="24"/>
        </w:rPr>
        <w:t>（3）移动支付网点查询：查询用户所在地开通电子社保卡移动支服务的医院和药房，在线下药房医院买药时可以通过出示电子社保码支付。</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3.1.8.11电子社保码</w:t>
      </w:r>
    </w:p>
    <w:p>
      <w:pPr>
        <w:pStyle w:val="2"/>
        <w:rPr>
          <w:szCs w:val="24"/>
        </w:rPr>
      </w:pPr>
      <w:r>
        <w:rPr>
          <w:rFonts w:hint="eastAsia"/>
          <w:szCs w:val="24"/>
        </w:rPr>
        <w:t>用户可以通过电子社保模块领取个人电子社保卡，领取需要经过实名实人认证，认证成功后，输入电子社保卡密码，完成领取，领取成功后，可查看个人电子社保卡，电子社保卡包含个人姓名、社会保障号码及个人电子社保码。</w:t>
      </w:r>
    </w:p>
    <w:p>
      <w:pPr>
        <w:pStyle w:val="6"/>
        <w:ind w:left="402"/>
      </w:pPr>
      <w:r>
        <w:rPr>
          <w:rFonts w:hint="eastAsia"/>
        </w:rPr>
        <w:t>3.1.9消费服务领域需求</w:t>
      </w:r>
    </w:p>
    <w:p>
      <w:pPr>
        <w:pStyle w:val="2"/>
        <w:rPr>
          <w:szCs w:val="24"/>
        </w:rPr>
      </w:pPr>
      <w:r>
        <w:rPr>
          <w:rFonts w:hint="eastAsia"/>
          <w:szCs w:val="24"/>
        </w:rPr>
        <w:t>基础对接是指为海南省打造消费一码通应用，通过对接免税店、跨境购物店、中石化、海南航空等不同的商户，形成对优惠信息的发放。未来还将逐步拓展在更多领域、更多商户持续营销、持续应用，持续推出优惠，将“消费一码通”打造成为自贸港有影响力的公众消费平台，让广大商户和消费者在海南自贸港建设中提升获得感、幸福感。</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3.1.9.1交通出行</w:t>
      </w:r>
    </w:p>
    <w:p>
      <w:pPr>
        <w:numPr>
          <w:ilvl w:val="0"/>
          <w:numId w:val="54"/>
        </w:numPr>
        <w:spacing w:line="360" w:lineRule="auto"/>
        <w:rPr>
          <w:sz w:val="24"/>
        </w:rPr>
      </w:pPr>
      <w:r>
        <w:rPr>
          <w:rFonts w:hint="eastAsia"/>
          <w:sz w:val="24"/>
        </w:rPr>
        <w:t>乘车码</w:t>
      </w:r>
    </w:p>
    <w:p>
      <w:pPr>
        <w:spacing w:line="360" w:lineRule="auto"/>
        <w:ind w:firstLine="480" w:firstLineChars="200"/>
        <w:rPr>
          <w:sz w:val="24"/>
        </w:rPr>
      </w:pPr>
      <w:r>
        <w:rPr>
          <w:rFonts w:hint="eastAsia"/>
          <w:sz w:val="24"/>
        </w:rPr>
        <w:t>接入公交乘车码功能，实现用户在上车时直接亮码乘车，快捷方便。</w:t>
      </w:r>
    </w:p>
    <w:p>
      <w:pPr>
        <w:numPr>
          <w:ilvl w:val="0"/>
          <w:numId w:val="54"/>
        </w:numPr>
        <w:spacing w:line="360" w:lineRule="auto"/>
        <w:rPr>
          <w:sz w:val="24"/>
        </w:rPr>
      </w:pPr>
      <w:r>
        <w:rPr>
          <w:sz w:val="24"/>
        </w:rPr>
        <w:t>电子公交卡</w:t>
      </w:r>
    </w:p>
    <w:p>
      <w:pPr>
        <w:spacing w:line="360" w:lineRule="auto"/>
        <w:ind w:firstLine="480" w:firstLineChars="200"/>
        <w:rPr>
          <w:sz w:val="24"/>
        </w:rPr>
      </w:pPr>
      <w:r>
        <w:rPr>
          <w:rFonts w:hint="eastAsia"/>
          <w:sz w:val="24"/>
        </w:rPr>
        <w:t>接入海南电子公交卡功能，整合码上办事平台的二维码，支持扫码支付。</w:t>
      </w:r>
    </w:p>
    <w:p>
      <w:pPr>
        <w:numPr>
          <w:ilvl w:val="0"/>
          <w:numId w:val="54"/>
        </w:numPr>
        <w:spacing w:line="360" w:lineRule="auto"/>
        <w:rPr>
          <w:sz w:val="24"/>
        </w:rPr>
      </w:pPr>
      <w:r>
        <w:rPr>
          <w:sz w:val="24"/>
        </w:rPr>
        <w:t>公交停运信息</w:t>
      </w:r>
    </w:p>
    <w:p>
      <w:pPr>
        <w:spacing w:line="360" w:lineRule="auto"/>
        <w:ind w:firstLine="480" w:firstLineChars="200"/>
        <w:rPr>
          <w:sz w:val="24"/>
        </w:rPr>
      </w:pPr>
      <w:r>
        <w:rPr>
          <w:sz w:val="24"/>
        </w:rPr>
        <w:t>接入公交停运信息公示服务，为用户提供停运公交的信息展示窗口。</w:t>
      </w:r>
    </w:p>
    <w:p>
      <w:pPr>
        <w:numPr>
          <w:ilvl w:val="0"/>
          <w:numId w:val="54"/>
        </w:numPr>
        <w:spacing w:line="360" w:lineRule="auto"/>
        <w:rPr>
          <w:sz w:val="24"/>
        </w:rPr>
      </w:pPr>
      <w:r>
        <w:rPr>
          <w:rFonts w:hint="eastAsia"/>
          <w:sz w:val="24"/>
        </w:rPr>
        <w:t>实时公交</w:t>
      </w:r>
    </w:p>
    <w:p>
      <w:pPr>
        <w:spacing w:line="360" w:lineRule="auto"/>
        <w:ind w:firstLine="480" w:firstLineChars="200"/>
        <w:rPr>
          <w:sz w:val="24"/>
        </w:rPr>
      </w:pPr>
      <w:r>
        <w:rPr>
          <w:rFonts w:hint="eastAsia"/>
          <w:sz w:val="24"/>
        </w:rPr>
        <w:t>接入海口地区公交车实时到站系统，可为用户提供附近的公交线路信息、所有线路公交车实时到站数据、到站时间预测等。</w:t>
      </w:r>
    </w:p>
    <w:p>
      <w:pPr>
        <w:numPr>
          <w:ilvl w:val="0"/>
          <w:numId w:val="54"/>
        </w:numPr>
        <w:spacing w:line="360" w:lineRule="auto"/>
        <w:rPr>
          <w:sz w:val="24"/>
        </w:rPr>
      </w:pPr>
      <w:r>
        <w:rPr>
          <w:sz w:val="24"/>
        </w:rPr>
        <w:t>台风实时路径</w:t>
      </w:r>
    </w:p>
    <w:p>
      <w:pPr>
        <w:spacing w:line="360" w:lineRule="auto"/>
        <w:ind w:firstLine="480" w:firstLineChars="200"/>
        <w:rPr>
          <w:sz w:val="24"/>
        </w:rPr>
      </w:pPr>
      <w:r>
        <w:rPr>
          <w:rFonts w:hint="eastAsia"/>
          <w:sz w:val="24"/>
        </w:rPr>
        <w:t>接入海南省水务厅台风实时路径服务。</w:t>
      </w:r>
    </w:p>
    <w:p>
      <w:pPr>
        <w:numPr>
          <w:ilvl w:val="0"/>
          <w:numId w:val="54"/>
        </w:numPr>
        <w:spacing w:line="360" w:lineRule="auto"/>
        <w:rPr>
          <w:sz w:val="24"/>
        </w:rPr>
      </w:pPr>
      <w:r>
        <w:rPr>
          <w:rFonts w:hint="eastAsia"/>
          <w:sz w:val="24"/>
        </w:rPr>
        <w:t>附近的充电桩</w:t>
      </w:r>
    </w:p>
    <w:p>
      <w:pPr>
        <w:spacing w:line="360" w:lineRule="auto"/>
        <w:ind w:firstLine="480" w:firstLineChars="200"/>
        <w:rPr>
          <w:sz w:val="24"/>
        </w:rPr>
      </w:pPr>
      <w:r>
        <w:rPr>
          <w:rFonts w:hint="eastAsia"/>
          <w:sz w:val="24"/>
        </w:rPr>
        <w:t>接入海南充电桩新能源汽车充电桩地图查询功能，可为用户提供附近充电桩的具体位置、桩位空闲信息。</w:t>
      </w:r>
    </w:p>
    <w:p>
      <w:pPr>
        <w:numPr>
          <w:ilvl w:val="0"/>
          <w:numId w:val="54"/>
        </w:numPr>
        <w:spacing w:line="360" w:lineRule="auto"/>
        <w:rPr>
          <w:sz w:val="24"/>
        </w:rPr>
      </w:pPr>
      <w:r>
        <w:rPr>
          <w:rFonts w:hint="eastAsia"/>
          <w:sz w:val="24"/>
        </w:rPr>
        <w:t>城际大巴</w:t>
      </w:r>
    </w:p>
    <w:p>
      <w:pPr>
        <w:spacing w:line="360" w:lineRule="auto"/>
        <w:ind w:firstLine="480" w:firstLineChars="200"/>
        <w:rPr>
          <w:sz w:val="24"/>
        </w:rPr>
      </w:pPr>
      <w:r>
        <w:rPr>
          <w:rFonts w:hint="eastAsia"/>
          <w:sz w:val="24"/>
        </w:rPr>
        <w:t>接入城际大巴购票功能，可购买大巴车票</w:t>
      </w:r>
    </w:p>
    <w:p>
      <w:pPr>
        <w:numPr>
          <w:ilvl w:val="0"/>
          <w:numId w:val="54"/>
        </w:numPr>
        <w:spacing w:line="360" w:lineRule="auto"/>
        <w:rPr>
          <w:sz w:val="24"/>
        </w:rPr>
      </w:pPr>
      <w:r>
        <w:rPr>
          <w:rFonts w:hint="eastAsia"/>
          <w:sz w:val="24"/>
        </w:rPr>
        <w:t>动车高铁</w:t>
      </w:r>
    </w:p>
    <w:p>
      <w:pPr>
        <w:spacing w:line="360" w:lineRule="auto"/>
        <w:ind w:firstLine="480" w:firstLineChars="200"/>
        <w:rPr>
          <w:sz w:val="24"/>
        </w:rPr>
      </w:pPr>
      <w:r>
        <w:rPr>
          <w:rFonts w:hint="eastAsia"/>
          <w:sz w:val="24"/>
        </w:rPr>
        <w:t>接入动车购票功能，可购买动车票</w:t>
      </w:r>
    </w:p>
    <w:p>
      <w:pPr>
        <w:numPr>
          <w:ilvl w:val="0"/>
          <w:numId w:val="54"/>
        </w:numPr>
        <w:spacing w:line="360" w:lineRule="auto"/>
        <w:rPr>
          <w:sz w:val="24"/>
        </w:rPr>
      </w:pPr>
      <w:r>
        <w:rPr>
          <w:rFonts w:hint="eastAsia"/>
          <w:sz w:val="24"/>
        </w:rPr>
        <w:t>机票预订</w:t>
      </w:r>
    </w:p>
    <w:p>
      <w:pPr>
        <w:spacing w:line="360" w:lineRule="auto"/>
        <w:ind w:firstLine="480" w:firstLineChars="200"/>
        <w:rPr>
          <w:sz w:val="24"/>
        </w:rPr>
      </w:pPr>
      <w:r>
        <w:rPr>
          <w:rFonts w:hint="eastAsia"/>
          <w:sz w:val="24"/>
        </w:rPr>
        <w:t>通过单点登录的方式，将码上办事的用户数据与海航线上商城的用户数据打通。用户在登录码上办事后，可以直接进入海南航空线上页面在线购买机票、领取优惠券及其余航空相关服务。</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3.1.9.2便民服务</w:t>
      </w:r>
    </w:p>
    <w:p>
      <w:pPr>
        <w:numPr>
          <w:ilvl w:val="0"/>
          <w:numId w:val="55"/>
        </w:numPr>
        <w:spacing w:line="360" w:lineRule="auto"/>
        <w:rPr>
          <w:sz w:val="24"/>
        </w:rPr>
      </w:pPr>
      <w:r>
        <w:rPr>
          <w:rFonts w:hint="eastAsia"/>
          <w:sz w:val="24"/>
        </w:rPr>
        <w:t>生活缴费</w:t>
      </w:r>
    </w:p>
    <w:p>
      <w:pPr>
        <w:spacing w:line="360" w:lineRule="auto"/>
        <w:ind w:firstLine="480" w:firstLineChars="200"/>
        <w:rPr>
          <w:sz w:val="24"/>
        </w:rPr>
      </w:pPr>
      <w:r>
        <w:rPr>
          <w:rFonts w:hint="eastAsia"/>
          <w:sz w:val="24"/>
        </w:rPr>
        <w:t>可进行家庭宽带、固话、水电燃气、有线电视费缴纳。</w:t>
      </w:r>
    </w:p>
    <w:p>
      <w:pPr>
        <w:numPr>
          <w:ilvl w:val="0"/>
          <w:numId w:val="55"/>
        </w:numPr>
        <w:spacing w:line="360" w:lineRule="auto"/>
        <w:rPr>
          <w:sz w:val="24"/>
        </w:rPr>
      </w:pPr>
      <w:r>
        <w:rPr>
          <w:rFonts w:hint="eastAsia"/>
          <w:sz w:val="24"/>
        </w:rPr>
        <w:t>充值中心</w:t>
      </w:r>
    </w:p>
    <w:p>
      <w:pPr>
        <w:spacing w:line="360" w:lineRule="auto"/>
        <w:ind w:firstLine="480" w:firstLineChars="200"/>
        <w:rPr>
          <w:sz w:val="24"/>
        </w:rPr>
      </w:pPr>
      <w:r>
        <w:rPr>
          <w:rFonts w:hint="eastAsia"/>
          <w:sz w:val="24"/>
        </w:rPr>
        <w:t>可进行手机话费充值、流量购买服务。</w:t>
      </w:r>
    </w:p>
    <w:p>
      <w:pPr>
        <w:numPr>
          <w:ilvl w:val="0"/>
          <w:numId w:val="55"/>
        </w:numPr>
        <w:spacing w:line="360" w:lineRule="auto"/>
        <w:rPr>
          <w:sz w:val="24"/>
        </w:rPr>
      </w:pPr>
      <w:r>
        <w:rPr>
          <w:rFonts w:hint="eastAsia"/>
          <w:sz w:val="24"/>
        </w:rPr>
        <w:t>扶贫助农</w:t>
      </w:r>
    </w:p>
    <w:p>
      <w:pPr>
        <w:spacing w:line="360" w:lineRule="auto"/>
        <w:ind w:firstLine="480" w:firstLineChars="200"/>
        <w:rPr>
          <w:sz w:val="24"/>
        </w:rPr>
      </w:pPr>
      <w:r>
        <w:rPr>
          <w:rFonts w:hint="eastAsia"/>
          <w:sz w:val="24"/>
        </w:rPr>
        <w:t>通过单点登录的方式，将码上办事的用户数据与爱心扶贫网数据打通，用户在登录码上办事后，可以直接进入爱心扶贫网进行扶贫农产品购买，查看订单和物流情况等相关服务。不需要二次登录。</w:t>
      </w:r>
    </w:p>
    <w:p>
      <w:pPr>
        <w:numPr>
          <w:ilvl w:val="0"/>
          <w:numId w:val="55"/>
        </w:numPr>
        <w:spacing w:line="360" w:lineRule="auto"/>
        <w:rPr>
          <w:sz w:val="24"/>
        </w:rPr>
      </w:pPr>
      <w:r>
        <w:rPr>
          <w:rFonts w:hint="eastAsia"/>
          <w:sz w:val="24"/>
        </w:rPr>
        <w:t>免税额度查询</w:t>
      </w:r>
    </w:p>
    <w:p>
      <w:pPr>
        <w:spacing w:line="360" w:lineRule="auto"/>
        <w:ind w:firstLine="480" w:firstLineChars="200"/>
        <w:rPr>
          <w:sz w:val="24"/>
        </w:rPr>
      </w:pPr>
      <w:r>
        <w:rPr>
          <w:rFonts w:hint="eastAsia"/>
          <w:sz w:val="24"/>
        </w:rPr>
        <w:t>通过海关接口，获取当前用户身份信息下的免税额度信息。包括可使用的额度、已消费的额度、剩余额度等。</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3.1.9.3优惠生活</w:t>
      </w:r>
    </w:p>
    <w:p>
      <w:pPr>
        <w:spacing w:line="360" w:lineRule="auto"/>
        <w:ind w:firstLine="420" w:firstLineChars="200"/>
        <w:rPr>
          <w:sz w:val="24"/>
        </w:rPr>
      </w:pPr>
      <w:r>
        <w:rPr>
          <w:rFonts w:hint="eastAsia"/>
        </w:rPr>
        <w:t>主要包括：离岛免税场景对接、中海免优惠券对接、跨境购对接、海南航空对接、中石化对接、银联对接、景区购票（呀诺达景区）对接、酒店住宿(爱哪儿哪儿平台）对接;</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3.1.9.4天气服务</w:t>
      </w:r>
    </w:p>
    <w:p>
      <w:pPr>
        <w:spacing w:line="360" w:lineRule="auto"/>
        <w:ind w:firstLine="480" w:firstLineChars="200"/>
        <w:rPr>
          <w:sz w:val="24"/>
        </w:rPr>
      </w:pPr>
      <w:r>
        <w:rPr>
          <w:rFonts w:hint="eastAsia"/>
          <w:sz w:val="24"/>
        </w:rPr>
        <w:t>对接海南省气象厅精准天气数据，通过h5形式接入，可根据用户当前具体地理位置进行定位，并展现实时精准温度、湿度、空气质量指数等气象数据，并可预测附近未来2小时降雨量，以及15天天气预报。</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3.1.9.5文化体育</w:t>
      </w:r>
    </w:p>
    <w:p>
      <w:pPr>
        <w:spacing w:line="360" w:lineRule="auto"/>
        <w:ind w:firstLine="482"/>
        <w:rPr>
          <w:sz w:val="24"/>
        </w:rPr>
      </w:pPr>
      <w:r>
        <w:rPr>
          <w:rFonts w:hint="eastAsia"/>
          <w:b/>
          <w:sz w:val="24"/>
        </w:rPr>
        <w:t>演出展览：</w:t>
      </w:r>
      <w:r>
        <w:rPr>
          <w:rFonts w:hint="eastAsia"/>
          <w:sz w:val="24"/>
        </w:rPr>
        <w:t>接入海南演出、展览、剧目售票列表页，用户可进行演出展览的门票购买预订。</w:t>
      </w:r>
    </w:p>
    <w:p>
      <w:pPr>
        <w:spacing w:line="360" w:lineRule="auto"/>
        <w:ind w:firstLine="482"/>
        <w:rPr>
          <w:sz w:val="24"/>
        </w:rPr>
      </w:pPr>
      <w:r>
        <w:rPr>
          <w:rFonts w:hint="eastAsia"/>
          <w:b/>
          <w:sz w:val="24"/>
        </w:rPr>
        <w:t>赛事活动：</w:t>
      </w:r>
      <w:r>
        <w:rPr>
          <w:rFonts w:hint="eastAsia"/>
          <w:sz w:val="24"/>
        </w:rPr>
        <w:t>接入海南活动、赛事信息列表页，用户可进行活动赛事的参加与报名。</w:t>
      </w:r>
    </w:p>
    <w:p>
      <w:pPr>
        <w:spacing w:line="360" w:lineRule="auto"/>
        <w:ind w:firstLine="482"/>
        <w:rPr>
          <w:sz w:val="24"/>
        </w:rPr>
      </w:pPr>
      <w:r>
        <w:rPr>
          <w:rFonts w:hint="eastAsia"/>
          <w:b/>
          <w:sz w:val="24"/>
        </w:rPr>
        <w:t>运动银行：</w:t>
      </w:r>
      <w:r>
        <w:rPr>
          <w:rFonts w:hint="eastAsia"/>
          <w:sz w:val="24"/>
        </w:rPr>
        <w:t>接入运动银行服务，用户可通过走路、跑步、在场馆中付费运动等方式积累“卡币”，并用“卡币”兑换权益、优惠、福利。</w:t>
      </w:r>
    </w:p>
    <w:p>
      <w:pPr>
        <w:pStyle w:val="6"/>
        <w:ind w:left="402"/>
      </w:pPr>
      <w:r>
        <w:rPr>
          <w:rFonts w:hint="eastAsia"/>
        </w:rPr>
        <w:t>3.1.10公共服务场馆需求</w:t>
      </w:r>
    </w:p>
    <w:p>
      <w:pPr>
        <w:spacing w:line="360" w:lineRule="auto"/>
        <w:ind w:firstLine="480" w:firstLineChars="200"/>
        <w:rPr>
          <w:sz w:val="24"/>
        </w:rPr>
      </w:pPr>
      <w:r>
        <w:rPr>
          <w:rFonts w:hint="eastAsia"/>
          <w:sz w:val="24"/>
        </w:rPr>
        <w:t>“码上办事”平台不仅在于纯线上服务能力的建设，也需要不断拓展线上线下交互场景，充分利用码的能力，持续向公共服务场景延伸。如对接掌上省图书馆、省博物馆、南海博物馆等，打通门禁闸机，线上享受预约、购票等便利，线下还可以免带实体证件、凭证进出各类场所。</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bookmarkStart w:id="291" w:name="_Toc26742"/>
      <w:r>
        <w:rPr>
          <w:rFonts w:hint="eastAsia" w:ascii="Arial" w:hAnsi="Arial"/>
          <w:bCs/>
        </w:rPr>
        <w:t>3.1.10.1图书馆对接</w:t>
      </w:r>
      <w:bookmarkEnd w:id="291"/>
    </w:p>
    <w:p>
      <w:pPr>
        <w:spacing w:line="360" w:lineRule="auto"/>
        <w:ind w:firstLine="480" w:firstLineChars="200"/>
        <w:rPr>
          <w:sz w:val="24"/>
        </w:rPr>
      </w:pPr>
      <w:r>
        <w:rPr>
          <w:rFonts w:hint="eastAsia"/>
          <w:sz w:val="24"/>
        </w:rPr>
        <w:t>该场景以业务对接形式实现。将对接海南省图书馆门禁闸机系统，通过一码通可以凭码进出，在码上办事实现线上借阅、报名活动等功能。</w:t>
      </w:r>
    </w:p>
    <w:p>
      <w:pPr>
        <w:spacing w:line="360" w:lineRule="auto"/>
        <w:rPr>
          <w:sz w:val="24"/>
        </w:rPr>
      </w:pPr>
      <w:bookmarkStart w:id="292" w:name="_Toc11178"/>
      <w:r>
        <w:rPr>
          <w:rFonts w:hint="eastAsia"/>
          <w:sz w:val="24"/>
        </w:rPr>
        <w:t>该场景以业务对接形式实现。该场景将对接海南省博物馆门禁闸机系统、展览信息系统，通过一码通可以在线预约、凭码进出，在码上办事实现线上导览、查看活动等功能。</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3.1.10.2海南省博物馆对接</w:t>
      </w:r>
      <w:bookmarkEnd w:id="292"/>
    </w:p>
    <w:p>
      <w:pPr>
        <w:spacing w:line="360" w:lineRule="auto"/>
        <w:ind w:firstLine="480" w:firstLineChars="200"/>
        <w:rPr>
          <w:sz w:val="24"/>
        </w:rPr>
      </w:pPr>
      <w:r>
        <w:rPr>
          <w:rFonts w:hint="eastAsia"/>
          <w:sz w:val="24"/>
        </w:rPr>
        <w:t>该场景以业务对接形式实现。该场景将对接海南省博物馆门禁闸机系统、展览信息系统，通过一码通可以在线预约、凭码进出，在码上办事实现线上导览、查看活动等功能。</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bookmarkStart w:id="293" w:name="_Toc8657"/>
      <w:r>
        <w:rPr>
          <w:rFonts w:hint="eastAsia" w:ascii="Arial" w:hAnsi="Arial"/>
          <w:bCs/>
        </w:rPr>
        <w:t>3.1.10.3中国南海博物馆对接</w:t>
      </w:r>
      <w:bookmarkEnd w:id="293"/>
    </w:p>
    <w:p>
      <w:pPr>
        <w:pStyle w:val="2"/>
        <w:rPr>
          <w:szCs w:val="24"/>
        </w:rPr>
      </w:pPr>
      <w:r>
        <w:t>为助力南海博物馆信息化发展，充分利用互联网渠道，打造线上线下全方位工作服务渠道，本项目将对接南海博物馆线上服务。包括门票预约服务、掌上展览（陈列展览）服务、虚拟展览服务以及活动预约服务。助力南海博物馆打造掌上一站式便民服务窗口。公众可以通过码上办事南海博物馆专区，既能提前预约活动，也能掌上同时查看特定展览信息。</w:t>
      </w:r>
    </w:p>
    <w:p>
      <w:pPr>
        <w:pStyle w:val="6"/>
        <w:ind w:left="402"/>
      </w:pPr>
      <w:r>
        <w:rPr>
          <w:rFonts w:hint="eastAsia"/>
        </w:rPr>
        <w:t>3.1.11教育服务需求</w:t>
      </w:r>
    </w:p>
    <w:p>
      <w:pPr>
        <w:spacing w:line="360" w:lineRule="auto"/>
        <w:ind w:firstLine="480" w:firstLineChars="200"/>
        <w:rPr>
          <w:sz w:val="24"/>
        </w:rPr>
      </w:pPr>
      <w:r>
        <w:rPr>
          <w:rFonts w:hint="eastAsia"/>
          <w:sz w:val="24"/>
        </w:rPr>
        <w:t>为持续发挥平台价值，充分利用好“码上办事”平台的协同能力，本项目教育领域的主要需求有两个方面：第一个是突破创新，将传统的中小学入学招生流程结合“码上办事”平台，进行全流程升级。群众利用本平台可以直接掌上申请学位，同时审核端可以充分利用平台对接的其他厅局单位的信息，对学位申请信息进行快速核验。第二个需求主要是针对各类考试成绩的查询，通过与教育部门对接，将各类考试查询服务接入到本平台。</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3.1.11.1学位申请应用建设</w:t>
      </w:r>
    </w:p>
    <w:p>
      <w:pPr>
        <w:spacing w:line="360" w:lineRule="auto"/>
        <w:ind w:firstLine="480" w:firstLineChars="200"/>
        <w:rPr>
          <w:sz w:val="24"/>
        </w:rPr>
      </w:pPr>
      <w:r>
        <w:rPr>
          <w:rFonts w:hint="eastAsia"/>
          <w:sz w:val="24"/>
        </w:rPr>
        <w:t>码上办事平台在教育领域的拓展应用本期主要体现在学位申请应用系统的建设。本期项目以海口市为试点城市，建设中小学生学位申请应用，通过码上办事平台家长可以掌上填报入学学位申请信息。招生工作人员可以通过后台审核家长提供的材料，同时后台系统通过对接海南省数据共享交换体系，接入不动产信息、户籍信息、居住证信息、社保信息以及新生儿出生信息，直接通过系统自动判断家长提供材料的真实性。</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3.1.11.2考试查询服务对接</w:t>
      </w:r>
    </w:p>
    <w:p>
      <w:pPr>
        <w:spacing w:line="360" w:lineRule="auto"/>
        <w:ind w:firstLine="480" w:firstLineChars="200"/>
      </w:pPr>
      <w:r>
        <w:rPr>
          <w:rFonts w:hint="eastAsia"/>
          <w:sz w:val="24"/>
        </w:rPr>
        <w:t>对接海南省考试局、国办政务服务平台，接入大众类考试查询服务。诸如：英语四六级查询、教师资格证查询、普通话证书考试查询、汉语水平考试查询、高考查询等。</w:t>
      </w:r>
    </w:p>
    <w:p>
      <w:pPr>
        <w:pStyle w:val="6"/>
      </w:pPr>
      <w:r>
        <w:rPr>
          <w:rFonts w:hint="eastAsia"/>
        </w:rPr>
        <w:t>3.1.12民生保障服务需求</w:t>
      </w:r>
    </w:p>
    <w:p>
      <w:pPr>
        <w:spacing w:line="360" w:lineRule="auto"/>
        <w:ind w:firstLine="480" w:firstLineChars="200"/>
        <w:rPr>
          <w:sz w:val="24"/>
        </w:rPr>
      </w:pPr>
      <w:r>
        <w:rPr>
          <w:rFonts w:hint="eastAsia"/>
          <w:sz w:val="24"/>
        </w:rPr>
        <w:t>为给群众提供一站式掌上民生服务，通过与省公安厅警民通对接，整合公安厅户政、出入境、交警、法制等服务。</w:t>
      </w:r>
      <w:bookmarkEnd w:id="285"/>
    </w:p>
    <w:bookmarkEnd w:id="82"/>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3.1.12.1警民通服务对接</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（1）出入境服务接入</w:t>
      </w:r>
    </w:p>
    <w:p>
      <w:pPr>
        <w:spacing w:line="360" w:lineRule="auto"/>
        <w:ind w:firstLine="480" w:firstLineChars="200"/>
        <w:rPr>
          <w:sz w:val="24"/>
        </w:rPr>
      </w:pPr>
      <w:r>
        <w:rPr>
          <w:rFonts w:hint="eastAsia"/>
          <w:sz w:val="24"/>
        </w:rPr>
        <w:t>警民通作为码上办事辅助广大用户办理出入境及其他相关政务的平台模块，并结合公安五证功能，针对出入境场景提供亮证、查证功能。</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（2）法制服务接入</w:t>
      </w:r>
    </w:p>
    <w:p>
      <w:pPr>
        <w:spacing w:line="360" w:lineRule="auto"/>
        <w:ind w:firstLine="480" w:firstLineChars="200"/>
        <w:rPr>
          <w:sz w:val="24"/>
        </w:rPr>
      </w:pPr>
      <w:r>
        <w:rPr>
          <w:rFonts w:hint="eastAsia"/>
          <w:sz w:val="24"/>
        </w:rPr>
        <w:t>警民通作为码上办事辅助广大用户办理法治服务及其他相关政务的平台模块，并结合公安五证功能，针对法制服务场景提供亮证、查证功能。</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（3）户政服务接入</w:t>
      </w:r>
    </w:p>
    <w:p>
      <w:pPr>
        <w:spacing w:line="360" w:lineRule="auto"/>
        <w:ind w:firstLine="480" w:firstLineChars="200"/>
        <w:rPr>
          <w:sz w:val="24"/>
        </w:rPr>
      </w:pPr>
      <w:r>
        <w:rPr>
          <w:rFonts w:hint="eastAsia"/>
          <w:sz w:val="24"/>
        </w:rPr>
        <w:t>警民通作为码上办事辅助广大用户办理户政服务及其他相关政务的平台模块，并结合公安五证功能，针对户政服务场景提供亮证、查证功能。</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（4）交警服务接入</w:t>
      </w:r>
    </w:p>
    <w:p>
      <w:pPr>
        <w:spacing w:line="360" w:lineRule="auto"/>
        <w:ind w:firstLine="480" w:firstLineChars="200"/>
        <w:rPr>
          <w:sz w:val="24"/>
        </w:rPr>
      </w:pPr>
      <w:r>
        <w:rPr>
          <w:rFonts w:hint="eastAsia"/>
          <w:sz w:val="24"/>
        </w:rPr>
        <w:t>警民通作为码上办事辅助广大用户办理交警服务及其他相关政务的平台模块，并结合公安五证功能，针对交警服务场景提供亮证、查证功能。</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（5）治安服务接入</w:t>
      </w:r>
    </w:p>
    <w:p>
      <w:pPr>
        <w:spacing w:line="360" w:lineRule="auto"/>
        <w:ind w:firstLine="480" w:firstLineChars="200"/>
        <w:rPr>
          <w:sz w:val="24"/>
        </w:rPr>
      </w:pPr>
      <w:r>
        <w:rPr>
          <w:rFonts w:hint="eastAsia"/>
          <w:sz w:val="24"/>
        </w:rPr>
        <w:t>警民通作为码上办事辅助广大用户办理治安服务及其他相关政务的平台模块，并结合公安五证功能，针对治安服务场景提供亮证、查证功能。</w:t>
      </w:r>
    </w:p>
    <w:p>
      <w:pPr>
        <w:pStyle w:val="6"/>
        <w:widowControl/>
        <w:spacing w:line="360" w:lineRule="auto"/>
      </w:pPr>
      <w:bookmarkStart w:id="294" w:name="_Toc30526823"/>
      <w:r>
        <w:t>3.1.</w:t>
      </w:r>
      <w:bookmarkStart w:id="295" w:name="_Toc493702792"/>
      <w:bookmarkStart w:id="296" w:name="_Toc10058"/>
      <w:r>
        <w:t>13</w:t>
      </w:r>
      <w:r>
        <w:rPr>
          <w:rFonts w:hint="eastAsia"/>
        </w:rPr>
        <w:t>业务协同需求</w:t>
      </w:r>
      <w:bookmarkEnd w:id="295"/>
      <w:bookmarkEnd w:id="296"/>
    </w:p>
    <w:p>
      <w:pPr>
        <w:pStyle w:val="7"/>
        <w:keepNext w:val="0"/>
        <w:keepLines w:val="0"/>
        <w:tabs>
          <w:tab w:val="left" w:pos="425"/>
          <w:tab w:val="left" w:pos="560"/>
        </w:tabs>
        <w:spacing w:before="240" w:after="156"/>
        <w:ind w:firstLine="482" w:firstLineChars="200"/>
        <w:rPr>
          <w:rFonts w:ascii="Arial" w:hAnsi="Arial"/>
          <w:bCs/>
        </w:rPr>
      </w:pPr>
      <w:bookmarkStart w:id="297" w:name="_Toc8640"/>
      <w:r>
        <w:rPr>
          <w:rFonts w:ascii="Arial" w:hAnsi="Arial"/>
          <w:bCs/>
        </w:rPr>
        <w:t>3.1.13.1</w:t>
      </w:r>
      <w:r>
        <w:rPr>
          <w:rFonts w:hint="eastAsia" w:ascii="Arial" w:hAnsi="Arial"/>
          <w:bCs/>
        </w:rPr>
        <w:t>内部协同共享</w:t>
      </w:r>
      <w:bookmarkEnd w:id="297"/>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平台的“办事”板块主要是政务服务内容，涵盖省级全部政务服务网厅可办理事项，在事项的梳理与信息同步上，需要与省政务一体化平台对接，能在“码上办事”平台办理的则在移动端完成办理，不能在移动端办理的可以进行预约办理，做到掌上预约，现场办理的业务协同效果。同时无论线下、线上办理的事项进度，也需要同步到“码上办事”平台，社会公众可以通过移动端查看各类事项办理的进度。另外“码上办事”平台上还可以对办理的事项进行评价。</w:t>
      </w:r>
    </w:p>
    <w:p>
      <w:pPr>
        <w:pStyle w:val="7"/>
        <w:keepNext w:val="0"/>
        <w:keepLines w:val="0"/>
        <w:tabs>
          <w:tab w:val="left" w:pos="425"/>
          <w:tab w:val="left" w:pos="560"/>
        </w:tabs>
        <w:spacing w:before="240" w:after="156"/>
        <w:ind w:firstLine="482" w:firstLineChars="200"/>
        <w:rPr>
          <w:rFonts w:ascii="Arial" w:hAnsi="Arial"/>
          <w:bCs/>
        </w:rPr>
      </w:pPr>
      <w:bookmarkStart w:id="298" w:name="_Toc8544"/>
      <w:r>
        <w:rPr>
          <w:rFonts w:ascii="Arial" w:hAnsi="Arial"/>
          <w:bCs/>
        </w:rPr>
        <w:t>3.1.13.2</w:t>
      </w:r>
      <w:r>
        <w:rPr>
          <w:rFonts w:hint="eastAsia" w:ascii="Arial" w:hAnsi="Arial"/>
          <w:bCs/>
        </w:rPr>
        <w:t>外部协同需求</w:t>
      </w:r>
      <w:bookmarkEnd w:id="298"/>
    </w:p>
    <w:p>
      <w:pPr>
        <w:widowControl/>
        <w:spacing w:line="360" w:lineRule="auto"/>
        <w:ind w:firstLine="480" w:firstLineChars="200"/>
        <w:rPr>
          <w:rFonts w:ascii="宋体" w:hAnsi="宋体" w:cs="宋体"/>
          <w:kern w:val="0"/>
          <w:sz w:val="24"/>
        </w:rPr>
      </w:pPr>
      <w:r>
        <w:rPr>
          <w:rFonts w:hint="eastAsia" w:ascii="宋体" w:hAnsi="宋体" w:cs="宋体"/>
          <w:kern w:val="0"/>
          <w:sz w:val="24"/>
        </w:rPr>
        <w:t>“码上办事”平台除了与内部一体化平台进行信息协同共享之外，还需要与其他省级政务服务事项平台进行打通，做到省级垂直业务服务平台的横向互联。涉及公安业务的需要与省公安厅的警民通平台打通，涉及社保业务的需要与省人社厅打通，涉及到医保业务的需要与医保局打通。涉及到生活消费领域的需要与海南免税、三亚免税、跨境购等消费平台打通。涉及到医疗卫生服务的需要与省人民医院、海医二附院的电子病历信息打通。</w:t>
      </w:r>
    </w:p>
    <w:p>
      <w:pPr>
        <w:pStyle w:val="6"/>
        <w:widowControl/>
        <w:spacing w:line="360" w:lineRule="auto"/>
      </w:pPr>
      <w:r>
        <w:t>3.</w:t>
      </w:r>
      <w:r>
        <w:rPr>
          <w:rFonts w:hint="eastAsia"/>
        </w:rPr>
        <w:t>1.</w:t>
      </w:r>
      <w:bookmarkStart w:id="299" w:name="_Toc17899"/>
      <w:bookmarkStart w:id="300" w:name="_Toc493702793"/>
      <w:r>
        <w:rPr>
          <w:rFonts w:hint="eastAsia"/>
        </w:rPr>
        <w:t>14信息交换与共享需求</w:t>
      </w:r>
      <w:bookmarkEnd w:id="299"/>
      <w:bookmarkEnd w:id="300"/>
    </w:p>
    <w:p>
      <w:pPr>
        <w:widowControl/>
        <w:spacing w:line="360" w:lineRule="auto"/>
        <w:ind w:firstLine="480"/>
        <w:jc w:val="left"/>
        <w:rPr>
          <w:rFonts w:ascii="宋体" w:hAnsi="宋体" w:cs="宋体"/>
          <w:kern w:val="0"/>
          <w:sz w:val="24"/>
        </w:rPr>
      </w:pPr>
      <w:r>
        <w:rPr>
          <w:rFonts w:hint="eastAsia" w:ascii="宋体" w:hAnsi="宋体" w:cs="宋体"/>
          <w:kern w:val="0"/>
          <w:sz w:val="24"/>
        </w:rPr>
        <w:t>“码上办事”平台需要构建个人、法人的专属数字空间，以个人、法人特性标签来抽象出平台能力，以平台能力引入适用场景，以适用场景带动“码上办事”平台的交互场景，以交互场景正向推动各部门信息协同与共享。</w:t>
      </w:r>
    </w:p>
    <w:p>
      <w:pPr>
        <w:pStyle w:val="6"/>
        <w:widowControl/>
        <w:spacing w:line="360" w:lineRule="auto"/>
      </w:pPr>
      <w:bookmarkStart w:id="301" w:name="_Toc26525450"/>
      <w:r>
        <w:t>3.1.</w:t>
      </w:r>
      <w:bookmarkEnd w:id="301"/>
      <w:bookmarkStart w:id="302" w:name="_Toc18386"/>
      <w:bookmarkStart w:id="303" w:name="_Toc493702796"/>
      <w:r>
        <w:t>15</w:t>
      </w:r>
      <w:r>
        <w:rPr>
          <w:rFonts w:hint="eastAsia"/>
        </w:rPr>
        <w:t>云服务需求</w:t>
      </w:r>
      <w:bookmarkEnd w:id="302"/>
      <w:bookmarkEnd w:id="303"/>
    </w:p>
    <w:p>
      <w:pPr>
        <w:widowControl/>
        <w:spacing w:line="360" w:lineRule="auto"/>
        <w:ind w:firstLine="480"/>
        <w:jc w:val="left"/>
        <w:rPr>
          <w:rFonts w:ascii="宋体" w:hAnsi="宋体" w:cs="宋体"/>
          <w:kern w:val="0"/>
          <w:sz w:val="24"/>
        </w:rPr>
      </w:pPr>
      <w:bookmarkStart w:id="304" w:name="_Toc25605569"/>
      <w:r>
        <w:rPr>
          <w:rFonts w:hint="eastAsia" w:ascii="宋体" w:hAnsi="宋体" w:cs="宋体"/>
          <w:kern w:val="0"/>
          <w:sz w:val="24"/>
        </w:rPr>
        <w:t>本项目依托海南省电子政务云平台进行建设，云资源需求全部由政务云统一提供。考虑到码上办事平台未来将服务全省超1500W人群的服务，并建立面向海内外游客、海内外人才等群体，构建面向办事、消费、医疗、扶贫、信用等综合性场景，可预期日访问数超200万人次，因此需要构建码上办事平台的高可用性、安全性。按照使用需求进行相关虚拟服务器的申请。云资源使用需求表：</w:t>
      </w:r>
    </w:p>
    <w:tbl>
      <w:tblPr>
        <w:tblStyle w:val="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546"/>
        <w:gridCol w:w="3704"/>
        <w:gridCol w:w="510"/>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396" w:type="pct"/>
            <w:tcBorders>
              <w:top w:val="single" w:color="auto" w:sz="4" w:space="0"/>
              <w:left w:val="single" w:color="auto" w:sz="4" w:space="0"/>
              <w:bottom w:val="single" w:color="auto" w:sz="4" w:space="0"/>
              <w:right w:val="single" w:color="auto" w:sz="4" w:space="0"/>
            </w:tcBorders>
            <w:shd w:val="clear" w:color="auto" w:fill="F2F2F2"/>
            <w:vAlign w:val="center"/>
          </w:tcPr>
          <w:p>
            <w:r>
              <w:rPr>
                <w:rFonts w:hint="eastAsia"/>
              </w:rPr>
              <w:t>序号</w:t>
            </w:r>
          </w:p>
        </w:tc>
        <w:tc>
          <w:tcPr>
            <w:tcW w:w="907" w:type="pct"/>
            <w:tcBorders>
              <w:top w:val="single" w:color="auto" w:sz="4" w:space="0"/>
              <w:left w:val="single" w:color="auto" w:sz="4" w:space="0"/>
              <w:bottom w:val="single" w:color="auto" w:sz="4" w:space="0"/>
              <w:right w:val="single" w:color="auto" w:sz="4" w:space="0"/>
            </w:tcBorders>
            <w:shd w:val="clear" w:color="auto" w:fill="F2F2F2"/>
            <w:vAlign w:val="center"/>
          </w:tcPr>
          <w:p>
            <w:r>
              <w:rPr>
                <w:rFonts w:hint="eastAsia"/>
              </w:rPr>
              <w:t>资源名称</w:t>
            </w:r>
          </w:p>
        </w:tc>
        <w:tc>
          <w:tcPr>
            <w:tcW w:w="2173" w:type="pct"/>
            <w:tcBorders>
              <w:top w:val="single" w:color="auto" w:sz="4" w:space="0"/>
              <w:left w:val="single" w:color="auto" w:sz="4" w:space="0"/>
              <w:bottom w:val="single" w:color="auto" w:sz="4" w:space="0"/>
              <w:right w:val="single" w:color="auto" w:sz="4" w:space="0"/>
            </w:tcBorders>
            <w:shd w:val="clear" w:color="auto" w:fill="F2F2F2"/>
            <w:vAlign w:val="center"/>
          </w:tcPr>
          <w:p>
            <w:r>
              <w:rPr>
                <w:rFonts w:hint="eastAsia"/>
              </w:rPr>
              <w:t>配置参数</w:t>
            </w:r>
          </w:p>
        </w:tc>
        <w:tc>
          <w:tcPr>
            <w:tcW w:w="299" w:type="pct"/>
            <w:tcBorders>
              <w:top w:val="single" w:color="auto" w:sz="4" w:space="0"/>
              <w:left w:val="single" w:color="auto" w:sz="4" w:space="0"/>
              <w:bottom w:val="single" w:color="auto" w:sz="4" w:space="0"/>
              <w:right w:val="single" w:color="auto" w:sz="4" w:space="0"/>
            </w:tcBorders>
            <w:shd w:val="clear" w:color="auto" w:fill="F2F2F2"/>
            <w:vAlign w:val="center"/>
          </w:tcPr>
          <w:p>
            <w:r>
              <w:rPr>
                <w:rFonts w:hint="eastAsia"/>
              </w:rPr>
              <w:t>数量</w:t>
            </w:r>
          </w:p>
        </w:tc>
        <w:tc>
          <w:tcPr>
            <w:tcW w:w="1225" w:type="pct"/>
            <w:tcBorders>
              <w:top w:val="single" w:color="auto" w:sz="4" w:space="0"/>
              <w:left w:val="single" w:color="auto" w:sz="4" w:space="0"/>
              <w:bottom w:val="single" w:color="auto" w:sz="4" w:space="0"/>
              <w:right w:val="single" w:color="auto" w:sz="4" w:space="0"/>
            </w:tcBorders>
            <w:shd w:val="clear" w:color="auto" w:fill="F2F2F2"/>
            <w:vAlign w:val="center"/>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96" w:type="pct"/>
            <w:tcBorders>
              <w:top w:val="single" w:color="auto" w:sz="4" w:space="0"/>
              <w:left w:val="single" w:color="auto" w:sz="4" w:space="0"/>
              <w:bottom w:val="single" w:color="auto" w:sz="4" w:space="0"/>
              <w:right w:val="single" w:color="auto" w:sz="4" w:space="0"/>
            </w:tcBorders>
            <w:vAlign w:val="center"/>
          </w:tcPr>
          <w:p>
            <w:r>
              <w:t>1</w:t>
            </w:r>
          </w:p>
        </w:tc>
        <w:tc>
          <w:tcPr>
            <w:tcW w:w="907" w:type="pct"/>
            <w:tcBorders>
              <w:top w:val="single" w:color="auto" w:sz="4" w:space="0"/>
              <w:left w:val="single" w:color="auto" w:sz="4" w:space="0"/>
              <w:bottom w:val="single" w:color="auto" w:sz="4" w:space="0"/>
              <w:right w:val="single" w:color="auto" w:sz="4" w:space="0"/>
            </w:tcBorders>
            <w:vAlign w:val="center"/>
          </w:tcPr>
          <w:p>
            <w:r>
              <w:rPr>
                <w:rFonts w:hint="eastAsia"/>
              </w:rPr>
              <w:t>应用服务器</w:t>
            </w:r>
          </w:p>
        </w:tc>
        <w:tc>
          <w:tcPr>
            <w:tcW w:w="2173" w:type="pct"/>
            <w:tcBorders>
              <w:top w:val="single" w:color="auto" w:sz="4" w:space="0"/>
              <w:left w:val="single" w:color="auto" w:sz="4" w:space="0"/>
              <w:bottom w:val="single" w:color="auto" w:sz="4" w:space="0"/>
              <w:right w:val="single" w:color="auto" w:sz="4" w:space="0"/>
            </w:tcBorders>
            <w:vAlign w:val="center"/>
          </w:tcPr>
          <w:p>
            <w:r>
              <w:t>4</w:t>
            </w:r>
            <w:r>
              <w:rPr>
                <w:rFonts w:hint="eastAsia"/>
              </w:rPr>
              <w:t>核</w:t>
            </w:r>
            <w:r>
              <w:t>CPU</w:t>
            </w:r>
            <w:r>
              <w:rPr>
                <w:rFonts w:hint="eastAsia"/>
              </w:rPr>
              <w:t>，</w:t>
            </w:r>
            <w:r>
              <w:t xml:space="preserve"> 32G</w:t>
            </w:r>
            <w:r>
              <w:rPr>
                <w:rFonts w:hint="eastAsia"/>
              </w:rPr>
              <w:t>内存</w:t>
            </w:r>
            <w:r>
              <w:t xml:space="preserve"> 600G</w:t>
            </w:r>
            <w:r>
              <w:rPr>
                <w:rFonts w:hint="eastAsia"/>
              </w:rPr>
              <w:t>硬盘</w:t>
            </w:r>
          </w:p>
        </w:tc>
        <w:tc>
          <w:tcPr>
            <w:tcW w:w="299" w:type="pct"/>
            <w:tcBorders>
              <w:top w:val="single" w:color="auto" w:sz="4" w:space="0"/>
              <w:left w:val="single" w:color="auto" w:sz="4" w:space="0"/>
              <w:bottom w:val="single" w:color="auto" w:sz="4" w:space="0"/>
              <w:right w:val="single" w:color="auto" w:sz="4" w:space="0"/>
            </w:tcBorders>
            <w:vAlign w:val="center"/>
          </w:tcPr>
          <w:p>
            <w:r>
              <w:t>20</w:t>
            </w:r>
          </w:p>
        </w:tc>
        <w:tc>
          <w:tcPr>
            <w:tcW w:w="1225" w:type="pct"/>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96" w:type="pct"/>
            <w:tcBorders>
              <w:top w:val="single" w:color="auto" w:sz="4" w:space="0"/>
              <w:left w:val="single" w:color="auto" w:sz="4" w:space="0"/>
              <w:bottom w:val="single" w:color="auto" w:sz="4" w:space="0"/>
              <w:right w:val="single" w:color="auto" w:sz="4" w:space="0"/>
            </w:tcBorders>
            <w:vAlign w:val="center"/>
          </w:tcPr>
          <w:p>
            <w:r>
              <w:t>2</w:t>
            </w:r>
          </w:p>
        </w:tc>
        <w:tc>
          <w:tcPr>
            <w:tcW w:w="907" w:type="pct"/>
            <w:tcBorders>
              <w:top w:val="single" w:color="auto" w:sz="4" w:space="0"/>
              <w:left w:val="single" w:color="auto" w:sz="4" w:space="0"/>
              <w:bottom w:val="single" w:color="auto" w:sz="4" w:space="0"/>
              <w:right w:val="single" w:color="auto" w:sz="4" w:space="0"/>
            </w:tcBorders>
            <w:vAlign w:val="center"/>
          </w:tcPr>
          <w:p>
            <w:r>
              <w:rPr>
                <w:rFonts w:hint="eastAsia"/>
              </w:rPr>
              <w:t>缓存服务器</w:t>
            </w:r>
          </w:p>
        </w:tc>
        <w:tc>
          <w:tcPr>
            <w:tcW w:w="2173" w:type="pct"/>
            <w:tcBorders>
              <w:top w:val="single" w:color="auto" w:sz="4" w:space="0"/>
              <w:left w:val="single" w:color="auto" w:sz="4" w:space="0"/>
              <w:bottom w:val="single" w:color="auto" w:sz="4" w:space="0"/>
              <w:right w:val="single" w:color="auto" w:sz="4" w:space="0"/>
            </w:tcBorders>
            <w:vAlign w:val="center"/>
          </w:tcPr>
          <w:p>
            <w:r>
              <w:t>4</w:t>
            </w:r>
            <w:r>
              <w:rPr>
                <w:rFonts w:hint="eastAsia"/>
              </w:rPr>
              <w:t>核</w:t>
            </w:r>
            <w:r>
              <w:t>CPU</w:t>
            </w:r>
            <w:r>
              <w:rPr>
                <w:rFonts w:hint="eastAsia"/>
              </w:rPr>
              <w:t>，</w:t>
            </w:r>
            <w:r>
              <w:t xml:space="preserve"> 64G</w:t>
            </w:r>
            <w:r>
              <w:rPr>
                <w:rFonts w:hint="eastAsia"/>
              </w:rPr>
              <w:t>内存</w:t>
            </w:r>
            <w:r>
              <w:t xml:space="preserve"> 600G</w:t>
            </w:r>
            <w:r>
              <w:rPr>
                <w:rFonts w:hint="eastAsia"/>
              </w:rPr>
              <w:t>硬盘</w:t>
            </w:r>
          </w:p>
        </w:tc>
        <w:tc>
          <w:tcPr>
            <w:tcW w:w="299" w:type="pct"/>
            <w:tcBorders>
              <w:top w:val="single" w:color="auto" w:sz="4" w:space="0"/>
              <w:left w:val="single" w:color="auto" w:sz="4" w:space="0"/>
              <w:bottom w:val="single" w:color="auto" w:sz="4" w:space="0"/>
              <w:right w:val="single" w:color="auto" w:sz="4" w:space="0"/>
            </w:tcBorders>
            <w:vAlign w:val="center"/>
          </w:tcPr>
          <w:p>
            <w:r>
              <w:t>8</w:t>
            </w:r>
          </w:p>
        </w:tc>
        <w:tc>
          <w:tcPr>
            <w:tcW w:w="1225" w:type="pct"/>
            <w:tcBorders>
              <w:top w:val="single" w:color="auto" w:sz="4" w:space="0"/>
              <w:left w:val="single" w:color="auto" w:sz="4" w:space="0"/>
              <w:bottom w:val="single" w:color="auto" w:sz="4" w:space="0"/>
              <w:right w:val="single" w:color="auto" w:sz="4" w:space="0"/>
            </w:tcBorders>
            <w:vAlign w:val="center"/>
          </w:tcPr>
          <w:p>
            <w:r>
              <w:t>Redis</w:t>
            </w:r>
            <w:r>
              <w:rPr>
                <w:rFonts w:hint="eastAsia"/>
              </w:rPr>
              <w:t>缓存服务使用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96" w:type="pct"/>
            <w:tcBorders>
              <w:top w:val="single" w:color="auto" w:sz="4" w:space="0"/>
              <w:left w:val="single" w:color="auto" w:sz="4" w:space="0"/>
              <w:bottom w:val="single" w:color="auto" w:sz="4" w:space="0"/>
              <w:right w:val="single" w:color="auto" w:sz="4" w:space="0"/>
            </w:tcBorders>
            <w:vAlign w:val="center"/>
          </w:tcPr>
          <w:p>
            <w:r>
              <w:t>3</w:t>
            </w:r>
          </w:p>
        </w:tc>
        <w:tc>
          <w:tcPr>
            <w:tcW w:w="907" w:type="pct"/>
            <w:tcBorders>
              <w:top w:val="single" w:color="auto" w:sz="4" w:space="0"/>
              <w:left w:val="single" w:color="auto" w:sz="4" w:space="0"/>
              <w:bottom w:val="single" w:color="auto" w:sz="4" w:space="0"/>
              <w:right w:val="single" w:color="auto" w:sz="4" w:space="0"/>
            </w:tcBorders>
            <w:vAlign w:val="center"/>
          </w:tcPr>
          <w:p>
            <w:r>
              <w:rPr>
                <w:rFonts w:hint="eastAsia"/>
              </w:rPr>
              <w:t>数据库服务器</w:t>
            </w:r>
          </w:p>
        </w:tc>
        <w:tc>
          <w:tcPr>
            <w:tcW w:w="2173" w:type="pct"/>
            <w:tcBorders>
              <w:top w:val="single" w:color="auto" w:sz="4" w:space="0"/>
              <w:left w:val="single" w:color="auto" w:sz="4" w:space="0"/>
              <w:bottom w:val="single" w:color="auto" w:sz="4" w:space="0"/>
              <w:right w:val="single" w:color="auto" w:sz="4" w:space="0"/>
            </w:tcBorders>
            <w:vAlign w:val="center"/>
          </w:tcPr>
          <w:p>
            <w:r>
              <w:t>4</w:t>
            </w:r>
            <w:r>
              <w:rPr>
                <w:rFonts w:hint="eastAsia"/>
              </w:rPr>
              <w:t>核</w:t>
            </w:r>
            <w:r>
              <w:t>CPU</w:t>
            </w:r>
            <w:r>
              <w:rPr>
                <w:rFonts w:hint="eastAsia"/>
              </w:rPr>
              <w:t>，</w:t>
            </w:r>
            <w:r>
              <w:t xml:space="preserve"> 32G</w:t>
            </w:r>
            <w:r>
              <w:rPr>
                <w:rFonts w:hint="eastAsia"/>
              </w:rPr>
              <w:t>内存</w:t>
            </w:r>
            <w:r>
              <w:t xml:space="preserve"> 600G</w:t>
            </w:r>
            <w:r>
              <w:rPr>
                <w:rFonts w:hint="eastAsia"/>
              </w:rPr>
              <w:t>硬盘</w:t>
            </w:r>
          </w:p>
        </w:tc>
        <w:tc>
          <w:tcPr>
            <w:tcW w:w="299" w:type="pct"/>
            <w:tcBorders>
              <w:top w:val="single" w:color="auto" w:sz="4" w:space="0"/>
              <w:left w:val="single" w:color="auto" w:sz="4" w:space="0"/>
              <w:bottom w:val="single" w:color="auto" w:sz="4" w:space="0"/>
              <w:right w:val="single" w:color="auto" w:sz="4" w:space="0"/>
            </w:tcBorders>
            <w:vAlign w:val="center"/>
          </w:tcPr>
          <w:p>
            <w:r>
              <w:t>8</w:t>
            </w:r>
          </w:p>
        </w:tc>
        <w:tc>
          <w:tcPr>
            <w:tcW w:w="1225" w:type="pct"/>
            <w:tcBorders>
              <w:top w:val="single" w:color="auto" w:sz="4" w:space="0"/>
              <w:left w:val="single" w:color="auto" w:sz="4" w:space="0"/>
              <w:bottom w:val="single" w:color="auto" w:sz="4" w:space="0"/>
              <w:right w:val="single" w:color="auto" w:sz="4" w:space="0"/>
            </w:tcBorders>
            <w:vAlign w:val="center"/>
          </w:tcPr>
          <w:p>
            <w:r>
              <w:rPr>
                <w:rFonts w:hint="eastAsia"/>
              </w:rPr>
              <w:t>主备各</w:t>
            </w:r>
            <w:r>
              <w:t>4</w:t>
            </w: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96" w:type="pct"/>
            <w:tcBorders>
              <w:top w:val="single" w:color="auto" w:sz="4" w:space="0"/>
              <w:left w:val="single" w:color="auto" w:sz="4" w:space="0"/>
              <w:bottom w:val="single" w:color="auto" w:sz="4" w:space="0"/>
              <w:right w:val="single" w:color="auto" w:sz="4" w:space="0"/>
            </w:tcBorders>
            <w:vAlign w:val="center"/>
          </w:tcPr>
          <w:p>
            <w:r>
              <w:t>4</w:t>
            </w:r>
          </w:p>
        </w:tc>
        <w:tc>
          <w:tcPr>
            <w:tcW w:w="907" w:type="pct"/>
            <w:tcBorders>
              <w:top w:val="single" w:color="auto" w:sz="4" w:space="0"/>
              <w:left w:val="single" w:color="auto" w:sz="4" w:space="0"/>
              <w:bottom w:val="single" w:color="auto" w:sz="4" w:space="0"/>
              <w:right w:val="single" w:color="auto" w:sz="4" w:space="0"/>
            </w:tcBorders>
            <w:vAlign w:val="center"/>
          </w:tcPr>
          <w:p>
            <w:r>
              <w:rPr>
                <w:rFonts w:hint="eastAsia"/>
              </w:rPr>
              <w:t>测试服务器</w:t>
            </w:r>
          </w:p>
        </w:tc>
        <w:tc>
          <w:tcPr>
            <w:tcW w:w="2173" w:type="pct"/>
            <w:tcBorders>
              <w:top w:val="single" w:color="auto" w:sz="4" w:space="0"/>
              <w:left w:val="single" w:color="auto" w:sz="4" w:space="0"/>
              <w:bottom w:val="single" w:color="auto" w:sz="4" w:space="0"/>
              <w:right w:val="single" w:color="auto" w:sz="4" w:space="0"/>
            </w:tcBorders>
            <w:vAlign w:val="center"/>
          </w:tcPr>
          <w:p>
            <w:r>
              <w:t>4</w:t>
            </w:r>
            <w:r>
              <w:rPr>
                <w:rFonts w:hint="eastAsia"/>
              </w:rPr>
              <w:t>核</w:t>
            </w:r>
            <w:r>
              <w:t>CPU</w:t>
            </w:r>
            <w:r>
              <w:rPr>
                <w:rFonts w:hint="eastAsia"/>
              </w:rPr>
              <w:t>，</w:t>
            </w:r>
            <w:r>
              <w:t xml:space="preserve"> 32G</w:t>
            </w:r>
            <w:r>
              <w:rPr>
                <w:rFonts w:hint="eastAsia"/>
              </w:rPr>
              <w:t>内存</w:t>
            </w:r>
            <w:r>
              <w:t xml:space="preserve"> 600G</w:t>
            </w:r>
            <w:r>
              <w:rPr>
                <w:rFonts w:hint="eastAsia"/>
              </w:rPr>
              <w:t>硬盘</w:t>
            </w:r>
          </w:p>
        </w:tc>
        <w:tc>
          <w:tcPr>
            <w:tcW w:w="299" w:type="pct"/>
            <w:tcBorders>
              <w:top w:val="single" w:color="auto" w:sz="4" w:space="0"/>
              <w:left w:val="single" w:color="auto" w:sz="4" w:space="0"/>
              <w:bottom w:val="single" w:color="auto" w:sz="4" w:space="0"/>
              <w:right w:val="single" w:color="auto" w:sz="4" w:space="0"/>
            </w:tcBorders>
            <w:vAlign w:val="center"/>
          </w:tcPr>
          <w:p>
            <w:r>
              <w:t>8</w:t>
            </w:r>
          </w:p>
        </w:tc>
        <w:tc>
          <w:tcPr>
            <w:tcW w:w="1225" w:type="pct"/>
            <w:tcBorders>
              <w:top w:val="single" w:color="auto" w:sz="4" w:space="0"/>
              <w:left w:val="single" w:color="auto" w:sz="4" w:space="0"/>
              <w:bottom w:val="single" w:color="auto" w:sz="4" w:space="0"/>
              <w:right w:val="single" w:color="auto" w:sz="4" w:space="0"/>
            </w:tcBorders>
            <w:vAlign w:val="center"/>
          </w:tcPr>
          <w:p>
            <w:r>
              <w:rPr>
                <w:rFonts w:hint="eastAsia"/>
              </w:rPr>
              <w:t>应用和数据库各</w:t>
            </w:r>
            <w:r>
              <w:t>4</w:t>
            </w: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96" w:type="pct"/>
            <w:tcBorders>
              <w:top w:val="single" w:color="auto" w:sz="4" w:space="0"/>
              <w:left w:val="single" w:color="auto" w:sz="4" w:space="0"/>
              <w:bottom w:val="single" w:color="auto" w:sz="4" w:space="0"/>
              <w:right w:val="single" w:color="auto" w:sz="4" w:space="0"/>
            </w:tcBorders>
            <w:vAlign w:val="center"/>
          </w:tcPr>
          <w:p>
            <w:r>
              <w:t>5</w:t>
            </w:r>
          </w:p>
        </w:tc>
        <w:tc>
          <w:tcPr>
            <w:tcW w:w="907" w:type="pct"/>
            <w:tcBorders>
              <w:top w:val="single" w:color="auto" w:sz="4" w:space="0"/>
              <w:left w:val="single" w:color="auto" w:sz="4" w:space="0"/>
              <w:bottom w:val="single" w:color="auto" w:sz="4" w:space="0"/>
              <w:right w:val="single" w:color="auto" w:sz="4" w:space="0"/>
            </w:tcBorders>
            <w:vAlign w:val="center"/>
          </w:tcPr>
          <w:p>
            <w:r>
              <w:rPr>
                <w:rFonts w:hint="eastAsia"/>
              </w:rPr>
              <w:t>云负载资源需求</w:t>
            </w:r>
          </w:p>
        </w:tc>
        <w:tc>
          <w:tcPr>
            <w:tcW w:w="2173" w:type="pct"/>
            <w:tcBorders>
              <w:top w:val="single" w:color="auto" w:sz="4" w:space="0"/>
              <w:left w:val="single" w:color="auto" w:sz="4" w:space="0"/>
              <w:bottom w:val="single" w:color="auto" w:sz="4" w:space="0"/>
              <w:right w:val="single" w:color="auto" w:sz="4" w:space="0"/>
            </w:tcBorders>
            <w:vAlign w:val="center"/>
          </w:tcPr>
          <w:p>
            <w:r>
              <w:rPr>
                <w:rFonts w:hint="eastAsia"/>
              </w:rPr>
              <w:t>提供两个节点和证书加载功能的负载服务</w:t>
            </w:r>
          </w:p>
        </w:tc>
        <w:tc>
          <w:tcPr>
            <w:tcW w:w="299" w:type="pct"/>
            <w:tcBorders>
              <w:top w:val="single" w:color="auto" w:sz="4" w:space="0"/>
              <w:left w:val="single" w:color="auto" w:sz="4" w:space="0"/>
              <w:bottom w:val="single" w:color="auto" w:sz="4" w:space="0"/>
              <w:right w:val="single" w:color="auto" w:sz="4" w:space="0"/>
            </w:tcBorders>
            <w:vAlign w:val="center"/>
          </w:tcPr>
          <w:p>
            <w:r>
              <w:t>4</w:t>
            </w:r>
          </w:p>
        </w:tc>
        <w:tc>
          <w:tcPr>
            <w:tcW w:w="1225" w:type="pct"/>
            <w:tcBorders>
              <w:top w:val="single" w:color="auto" w:sz="4" w:space="0"/>
              <w:left w:val="single" w:color="auto" w:sz="4" w:space="0"/>
              <w:bottom w:val="single" w:color="auto" w:sz="4" w:space="0"/>
              <w:right w:val="single" w:color="auto" w:sz="4" w:space="0"/>
            </w:tcBorders>
            <w:vAlign w:val="center"/>
          </w:tcPr>
          <w:p>
            <w:r>
              <w:rPr>
                <w:rFonts w:hint="eastAsia"/>
              </w:rPr>
              <w:t>并提供相关服务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96" w:type="pct"/>
            <w:tcBorders>
              <w:top w:val="single" w:color="auto" w:sz="4" w:space="0"/>
              <w:left w:val="single" w:color="auto" w:sz="4" w:space="0"/>
              <w:bottom w:val="single" w:color="auto" w:sz="4" w:space="0"/>
              <w:right w:val="single" w:color="auto" w:sz="4" w:space="0"/>
            </w:tcBorders>
            <w:vAlign w:val="center"/>
          </w:tcPr>
          <w:p>
            <w:r>
              <w:t>6</w:t>
            </w:r>
          </w:p>
        </w:tc>
        <w:tc>
          <w:tcPr>
            <w:tcW w:w="907" w:type="pct"/>
            <w:tcBorders>
              <w:top w:val="single" w:color="auto" w:sz="4" w:space="0"/>
              <w:left w:val="single" w:color="auto" w:sz="4" w:space="0"/>
              <w:bottom w:val="single" w:color="auto" w:sz="4" w:space="0"/>
              <w:right w:val="single" w:color="auto" w:sz="4" w:space="0"/>
            </w:tcBorders>
            <w:vAlign w:val="center"/>
          </w:tcPr>
          <w:p>
            <w:r>
              <w:rPr>
                <w:rFonts w:hint="eastAsia"/>
              </w:rPr>
              <w:t>云数据库资源需求</w:t>
            </w:r>
          </w:p>
        </w:tc>
        <w:tc>
          <w:tcPr>
            <w:tcW w:w="2173" w:type="pct"/>
            <w:tcBorders>
              <w:top w:val="single" w:color="auto" w:sz="4" w:space="0"/>
              <w:left w:val="single" w:color="auto" w:sz="4" w:space="0"/>
              <w:bottom w:val="single" w:color="auto" w:sz="4" w:space="0"/>
              <w:right w:val="single" w:color="auto" w:sz="4" w:space="0"/>
            </w:tcBorders>
            <w:vAlign w:val="center"/>
          </w:tcPr>
          <w:p>
            <w:r>
              <w:rPr>
                <w:rFonts w:hint="eastAsia"/>
              </w:rPr>
              <w:t>提供可供使用的数据库系统，工</w:t>
            </w:r>
            <w:r>
              <w:t>2</w:t>
            </w:r>
            <w:r>
              <w:rPr>
                <w:rFonts w:hint="eastAsia"/>
              </w:rPr>
              <w:t>个接单</w:t>
            </w:r>
          </w:p>
        </w:tc>
        <w:tc>
          <w:tcPr>
            <w:tcW w:w="299" w:type="pct"/>
            <w:tcBorders>
              <w:top w:val="single" w:color="auto" w:sz="4" w:space="0"/>
              <w:left w:val="single" w:color="auto" w:sz="4" w:space="0"/>
              <w:bottom w:val="single" w:color="auto" w:sz="4" w:space="0"/>
              <w:right w:val="single" w:color="auto" w:sz="4" w:space="0"/>
            </w:tcBorders>
            <w:vAlign w:val="center"/>
          </w:tcPr>
          <w:p>
            <w:r>
              <w:t>4</w:t>
            </w:r>
          </w:p>
        </w:tc>
        <w:tc>
          <w:tcPr>
            <w:tcW w:w="1225" w:type="pct"/>
            <w:tcBorders>
              <w:top w:val="single" w:color="auto" w:sz="4" w:space="0"/>
              <w:left w:val="single" w:color="auto" w:sz="4" w:space="0"/>
              <w:bottom w:val="single" w:color="auto" w:sz="4" w:space="0"/>
              <w:right w:val="single" w:color="auto" w:sz="4" w:space="0"/>
            </w:tcBorders>
            <w:vAlign w:val="center"/>
          </w:tcPr>
          <w:p>
            <w:r>
              <w:rPr>
                <w:rFonts w:hint="eastAsia"/>
              </w:rPr>
              <w:t>并提供相关的数据库维护等相关服务。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96" w:type="pct"/>
            <w:tcBorders>
              <w:top w:val="single" w:color="auto" w:sz="4" w:space="0"/>
              <w:left w:val="single" w:color="auto" w:sz="4" w:space="0"/>
              <w:bottom w:val="single" w:color="auto" w:sz="4" w:space="0"/>
              <w:right w:val="single" w:color="auto" w:sz="4" w:space="0"/>
            </w:tcBorders>
            <w:vAlign w:val="center"/>
          </w:tcPr>
          <w:p>
            <w:r>
              <w:t>7</w:t>
            </w:r>
          </w:p>
        </w:tc>
        <w:tc>
          <w:tcPr>
            <w:tcW w:w="907" w:type="pct"/>
            <w:tcBorders>
              <w:top w:val="single" w:color="auto" w:sz="4" w:space="0"/>
              <w:left w:val="single" w:color="auto" w:sz="4" w:space="0"/>
              <w:bottom w:val="single" w:color="auto" w:sz="4" w:space="0"/>
              <w:right w:val="single" w:color="auto" w:sz="4" w:space="0"/>
            </w:tcBorders>
            <w:vAlign w:val="center"/>
          </w:tcPr>
          <w:p>
            <w:r>
              <w:rPr>
                <w:rFonts w:hint="eastAsia"/>
              </w:rPr>
              <w:t>云安全资源需求</w:t>
            </w:r>
          </w:p>
        </w:tc>
        <w:tc>
          <w:tcPr>
            <w:tcW w:w="2173" w:type="pct"/>
            <w:tcBorders>
              <w:top w:val="single" w:color="auto" w:sz="4" w:space="0"/>
              <w:left w:val="single" w:color="auto" w:sz="4" w:space="0"/>
              <w:bottom w:val="single" w:color="auto" w:sz="4" w:space="0"/>
              <w:right w:val="single" w:color="auto" w:sz="4" w:space="0"/>
            </w:tcBorders>
            <w:vAlign w:val="center"/>
          </w:tcPr>
          <w:p>
            <w:r>
              <w:rPr>
                <w:rFonts w:hint="eastAsia"/>
              </w:rPr>
              <w:t>提供基于云的统一安全和运维保障服务</w:t>
            </w:r>
          </w:p>
        </w:tc>
        <w:tc>
          <w:tcPr>
            <w:tcW w:w="299" w:type="pct"/>
            <w:tcBorders>
              <w:top w:val="single" w:color="auto" w:sz="4" w:space="0"/>
              <w:left w:val="single" w:color="auto" w:sz="4" w:space="0"/>
              <w:bottom w:val="single" w:color="auto" w:sz="4" w:space="0"/>
              <w:right w:val="single" w:color="auto" w:sz="4" w:space="0"/>
            </w:tcBorders>
            <w:vAlign w:val="center"/>
          </w:tcPr>
          <w:p>
            <w:r>
              <w:t>2</w:t>
            </w:r>
          </w:p>
        </w:tc>
        <w:tc>
          <w:tcPr>
            <w:tcW w:w="1225" w:type="pct"/>
            <w:tcBorders>
              <w:top w:val="single" w:color="auto" w:sz="4" w:space="0"/>
              <w:left w:val="single" w:color="auto" w:sz="4" w:space="0"/>
              <w:bottom w:val="single" w:color="auto" w:sz="4" w:space="0"/>
              <w:right w:val="single" w:color="auto" w:sz="4" w:space="0"/>
            </w:tcBorders>
            <w:vAlign w:val="center"/>
          </w:tcPr>
          <w:p>
            <w:r>
              <w:rPr>
                <w:rFonts w:hint="eastAsia"/>
              </w:rPr>
              <w:t>提供基于云的统一安全和运维保障服务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396" w:type="pct"/>
            <w:tcBorders>
              <w:top w:val="single" w:color="auto" w:sz="4" w:space="0"/>
              <w:left w:val="single" w:color="auto" w:sz="4" w:space="0"/>
              <w:bottom w:val="single" w:color="auto" w:sz="4" w:space="0"/>
              <w:right w:val="single" w:color="auto" w:sz="4" w:space="0"/>
            </w:tcBorders>
            <w:vAlign w:val="center"/>
          </w:tcPr>
          <w:p>
            <w:r>
              <w:t>8</w:t>
            </w:r>
          </w:p>
        </w:tc>
        <w:tc>
          <w:tcPr>
            <w:tcW w:w="907" w:type="pct"/>
            <w:tcBorders>
              <w:top w:val="single" w:color="auto" w:sz="4" w:space="0"/>
              <w:left w:val="single" w:color="auto" w:sz="4" w:space="0"/>
              <w:bottom w:val="single" w:color="auto" w:sz="4" w:space="0"/>
              <w:right w:val="single" w:color="auto" w:sz="4" w:space="0"/>
            </w:tcBorders>
            <w:vAlign w:val="center"/>
          </w:tcPr>
          <w:p>
            <w:r>
              <w:rPr>
                <w:rFonts w:hint="eastAsia"/>
              </w:rPr>
              <w:t>云网络资源需求</w:t>
            </w:r>
          </w:p>
        </w:tc>
        <w:tc>
          <w:tcPr>
            <w:tcW w:w="2173" w:type="pct"/>
            <w:tcBorders>
              <w:top w:val="single" w:color="auto" w:sz="4" w:space="0"/>
              <w:left w:val="single" w:color="auto" w:sz="4" w:space="0"/>
              <w:bottom w:val="single" w:color="auto" w:sz="4" w:space="0"/>
              <w:right w:val="single" w:color="auto" w:sz="4" w:space="0"/>
            </w:tcBorders>
            <w:vAlign w:val="center"/>
          </w:tcPr>
          <w:p>
            <w:r>
              <w:rPr>
                <w:rFonts w:hint="eastAsia"/>
              </w:rPr>
              <w:t>包括基于云的堡垒机、</w:t>
            </w:r>
            <w:r>
              <w:t>VPN</w:t>
            </w:r>
            <w:r>
              <w:rPr>
                <w:rFonts w:hint="eastAsia"/>
              </w:rPr>
              <w:t>、互联网地址等网络资源需求</w:t>
            </w:r>
          </w:p>
        </w:tc>
        <w:tc>
          <w:tcPr>
            <w:tcW w:w="299" w:type="pct"/>
            <w:tcBorders>
              <w:top w:val="single" w:color="auto" w:sz="4" w:space="0"/>
              <w:left w:val="single" w:color="auto" w:sz="4" w:space="0"/>
              <w:bottom w:val="single" w:color="auto" w:sz="4" w:space="0"/>
              <w:right w:val="single" w:color="auto" w:sz="4" w:space="0"/>
            </w:tcBorders>
            <w:vAlign w:val="center"/>
          </w:tcPr>
          <w:p>
            <w:r>
              <w:t>2</w:t>
            </w:r>
          </w:p>
        </w:tc>
        <w:tc>
          <w:tcPr>
            <w:tcW w:w="1225" w:type="pct"/>
            <w:tcBorders>
              <w:top w:val="single" w:color="auto" w:sz="4" w:space="0"/>
              <w:left w:val="single" w:color="auto" w:sz="4" w:space="0"/>
              <w:bottom w:val="single" w:color="auto" w:sz="4" w:space="0"/>
              <w:right w:val="single" w:color="auto" w:sz="4" w:space="0"/>
            </w:tcBorders>
            <w:vAlign w:val="center"/>
          </w:tcPr>
          <w:p/>
        </w:tc>
      </w:tr>
    </w:tbl>
    <w:p>
      <w:pPr>
        <w:widowControl/>
        <w:spacing w:line="360" w:lineRule="auto"/>
        <w:ind w:firstLine="480"/>
        <w:jc w:val="left"/>
        <w:rPr>
          <w:rFonts w:ascii="宋体" w:hAnsi="宋体" w:cs="宋体"/>
          <w:kern w:val="0"/>
          <w:sz w:val="24"/>
        </w:rPr>
      </w:pPr>
      <w:r>
        <w:rPr>
          <w:rFonts w:hint="eastAsia" w:ascii="宋体" w:hAnsi="宋体" w:cs="宋体"/>
          <w:kern w:val="0"/>
          <w:sz w:val="24"/>
        </w:rPr>
        <w:t>本次项目中，将在省政务云的基础上，新增应用高可用服务、应用服务总线、表格存储、全文检索引擎等组件，以确保为码上办事平台提供高性能的客户访问和安全保障能力。</w:t>
      </w:r>
      <w:bookmarkEnd w:id="304"/>
    </w:p>
    <w:p>
      <w:pPr>
        <w:pStyle w:val="6"/>
        <w:widowControl/>
        <w:spacing w:line="360" w:lineRule="auto"/>
      </w:pPr>
      <w:bookmarkStart w:id="305" w:name="_Toc25605570"/>
      <w:bookmarkStart w:id="306" w:name="_Toc22550046"/>
      <w:r>
        <w:rPr>
          <w:rFonts w:hint="eastAsia"/>
        </w:rPr>
        <w:t>3.1.</w:t>
      </w:r>
      <w:bookmarkEnd w:id="305"/>
      <w:bookmarkStart w:id="307" w:name="_Toc32668530"/>
      <w:bookmarkStart w:id="308" w:name="_Toc32585"/>
      <w:bookmarkStart w:id="309" w:name="_Toc12962042"/>
      <w:bookmarkStart w:id="310" w:name="_Toc13397"/>
      <w:r>
        <w:rPr>
          <w:rFonts w:hint="eastAsia"/>
        </w:rPr>
        <w:t>16网络安全建设需求</w:t>
      </w:r>
      <w:bookmarkEnd w:id="307"/>
      <w:bookmarkEnd w:id="308"/>
      <w:bookmarkEnd w:id="309"/>
      <w:bookmarkEnd w:id="310"/>
    </w:p>
    <w:bookmarkEnd w:id="306"/>
    <w:p>
      <w:pPr>
        <w:widowControl/>
        <w:spacing w:line="360" w:lineRule="auto"/>
        <w:ind w:firstLine="480"/>
        <w:jc w:val="left"/>
        <w:rPr>
          <w:rFonts w:ascii="宋体" w:hAnsi="宋体" w:cs="宋体"/>
          <w:kern w:val="0"/>
          <w:sz w:val="24"/>
        </w:rPr>
      </w:pPr>
      <w:bookmarkStart w:id="311" w:name="_Toc2330"/>
      <w:bookmarkStart w:id="312" w:name="_Toc5372"/>
      <w:bookmarkStart w:id="313" w:name="_Toc19800671"/>
      <w:bookmarkStart w:id="314" w:name="_Toc32668531"/>
      <w:r>
        <w:rPr>
          <w:rFonts w:hint="eastAsia" w:ascii="宋体" w:hAnsi="宋体" w:cs="宋体"/>
          <w:kern w:val="0"/>
          <w:sz w:val="24"/>
        </w:rPr>
        <w:t>投标单位应当结合等级保护2.0《信息安全技术 网络安全等级保护基本要求》（GB/T 22239-2019)、《信息安全技术 网络安全等级保护测评要求》（GB/T 28448-2019）和《信息安全技术 网络安全等级保护安全设计技术要求》（GB/T 25070-2019）等标准标准和要求以及国内外最新的安全防护体系模型，从保障用户业务安全高效运行为根本出发点，依据等级保护政策、标准、指南等文件要求以及用户业务安全需求，对项目进行安全建设，保障项目的安全性。同时应当配合采购单位完成项目的等级保护等测评、整改工作。</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rPr>
        <w:t>密码应用方面：</w:t>
      </w:r>
      <w:bookmarkEnd w:id="311"/>
      <w:bookmarkEnd w:id="312"/>
      <w:bookmarkEnd w:id="313"/>
      <w:bookmarkEnd w:id="314"/>
      <w:r>
        <w:rPr>
          <w:rFonts w:hint="eastAsia" w:ascii="宋体" w:hAnsi="宋体" w:cs="宋体"/>
          <w:kern w:val="0"/>
          <w:sz w:val="24"/>
          <w:lang w:val="zh-CN"/>
        </w:rPr>
        <w:t>投标单位应当参照《GM/T 0054-2018信息系统密码应用基本要求》中三级系统标准建设，在本项目的密码应用方面需满足如下的需求。</w:t>
      </w:r>
      <w:r>
        <w:rPr>
          <w:rFonts w:hint="eastAsia" w:ascii="宋体" w:hAnsi="宋体" w:cs="宋体"/>
          <w:kern w:val="0"/>
          <w:sz w:val="24"/>
        </w:rPr>
        <w:t>1、</w:t>
      </w:r>
      <w:r>
        <w:rPr>
          <w:rFonts w:hint="eastAsia" w:ascii="宋体" w:hAnsi="宋体" w:cs="宋体"/>
          <w:kern w:val="0"/>
          <w:sz w:val="24"/>
          <w:lang w:val="zh-CN"/>
        </w:rPr>
        <w:t>本项目新建业务系统应保证通信数据的机密性、完整性，防止数据在网络传输中被非法篡改、截取，同时保证传输数据的时效性应采用对称算法对传输的数据进行加密保护，对加密使用的密钥采用非对称算法进行保护。并对数据进行摘要，通过摘要的校验，确保数据的完整性。</w:t>
      </w:r>
      <w:r>
        <w:rPr>
          <w:rFonts w:hint="eastAsia" w:ascii="宋体" w:hAnsi="宋体" w:cs="宋体"/>
          <w:kern w:val="0"/>
          <w:sz w:val="24"/>
        </w:rPr>
        <w:t>2、设备和计算安全密码应用需求：</w:t>
      </w:r>
      <w:r>
        <w:rPr>
          <w:rFonts w:hint="eastAsia" w:ascii="宋体" w:hAnsi="宋体" w:cs="宋体"/>
          <w:kern w:val="0"/>
          <w:sz w:val="24"/>
          <w:lang w:val="zh-CN"/>
        </w:rPr>
        <w:t>本项目新建业务系统中设备和计算安全中最重要的就是身份认证和访问控制，而访问控制是建立在身份认证的基础之上。为保证设备和计算安全，应使用密码技术对网络和通信安全实现身份认证，保证重要程序和日志的完整性。</w:t>
      </w:r>
      <w:r>
        <w:rPr>
          <w:rFonts w:hint="eastAsia" w:ascii="宋体" w:hAnsi="宋体" w:cs="宋体"/>
          <w:kern w:val="0"/>
          <w:sz w:val="24"/>
        </w:rPr>
        <w:t>3、应用和数据安全密码应用需求：</w:t>
      </w:r>
      <w:r>
        <w:rPr>
          <w:rFonts w:hint="eastAsia" w:ascii="宋体" w:hAnsi="宋体" w:cs="宋体"/>
          <w:kern w:val="0"/>
          <w:sz w:val="24"/>
          <w:lang w:val="zh-CN"/>
        </w:rPr>
        <w:t>本项目新建业务系统应用和数据安全需要解决身份认证、重要应用数据传输和存储等过程的保密性、完整性和不可否认性等密码应用需求。</w:t>
      </w:r>
      <w:r>
        <w:rPr>
          <w:rFonts w:hint="eastAsia" w:ascii="宋体" w:hAnsi="宋体" w:cs="宋体"/>
          <w:kern w:val="0"/>
          <w:sz w:val="24"/>
        </w:rPr>
        <w:t>4、密钥管理需求：</w:t>
      </w:r>
      <w:r>
        <w:rPr>
          <w:rFonts w:hint="eastAsia" w:ascii="宋体" w:hAnsi="宋体" w:cs="宋体"/>
          <w:kern w:val="0"/>
          <w:sz w:val="24"/>
          <w:lang w:val="zh-CN"/>
        </w:rPr>
        <w:t>按等保三级系统在密码体系建设时应对密钥的生成、存储、分发、导入、导出、使用、备份、恢复、归档、撤销等环节进行管理和策略制定。</w:t>
      </w:r>
    </w:p>
    <w:p>
      <w:pPr>
        <w:pStyle w:val="6"/>
      </w:pPr>
      <w:r>
        <w:t>3.1</w:t>
      </w:r>
      <w:r>
        <w:rPr>
          <w:rFonts w:hint="eastAsia"/>
        </w:rPr>
        <w:t>.17其他需求</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3.1.17.1系统性能需求</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（1）高可用性</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系统7×24小时持续可用，可在每日特定时间段内对系统进行维护。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平均年故障时间&lt;1天，平均故障修复时间&lt;30分钟。</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数据存取服务准确，无丢失数据。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系统整体遵循高可用设计原则，具备冗余和容错能力，可避免出现系统死锁、资源耗尽、程序崩溃等故障，具备自动纠错和异常报警功能。</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（2）高扩展性</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系统设计采用分布式服务框架和“松耦合”设计，支持微应用、服务治理和容量线性扩展，可以在没有任何风险的条件下保证业务的成长。</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系统设计采用组件化、迭代化的开发模式，基于微应用构建共享服务中心，支持快速搭建应用。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系统设计具备强大的后台功能，流程、报表、权限和公式等常用功能。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系统设计采用统一的接口平台，具备分布式架构、服务治理、断点续传、性能监控和自主管理功能，确保接口的高可用性。</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（3）高性能</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支持超过1500万注册用户，支持超过百万级日活用户访问。通过缓存机制、读写分离、异步消息解耦、搜索引擎实现数据访问的高性能。访问响应时间小于1秒，一般WEB查询的响应时间可2秒以内，带有复杂的饼图、棒图的查询，响应时间可在3秒以内，平均点击响应时间&lt;2秒，统计分析的响应时间&lt;=5秒，报表生成的响应时间&lt;=3秒。数据归集性能不低于30M/s。数据治理离线清洗满足日均3T的处理速度，流式清洗需满足10M/S的处理速度。数据共享最小支持1000个并发请求下能够稳定运行；在高并发情况下每次请求时间不超过500毫秒。</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（4）可恢复性</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具备事务回滚功能，可将错误数据恢复到正确节点,而不影响其他数据。</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数据导入功能和接口支持断点续传，与周边系统数据交互出现异常时自动补传和数据校验，确保数据完整性和一致性。</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具备成熟的灾难恢复功能，提供多种级别的数据及应用备份能力。</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（5）可管理性</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系统提供友好易用的管理功能，可以进行日常检查，数据库管理，性能监控，作业监控，用户管理，存储配置，消息广播，系统参数设置等操作。</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系统提供后台管理功能，系统管理员可以进行统一组织机构、用户角色和授权等功能维护。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系统支持用户角色与权限管理的分级管理，可由上级向下分级授权管理。支持自建用户、自定义流程和自主信息管理与维护。</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提供系统监控、诊断工具，帮助运维人员全面检测、分析和处理各种问题和故障，支持系统调优，并可以生成各类报表。</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提供数据库管理功能，支持在线数据清理、数据备份与恢复，支持后台界面化数据库调优。</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系统可方便快捷的配置、修改表单、公式、流程、权限等基础数据；可方便快捷的实现数据导入、导出、备份和修改。</w:t>
      </w:r>
    </w:p>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3.1.17.2系统安全需求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按照国家信息安全等级保护相关规定以及国家保密管理和密码管理有关要求，充分利用省电子政务外网和省级政务云已有安全基础设施，构建系统的安全保障体系，确保政务数据安全和公民个人数据合法应用。开展平台建设的同时，提前规划安全运行体系，保障系统安全稳定运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按照国家《信息安全技术 网络安全等级保护基本要求》（GB/T 22239-2019）等级保护的标准规范要求，结合本项目的具体要求和特点，安全需求如下：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（1）系统的设计、应用与数据使用必须安全、可靠、准确、可信、可用、完整。</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（2）实体安全：保障物理环境、网络设备、数据媒体及其它相关物理实体的安全，防止自然灾害、有害环境、电源及设备故障、人为操作失误造成损失。</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（3）系统安全：保障操作系统、网络通信系统和应用软件的安全，防止非法入侵、恶意攻击、IP地址欺骗、病毒传播等行为。</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（4）信息安全：确保资料在采集、存取、处理、使用和传输中的机密性、完整性、可用性、不可否认性以及用户的可控性，防止数据的丢失、破坏、失密。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（5）管理安全：与安全技术措施相配套的风险分析与安全评估、安全证书与密钥管理、数据备份、安全监控与审计等制度，以及机构和人员管理。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其中，依托海南省电子政务外网统一云平台安全保障体系的安全管理，需重点保障以下几个方面：</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数据交换和信息共享存在的安全风险，完善开放接口的安全防护能力。任何数据交换和信息共享过程都会对系统的安全性带来影响。应采取有针对性的安全措施，完善开放接口的安全防护能力，对政务服务数据交换和信息共享环节给予端到端的全过程监控，及时发现和解决问题隐患，以确保关键业务正常运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加大对平台中各类公共信息、个人隐私等重要数据的保障力度。加强平台中各类公共信息、个人隐私等重要数据的安全防护，建立政务数据安全规范。在系统后台对每类数据的安全属性进行必要的定义和设置，详细规定数据的开放范围和开放力度，并严格执行相应的权限管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依据国家政务服务平台网络安全保障要求（C 0116-2018）中关于安全管理中心技术要求，结合《国家政务服务平台安全管理中心对接要求》，利用海南省政务服务平台的安全管理中心实现本项目的综合审计监控、集中管控、审计策略库、综合态势感知、行为溯源分析、责任认定分析和级联接口等，具备安全审计监测能力，涵盖安全数据采集、数据分析呈现、责任溯源等事项。</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3.1.17.3等保测评需求</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本项目需满足国家网络安全等级保护三级要求，新开发应用需要通过第三方机构的安全测评（包括渗透测试）要求。</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3.1.17.4采购需求</w:t>
      </w:r>
    </w:p>
    <w:p>
      <w:pPr>
        <w:widowControl/>
        <w:spacing w:line="360" w:lineRule="auto"/>
        <w:ind w:firstLine="480" w:firstLineChars="200"/>
        <w:rPr>
          <w:rFonts w:ascii="宋体" w:hAnsi="宋体" w:cs="宋体"/>
          <w:kern w:val="0"/>
          <w:sz w:val="24"/>
        </w:rPr>
      </w:pPr>
      <w:r>
        <w:rPr>
          <w:rFonts w:ascii="宋体" w:hAnsi="宋体" w:cs="宋体"/>
          <w:kern w:val="0"/>
          <w:sz w:val="24"/>
        </w:rPr>
        <w:t>1、决策驾驶舱软件。</w:t>
      </w:r>
      <w:r>
        <w:rPr>
          <w:rFonts w:hint="eastAsia" w:ascii="宋体" w:hAnsi="宋体" w:cs="宋体"/>
          <w:kern w:val="0"/>
          <w:sz w:val="24"/>
        </w:rPr>
        <w:t>为构建码上办事平台决策驾驶舱平台，快速落实各级领导的大屏展现诉求</w:t>
      </w:r>
      <w:r>
        <w:rPr>
          <w:rFonts w:ascii="宋体" w:hAnsi="宋体" w:cs="宋体"/>
          <w:kern w:val="0"/>
          <w:sz w:val="24"/>
        </w:rPr>
        <w:t>。本项目建设过程中需采购一套成熟的大屏展示工具。</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2、流程表单管理软件。用于 “新冠肺炎病例上报系统”所采购的支撑工具，此系统需要联合各医院、指挥部医疗组以及各疾控中心做实时信息汇总与上报，需要表单流程工具用于快速迭代开发。</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3、报表软件。用于疫情期间建设的健康一码通报表端平台，是报表系统的支撑工具。</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应用高可用服务。用于突发流量防护，根据流量、并发线程数、响应时间等指标，把随机到来的流量调整成合适的形状，即流量塑形。避免应用被瞬时的流量高峰冲垮，从而保障应用的高可用性。健康码的流量跟海南岛旅客涌入、疫情突发事件息息相关，突发流量最高达到正常流量的10+倍，需要有应用高可用服务来削峰填谷。</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应用服务总线。提供平台化的应用集成和服务开放能力，实现跨环境、跨归属应用系统之间的互通集成和管控，提供面向开放平台、微服务网关和应用集成的特色能力集。健康码作为数据汇集/开放平台，需要跟上下游超过100家业务系统进行数据交换，需要总线来进行统一集成和分发。</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表格存储软件。提供海量结构化数据存储以及快速的查询和分析服务。表格存储的分布式存储和强大的索引引擎能够支持PB级存储、千万TPS以及毫秒级延迟的服务能力。健康码每天产生的业务数据（打卡/地点码/短信）超过100w条，常规关系型数据库无法满足需求，需要表格存储软件来提供支撑能力。</w:t>
      </w:r>
    </w:p>
    <w:p>
      <w:pPr>
        <w:widowControl/>
        <w:spacing w:line="360" w:lineRule="auto"/>
        <w:ind w:firstLine="480" w:firstLineChars="200"/>
        <w:rPr>
          <w:rFonts w:ascii="宋体" w:hAnsi="宋体" w:cs="宋体"/>
          <w:kern w:val="0"/>
          <w:sz w:val="24"/>
        </w:rPr>
      </w:pPr>
      <w:r>
        <w:rPr>
          <w:rFonts w:hint="eastAsia" w:ascii="宋体" w:hAnsi="宋体" w:cs="宋体"/>
          <w:kern w:val="0"/>
          <w:sz w:val="24"/>
        </w:rPr>
        <w:t>7、全文检索引擎。用户通过日志或业务的存量及增量业务数据，汇聚传输到检索集群，进行数据的分布式存储、查询分析。引擎拥有全文检索、结构化搜索、数据过滤和指标统计等搜索功能，可应用于信息搜索和数据分析等多种场景。健康码每天业务日志超过1000w条，常规数据库检索无法满足需求，需要专业的全文引擎提供检索能力。</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rPr>
        <w:t>8</w:t>
      </w:r>
      <w:r>
        <w:rPr>
          <w:rFonts w:ascii="宋体" w:hAnsi="宋体" w:cs="宋体"/>
          <w:kern w:val="0"/>
          <w:sz w:val="24"/>
        </w:rPr>
        <w:t>、闸摆。海南省图书馆门禁闸机款式比较陈旧，难以支撑刷码进出的能力。需要重新采购一套闸摆设备。</w:t>
      </w:r>
    </w:p>
    <w:p>
      <w:pPr>
        <w:pStyle w:val="5"/>
      </w:pPr>
      <w:bookmarkStart w:id="315" w:name="_Toc67640151"/>
      <w:r>
        <w:t>3.</w:t>
      </w:r>
      <w:r>
        <w:rPr>
          <w:rFonts w:hint="eastAsia"/>
        </w:rPr>
        <w:t>2项目实施要求</w:t>
      </w:r>
      <w:bookmarkEnd w:id="294"/>
      <w:bookmarkEnd w:id="315"/>
    </w:p>
    <w:bookmarkEnd w:id="42"/>
    <w:bookmarkEnd w:id="43"/>
    <w:bookmarkEnd w:id="44"/>
    <w:bookmarkEnd w:id="45"/>
    <w:bookmarkEnd w:id="46"/>
    <w:bookmarkEnd w:id="47"/>
    <w:bookmarkEnd w:id="48"/>
    <w:bookmarkEnd w:id="49"/>
    <w:bookmarkEnd w:id="50"/>
    <w:bookmarkEnd w:id="51"/>
    <w:bookmarkEnd w:id="52"/>
    <w:bookmarkEnd w:id="53"/>
    <w:bookmarkEnd w:id="54"/>
    <w:p>
      <w:pPr>
        <w:widowControl/>
        <w:spacing w:line="360" w:lineRule="auto"/>
        <w:ind w:firstLine="480"/>
        <w:jc w:val="left"/>
        <w:rPr>
          <w:rFonts w:ascii="宋体" w:hAnsi="宋体" w:cs="宋体"/>
          <w:kern w:val="0"/>
          <w:sz w:val="24"/>
          <w:lang w:val="zh-CN"/>
        </w:rPr>
      </w:pPr>
      <w:bookmarkStart w:id="316" w:name="_Toc31191"/>
      <w:bookmarkStart w:id="317" w:name="_Hlk31986290"/>
      <w:r>
        <w:rPr>
          <w:rFonts w:hint="eastAsia" w:ascii="宋体" w:hAnsi="宋体" w:cs="宋体"/>
          <w:kern w:val="0"/>
          <w:sz w:val="24"/>
          <w:lang w:val="zh-CN"/>
        </w:rPr>
        <w:t>供应商应结合自身的项目管理制度和经验，根据本项目的实际情况，在整个项目实施过程中各个控制阶段提出针对性的管理方法。以下内容主要是对项目实施过程的一些通用要求。</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1</w:t>
      </w:r>
      <w:r>
        <w:rPr>
          <w:rFonts w:hint="eastAsia" w:ascii="宋体" w:hAnsi="宋体" w:cs="宋体"/>
          <w:kern w:val="0"/>
          <w:sz w:val="24"/>
          <w:lang w:val="zh-CN"/>
        </w:rPr>
        <w:t>）供应商应在采购单位要求的工期内完成所有规定的系统建设任务。</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2</w:t>
      </w:r>
      <w:r>
        <w:rPr>
          <w:rFonts w:hint="eastAsia" w:ascii="宋体" w:hAnsi="宋体" w:cs="宋体"/>
          <w:kern w:val="0"/>
          <w:sz w:val="24"/>
          <w:lang w:val="zh-CN"/>
        </w:rPr>
        <w:t>）采购单位及采购单位所委托的监理单位，有权对整个项目实施的全过程进行监督检查。供应商必须给予积极支持和配合，不得以任何理由回避采购单位或监理单位的监督检查。</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3</w:t>
      </w:r>
      <w:r>
        <w:rPr>
          <w:rFonts w:hint="eastAsia" w:ascii="宋体" w:hAnsi="宋体" w:cs="宋体"/>
          <w:kern w:val="0"/>
          <w:sz w:val="24"/>
          <w:lang w:val="zh-CN"/>
        </w:rPr>
        <w:t>）应用系统开发工作应严格遵照国家软件工程规范和普遍使用的相关行业标准，如：ISO9001.CMMI(CMM)等，并根据开发进度及时提供有关开发文档和开发成果。</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4</w:t>
      </w:r>
      <w:r>
        <w:rPr>
          <w:rFonts w:hint="eastAsia" w:ascii="宋体" w:hAnsi="宋体" w:cs="宋体"/>
          <w:kern w:val="0"/>
          <w:sz w:val="24"/>
          <w:lang w:val="zh-CN"/>
        </w:rPr>
        <w:t>）供应商必须将整个项目实施划分为多个阶段进行，以保证项目建设的质量和进度得到有效的控制，其中应用系统开发至少包括：项目启动阶段、需求调研分析阶段、详细设计阶段、编码阶段、测试阶段、现场实施阶段、试运行阶段、系统验收阶段、系统维护阶段等。系统集成方面至少包括：项目准备阶段、项目计划阶段、项目实施阶段、项目控制阶段、项目收尾阶段五个阶段。</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w:t>
      </w:r>
      <w:r>
        <w:rPr>
          <w:rFonts w:hint="eastAsia" w:ascii="宋体" w:hAnsi="宋体" w:cs="宋体"/>
          <w:kern w:val="0"/>
          <w:sz w:val="24"/>
        </w:rPr>
        <w:t>5</w:t>
      </w:r>
      <w:r>
        <w:rPr>
          <w:rFonts w:hint="eastAsia" w:ascii="宋体" w:hAnsi="宋体" w:cs="宋体"/>
          <w:kern w:val="0"/>
          <w:sz w:val="24"/>
          <w:lang w:val="zh-CN"/>
        </w:rPr>
        <w:t>）供应商必须建立完善的项目管理机制，以保证项目建设能按期进行。</w:t>
      </w:r>
    </w:p>
    <w:p>
      <w:pPr>
        <w:pStyle w:val="6"/>
        <w:spacing w:line="360" w:lineRule="auto"/>
      </w:pPr>
      <w:r>
        <w:t>3.2.1</w:t>
      </w:r>
      <w:r>
        <w:rPr>
          <w:rFonts w:hint="eastAsia"/>
        </w:rPr>
        <w:t xml:space="preserve"> 工期要求</w:t>
      </w:r>
    </w:p>
    <w:p>
      <w:pPr>
        <w:adjustRightInd w:val="0"/>
        <w:snapToGrid w:val="0"/>
        <w:spacing w:line="360" w:lineRule="auto"/>
        <w:ind w:firstLine="480" w:firstLineChars="200"/>
        <w:rPr>
          <w:rFonts w:ascii="宋体" w:hAnsi="宋体" w:cs="宋体"/>
          <w:sz w:val="24"/>
          <w:lang w:bidi="en-US"/>
        </w:rPr>
      </w:pPr>
      <w:r>
        <w:rPr>
          <w:rFonts w:hint="eastAsia" w:ascii="宋体" w:hAnsi="宋体" w:cs="宋体"/>
          <w:sz w:val="24"/>
          <w:lang w:bidi="en-US"/>
        </w:rPr>
        <w:t>本项目建设工期：签订合同后18个月内；建设地点海口市。</w:t>
      </w:r>
    </w:p>
    <w:p>
      <w:pPr>
        <w:adjustRightInd w:val="0"/>
        <w:snapToGrid w:val="0"/>
        <w:spacing w:line="360" w:lineRule="auto"/>
        <w:ind w:firstLine="480" w:firstLineChars="200"/>
        <w:rPr>
          <w:rFonts w:ascii="宋体" w:hAnsi="宋体" w:cs="宋体"/>
          <w:sz w:val="24"/>
        </w:rPr>
      </w:pPr>
      <w:r>
        <w:rPr>
          <w:rFonts w:hint="eastAsia" w:ascii="宋体" w:hAnsi="宋体" w:cs="宋体"/>
          <w:sz w:val="24"/>
          <w:lang w:bidi="en-US"/>
        </w:rPr>
        <w:t>供应商应在签订合同后1</w:t>
      </w:r>
      <w:r>
        <w:rPr>
          <w:rFonts w:hint="eastAsia" w:ascii="宋体" w:hAnsi="宋体" w:cs="宋体"/>
          <w:sz w:val="24"/>
        </w:rPr>
        <w:t>5个工作日内提交详细的《项目实施计划》，项目计划需覆盖18个月建设周期，并通过采购单位签字确认。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供应商应在合同签订后1个月内，提交本项目《需求规格说明书》，并通过采购单位签字确认。</w:t>
      </w:r>
    </w:p>
    <w:p>
      <w:pPr>
        <w:adjustRightInd w:val="0"/>
        <w:snapToGrid w:val="0"/>
        <w:spacing w:line="360" w:lineRule="auto"/>
        <w:ind w:firstLine="480" w:firstLineChars="200"/>
        <w:rPr>
          <w:rFonts w:ascii="宋体" w:hAnsi="宋体" w:cs="宋体"/>
          <w:sz w:val="24"/>
          <w:lang w:bidi="en-US"/>
        </w:rPr>
      </w:pPr>
      <w:r>
        <w:rPr>
          <w:rFonts w:hint="eastAsia" w:ascii="宋体" w:hAnsi="宋体" w:cs="宋体"/>
          <w:sz w:val="24"/>
        </w:rPr>
        <w:t>供应商</w:t>
      </w:r>
      <w:r>
        <w:rPr>
          <w:rFonts w:hint="eastAsia" w:ascii="宋体" w:hAnsi="宋体" w:cs="宋体"/>
          <w:sz w:val="24"/>
          <w:lang w:bidi="en-US"/>
        </w:rPr>
        <w:t>应在合同签订后2个月内提交《详细设计说明书》，并通过采购单位签字确认。</w:t>
      </w:r>
    </w:p>
    <w:p>
      <w:pPr>
        <w:adjustRightInd w:val="0"/>
        <w:snapToGrid w:val="0"/>
        <w:spacing w:line="360" w:lineRule="auto"/>
        <w:ind w:firstLine="480" w:firstLineChars="200"/>
        <w:rPr>
          <w:rFonts w:ascii="宋体" w:hAnsi="宋体" w:cs="宋体"/>
          <w:sz w:val="24"/>
          <w:lang w:bidi="en-US"/>
        </w:rPr>
      </w:pPr>
      <w:r>
        <w:rPr>
          <w:rFonts w:hint="eastAsia" w:ascii="宋体" w:hAnsi="宋体" w:cs="宋体"/>
          <w:sz w:val="24"/>
        </w:rPr>
        <w:t>供应商</w:t>
      </w:r>
      <w:r>
        <w:rPr>
          <w:rFonts w:hint="eastAsia" w:ascii="宋体" w:hAnsi="宋体" w:cs="宋体"/>
          <w:sz w:val="24"/>
          <w:lang w:bidi="en-US"/>
        </w:rPr>
        <w:t>应在合同签订后15个月内完成所有项目内容的建设，</w:t>
      </w:r>
      <w:r>
        <w:rPr>
          <w:rFonts w:hint="eastAsia" w:ascii="宋体" w:hAnsi="宋体" w:cs="宋体"/>
          <w:sz w:val="24"/>
        </w:rPr>
        <w:t>并要通过采购单位的初步验收</w:t>
      </w:r>
      <w:r>
        <w:rPr>
          <w:rFonts w:hint="eastAsia" w:ascii="宋体" w:hAnsi="宋体" w:cs="宋体"/>
          <w:sz w:val="24"/>
          <w:lang w:bidi="en-US"/>
        </w:rPr>
        <w:t>。</w:t>
      </w:r>
    </w:p>
    <w:p>
      <w:pPr>
        <w:adjustRightInd w:val="0"/>
        <w:snapToGrid w:val="0"/>
        <w:spacing w:line="360" w:lineRule="auto"/>
        <w:ind w:firstLine="480" w:firstLineChars="200"/>
        <w:rPr>
          <w:rFonts w:ascii="宋体" w:hAnsi="宋体" w:cs="宋体"/>
          <w:sz w:val="24"/>
          <w:lang w:bidi="en-US"/>
        </w:rPr>
      </w:pPr>
      <w:r>
        <w:rPr>
          <w:rFonts w:hint="eastAsia" w:ascii="宋体" w:hAnsi="宋体" w:cs="宋体"/>
          <w:sz w:val="24"/>
          <w:lang w:bidi="en-US"/>
        </w:rPr>
        <w:t>供应商应在合同签订后的18个月内完成项目的建设内容的试运行工作，并要通过采购单位的最终验收。</w:t>
      </w:r>
    </w:p>
    <w:p>
      <w:pPr>
        <w:pStyle w:val="6"/>
        <w:spacing w:line="360" w:lineRule="auto"/>
      </w:pPr>
      <w:bookmarkStart w:id="318" w:name="_Toc20152"/>
      <w:bookmarkStart w:id="319" w:name="_Toc493702844"/>
      <w:r>
        <w:t>3.2.2</w:t>
      </w:r>
      <w:r>
        <w:rPr>
          <w:rFonts w:hint="eastAsia" w:ascii="宋体" w:hAnsi="宋体" w:cs="宋体"/>
          <w:kern w:val="0"/>
        </w:rPr>
        <w:t>阶段目标与任务</w:t>
      </w:r>
      <w:bookmarkEnd w:id="318"/>
      <w:bookmarkEnd w:id="319"/>
    </w:p>
    <w:p>
      <w:pPr>
        <w:pStyle w:val="7"/>
        <w:keepNext w:val="0"/>
        <w:keepLines w:val="0"/>
        <w:numPr>
          <w:ilvl w:val="5"/>
          <w:numId w:val="0"/>
        </w:numPr>
        <w:tabs>
          <w:tab w:val="left" w:pos="425"/>
          <w:tab w:val="left" w:pos="560"/>
        </w:tabs>
        <w:spacing w:before="240" w:after="156"/>
        <w:ind w:firstLine="482" w:firstLineChars="200"/>
        <w:rPr>
          <w:rFonts w:ascii="Arial" w:hAnsi="Arial"/>
          <w:bCs/>
          <w:lang w:val="zh-CN"/>
        </w:rPr>
      </w:pPr>
      <w:r>
        <w:rPr>
          <w:rFonts w:hint="eastAsia" w:ascii="Arial" w:hAnsi="Arial"/>
          <w:bCs/>
        </w:rPr>
        <w:t>3.2.2.1</w:t>
      </w:r>
      <w:r>
        <w:rPr>
          <w:rFonts w:hint="eastAsia" w:ascii="Arial" w:hAnsi="Arial"/>
          <w:bCs/>
          <w:lang w:val="zh-CN"/>
        </w:rPr>
        <w:t>第一阶段：T+3月</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重点建设平台的支撑体系。主要是码平台升级开发、搭建数据处理平台、对接卫健委电子健康档案、试点医院、社保卡、医保卡以及扶贫办贫困信息。</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拓展应用建设。主要包括各行业应用的对接，新业务平台的搭建。核心是政务领域对接、医疗服务对接、扶贫数据对接、信用积分对接及民生消费领域能力建设。</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建立统一身份认证体系，搭建个人数据空间。</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建立企业法人数字空间，接入电子营业执照。</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完成一家指定试点医院系统的打通，实现可调阅个人健康档案、电子病历等信息。</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拓展部分业务场景的接入。</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里程碑T+6月</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组织协调实现基于健康码的电子社保卡、电子医保卡等多种认证信息集成，实现通过健康码打通社保卡、电子医保卡的信息集成查询及居民参保等业务办理，并在1-2家试点医院试点服务。</w:t>
      </w:r>
    </w:p>
    <w:p>
      <w:pPr>
        <w:pStyle w:val="7"/>
        <w:keepNext w:val="0"/>
        <w:keepLines w:val="0"/>
        <w:numPr>
          <w:ilvl w:val="5"/>
          <w:numId w:val="0"/>
        </w:numPr>
        <w:tabs>
          <w:tab w:val="left" w:pos="425"/>
          <w:tab w:val="left" w:pos="560"/>
        </w:tabs>
        <w:spacing w:before="240" w:after="156"/>
        <w:ind w:firstLine="482" w:firstLineChars="200"/>
        <w:rPr>
          <w:rFonts w:ascii="Arial" w:hAnsi="Arial"/>
          <w:bCs/>
          <w:lang w:val="zh-CN"/>
        </w:rPr>
      </w:pPr>
      <w:r>
        <w:rPr>
          <w:rFonts w:hint="eastAsia" w:ascii="Arial" w:hAnsi="Arial"/>
          <w:bCs/>
        </w:rPr>
        <w:t>3.2.2.2</w:t>
      </w:r>
      <w:r>
        <w:rPr>
          <w:rFonts w:hint="eastAsia" w:ascii="Arial" w:hAnsi="Arial"/>
          <w:bCs/>
          <w:lang w:val="zh-CN"/>
        </w:rPr>
        <w:t>第二阶段：T+18月</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码上办事平台全面完善上线，接入业务场景应用。</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业务场景拓展，平台培训、推广以及上线试运行，并通过项目竣工验收。</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bookmarkStart w:id="320" w:name="_Toc493702845"/>
      <w:bookmarkStart w:id="321" w:name="_Toc29284"/>
      <w:bookmarkStart w:id="322" w:name="_Toc332971368"/>
      <w:r>
        <w:rPr>
          <w:rFonts w:hint="eastAsia" w:ascii="Arial" w:hAnsi="Arial"/>
          <w:bCs/>
        </w:rPr>
        <w:t>3.2.2.3实施进度计划</w:t>
      </w:r>
      <w:bookmarkEnd w:id="320"/>
      <w:bookmarkEnd w:id="321"/>
      <w:bookmarkEnd w:id="322"/>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预估项目进度计划表：</w:t>
      </w:r>
    </w:p>
    <w:p>
      <w:pPr>
        <w:pStyle w:val="16"/>
      </w:pPr>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8</w:t>
      </w:r>
      <w:r>
        <w:fldChar w:fldCharType="end"/>
      </w:r>
      <w:r>
        <w:noBreakHyphen/>
      </w:r>
      <w:r>
        <w:fldChar w:fldCharType="begin"/>
      </w:r>
      <w:r>
        <w:instrText xml:space="preserve"> </w:instrText>
      </w:r>
      <w:r>
        <w:rPr>
          <w:rFonts w:hint="eastAsia"/>
        </w:rPr>
        <w:instrText xml:space="preserve">SEQ 表 \* ARABIC \s 1</w:instrText>
      </w:r>
      <w:r>
        <w:instrText xml:space="preserve"> </w:instrText>
      </w:r>
      <w:r>
        <w:fldChar w:fldCharType="separate"/>
      </w:r>
      <w:r>
        <w:t>1</w:t>
      </w:r>
      <w:r>
        <w:fldChar w:fldCharType="end"/>
      </w:r>
      <w:r>
        <w:t xml:space="preserve"> </w:t>
      </w:r>
      <w:r>
        <w:rPr>
          <w:rFonts w:hint="eastAsia"/>
        </w:rPr>
        <w:t>项目进度</w:t>
      </w:r>
      <w:r>
        <w:t>计划表</w:t>
      </w:r>
    </w:p>
    <w:tbl>
      <w:tblPr>
        <w:tblStyle w:val="53"/>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88"/>
        <w:gridCol w:w="359"/>
        <w:gridCol w:w="328"/>
        <w:gridCol w:w="329"/>
        <w:gridCol w:w="330"/>
        <w:gridCol w:w="329"/>
        <w:gridCol w:w="337"/>
        <w:gridCol w:w="329"/>
        <w:gridCol w:w="330"/>
        <w:gridCol w:w="329"/>
        <w:gridCol w:w="330"/>
        <w:gridCol w:w="329"/>
        <w:gridCol w:w="326"/>
        <w:gridCol w:w="329"/>
        <w:gridCol w:w="330"/>
        <w:gridCol w:w="334"/>
        <w:gridCol w:w="330"/>
        <w:gridCol w:w="329"/>
        <w:gridCol w:w="330"/>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blHeader/>
          <w:jc w:val="center"/>
        </w:trPr>
        <w:tc>
          <w:tcPr>
            <w:tcW w:w="2288" w:type="dxa"/>
            <w:vMerge w:val="restart"/>
            <w:tcBorders>
              <w:tl2br w:val="single" w:color="auto" w:sz="4" w:space="0"/>
            </w:tcBorders>
          </w:tcPr>
          <w:p>
            <w:pPr>
              <w:ind w:right="240"/>
              <w:jc w:val="right"/>
            </w:pPr>
            <w:r>
              <w:rPr>
                <w:rFonts w:hint="eastAsia"/>
              </w:rPr>
              <w:t xml:space="preserve">时间 </w:t>
            </w:r>
          </w:p>
          <w:p>
            <w:r>
              <w:rPr>
                <w:rFonts w:hint="eastAsia"/>
              </w:rPr>
              <w:t>工作任务</w:t>
            </w:r>
          </w:p>
        </w:tc>
        <w:tc>
          <w:tcPr>
            <w:tcW w:w="5989" w:type="dxa"/>
            <w:gridSpan w:val="19"/>
            <w:vAlign w:val="center"/>
          </w:tcPr>
          <w:p>
            <w:pPr>
              <w:jc w:val="center"/>
            </w:pPr>
            <w:r>
              <w:rPr>
                <w:rFonts w:hint="eastAsia"/>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333" w:hRule="atLeast"/>
          <w:tblHeader/>
          <w:jc w:val="center"/>
        </w:trPr>
        <w:tc>
          <w:tcPr>
            <w:tcW w:w="2288" w:type="dxa"/>
            <w:vMerge w:val="continue"/>
            <w:tcBorders>
              <w:tl2br w:val="single" w:color="auto" w:sz="4" w:space="0"/>
            </w:tcBorders>
            <w:vAlign w:val="center"/>
          </w:tcPr>
          <w:p/>
        </w:tc>
        <w:tc>
          <w:tcPr>
            <w:tcW w:w="359" w:type="dxa"/>
            <w:vAlign w:val="center"/>
          </w:tcPr>
          <w:p>
            <w:r>
              <w:t>T+1</w:t>
            </w:r>
          </w:p>
        </w:tc>
        <w:tc>
          <w:tcPr>
            <w:tcW w:w="328" w:type="dxa"/>
            <w:vAlign w:val="center"/>
          </w:tcPr>
          <w:p>
            <w:r>
              <w:t>T+2</w:t>
            </w:r>
          </w:p>
        </w:tc>
        <w:tc>
          <w:tcPr>
            <w:tcW w:w="329" w:type="dxa"/>
            <w:vAlign w:val="center"/>
          </w:tcPr>
          <w:p>
            <w:r>
              <w:t>T+3</w:t>
            </w:r>
          </w:p>
        </w:tc>
        <w:tc>
          <w:tcPr>
            <w:tcW w:w="330" w:type="dxa"/>
            <w:vAlign w:val="center"/>
          </w:tcPr>
          <w:p>
            <w:r>
              <w:t>T+4</w:t>
            </w:r>
          </w:p>
        </w:tc>
        <w:tc>
          <w:tcPr>
            <w:tcW w:w="329" w:type="dxa"/>
            <w:vAlign w:val="center"/>
          </w:tcPr>
          <w:p>
            <w:r>
              <w:t>T+5</w:t>
            </w:r>
          </w:p>
        </w:tc>
        <w:tc>
          <w:tcPr>
            <w:tcW w:w="337" w:type="dxa"/>
            <w:vAlign w:val="center"/>
          </w:tcPr>
          <w:p>
            <w:r>
              <w:t>T+6</w:t>
            </w:r>
          </w:p>
        </w:tc>
        <w:tc>
          <w:tcPr>
            <w:tcW w:w="329" w:type="dxa"/>
            <w:vAlign w:val="center"/>
          </w:tcPr>
          <w:p>
            <w:r>
              <w:t>T+7</w:t>
            </w:r>
          </w:p>
        </w:tc>
        <w:tc>
          <w:tcPr>
            <w:tcW w:w="330" w:type="dxa"/>
            <w:vAlign w:val="center"/>
          </w:tcPr>
          <w:p>
            <w:r>
              <w:t>T+8</w:t>
            </w:r>
          </w:p>
        </w:tc>
        <w:tc>
          <w:tcPr>
            <w:tcW w:w="329" w:type="dxa"/>
            <w:vAlign w:val="center"/>
          </w:tcPr>
          <w:p>
            <w:r>
              <w:t>T+9</w:t>
            </w:r>
          </w:p>
        </w:tc>
        <w:tc>
          <w:tcPr>
            <w:tcW w:w="330" w:type="dxa"/>
            <w:vAlign w:val="center"/>
          </w:tcPr>
          <w:p>
            <w:r>
              <w:t>T+10</w:t>
            </w:r>
          </w:p>
        </w:tc>
        <w:tc>
          <w:tcPr>
            <w:tcW w:w="329" w:type="dxa"/>
            <w:vAlign w:val="center"/>
          </w:tcPr>
          <w:p>
            <w:r>
              <w:t>T+11</w:t>
            </w:r>
          </w:p>
        </w:tc>
        <w:tc>
          <w:tcPr>
            <w:tcW w:w="326" w:type="dxa"/>
            <w:vAlign w:val="center"/>
          </w:tcPr>
          <w:p>
            <w:r>
              <w:t>T+12</w:t>
            </w:r>
          </w:p>
        </w:tc>
        <w:tc>
          <w:tcPr>
            <w:tcW w:w="329" w:type="dxa"/>
            <w:vAlign w:val="center"/>
          </w:tcPr>
          <w:p>
            <w:r>
              <w:t>T+13</w:t>
            </w:r>
          </w:p>
        </w:tc>
        <w:tc>
          <w:tcPr>
            <w:tcW w:w="330" w:type="dxa"/>
            <w:vAlign w:val="center"/>
          </w:tcPr>
          <w:p>
            <w:r>
              <w:t>T+14</w:t>
            </w:r>
          </w:p>
        </w:tc>
        <w:tc>
          <w:tcPr>
            <w:tcW w:w="334" w:type="dxa"/>
            <w:vAlign w:val="center"/>
          </w:tcPr>
          <w:p>
            <w:r>
              <w:t>T+15</w:t>
            </w:r>
          </w:p>
        </w:tc>
        <w:tc>
          <w:tcPr>
            <w:tcW w:w="330" w:type="dxa"/>
            <w:vAlign w:val="center"/>
          </w:tcPr>
          <w:p>
            <w:r>
              <w:t>T+16</w:t>
            </w:r>
          </w:p>
        </w:tc>
        <w:tc>
          <w:tcPr>
            <w:tcW w:w="329" w:type="dxa"/>
            <w:vAlign w:val="center"/>
          </w:tcPr>
          <w:p>
            <w:r>
              <w:t>T+17</w:t>
            </w:r>
          </w:p>
        </w:tc>
        <w:tc>
          <w:tcPr>
            <w:tcW w:w="330" w:type="dxa"/>
            <w:vAlign w:val="center"/>
          </w:tcPr>
          <w:p>
            <w:r>
              <w:t>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65" w:hRule="atLeast"/>
          <w:jc w:val="center"/>
        </w:trPr>
        <w:tc>
          <w:tcPr>
            <w:tcW w:w="2288" w:type="dxa"/>
            <w:vAlign w:val="center"/>
          </w:tcPr>
          <w:p>
            <w:r>
              <w:t>项目招投标</w:t>
            </w:r>
          </w:p>
        </w:tc>
        <w:tc>
          <w:tcPr>
            <w:tcW w:w="359" w:type="dxa"/>
            <w:tcBorders>
              <w:bottom w:val="single" w:color="auto" w:sz="4" w:space="0"/>
            </w:tcBorders>
            <w:vAlign w:val="center"/>
          </w:tcPr>
          <w:p>
            <w:r>
              <w:pict>
                <v:shape id="直接箭头连接符 9" o:spid="_x0000_s1047" o:spt="32" type="#_x0000_t32" style="position:absolute;left:0pt;margin-left:0pt;margin-top:11.4pt;height:0pt;width:32.55pt;z-index:251660288;mso-width-relative:page;mso-height-relative:page;" filled="f" stroked="t" coordsize="21600,21600" o:gfxdata="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hMeNMAAAAFAQAADwAAAAAAAAABACAAAAAiAAAAZHJzL2Rvd25yZXYu&#10;eG1sUEsBAhQAFAAAAAgAh07iQA+qyK8AAgAA7AMAAA4AAAAAAAAAAQAgAAAAIgEAAGRycy9lMm9E&#10;b2MueG1sUEsFBgAAAAAGAAYAWQEAAJQFAAAAAA==&#10;">
                  <v:path arrowok="t"/>
                  <v:fill on="f" focussize="0,0"/>
                  <v:stroke weight="4.75pt" color="#05080B"/>
                  <v:imagedata o:title=""/>
                  <o:lock v:ext="edit"/>
                </v:shape>
              </w:pict>
            </w:r>
          </w:p>
        </w:tc>
        <w:tc>
          <w:tcPr>
            <w:tcW w:w="328" w:type="dxa"/>
            <w:tcBorders>
              <w:bottom w:val="single" w:color="auto" w:sz="4" w:space="0"/>
            </w:tcBorders>
            <w:vAlign w:val="center"/>
          </w:tcPr>
          <w:p/>
        </w:tc>
        <w:tc>
          <w:tcPr>
            <w:tcW w:w="329" w:type="dxa"/>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37"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26"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c>
          <w:tcPr>
            <w:tcW w:w="334" w:type="dxa"/>
            <w:tcBorders>
              <w:bottom w:val="single" w:color="auto" w:sz="4" w:space="0"/>
            </w:tcBorders>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65" w:hRule="atLeast"/>
          <w:jc w:val="center"/>
        </w:trPr>
        <w:tc>
          <w:tcPr>
            <w:tcW w:w="2288" w:type="dxa"/>
            <w:vAlign w:val="center"/>
          </w:tcPr>
          <w:p>
            <w:r>
              <w:t>方案设计</w:t>
            </w:r>
          </w:p>
        </w:tc>
        <w:tc>
          <w:tcPr>
            <w:tcW w:w="359" w:type="dxa"/>
            <w:tcBorders>
              <w:bottom w:val="single" w:color="auto" w:sz="4" w:space="0"/>
            </w:tcBorders>
            <w:vAlign w:val="center"/>
          </w:tcPr>
          <w:p>
            <w:r>
              <w:pict>
                <v:shape id="直接箭头连接符 8" o:spid="_x0000_s1046" o:spt="32" type="#_x0000_t32" style="position:absolute;left:0pt;margin-left:17.55pt;margin-top:10.35pt;height:0pt;width:32.55pt;z-index:251659264;mso-width-relative:page;mso-height-relative:page;" filled="f" stroked="t" coordsize="21600,21600" o:gfxdata="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uGZmNYAAAAIAQAADwAAAAAAAAABACAAAAAiAAAAZHJzL2Rvd25y&#10;ZXYueG1sUEsBAhQAFAAAAAgAh07iQGu9azQAAgAA7AMAAA4AAAAAAAAAAQAgAAAAJQEAAGRycy9l&#10;Mm9Eb2MueG1sUEsFBgAAAAAGAAYAWQEAAJcFAAAAAA==&#10;">
                  <v:path arrowok="t"/>
                  <v:fill on="f" focussize="0,0"/>
                  <v:stroke weight="4.75pt" color="#05080B"/>
                  <v:imagedata o:title=""/>
                  <o:lock v:ext="edit"/>
                </v:shape>
              </w:pict>
            </w:r>
          </w:p>
        </w:tc>
        <w:tc>
          <w:tcPr>
            <w:tcW w:w="328" w:type="dxa"/>
            <w:tcBorders>
              <w:bottom w:val="single" w:color="auto" w:sz="4" w:space="0"/>
            </w:tcBorders>
            <w:vAlign w:val="center"/>
          </w:tcPr>
          <w:p/>
        </w:tc>
        <w:tc>
          <w:tcPr>
            <w:tcW w:w="329" w:type="dxa"/>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37"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26"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c>
          <w:tcPr>
            <w:tcW w:w="334" w:type="dxa"/>
            <w:tcBorders>
              <w:bottom w:val="single" w:color="auto" w:sz="4" w:space="0"/>
            </w:tcBorders>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2" w:type="dxa"/>
          <w:trHeight w:val="465" w:hRule="atLeast"/>
          <w:jc w:val="center"/>
        </w:trPr>
        <w:tc>
          <w:tcPr>
            <w:tcW w:w="2288" w:type="dxa"/>
            <w:vAlign w:val="center"/>
          </w:tcPr>
          <w:p>
            <w:r>
              <w:rPr>
                <w:rFonts w:hint="eastAsia"/>
              </w:rPr>
              <w:t>标准规范建设</w:t>
            </w:r>
          </w:p>
        </w:tc>
        <w:tc>
          <w:tcPr>
            <w:tcW w:w="359" w:type="dxa"/>
            <w:tcBorders>
              <w:bottom w:val="single" w:color="auto" w:sz="4" w:space="0"/>
            </w:tcBorders>
            <w:vAlign w:val="center"/>
          </w:tcPr>
          <w:p/>
        </w:tc>
        <w:tc>
          <w:tcPr>
            <w:tcW w:w="328" w:type="dxa"/>
            <w:tcBorders>
              <w:bottom w:val="single" w:color="auto" w:sz="4" w:space="0"/>
            </w:tcBorders>
            <w:vAlign w:val="center"/>
          </w:tcPr>
          <w:p>
            <w:r>
              <w:pict>
                <v:shape id="直接箭头连接符 1" o:spid="_x0000_s1045" o:spt="32" type="#_x0000_t32" style="position:absolute;left:0pt;margin-left:15.55pt;margin-top:10.8pt;height:0pt;width:32.55pt;z-index:251661312;mso-width-relative:page;mso-height-relative:page;" filled="f" stroked="t" coordsize="21600,21600" o:gfxdata="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VD+33VAAAABwEAAA8AAAAAAAAAAQAgAAAAIgAAAGRycy9kb3ducmV2&#10;LnhtbFBLAQIUABQAAAAIAIdO4kCpBPap/wEAAOwDAAAOAAAAAAAAAAEAIAAAACQBAABkcnMvZTJv&#10;RG9jLnhtbFBLBQYAAAAABgAGAFkBAACVBQAAAAA=&#10;">
                  <v:path arrowok="t"/>
                  <v:fill on="f" focussize="0,0"/>
                  <v:stroke weight="4.75pt" color="#05080B"/>
                  <v:imagedata o:title=""/>
                  <o:lock v:ext="edit"/>
                </v:shape>
              </w:pict>
            </w:r>
          </w:p>
        </w:tc>
        <w:tc>
          <w:tcPr>
            <w:tcW w:w="329" w:type="dxa"/>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37"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26"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c>
          <w:tcPr>
            <w:tcW w:w="334" w:type="dxa"/>
            <w:tcBorders>
              <w:bottom w:val="single" w:color="auto" w:sz="4" w:space="0"/>
            </w:tcBorders>
            <w:vAlign w:val="center"/>
          </w:tcPr>
          <w:p/>
        </w:tc>
        <w:tc>
          <w:tcPr>
            <w:tcW w:w="330" w:type="dxa"/>
            <w:tcBorders>
              <w:bottom w:val="single" w:color="auto" w:sz="4" w:space="0"/>
            </w:tcBorders>
            <w:vAlign w:val="center"/>
          </w:tcPr>
          <w:p/>
        </w:tc>
        <w:tc>
          <w:tcPr>
            <w:tcW w:w="329" w:type="dxa"/>
            <w:tcBorders>
              <w:bottom w:val="single" w:color="auto" w:sz="4" w:space="0"/>
            </w:tcBorders>
            <w:vAlign w:val="center"/>
          </w:tcPr>
          <w:p/>
        </w:tc>
        <w:tc>
          <w:tcPr>
            <w:tcW w:w="330" w:type="dxa"/>
            <w:tcBorders>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65" w:hRule="atLeast"/>
          <w:jc w:val="center"/>
        </w:trPr>
        <w:tc>
          <w:tcPr>
            <w:tcW w:w="2288" w:type="dxa"/>
            <w:vAlign w:val="center"/>
          </w:tcPr>
          <w:p>
            <w:r>
              <w:rPr>
                <w:rFonts w:hint="eastAsia"/>
              </w:rPr>
              <w:t>数字空间建设</w:t>
            </w:r>
          </w:p>
        </w:tc>
        <w:tc>
          <w:tcPr>
            <w:tcW w:w="359" w:type="dxa"/>
            <w:vAlign w:val="center"/>
          </w:tcPr>
          <w:p/>
        </w:tc>
        <w:tc>
          <w:tcPr>
            <w:tcW w:w="328" w:type="dxa"/>
            <w:vAlign w:val="center"/>
          </w:tcPr>
          <w:p/>
        </w:tc>
        <w:tc>
          <w:tcPr>
            <w:tcW w:w="329" w:type="dxa"/>
            <w:vAlign w:val="center"/>
          </w:tcPr>
          <w:p/>
        </w:tc>
        <w:tc>
          <w:tcPr>
            <w:tcW w:w="330" w:type="dxa"/>
            <w:vAlign w:val="center"/>
          </w:tcPr>
          <w:p>
            <w:r>
              <w:pict>
                <v:shape id="直接箭头连接符 2" o:spid="_x0000_s1044" o:spt="32" type="#_x0000_t32" style="position:absolute;left:0pt;margin-left:15.35pt;margin-top:11.25pt;height:0pt;width:32.55pt;z-index:251662336;mso-width-relative:page;mso-height-relative:page;" filled="f" stroked="t" coordsize="21600,21600" o:gfxdata="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IkLg1QAAAAcBAAAPAAAAAAAAAAEAIAAAACIAAABkcnMvZG93bnJl&#10;di54bWxQSwECFAAUAAAACACHTuJARDti3gACAADsAwAADgAAAAAAAAABACAAAAAkAQAAZHJzL2Uy&#10;b0RvYy54bWxQSwUGAAAAAAYABgBZAQAAlgUAAAAA&#10;">
                  <v:path arrowok="t"/>
                  <v:fill on="f" focussize="0,0"/>
                  <v:stroke weight="4.75pt" color="#05080B"/>
                  <v:imagedata o:title=""/>
                  <o:lock v:ext="edit"/>
                </v:shape>
              </w:pict>
            </w:r>
          </w:p>
        </w:tc>
        <w:tc>
          <w:tcPr>
            <w:tcW w:w="329" w:type="dxa"/>
            <w:vAlign w:val="center"/>
          </w:tcPr>
          <w:p/>
        </w:tc>
        <w:tc>
          <w:tcPr>
            <w:tcW w:w="337" w:type="dxa"/>
            <w:vAlign w:val="center"/>
          </w:tcPr>
          <w:p/>
        </w:tc>
        <w:tc>
          <w:tcPr>
            <w:tcW w:w="329" w:type="dxa"/>
            <w:vAlign w:val="center"/>
          </w:tcPr>
          <w:p/>
        </w:tc>
        <w:tc>
          <w:tcPr>
            <w:tcW w:w="330" w:type="dxa"/>
            <w:vAlign w:val="center"/>
          </w:tcPr>
          <w:p/>
        </w:tc>
        <w:tc>
          <w:tcPr>
            <w:tcW w:w="329" w:type="dxa"/>
            <w:vAlign w:val="center"/>
          </w:tcPr>
          <w:p/>
        </w:tc>
        <w:tc>
          <w:tcPr>
            <w:tcW w:w="330" w:type="dxa"/>
            <w:vAlign w:val="center"/>
          </w:tcPr>
          <w:p/>
        </w:tc>
        <w:tc>
          <w:tcPr>
            <w:tcW w:w="329" w:type="dxa"/>
            <w:vAlign w:val="center"/>
          </w:tcPr>
          <w:p/>
        </w:tc>
        <w:tc>
          <w:tcPr>
            <w:tcW w:w="326" w:type="dxa"/>
            <w:vAlign w:val="center"/>
          </w:tcPr>
          <w:p/>
        </w:tc>
        <w:tc>
          <w:tcPr>
            <w:tcW w:w="329" w:type="dxa"/>
            <w:vAlign w:val="center"/>
          </w:tcPr>
          <w:p/>
        </w:tc>
        <w:tc>
          <w:tcPr>
            <w:tcW w:w="330" w:type="dxa"/>
            <w:vAlign w:val="center"/>
          </w:tcPr>
          <w:p/>
        </w:tc>
        <w:tc>
          <w:tcPr>
            <w:tcW w:w="334" w:type="dxa"/>
            <w:vAlign w:val="center"/>
          </w:tcPr>
          <w:p/>
        </w:tc>
        <w:tc>
          <w:tcPr>
            <w:tcW w:w="330" w:type="dxa"/>
            <w:vAlign w:val="center"/>
          </w:tcPr>
          <w:p/>
        </w:tc>
        <w:tc>
          <w:tcPr>
            <w:tcW w:w="329" w:type="dxa"/>
            <w:vAlign w:val="center"/>
          </w:tcPr>
          <w:p/>
        </w:tc>
        <w:tc>
          <w:tcPr>
            <w:tcW w:w="33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65" w:hRule="atLeast"/>
          <w:jc w:val="center"/>
        </w:trPr>
        <w:tc>
          <w:tcPr>
            <w:tcW w:w="2288" w:type="dxa"/>
            <w:vAlign w:val="center"/>
          </w:tcPr>
          <w:p>
            <w:r>
              <w:rPr>
                <w:rFonts w:hint="eastAsia"/>
              </w:rPr>
              <w:t>金椰分对接</w:t>
            </w:r>
          </w:p>
        </w:tc>
        <w:tc>
          <w:tcPr>
            <w:tcW w:w="359" w:type="dxa"/>
            <w:vAlign w:val="center"/>
          </w:tcPr>
          <w:p/>
        </w:tc>
        <w:tc>
          <w:tcPr>
            <w:tcW w:w="328" w:type="dxa"/>
            <w:vAlign w:val="center"/>
          </w:tcPr>
          <w:p/>
        </w:tc>
        <w:tc>
          <w:tcPr>
            <w:tcW w:w="329" w:type="dxa"/>
            <w:vAlign w:val="center"/>
          </w:tcPr>
          <w:p/>
        </w:tc>
        <w:tc>
          <w:tcPr>
            <w:tcW w:w="330" w:type="dxa"/>
            <w:vAlign w:val="center"/>
          </w:tcPr>
          <w:p>
            <w:r>
              <w:pict>
                <v:shape id="直接箭头连接符 6" o:spid="_x0000_s1043" o:spt="32" type="#_x0000_t32" style="position:absolute;left:0pt;margin-left:15.55pt;margin-top:12.35pt;height:0pt;width:32.55pt;z-index:251669504;mso-width-relative:page;mso-height-relative:page;" filled="f" stroked="t" coordsize="21600,21600" o:gfxdata="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iILePVAAAABwEAAA8AAAAAAAAAAQAgAAAAIgAAAGRycy9kb3ducmV2&#10;LnhtbFBLAQIUABQAAAAIAIdO4kAXbH3d/wEAAOwDAAAOAAAAAAAAAAEAIAAAACQBAABkcnMvZTJv&#10;RG9jLnhtbFBLBQYAAAAABgAGAFkBAACVBQAAAAA=&#10;">
                  <v:path arrowok="t"/>
                  <v:fill on="f" focussize="0,0"/>
                  <v:stroke weight="4.75pt" color="#05080B"/>
                  <v:imagedata o:title=""/>
                  <o:lock v:ext="edit"/>
                </v:shape>
              </w:pict>
            </w:r>
          </w:p>
        </w:tc>
        <w:tc>
          <w:tcPr>
            <w:tcW w:w="329" w:type="dxa"/>
            <w:vAlign w:val="center"/>
          </w:tcPr>
          <w:p/>
        </w:tc>
        <w:tc>
          <w:tcPr>
            <w:tcW w:w="337" w:type="dxa"/>
            <w:vAlign w:val="center"/>
          </w:tcPr>
          <w:p/>
        </w:tc>
        <w:tc>
          <w:tcPr>
            <w:tcW w:w="329" w:type="dxa"/>
            <w:vAlign w:val="center"/>
          </w:tcPr>
          <w:p/>
        </w:tc>
        <w:tc>
          <w:tcPr>
            <w:tcW w:w="330" w:type="dxa"/>
            <w:vAlign w:val="center"/>
          </w:tcPr>
          <w:p/>
        </w:tc>
        <w:tc>
          <w:tcPr>
            <w:tcW w:w="329" w:type="dxa"/>
            <w:vAlign w:val="center"/>
          </w:tcPr>
          <w:p/>
        </w:tc>
        <w:tc>
          <w:tcPr>
            <w:tcW w:w="330" w:type="dxa"/>
            <w:vAlign w:val="center"/>
          </w:tcPr>
          <w:p/>
        </w:tc>
        <w:tc>
          <w:tcPr>
            <w:tcW w:w="329" w:type="dxa"/>
            <w:vAlign w:val="center"/>
          </w:tcPr>
          <w:p/>
        </w:tc>
        <w:tc>
          <w:tcPr>
            <w:tcW w:w="326" w:type="dxa"/>
            <w:vAlign w:val="center"/>
          </w:tcPr>
          <w:p/>
        </w:tc>
        <w:tc>
          <w:tcPr>
            <w:tcW w:w="329" w:type="dxa"/>
            <w:vAlign w:val="center"/>
          </w:tcPr>
          <w:p/>
        </w:tc>
        <w:tc>
          <w:tcPr>
            <w:tcW w:w="330" w:type="dxa"/>
            <w:vAlign w:val="center"/>
          </w:tcPr>
          <w:p/>
        </w:tc>
        <w:tc>
          <w:tcPr>
            <w:tcW w:w="334" w:type="dxa"/>
            <w:vAlign w:val="center"/>
          </w:tcPr>
          <w:p/>
        </w:tc>
        <w:tc>
          <w:tcPr>
            <w:tcW w:w="330" w:type="dxa"/>
            <w:vAlign w:val="center"/>
          </w:tcPr>
          <w:p/>
        </w:tc>
        <w:tc>
          <w:tcPr>
            <w:tcW w:w="329" w:type="dxa"/>
            <w:vAlign w:val="center"/>
          </w:tcPr>
          <w:p/>
        </w:tc>
        <w:tc>
          <w:tcPr>
            <w:tcW w:w="33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65" w:hRule="atLeast"/>
          <w:jc w:val="center"/>
        </w:trPr>
        <w:tc>
          <w:tcPr>
            <w:tcW w:w="2288" w:type="dxa"/>
            <w:vAlign w:val="center"/>
          </w:tcPr>
          <w:p>
            <w:r>
              <w:rPr>
                <w:rFonts w:hint="eastAsia"/>
              </w:rPr>
              <w:t>码引擎支撑平台建设</w:t>
            </w:r>
          </w:p>
        </w:tc>
        <w:tc>
          <w:tcPr>
            <w:tcW w:w="359" w:type="dxa"/>
            <w:vAlign w:val="center"/>
          </w:tcPr>
          <w:p/>
        </w:tc>
        <w:tc>
          <w:tcPr>
            <w:tcW w:w="328" w:type="dxa"/>
            <w:vAlign w:val="center"/>
          </w:tcPr>
          <w:p/>
        </w:tc>
        <w:tc>
          <w:tcPr>
            <w:tcW w:w="329" w:type="dxa"/>
            <w:vAlign w:val="center"/>
          </w:tcPr>
          <w:p/>
        </w:tc>
        <w:tc>
          <w:tcPr>
            <w:tcW w:w="330" w:type="dxa"/>
            <w:vAlign w:val="center"/>
          </w:tcPr>
          <w:p/>
        </w:tc>
        <w:tc>
          <w:tcPr>
            <w:tcW w:w="329" w:type="dxa"/>
            <w:vAlign w:val="center"/>
          </w:tcPr>
          <w:p/>
        </w:tc>
        <w:tc>
          <w:tcPr>
            <w:tcW w:w="337" w:type="dxa"/>
            <w:vAlign w:val="center"/>
          </w:tcPr>
          <w:p/>
        </w:tc>
        <w:tc>
          <w:tcPr>
            <w:tcW w:w="329" w:type="dxa"/>
            <w:vAlign w:val="center"/>
          </w:tcPr>
          <w:p>
            <w:r>
              <w:pict>
                <v:shape id="直接箭头连接符 3" o:spid="_x0000_s1042" o:spt="32" type="#_x0000_t32" style="position:absolute;left:0pt;margin-left:1.75pt;margin-top:11.8pt;height:0pt;width:130.2pt;z-index:251664384;mso-width-relative:page;mso-height-relative:page;" filled="f" stroked="t" coordsize="21600,21600" o:gfxdata="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5q7vbWAAAABwEAAA8AAAAAAAAAAQAgAAAAIgAAAGRycy9kb3du&#10;cmV2LnhtbFBLAQIUABQAAAAIAIdO4kB9SFapAQIAAO0DAAAOAAAAAAAAAAEAIAAAACUBAABkcnMv&#10;ZTJvRG9jLnhtbFBLBQYAAAAABgAGAFkBAACYBQAAAAA=&#10;">
                  <v:path arrowok="t"/>
                  <v:fill on="f" focussize="0,0"/>
                  <v:stroke weight="4.75pt" color="#05080B"/>
                  <v:imagedata o:title=""/>
                  <o:lock v:ext="edit"/>
                </v:shape>
              </w:pict>
            </w:r>
          </w:p>
        </w:tc>
        <w:tc>
          <w:tcPr>
            <w:tcW w:w="330" w:type="dxa"/>
            <w:vAlign w:val="center"/>
          </w:tcPr>
          <w:p/>
        </w:tc>
        <w:tc>
          <w:tcPr>
            <w:tcW w:w="329" w:type="dxa"/>
            <w:vAlign w:val="center"/>
          </w:tcPr>
          <w:p/>
        </w:tc>
        <w:tc>
          <w:tcPr>
            <w:tcW w:w="330" w:type="dxa"/>
            <w:vAlign w:val="center"/>
          </w:tcPr>
          <w:p/>
        </w:tc>
        <w:tc>
          <w:tcPr>
            <w:tcW w:w="329" w:type="dxa"/>
            <w:vAlign w:val="center"/>
          </w:tcPr>
          <w:p/>
        </w:tc>
        <w:tc>
          <w:tcPr>
            <w:tcW w:w="326" w:type="dxa"/>
            <w:vAlign w:val="center"/>
          </w:tcPr>
          <w:p/>
        </w:tc>
        <w:tc>
          <w:tcPr>
            <w:tcW w:w="329" w:type="dxa"/>
            <w:vAlign w:val="center"/>
          </w:tcPr>
          <w:p/>
        </w:tc>
        <w:tc>
          <w:tcPr>
            <w:tcW w:w="330" w:type="dxa"/>
            <w:vAlign w:val="center"/>
          </w:tcPr>
          <w:p/>
        </w:tc>
        <w:tc>
          <w:tcPr>
            <w:tcW w:w="334" w:type="dxa"/>
            <w:vAlign w:val="center"/>
          </w:tcPr>
          <w:p/>
        </w:tc>
        <w:tc>
          <w:tcPr>
            <w:tcW w:w="330" w:type="dxa"/>
            <w:vAlign w:val="center"/>
          </w:tcPr>
          <w:p/>
        </w:tc>
        <w:tc>
          <w:tcPr>
            <w:tcW w:w="329" w:type="dxa"/>
            <w:vAlign w:val="center"/>
          </w:tcPr>
          <w:p/>
        </w:tc>
        <w:tc>
          <w:tcPr>
            <w:tcW w:w="33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65" w:hRule="atLeast"/>
          <w:jc w:val="center"/>
        </w:trPr>
        <w:tc>
          <w:tcPr>
            <w:tcW w:w="2288" w:type="dxa"/>
            <w:vAlign w:val="center"/>
          </w:tcPr>
          <w:p>
            <w:r>
              <w:rPr>
                <w:rFonts w:hint="eastAsia"/>
              </w:rPr>
              <w:t>决策驾驶舱建设</w:t>
            </w:r>
          </w:p>
        </w:tc>
        <w:tc>
          <w:tcPr>
            <w:tcW w:w="359" w:type="dxa"/>
            <w:vAlign w:val="center"/>
          </w:tcPr>
          <w:p/>
        </w:tc>
        <w:tc>
          <w:tcPr>
            <w:tcW w:w="328" w:type="dxa"/>
            <w:vAlign w:val="center"/>
          </w:tcPr>
          <w:p/>
        </w:tc>
        <w:tc>
          <w:tcPr>
            <w:tcW w:w="329" w:type="dxa"/>
            <w:vAlign w:val="center"/>
          </w:tcPr>
          <w:p/>
        </w:tc>
        <w:tc>
          <w:tcPr>
            <w:tcW w:w="330" w:type="dxa"/>
            <w:vAlign w:val="center"/>
          </w:tcPr>
          <w:p/>
        </w:tc>
        <w:tc>
          <w:tcPr>
            <w:tcW w:w="329" w:type="dxa"/>
            <w:vAlign w:val="center"/>
          </w:tcPr>
          <w:p/>
        </w:tc>
        <w:tc>
          <w:tcPr>
            <w:tcW w:w="337" w:type="dxa"/>
            <w:vAlign w:val="center"/>
          </w:tcPr>
          <w:p/>
        </w:tc>
        <w:tc>
          <w:tcPr>
            <w:tcW w:w="329" w:type="dxa"/>
            <w:vAlign w:val="center"/>
          </w:tcPr>
          <w:p/>
        </w:tc>
        <w:tc>
          <w:tcPr>
            <w:tcW w:w="330" w:type="dxa"/>
            <w:vAlign w:val="center"/>
          </w:tcPr>
          <w:p/>
        </w:tc>
        <w:tc>
          <w:tcPr>
            <w:tcW w:w="329" w:type="dxa"/>
            <w:vAlign w:val="center"/>
          </w:tcPr>
          <w:p/>
        </w:tc>
        <w:tc>
          <w:tcPr>
            <w:tcW w:w="330" w:type="dxa"/>
            <w:vAlign w:val="center"/>
          </w:tcPr>
          <w:p/>
        </w:tc>
        <w:tc>
          <w:tcPr>
            <w:tcW w:w="329" w:type="dxa"/>
            <w:vAlign w:val="center"/>
          </w:tcPr>
          <w:p/>
        </w:tc>
        <w:tc>
          <w:tcPr>
            <w:tcW w:w="326" w:type="dxa"/>
            <w:vAlign w:val="center"/>
          </w:tcPr>
          <w:p/>
        </w:tc>
        <w:tc>
          <w:tcPr>
            <w:tcW w:w="329" w:type="dxa"/>
            <w:vAlign w:val="center"/>
          </w:tcPr>
          <w:p>
            <w:r>
              <w:pict>
                <v:shape id="直接箭头连接符 5" o:spid="_x0000_s1041" o:spt="32" type="#_x0000_t32" style="position:absolute;left:0pt;margin-left:0.9pt;margin-top:12.05pt;height:0pt;width:32.55pt;z-index:251663360;mso-width-relative:page;mso-height-relative:page;" filled="f" stroked="t" coordsize="21600,21600" o:gfxdata="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kvL50wAAAAYBAAAPAAAAAAAAAAEAIAAAACIAAABkcnMvZG93bnJldi54&#10;bWxQSwECFAAUAAAACACHTuJA+lPpqv8BAADsAwAADgAAAAAAAAABACAAAAAiAQAAZHJzL2Uyb0Rv&#10;Yy54bWxQSwUGAAAAAAYABgBZAQAAkwUAAAAA&#10;">
                  <v:path arrowok="t"/>
                  <v:fill on="f" focussize="0,0"/>
                  <v:stroke weight="4.75pt" color="#05080B"/>
                  <v:imagedata o:title=""/>
                  <o:lock v:ext="edit"/>
                </v:shape>
              </w:pict>
            </w:r>
          </w:p>
        </w:tc>
        <w:tc>
          <w:tcPr>
            <w:tcW w:w="330" w:type="dxa"/>
            <w:vAlign w:val="center"/>
          </w:tcPr>
          <w:p/>
        </w:tc>
        <w:tc>
          <w:tcPr>
            <w:tcW w:w="334" w:type="dxa"/>
            <w:vAlign w:val="center"/>
          </w:tcPr>
          <w:p/>
        </w:tc>
        <w:tc>
          <w:tcPr>
            <w:tcW w:w="330" w:type="dxa"/>
            <w:vAlign w:val="center"/>
          </w:tcPr>
          <w:p/>
        </w:tc>
        <w:tc>
          <w:tcPr>
            <w:tcW w:w="329" w:type="dxa"/>
            <w:vAlign w:val="center"/>
          </w:tcPr>
          <w:p/>
        </w:tc>
        <w:tc>
          <w:tcPr>
            <w:tcW w:w="33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2" w:type="dxa"/>
          <w:trHeight w:val="465" w:hRule="atLeast"/>
          <w:jc w:val="center"/>
        </w:trPr>
        <w:tc>
          <w:tcPr>
            <w:tcW w:w="2288" w:type="dxa"/>
            <w:vAlign w:val="center"/>
          </w:tcPr>
          <w:p>
            <w:r>
              <w:rPr>
                <w:rFonts w:hint="eastAsia"/>
              </w:rPr>
              <w:t>移动端建设</w:t>
            </w:r>
          </w:p>
        </w:tc>
        <w:tc>
          <w:tcPr>
            <w:tcW w:w="359" w:type="dxa"/>
            <w:vAlign w:val="center"/>
          </w:tcPr>
          <w:p/>
        </w:tc>
        <w:tc>
          <w:tcPr>
            <w:tcW w:w="328" w:type="dxa"/>
            <w:vAlign w:val="center"/>
          </w:tcPr>
          <w:p/>
        </w:tc>
        <w:tc>
          <w:tcPr>
            <w:tcW w:w="329" w:type="dxa"/>
            <w:vAlign w:val="center"/>
          </w:tcPr>
          <w:p/>
        </w:tc>
        <w:tc>
          <w:tcPr>
            <w:tcW w:w="330" w:type="dxa"/>
            <w:vAlign w:val="center"/>
          </w:tcPr>
          <w:p>
            <w:r>
              <w:pict>
                <v:shape id="直接箭头连接符 7" o:spid="_x0000_s1040" o:spt="32" type="#_x0000_t32" style="position:absolute;left:0pt;margin-left:15.45pt;margin-top:10.75pt;height:0.05pt;width:169.95pt;z-index:251665408;mso-width-relative:page;mso-height-relative:page;" filled="f" stroked="t" coordsize="21600,21600" o:gfxdata="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3iywE1wAAAAgBAAAPAAAAAAAAAAEAIAAAACIAAABkcnMvZG93&#10;bnJldi54bWxQSwECFAAUAAAACACHTuJALCFx7AECAADvAwAADgAAAAAAAAABACAAAAAmAQAAZHJz&#10;L2Uyb0RvYy54bWxQSwUGAAAAAAYABgBZAQAAmQUAAAAA&#10;">
                  <v:path arrowok="t"/>
                  <v:fill on="f" focussize="0,0"/>
                  <v:stroke weight="4.75pt" color="#05080B"/>
                  <v:imagedata o:title=""/>
                  <o:lock v:ext="edit"/>
                </v:shape>
              </w:pict>
            </w:r>
          </w:p>
        </w:tc>
        <w:tc>
          <w:tcPr>
            <w:tcW w:w="329" w:type="dxa"/>
            <w:vAlign w:val="center"/>
          </w:tcPr>
          <w:p/>
        </w:tc>
        <w:tc>
          <w:tcPr>
            <w:tcW w:w="337" w:type="dxa"/>
            <w:vAlign w:val="center"/>
          </w:tcPr>
          <w:p/>
        </w:tc>
        <w:tc>
          <w:tcPr>
            <w:tcW w:w="329" w:type="dxa"/>
            <w:vAlign w:val="center"/>
          </w:tcPr>
          <w:p/>
        </w:tc>
        <w:tc>
          <w:tcPr>
            <w:tcW w:w="330" w:type="dxa"/>
            <w:vAlign w:val="center"/>
          </w:tcPr>
          <w:p/>
        </w:tc>
        <w:tc>
          <w:tcPr>
            <w:tcW w:w="329" w:type="dxa"/>
            <w:vAlign w:val="center"/>
          </w:tcPr>
          <w:p/>
        </w:tc>
        <w:tc>
          <w:tcPr>
            <w:tcW w:w="330" w:type="dxa"/>
            <w:vAlign w:val="center"/>
          </w:tcPr>
          <w:p/>
        </w:tc>
        <w:tc>
          <w:tcPr>
            <w:tcW w:w="329" w:type="dxa"/>
            <w:vAlign w:val="center"/>
          </w:tcPr>
          <w:p/>
        </w:tc>
        <w:tc>
          <w:tcPr>
            <w:tcW w:w="326" w:type="dxa"/>
            <w:vAlign w:val="center"/>
          </w:tcPr>
          <w:p/>
        </w:tc>
        <w:tc>
          <w:tcPr>
            <w:tcW w:w="329" w:type="dxa"/>
            <w:vAlign w:val="center"/>
          </w:tcPr>
          <w:p/>
        </w:tc>
        <w:tc>
          <w:tcPr>
            <w:tcW w:w="330" w:type="dxa"/>
            <w:vAlign w:val="center"/>
          </w:tcPr>
          <w:p/>
        </w:tc>
        <w:tc>
          <w:tcPr>
            <w:tcW w:w="334" w:type="dxa"/>
            <w:vAlign w:val="center"/>
          </w:tcPr>
          <w:p/>
        </w:tc>
        <w:tc>
          <w:tcPr>
            <w:tcW w:w="330" w:type="dxa"/>
            <w:vAlign w:val="center"/>
          </w:tcPr>
          <w:p/>
        </w:tc>
        <w:tc>
          <w:tcPr>
            <w:tcW w:w="329" w:type="dxa"/>
            <w:vAlign w:val="center"/>
          </w:tcPr>
          <w:p/>
        </w:tc>
        <w:tc>
          <w:tcPr>
            <w:tcW w:w="33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65" w:hRule="atLeast"/>
          <w:jc w:val="center"/>
        </w:trPr>
        <w:tc>
          <w:tcPr>
            <w:tcW w:w="2288" w:type="dxa"/>
            <w:vAlign w:val="center"/>
          </w:tcPr>
          <w:p>
            <w:r>
              <w:rPr>
                <w:rFonts w:hint="eastAsia"/>
              </w:rPr>
              <w:t>场景应用建设</w:t>
            </w:r>
          </w:p>
        </w:tc>
        <w:tc>
          <w:tcPr>
            <w:tcW w:w="359" w:type="dxa"/>
            <w:vAlign w:val="center"/>
          </w:tcPr>
          <w:p/>
        </w:tc>
        <w:tc>
          <w:tcPr>
            <w:tcW w:w="328" w:type="dxa"/>
            <w:vAlign w:val="center"/>
          </w:tcPr>
          <w:p/>
        </w:tc>
        <w:tc>
          <w:tcPr>
            <w:tcW w:w="329" w:type="dxa"/>
            <w:vAlign w:val="center"/>
          </w:tcPr>
          <w:p/>
        </w:tc>
        <w:tc>
          <w:tcPr>
            <w:tcW w:w="330" w:type="dxa"/>
            <w:vAlign w:val="center"/>
          </w:tcPr>
          <w:p/>
        </w:tc>
        <w:tc>
          <w:tcPr>
            <w:tcW w:w="329" w:type="dxa"/>
            <w:vAlign w:val="center"/>
          </w:tcPr>
          <w:p/>
        </w:tc>
        <w:tc>
          <w:tcPr>
            <w:tcW w:w="337" w:type="dxa"/>
            <w:vAlign w:val="center"/>
          </w:tcPr>
          <w:p>
            <w:r>
              <w:pict>
                <v:shape id="直接箭头连接符 11" o:spid="_x0000_s1039" o:spt="32" type="#_x0000_t32" style="position:absolute;left:0pt;margin-left:15.45pt;margin-top:11.35pt;height:0pt;width:130.2pt;z-index:251666432;mso-width-relative:page;mso-height-relative:page;" filled="f" stroked="t" coordsize="21600,21600" o:gfxdata="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SbopNcAAAAIAQAADwAAAAAAAAABACAAAAAiAAAAZHJzL2Rv&#10;d25yZXYueG1sUEsBAhQAFAAAAAgAh07iQK5ywWICAgAA7wMAAA4AAAAAAAAAAQAgAAAAJgEAAGRy&#10;cy9lMm9Eb2MueG1sUEsFBgAAAAAGAAYAWQEAAJoFAAAAAA==&#10;">
                  <v:path arrowok="t"/>
                  <v:fill on="f" focussize="0,0"/>
                  <v:stroke weight="4.75pt" color="#05080B"/>
                  <v:imagedata o:title=""/>
                  <o:lock v:ext="edit"/>
                </v:shape>
              </w:pict>
            </w:r>
          </w:p>
        </w:tc>
        <w:tc>
          <w:tcPr>
            <w:tcW w:w="329" w:type="dxa"/>
            <w:vAlign w:val="center"/>
          </w:tcPr>
          <w:p/>
        </w:tc>
        <w:tc>
          <w:tcPr>
            <w:tcW w:w="330" w:type="dxa"/>
            <w:vAlign w:val="center"/>
          </w:tcPr>
          <w:p/>
        </w:tc>
        <w:tc>
          <w:tcPr>
            <w:tcW w:w="329" w:type="dxa"/>
            <w:vAlign w:val="center"/>
          </w:tcPr>
          <w:p/>
        </w:tc>
        <w:tc>
          <w:tcPr>
            <w:tcW w:w="330" w:type="dxa"/>
            <w:vAlign w:val="center"/>
          </w:tcPr>
          <w:p/>
        </w:tc>
        <w:tc>
          <w:tcPr>
            <w:tcW w:w="329" w:type="dxa"/>
            <w:vAlign w:val="center"/>
          </w:tcPr>
          <w:p/>
        </w:tc>
        <w:tc>
          <w:tcPr>
            <w:tcW w:w="326" w:type="dxa"/>
            <w:vAlign w:val="center"/>
          </w:tcPr>
          <w:p/>
        </w:tc>
        <w:tc>
          <w:tcPr>
            <w:tcW w:w="329" w:type="dxa"/>
            <w:vAlign w:val="center"/>
          </w:tcPr>
          <w:p/>
        </w:tc>
        <w:tc>
          <w:tcPr>
            <w:tcW w:w="330" w:type="dxa"/>
            <w:vAlign w:val="center"/>
          </w:tcPr>
          <w:p/>
        </w:tc>
        <w:tc>
          <w:tcPr>
            <w:tcW w:w="334" w:type="dxa"/>
            <w:vAlign w:val="center"/>
          </w:tcPr>
          <w:p/>
        </w:tc>
        <w:tc>
          <w:tcPr>
            <w:tcW w:w="330" w:type="dxa"/>
            <w:vAlign w:val="center"/>
          </w:tcPr>
          <w:p/>
        </w:tc>
        <w:tc>
          <w:tcPr>
            <w:tcW w:w="329" w:type="dxa"/>
            <w:vAlign w:val="center"/>
          </w:tcPr>
          <w:p/>
        </w:tc>
        <w:tc>
          <w:tcPr>
            <w:tcW w:w="33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65" w:hRule="atLeast"/>
          <w:jc w:val="center"/>
        </w:trPr>
        <w:tc>
          <w:tcPr>
            <w:tcW w:w="2288" w:type="dxa"/>
            <w:vAlign w:val="center"/>
          </w:tcPr>
          <w:p>
            <w:r>
              <w:rPr>
                <w:rFonts w:hint="eastAsia"/>
              </w:rPr>
              <w:t>平台试运行</w:t>
            </w:r>
          </w:p>
        </w:tc>
        <w:tc>
          <w:tcPr>
            <w:tcW w:w="359" w:type="dxa"/>
            <w:vAlign w:val="center"/>
          </w:tcPr>
          <w:p/>
        </w:tc>
        <w:tc>
          <w:tcPr>
            <w:tcW w:w="328" w:type="dxa"/>
            <w:vAlign w:val="center"/>
          </w:tcPr>
          <w:p/>
        </w:tc>
        <w:tc>
          <w:tcPr>
            <w:tcW w:w="329" w:type="dxa"/>
            <w:vAlign w:val="center"/>
          </w:tcPr>
          <w:p/>
        </w:tc>
        <w:tc>
          <w:tcPr>
            <w:tcW w:w="330" w:type="dxa"/>
            <w:vAlign w:val="center"/>
          </w:tcPr>
          <w:p/>
        </w:tc>
        <w:tc>
          <w:tcPr>
            <w:tcW w:w="329" w:type="dxa"/>
            <w:vAlign w:val="center"/>
          </w:tcPr>
          <w:p/>
        </w:tc>
        <w:tc>
          <w:tcPr>
            <w:tcW w:w="337" w:type="dxa"/>
            <w:vAlign w:val="center"/>
          </w:tcPr>
          <w:p/>
        </w:tc>
        <w:tc>
          <w:tcPr>
            <w:tcW w:w="329" w:type="dxa"/>
            <w:vAlign w:val="center"/>
          </w:tcPr>
          <w:p/>
        </w:tc>
        <w:tc>
          <w:tcPr>
            <w:tcW w:w="330" w:type="dxa"/>
            <w:vAlign w:val="center"/>
          </w:tcPr>
          <w:p/>
        </w:tc>
        <w:tc>
          <w:tcPr>
            <w:tcW w:w="329" w:type="dxa"/>
            <w:vAlign w:val="center"/>
          </w:tcPr>
          <w:p/>
        </w:tc>
        <w:tc>
          <w:tcPr>
            <w:tcW w:w="330" w:type="dxa"/>
            <w:vAlign w:val="center"/>
          </w:tcPr>
          <w:p/>
        </w:tc>
        <w:tc>
          <w:tcPr>
            <w:tcW w:w="329" w:type="dxa"/>
            <w:vAlign w:val="center"/>
          </w:tcPr>
          <w:p/>
        </w:tc>
        <w:tc>
          <w:tcPr>
            <w:tcW w:w="326" w:type="dxa"/>
            <w:vAlign w:val="center"/>
          </w:tcPr>
          <w:p/>
        </w:tc>
        <w:tc>
          <w:tcPr>
            <w:tcW w:w="329" w:type="dxa"/>
            <w:vAlign w:val="center"/>
          </w:tcPr>
          <w:p/>
        </w:tc>
        <w:tc>
          <w:tcPr>
            <w:tcW w:w="330" w:type="dxa"/>
            <w:vAlign w:val="center"/>
          </w:tcPr>
          <w:p>
            <w:r>
              <w:pict>
                <v:shape id="直接箭头连接符 12" o:spid="_x0000_s1038" o:spt="32" type="#_x0000_t32" style="position:absolute;left:0pt;margin-left:14.75pt;margin-top:13.4pt;height:0pt;width:50.1pt;z-index:251667456;mso-width-relative:page;mso-height-relative:page;" filled="f" stroked="t" coordsize="21600,21600" o:gfxdata="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8UWsq1wAAAAgBAAAPAAAAAAAAAAEAIAAAACIAAABkcnMvZG93&#10;bnJldi54bWxQSwECFAAUAAAACACHTuJAdHgQRwECAADuAwAADgAAAAAAAAABACAAAAAmAQAAZHJz&#10;L2Uyb0RvYy54bWxQSwUGAAAAAAYABgBZAQAAmQUAAAAA&#10;">
                  <v:path arrowok="t"/>
                  <v:fill on="f" focussize="0,0"/>
                  <v:stroke weight="4.75pt" color="#05080B"/>
                  <v:imagedata o:title=""/>
                  <o:lock v:ext="edit"/>
                </v:shape>
              </w:pict>
            </w:r>
          </w:p>
        </w:tc>
        <w:tc>
          <w:tcPr>
            <w:tcW w:w="334" w:type="dxa"/>
            <w:vAlign w:val="center"/>
          </w:tcPr>
          <w:p/>
        </w:tc>
        <w:tc>
          <w:tcPr>
            <w:tcW w:w="330" w:type="dxa"/>
            <w:vAlign w:val="center"/>
          </w:tcPr>
          <w:p/>
        </w:tc>
        <w:tc>
          <w:tcPr>
            <w:tcW w:w="329" w:type="dxa"/>
            <w:vAlign w:val="center"/>
          </w:tcPr>
          <w:p/>
        </w:tc>
        <w:tc>
          <w:tcPr>
            <w:tcW w:w="33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65" w:hRule="atLeast"/>
          <w:jc w:val="center"/>
        </w:trPr>
        <w:tc>
          <w:tcPr>
            <w:tcW w:w="2288" w:type="dxa"/>
            <w:vAlign w:val="center"/>
          </w:tcPr>
          <w:p>
            <w:r>
              <w:t>项目验收</w:t>
            </w:r>
          </w:p>
        </w:tc>
        <w:tc>
          <w:tcPr>
            <w:tcW w:w="359" w:type="dxa"/>
            <w:vAlign w:val="center"/>
          </w:tcPr>
          <w:p/>
        </w:tc>
        <w:tc>
          <w:tcPr>
            <w:tcW w:w="328" w:type="dxa"/>
            <w:vAlign w:val="center"/>
          </w:tcPr>
          <w:p/>
        </w:tc>
        <w:tc>
          <w:tcPr>
            <w:tcW w:w="329" w:type="dxa"/>
            <w:vAlign w:val="center"/>
          </w:tcPr>
          <w:p/>
        </w:tc>
        <w:tc>
          <w:tcPr>
            <w:tcW w:w="330" w:type="dxa"/>
            <w:vAlign w:val="center"/>
          </w:tcPr>
          <w:p/>
        </w:tc>
        <w:tc>
          <w:tcPr>
            <w:tcW w:w="329" w:type="dxa"/>
            <w:vAlign w:val="center"/>
          </w:tcPr>
          <w:p/>
        </w:tc>
        <w:tc>
          <w:tcPr>
            <w:tcW w:w="337" w:type="dxa"/>
            <w:vAlign w:val="center"/>
          </w:tcPr>
          <w:p/>
        </w:tc>
        <w:tc>
          <w:tcPr>
            <w:tcW w:w="329" w:type="dxa"/>
            <w:vAlign w:val="center"/>
          </w:tcPr>
          <w:p/>
        </w:tc>
        <w:tc>
          <w:tcPr>
            <w:tcW w:w="330" w:type="dxa"/>
            <w:vAlign w:val="center"/>
          </w:tcPr>
          <w:p/>
        </w:tc>
        <w:tc>
          <w:tcPr>
            <w:tcW w:w="329" w:type="dxa"/>
            <w:vAlign w:val="center"/>
          </w:tcPr>
          <w:p/>
        </w:tc>
        <w:tc>
          <w:tcPr>
            <w:tcW w:w="330" w:type="dxa"/>
            <w:vAlign w:val="center"/>
          </w:tcPr>
          <w:p/>
        </w:tc>
        <w:tc>
          <w:tcPr>
            <w:tcW w:w="329" w:type="dxa"/>
            <w:vAlign w:val="center"/>
          </w:tcPr>
          <w:p/>
        </w:tc>
        <w:tc>
          <w:tcPr>
            <w:tcW w:w="326" w:type="dxa"/>
            <w:vAlign w:val="center"/>
          </w:tcPr>
          <w:p/>
        </w:tc>
        <w:tc>
          <w:tcPr>
            <w:tcW w:w="329" w:type="dxa"/>
            <w:vAlign w:val="center"/>
          </w:tcPr>
          <w:p/>
        </w:tc>
        <w:tc>
          <w:tcPr>
            <w:tcW w:w="330" w:type="dxa"/>
            <w:vAlign w:val="center"/>
          </w:tcPr>
          <w:p/>
        </w:tc>
        <w:tc>
          <w:tcPr>
            <w:tcW w:w="334" w:type="dxa"/>
            <w:vAlign w:val="center"/>
          </w:tcPr>
          <w:p/>
        </w:tc>
        <w:tc>
          <w:tcPr>
            <w:tcW w:w="330" w:type="dxa"/>
            <w:vAlign w:val="center"/>
          </w:tcPr>
          <w:p>
            <w:r>
              <w:pict>
                <v:shape id="直接箭头连接符 13" o:spid="_x0000_s1037" o:spt="32" type="#_x0000_t32" style="position:absolute;left:0pt;margin-left:16.2pt;margin-top:8.2pt;height:0pt;width:32.55pt;z-index:251668480;mso-width-relative:page;mso-height-relative:page;" filled="f" stroked="t" coordsize="21600,21600" o:gfxdata="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eMvPzWAAAABwEAAA8AAAAAAAAAAQAgAAAAIgAAAGRycy9kb3du&#10;cmV2LnhtbFBLAQIUABQAAAAIAIdO4kCkaR+XAQIAAO4DAAAOAAAAAAAAAAEAIAAAACUBAABkcnMv&#10;ZTJvRG9jLnhtbFBLBQYAAAAABgAGAFkBAACYBQAAAAA=&#10;">
                  <v:path arrowok="t"/>
                  <v:fill on="f" focussize="0,0"/>
                  <v:stroke weight="4.75pt" color="#05080B"/>
                  <v:imagedata o:title=""/>
                  <o:lock v:ext="edit"/>
                </v:shape>
              </w:pict>
            </w:r>
          </w:p>
        </w:tc>
        <w:tc>
          <w:tcPr>
            <w:tcW w:w="329" w:type="dxa"/>
            <w:vAlign w:val="center"/>
          </w:tcPr>
          <w:p/>
        </w:tc>
        <w:tc>
          <w:tcPr>
            <w:tcW w:w="330" w:type="dxa"/>
            <w:vAlign w:val="center"/>
          </w:tcPr>
          <w:p/>
        </w:tc>
      </w:tr>
    </w:tbl>
    <w:p/>
    <w:p>
      <w:pPr>
        <w:pStyle w:val="6"/>
        <w:widowControl/>
        <w:spacing w:line="360" w:lineRule="auto"/>
        <w:rPr>
          <w:rFonts w:ascii="Times New Roman" w:hAnsi="Times New Roman" w:cs="黑体"/>
        </w:rPr>
      </w:pPr>
      <w:r>
        <w:rPr>
          <w:rFonts w:hint="eastAsia" w:ascii="Times New Roman" w:hAnsi="Times New Roman" w:cs="黑体"/>
        </w:rPr>
        <w:t>3.2.</w:t>
      </w:r>
      <w:bookmarkStart w:id="323" w:name="_Toc29922"/>
      <w:r>
        <w:rPr>
          <w:rFonts w:hint="eastAsia" w:ascii="Times New Roman" w:hAnsi="Times New Roman" w:cs="黑体"/>
        </w:rPr>
        <w:t>3平台实施推广要求</w:t>
      </w:r>
      <w:bookmarkEnd w:id="323"/>
    </w:p>
    <w:p>
      <w:pPr>
        <w:pStyle w:val="7"/>
        <w:keepNext w:val="0"/>
        <w:keepLines w:val="0"/>
        <w:numPr>
          <w:ilvl w:val="5"/>
          <w:numId w:val="0"/>
        </w:numPr>
        <w:tabs>
          <w:tab w:val="left" w:pos="425"/>
          <w:tab w:val="left" w:pos="560"/>
        </w:tabs>
        <w:spacing w:before="240" w:after="156"/>
        <w:ind w:firstLine="482" w:firstLineChars="200"/>
        <w:rPr>
          <w:rFonts w:ascii="Arial" w:hAnsi="Arial"/>
          <w:bCs/>
          <w:lang w:val="zh-CN"/>
        </w:rPr>
      </w:pPr>
      <w:bookmarkStart w:id="324" w:name="_Toc530423793"/>
      <w:bookmarkStart w:id="325" w:name="_Toc2392"/>
      <w:r>
        <w:rPr>
          <w:rFonts w:hint="eastAsia" w:ascii="Arial" w:hAnsi="Arial"/>
          <w:bCs/>
        </w:rPr>
        <w:t>3.2.3.1</w:t>
      </w:r>
      <w:r>
        <w:rPr>
          <w:rFonts w:hint="eastAsia" w:ascii="Arial" w:hAnsi="Arial"/>
          <w:bCs/>
          <w:lang w:val="zh-CN"/>
        </w:rPr>
        <w:t>实施推广服务需求</w:t>
      </w:r>
      <w:bookmarkEnd w:id="324"/>
      <w:bookmarkEnd w:id="325"/>
    </w:p>
    <w:p>
      <w:pPr>
        <w:widowControl/>
        <w:spacing w:line="360" w:lineRule="auto"/>
        <w:ind w:firstLine="480"/>
        <w:jc w:val="left"/>
        <w:rPr>
          <w:rFonts w:ascii="宋体" w:hAnsi="宋体" w:cs="宋体"/>
          <w:kern w:val="0"/>
          <w:sz w:val="24"/>
        </w:rPr>
      </w:pPr>
      <w:r>
        <w:rPr>
          <w:rFonts w:hint="eastAsia" w:ascii="宋体" w:hAnsi="宋体" w:cs="宋体"/>
          <w:kern w:val="0"/>
          <w:sz w:val="24"/>
        </w:rPr>
        <w:t>对于产品的了解，提出针对产品阶段性的动态定位，设计相应的运营方案和活动策划，并执行线上、线下活动，增加新用户，活跃原有用户，并根据执行情况进行优化活动推广是通过策划组织各种总活动吸引用户参与关注，以此达到宣传推广目的的手段。活动推广最重要的作用是它的效果和作用佳。不仅适用性强，应用范围广。可实现用户导流、收集数据、提升用户满意度及忠诚度、增加用户黏性、直接带动业绩与品牌增长。线上可通过活动数量、曝光量、活动总结报告进行验收，线下活动通过活动签到表、现场照片、活动总结报告进行验收。</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bookmarkStart w:id="326" w:name="_Toc11058"/>
      <w:bookmarkStart w:id="327" w:name="_Toc530423796"/>
      <w:r>
        <w:rPr>
          <w:rFonts w:hint="eastAsia" w:ascii="Arial" w:hAnsi="Arial"/>
          <w:bCs/>
        </w:rPr>
        <w:t>3.2.3.2社区网络服务需求</w:t>
      </w:r>
      <w:bookmarkEnd w:id="326"/>
      <w:bookmarkEnd w:id="327"/>
    </w:p>
    <w:p>
      <w:pPr>
        <w:widowControl/>
        <w:spacing w:line="360" w:lineRule="auto"/>
        <w:ind w:firstLine="480"/>
        <w:jc w:val="left"/>
        <w:rPr>
          <w:rFonts w:ascii="宋体" w:hAnsi="宋体" w:cs="宋体"/>
          <w:kern w:val="0"/>
          <w:sz w:val="24"/>
        </w:rPr>
      </w:pPr>
      <w:r>
        <w:rPr>
          <w:rFonts w:hint="eastAsia" w:ascii="宋体" w:hAnsi="宋体" w:cs="宋体"/>
          <w:kern w:val="0"/>
          <w:sz w:val="24"/>
        </w:rPr>
        <w:t>社区是现代生活中一处重要场所，是集中在固定地域内的家庭间相互作用所形成的</w:t>
      </w:r>
      <w:r>
        <w:fldChar w:fldCharType="begin"/>
      </w:r>
      <w:r>
        <w:instrText xml:space="preserve"> HYPERLINK "https://www.baidu.com/s?wd=%E7%A4%BE%E4%BC%9A%E7%BD%91%E7%BB%9C&amp;tn=44039180_cpr&amp;fenlei=mv6quAkxTZn0IZRqIHckPjm4nH00T1Y4uH-bPyR3m16YmHRdP16L0ZwV5Hcvrjm3rH6sPfKWUMw85HfYnjn4nH6sgvPsT6KdThsqpZwYTjCEQLGCpyw9Uz4Bmy-bIi4WUvYETgN-TLwGUv3EPHR4P10dnjDzP1mkrHn1PW0Y" \t "https://zhidao.baidu.com/question/_blank" </w:instrText>
      </w:r>
      <w:r>
        <w:fldChar w:fldCharType="separate"/>
      </w:r>
      <w:r>
        <w:rPr>
          <w:rFonts w:hint="eastAsia" w:ascii="宋体" w:hAnsi="宋体" w:cs="宋体"/>
          <w:kern w:val="0"/>
          <w:sz w:val="24"/>
        </w:rPr>
        <w:t>社会网络</w:t>
      </w:r>
      <w:r>
        <w:rPr>
          <w:rFonts w:hint="eastAsia" w:ascii="宋体" w:hAnsi="宋体" w:cs="宋体"/>
          <w:kern w:val="0"/>
          <w:sz w:val="24"/>
        </w:rPr>
        <w:fldChar w:fldCharType="end"/>
      </w:r>
      <w:r>
        <w:rPr>
          <w:rFonts w:hint="eastAsia" w:ascii="宋体" w:hAnsi="宋体" w:cs="宋体"/>
          <w:kern w:val="0"/>
          <w:sz w:val="24"/>
        </w:rPr>
        <w:t>。本市社区均有相应的街道进行管理，同时，社区作为城镇中最基层的组织，是实现基本公共服务均等化的主战场，且其主要成员均是码上办事的目标用户。街道居委会作为政府单位，在市民群体中具有一定的权威性，并且居街道居委会对各个社区的特性，居民分布等信息了解更透彻，协同居委会进行宣传推广，能最大化提高活动效果。各个社区的便民服务商都是社区人流密集的地方。通过社区居民推广与应用场景推广培训相结合进行推广，对引导社区便民商业服务入驻，有重大意义：</w:t>
      </w:r>
    </w:p>
    <w:p>
      <w:pPr>
        <w:widowControl/>
        <w:spacing w:line="360" w:lineRule="auto"/>
        <w:ind w:firstLine="480"/>
        <w:jc w:val="left"/>
        <w:rPr>
          <w:rFonts w:ascii="宋体" w:hAnsi="宋体" w:cs="宋体"/>
          <w:kern w:val="0"/>
          <w:sz w:val="24"/>
        </w:rPr>
      </w:pPr>
      <w:r>
        <w:rPr>
          <w:rFonts w:hint="eastAsia" w:ascii="宋体" w:hAnsi="宋体" w:cs="宋体"/>
          <w:kern w:val="0"/>
          <w:sz w:val="24"/>
        </w:rPr>
        <w:t>①可以短时间覆盖大量受众。社区具有一定的人数规模，人口相对集中，便于码上办事在较短的时间内快速展开宣传推广。</w:t>
      </w:r>
    </w:p>
    <w:p>
      <w:pPr>
        <w:widowControl/>
        <w:spacing w:line="360" w:lineRule="auto"/>
        <w:ind w:firstLine="480"/>
        <w:jc w:val="left"/>
        <w:rPr>
          <w:rFonts w:ascii="宋体" w:hAnsi="宋体" w:cs="宋体"/>
          <w:kern w:val="0"/>
          <w:sz w:val="24"/>
        </w:rPr>
      </w:pPr>
      <w:r>
        <w:rPr>
          <w:rFonts w:hint="eastAsia" w:ascii="宋体" w:hAnsi="宋体" w:cs="宋体"/>
          <w:kern w:val="0"/>
          <w:sz w:val="24"/>
        </w:rPr>
        <w:t>②方便进行针对性的宣传和培训。同一个社区，成员之间有共同的语言、文化、风俗习惯。码上办事既然是为百姓服务的，就必须了解不同人群的需求和痛点。由于社区成员之间风俗习惯的共通性，我们可以较为容易地了解同一社区的受众心理和需求，可以针对性地开展宣传和相关培训。</w:t>
      </w:r>
    </w:p>
    <w:p>
      <w:pPr>
        <w:widowControl/>
        <w:spacing w:line="360" w:lineRule="auto"/>
        <w:ind w:firstLine="480"/>
        <w:jc w:val="left"/>
        <w:rPr>
          <w:rFonts w:ascii="宋体" w:hAnsi="宋体" w:cs="宋体"/>
          <w:kern w:val="0"/>
          <w:sz w:val="24"/>
        </w:rPr>
      </w:pPr>
      <w:r>
        <w:rPr>
          <w:rFonts w:hint="eastAsia" w:ascii="宋体" w:hAnsi="宋体" w:cs="宋体"/>
          <w:kern w:val="0"/>
          <w:sz w:val="24"/>
        </w:rPr>
        <w:t>③宣传性价比高。社区有自己的组织和制度，成员之间联系较密切。借助这一特点，码上办事可较为顺利地打造出“口口相传”的病毒式营销，快速提高用户基数，扩大受众面。</w:t>
      </w:r>
    </w:p>
    <w:p>
      <w:pPr>
        <w:widowControl/>
        <w:spacing w:line="360" w:lineRule="auto"/>
        <w:ind w:firstLine="480"/>
        <w:jc w:val="left"/>
        <w:rPr>
          <w:rFonts w:ascii="宋体" w:hAnsi="宋体" w:cs="宋体"/>
          <w:kern w:val="0"/>
          <w:sz w:val="24"/>
        </w:rPr>
      </w:pPr>
      <w:r>
        <w:rPr>
          <w:rFonts w:hint="eastAsia" w:ascii="宋体" w:hAnsi="宋体" w:cs="宋体"/>
          <w:kern w:val="0"/>
          <w:sz w:val="24"/>
        </w:rPr>
        <w:t>④用户转化率高。社区生活是市民生活的缩影，涉及到民生的各个方面。码上办事打造的是便民服务，在生活气息浓厚的社区里，借助便民服务的入驻推广，更容易激发居民的共鸣和认同，让居民不仅能够了解码上办事，将其转化为资深用户。</w:t>
      </w:r>
    </w:p>
    <w:p>
      <w:pPr>
        <w:widowControl/>
        <w:spacing w:line="360" w:lineRule="auto"/>
        <w:ind w:firstLine="480"/>
        <w:jc w:val="left"/>
        <w:rPr>
          <w:rFonts w:ascii="宋体" w:hAnsi="宋体" w:cs="宋体"/>
          <w:kern w:val="0"/>
          <w:sz w:val="24"/>
        </w:rPr>
      </w:pPr>
      <w:r>
        <w:rPr>
          <w:rFonts w:hint="eastAsia" w:ascii="宋体" w:hAnsi="宋体" w:cs="宋体"/>
          <w:kern w:val="0"/>
          <w:sz w:val="24"/>
        </w:rPr>
        <w:t>为加快构建权威、便捷的一体化互联网公共服务平台，引导社区事业单位、社会组织入驻码上办事，社区便民商业服务入驻码上办事生活圈，因此社区推广活动需覆盖海口辖区所有街道。推广任务包含社区居民应用推广、应用场景推广。</w:t>
      </w:r>
    </w:p>
    <w:p>
      <w:pPr>
        <w:widowControl/>
        <w:spacing w:line="360" w:lineRule="auto"/>
        <w:ind w:firstLine="480"/>
        <w:jc w:val="left"/>
        <w:rPr>
          <w:rFonts w:ascii="宋体" w:hAnsi="宋体" w:cs="宋体"/>
          <w:kern w:val="0"/>
          <w:sz w:val="24"/>
        </w:rPr>
      </w:pPr>
      <w:r>
        <w:rPr>
          <w:rFonts w:hint="eastAsia" w:ascii="宋体" w:hAnsi="宋体" w:cs="宋体"/>
          <w:kern w:val="0"/>
          <w:sz w:val="24"/>
        </w:rPr>
        <w:t>每场活动结束后，可通过活动主要人员签到表、活动现场照片、活动总结报告等3个维度对社区网络服务中各项活动进行验收，以确认活动真实有效。</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bookmarkStart w:id="328" w:name="_Toc530423799"/>
      <w:bookmarkStart w:id="329" w:name="_Toc20834"/>
      <w:r>
        <w:rPr>
          <w:rFonts w:hint="eastAsia" w:ascii="Arial" w:hAnsi="Arial"/>
          <w:bCs/>
        </w:rPr>
        <w:t>3.2.3.3推广内容服务需求</w:t>
      </w:r>
      <w:bookmarkEnd w:id="328"/>
      <w:bookmarkEnd w:id="329"/>
    </w:p>
    <w:p>
      <w:pPr>
        <w:pStyle w:val="9"/>
        <w:widowControl/>
        <w:numPr>
          <w:ilvl w:val="5"/>
          <w:numId w:val="0"/>
        </w:numPr>
        <w:tabs>
          <w:tab w:val="left" w:pos="425"/>
          <w:tab w:val="left" w:pos="560"/>
        </w:tabs>
        <w:spacing w:after="156" w:line="360" w:lineRule="auto"/>
        <w:ind w:firstLine="482" w:firstLineChars="200"/>
        <w:rPr>
          <w:b/>
          <w:bCs/>
        </w:rPr>
      </w:pPr>
      <w:bookmarkStart w:id="330" w:name="_Toc530423800"/>
      <w:r>
        <w:rPr>
          <w:rFonts w:hint="eastAsia"/>
          <w:b/>
          <w:bCs/>
        </w:rPr>
        <w:t>（1）推广资料撰写</w:t>
      </w:r>
      <w:bookmarkEnd w:id="330"/>
    </w:p>
    <w:p>
      <w:pPr>
        <w:widowControl/>
        <w:spacing w:line="360" w:lineRule="auto"/>
        <w:ind w:firstLine="480"/>
        <w:jc w:val="left"/>
        <w:rPr>
          <w:rFonts w:ascii="宋体" w:hAnsi="宋体" w:cs="宋体"/>
          <w:kern w:val="0"/>
          <w:sz w:val="24"/>
        </w:rPr>
      </w:pPr>
      <w:r>
        <w:rPr>
          <w:rFonts w:hint="eastAsia" w:ascii="宋体" w:hAnsi="宋体" w:cs="宋体"/>
          <w:kern w:val="0"/>
          <w:sz w:val="24"/>
        </w:rPr>
        <w:t>推广通稿撰写是内容运营不可或缺的一部分，将码上办事的整体情况、相关进程等信息根据需要撰写成不同稿件，将码上办事的平台内容及正面形象扩散到各个媒体平台，扩大码上办事知名度。材料撰写为码上办事提供宣传支持，可以根据项目发展把握宣传角度、宣传方向，引导舆论。</w:t>
      </w:r>
    </w:p>
    <w:p>
      <w:pPr>
        <w:pStyle w:val="9"/>
        <w:widowControl/>
        <w:numPr>
          <w:ilvl w:val="5"/>
          <w:numId w:val="0"/>
        </w:numPr>
        <w:tabs>
          <w:tab w:val="left" w:pos="425"/>
          <w:tab w:val="left" w:pos="560"/>
        </w:tabs>
        <w:spacing w:after="156" w:line="360" w:lineRule="auto"/>
        <w:ind w:firstLine="482" w:firstLineChars="200"/>
        <w:rPr>
          <w:b/>
          <w:bCs/>
        </w:rPr>
      </w:pPr>
      <w:bookmarkStart w:id="331" w:name="_Toc530423801"/>
      <w:r>
        <w:rPr>
          <w:rFonts w:hint="eastAsia"/>
          <w:b/>
          <w:bCs/>
        </w:rPr>
        <w:t>（2）素材设计和视频制作</w:t>
      </w:r>
      <w:bookmarkEnd w:id="331"/>
    </w:p>
    <w:p>
      <w:pPr>
        <w:widowControl/>
        <w:spacing w:line="360" w:lineRule="auto"/>
        <w:ind w:firstLine="480"/>
        <w:jc w:val="left"/>
        <w:rPr>
          <w:rFonts w:ascii="宋体" w:hAnsi="宋体" w:cs="宋体"/>
          <w:kern w:val="0"/>
          <w:sz w:val="24"/>
        </w:rPr>
      </w:pPr>
      <w:r>
        <w:rPr>
          <w:rFonts w:hint="eastAsia" w:ascii="宋体" w:hAnsi="宋体" w:cs="宋体"/>
          <w:kern w:val="0"/>
          <w:sz w:val="24"/>
        </w:rPr>
        <w:t>平面设计和视频制作是宣传推广必不可少的方式之一，通过信息传达正确，稳定有效的素材及视频，它能从刺激人类的视觉神经。带给人们最直接的感受，帮助用户知晓熟悉码上办事。</w:t>
      </w:r>
    </w:p>
    <w:p>
      <w:pPr>
        <w:widowControl/>
        <w:spacing w:line="360" w:lineRule="auto"/>
        <w:ind w:firstLine="480"/>
        <w:jc w:val="left"/>
        <w:rPr>
          <w:rFonts w:ascii="宋体" w:hAnsi="宋体" w:cs="宋体"/>
          <w:kern w:val="0"/>
          <w:sz w:val="24"/>
        </w:rPr>
      </w:pPr>
      <w:r>
        <w:rPr>
          <w:rFonts w:hint="eastAsia" w:ascii="宋体" w:hAnsi="宋体" w:cs="宋体"/>
          <w:kern w:val="0"/>
          <w:sz w:val="24"/>
        </w:rPr>
        <w:t>①平面设计：包含物料设计和非商业性广告图设计，为推广提供平面支持。需根据线下应用场景推广需求设计画面，以及重大活动如展会时，现场宣传使用。</w:t>
      </w:r>
    </w:p>
    <w:p>
      <w:pPr>
        <w:widowControl/>
        <w:spacing w:line="360" w:lineRule="auto"/>
        <w:ind w:firstLine="480"/>
        <w:jc w:val="left"/>
        <w:rPr>
          <w:rFonts w:ascii="宋体" w:hAnsi="宋体" w:cs="宋体"/>
          <w:kern w:val="0"/>
          <w:sz w:val="24"/>
        </w:rPr>
      </w:pPr>
      <w:r>
        <w:rPr>
          <w:rFonts w:hint="eastAsia" w:ascii="宋体" w:hAnsi="宋体" w:cs="宋体"/>
          <w:kern w:val="0"/>
          <w:sz w:val="24"/>
        </w:rPr>
        <w:t>②视频制作：主要应用于线下视频非商业性广告投放，重大活动及场合的视频宣传，完整地进行系统展示。用视频生动、灵活的表现形式来实现更好的宣传效果。</w:t>
      </w:r>
    </w:p>
    <w:p>
      <w:pPr>
        <w:widowControl/>
        <w:spacing w:line="360" w:lineRule="auto"/>
        <w:ind w:firstLine="480"/>
        <w:jc w:val="left"/>
        <w:rPr>
          <w:rFonts w:ascii="宋体" w:hAnsi="宋体" w:cs="宋体"/>
          <w:kern w:val="0"/>
          <w:sz w:val="24"/>
        </w:rPr>
      </w:pPr>
      <w:r>
        <w:rPr>
          <w:rFonts w:hint="eastAsia" w:ascii="宋体" w:hAnsi="宋体" w:cs="宋体"/>
          <w:kern w:val="0"/>
          <w:sz w:val="24"/>
        </w:rPr>
        <w:t>素材设计和视频制作应以数量为维度，以画面数量统计表、视频制作数量统计表及制作文件电子稿作为验收依据。</w:t>
      </w:r>
    </w:p>
    <w:p>
      <w:pPr>
        <w:pStyle w:val="9"/>
        <w:widowControl/>
        <w:numPr>
          <w:ilvl w:val="5"/>
          <w:numId w:val="0"/>
        </w:numPr>
        <w:tabs>
          <w:tab w:val="left" w:pos="425"/>
          <w:tab w:val="left" w:pos="560"/>
        </w:tabs>
        <w:spacing w:after="156" w:line="360" w:lineRule="auto"/>
        <w:ind w:firstLine="482" w:firstLineChars="200"/>
        <w:rPr>
          <w:b/>
          <w:bCs/>
        </w:rPr>
      </w:pPr>
      <w:r>
        <w:rPr>
          <w:rFonts w:hint="eastAsia"/>
          <w:b/>
          <w:bCs/>
        </w:rPr>
        <w:t>（3）城市头条</w:t>
      </w:r>
    </w:p>
    <w:p>
      <w:pPr>
        <w:widowControl/>
        <w:spacing w:line="360" w:lineRule="auto"/>
        <w:ind w:firstLine="480"/>
        <w:jc w:val="left"/>
        <w:rPr>
          <w:rFonts w:ascii="宋体" w:hAnsi="宋体" w:cs="宋体"/>
          <w:kern w:val="0"/>
          <w:sz w:val="24"/>
        </w:rPr>
      </w:pPr>
      <w:r>
        <w:rPr>
          <w:rFonts w:hint="eastAsia" w:ascii="宋体" w:hAnsi="宋体" w:cs="宋体"/>
          <w:kern w:val="0"/>
          <w:sz w:val="24"/>
        </w:rPr>
        <w:t>码上办事是未来汇集衣吃住行游购娱服务的APP，对城市信息的及时更新能让APP内的信息更加及时有效。根据码上办事“城市站点”的位置定位，可以了解到各个城市的资讯。城市头条是更新关于海南的重大事件及动态的栏目，关注海南省各市县的时政要闻。为海南市民网罗焦点，更好地让市民第一时间了解并且找到重要的时政要闻，有利于让用户依赖平台获取信息。</w:t>
      </w:r>
    </w:p>
    <w:p>
      <w:pPr>
        <w:pStyle w:val="9"/>
        <w:widowControl/>
        <w:numPr>
          <w:ilvl w:val="5"/>
          <w:numId w:val="0"/>
        </w:numPr>
        <w:tabs>
          <w:tab w:val="left" w:pos="425"/>
          <w:tab w:val="left" w:pos="560"/>
        </w:tabs>
        <w:spacing w:after="156" w:line="360" w:lineRule="auto"/>
        <w:ind w:firstLine="723" w:firstLineChars="300"/>
        <w:rPr>
          <w:b/>
          <w:bCs/>
        </w:rPr>
      </w:pPr>
      <w:bookmarkStart w:id="332" w:name="_Toc530423803"/>
      <w:r>
        <w:rPr>
          <w:rFonts w:hint="eastAsia"/>
          <w:b/>
          <w:bCs/>
        </w:rPr>
        <w:t>（4）居民日历</w:t>
      </w:r>
      <w:bookmarkEnd w:id="332"/>
    </w:p>
    <w:p>
      <w:pPr>
        <w:widowControl/>
        <w:spacing w:line="360" w:lineRule="auto"/>
        <w:ind w:firstLine="480"/>
        <w:jc w:val="left"/>
        <w:rPr>
          <w:rFonts w:ascii="宋体" w:hAnsi="宋体" w:cs="宋体"/>
          <w:kern w:val="0"/>
          <w:sz w:val="24"/>
        </w:rPr>
      </w:pPr>
      <w:r>
        <w:rPr>
          <w:rFonts w:hint="eastAsia" w:ascii="宋体" w:hAnsi="宋体" w:cs="宋体"/>
          <w:kern w:val="0"/>
          <w:sz w:val="24"/>
        </w:rPr>
        <w:t>为让用户能获取更多信息，并能了解更多内容，让市民们第一时间掌握海南最新考试讯息、传统节日、文体赛事活动，为市民网罗海南焦点。在码上办事首页设置居民日历板块，提供活动咨询和报名通道，让海南市民随时随地找到身边的活动，使市民生活更加便利。</w:t>
      </w:r>
    </w:p>
    <w:p>
      <w:pPr>
        <w:widowControl/>
        <w:spacing w:line="360" w:lineRule="auto"/>
        <w:ind w:firstLine="480"/>
        <w:jc w:val="left"/>
        <w:rPr>
          <w:rFonts w:ascii="宋体" w:hAnsi="宋体" w:cs="宋体"/>
          <w:kern w:val="0"/>
          <w:sz w:val="24"/>
        </w:rPr>
      </w:pPr>
      <w:r>
        <w:rPr>
          <w:rFonts w:hint="eastAsia" w:ascii="宋体" w:hAnsi="宋体" w:cs="宋体"/>
          <w:kern w:val="0"/>
          <w:sz w:val="24"/>
        </w:rPr>
        <w:t>①信息来源。信息来源广泛而全面，有助于发布新闻的丰富性，争取时新性。码上办事APP的居民栏目的转载内容来源主要分为以下2种：第一，从海南省、各市县政府门户网站的要闻栏目、各部门微信、微博等途径采集资讯；第二，结合南海网、海南日报、海口晚报、海南特区报、国际旅游岛商报、海南广播电视台、海口广播电视台等渠道的热点文章。</w:t>
      </w:r>
    </w:p>
    <w:p>
      <w:pPr>
        <w:widowControl/>
        <w:spacing w:line="360" w:lineRule="auto"/>
        <w:ind w:firstLine="480"/>
        <w:jc w:val="left"/>
        <w:rPr>
          <w:rFonts w:ascii="宋体" w:hAnsi="宋体" w:cs="宋体"/>
          <w:kern w:val="0"/>
          <w:sz w:val="24"/>
        </w:rPr>
      </w:pPr>
      <w:r>
        <w:rPr>
          <w:rFonts w:hint="eastAsia" w:ascii="宋体" w:hAnsi="宋体" w:cs="宋体"/>
          <w:kern w:val="0"/>
          <w:sz w:val="24"/>
        </w:rPr>
        <w:t>②发布形式。发布形式以文字为主，配置官方链接。图文并茂，形式丰富，有利于引起用户兴趣，增强用户粘度，后续会增加报名通道。</w:t>
      </w:r>
    </w:p>
    <w:p>
      <w:pPr>
        <w:widowControl/>
        <w:spacing w:line="360" w:lineRule="auto"/>
        <w:ind w:firstLine="480"/>
        <w:jc w:val="left"/>
        <w:rPr>
          <w:rFonts w:ascii="宋体" w:hAnsi="宋体" w:cs="宋体"/>
          <w:kern w:val="0"/>
          <w:sz w:val="24"/>
        </w:rPr>
      </w:pPr>
      <w:r>
        <w:rPr>
          <w:rFonts w:hint="eastAsia" w:ascii="宋体" w:hAnsi="宋体" w:cs="宋体"/>
          <w:kern w:val="0"/>
          <w:sz w:val="24"/>
        </w:rPr>
        <w:t>居民日历应以数量为验收维度，以每日更新量统计表及后台数据作为验收依据。</w:t>
      </w:r>
    </w:p>
    <w:p>
      <w:pPr>
        <w:pStyle w:val="9"/>
        <w:widowControl/>
        <w:numPr>
          <w:ilvl w:val="5"/>
          <w:numId w:val="0"/>
        </w:numPr>
        <w:tabs>
          <w:tab w:val="left" w:pos="425"/>
          <w:tab w:val="left" w:pos="560"/>
        </w:tabs>
        <w:spacing w:after="156" w:line="360" w:lineRule="auto"/>
        <w:ind w:firstLine="241" w:firstLineChars="100"/>
        <w:rPr>
          <w:b/>
          <w:bCs/>
        </w:rPr>
      </w:pPr>
      <w:bookmarkStart w:id="333" w:name="_Hlk523322765"/>
      <w:bookmarkStart w:id="334" w:name="_Toc530423807"/>
      <w:r>
        <w:rPr>
          <w:rFonts w:hint="eastAsia"/>
          <w:b/>
          <w:bCs/>
        </w:rPr>
        <w:t>（5）第三方平台运营及Push推送</w:t>
      </w:r>
      <w:bookmarkEnd w:id="333"/>
      <w:bookmarkEnd w:id="334"/>
    </w:p>
    <w:p>
      <w:pPr>
        <w:widowControl/>
        <w:spacing w:line="360" w:lineRule="auto"/>
        <w:ind w:firstLine="480"/>
        <w:jc w:val="left"/>
        <w:rPr>
          <w:rFonts w:ascii="宋体" w:hAnsi="宋体" w:cs="宋体"/>
          <w:kern w:val="0"/>
          <w:sz w:val="24"/>
        </w:rPr>
      </w:pPr>
      <w:r>
        <w:rPr>
          <w:rFonts w:hint="eastAsia" w:ascii="宋体" w:hAnsi="宋体" w:cs="宋体"/>
          <w:kern w:val="0"/>
          <w:sz w:val="24"/>
        </w:rPr>
        <w:t>首先，第三方运营平台是促进宣传推广的必要手段，利用第三方平台的流量特性进行内容维护，可对平台信息进行传播从而实现用户导流。根据公司产品特性，制定和执行合理完善的运营目标及运营计划，完成提升用户量、活跃度等业务指标；针对用户日志数据形成分析报告，并进行数据统计与数据分析，优化现有产品的用户体验；整理产品运营需求，与公司产品相关部门沟通合作，整合公司内部资源推动产品发展；同时充分利用平台自身消息push功能，可强制在手机上对用户进行消息提醒，为用户提供贴心的定制化消息服务。</w:t>
      </w:r>
    </w:p>
    <w:p>
      <w:pPr>
        <w:widowControl/>
        <w:spacing w:line="360" w:lineRule="auto"/>
        <w:ind w:firstLine="480"/>
        <w:jc w:val="left"/>
        <w:rPr>
          <w:rFonts w:ascii="宋体" w:hAnsi="宋体" w:cs="宋体"/>
          <w:kern w:val="0"/>
          <w:sz w:val="24"/>
        </w:rPr>
      </w:pPr>
      <w:r>
        <w:rPr>
          <w:rFonts w:hint="eastAsia" w:ascii="宋体" w:hAnsi="宋体" w:cs="宋体"/>
          <w:kern w:val="0"/>
          <w:sz w:val="24"/>
        </w:rPr>
        <w:t>第三方平台运营&amp;Push推送应消息发布数量、发布统计表、首屏截图或后台消息发送记录截图为验收依据。</w:t>
      </w:r>
    </w:p>
    <w:p>
      <w:pPr>
        <w:pStyle w:val="6"/>
        <w:widowControl/>
        <w:spacing w:line="360" w:lineRule="auto"/>
        <w:rPr>
          <w:rFonts w:ascii="Times New Roman" w:hAnsi="Times New Roman" w:cs="黑体"/>
        </w:rPr>
      </w:pPr>
      <w:bookmarkStart w:id="335" w:name="_Toc18958"/>
      <w:r>
        <w:rPr>
          <w:rFonts w:hint="eastAsia" w:ascii="Times New Roman" w:hAnsi="Times New Roman" w:cs="黑体"/>
        </w:rPr>
        <w:t>3.2.</w:t>
      </w:r>
      <w:bookmarkEnd w:id="335"/>
      <w:r>
        <w:rPr>
          <w:rFonts w:hint="eastAsia" w:ascii="Times New Roman" w:hAnsi="Times New Roman" w:cs="黑体"/>
        </w:rPr>
        <w:t>4运行维护服务要求</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bookmarkStart w:id="336" w:name="_Toc26464206"/>
      <w:bookmarkStart w:id="337" w:name="_Toc22828513"/>
      <w:bookmarkStart w:id="338" w:name="_Toc8288"/>
      <w:bookmarkStart w:id="339" w:name="_Toc40972384"/>
      <w:bookmarkStart w:id="340" w:name="_Toc494100107"/>
      <w:r>
        <w:rPr>
          <w:rFonts w:hint="eastAsia" w:ascii="Arial" w:hAnsi="Arial"/>
          <w:bCs/>
        </w:rPr>
        <w:t>3.2.4.1服务内容描述</w:t>
      </w:r>
    </w:p>
    <w:p>
      <w:pPr>
        <w:widowControl/>
        <w:spacing w:line="360" w:lineRule="auto"/>
        <w:ind w:firstLine="480"/>
        <w:jc w:val="left"/>
        <w:rPr>
          <w:rFonts w:ascii="宋体" w:hAnsi="宋体" w:cs="宋体"/>
          <w:kern w:val="0"/>
          <w:sz w:val="24"/>
        </w:rPr>
      </w:pPr>
      <w:r>
        <w:rPr>
          <w:rFonts w:hint="eastAsia" w:ascii="宋体" w:hAnsi="宋体" w:cs="宋体"/>
          <w:kern w:val="0"/>
          <w:sz w:val="24"/>
        </w:rPr>
        <w:t>（1）派驻具备相应运维管理能力的工程师，提供5*8小时的驻场运维服务和7*24小时的远程运维服务管理支持。</w:t>
      </w:r>
    </w:p>
    <w:p>
      <w:pPr>
        <w:widowControl/>
        <w:spacing w:line="360" w:lineRule="auto"/>
        <w:ind w:firstLine="480"/>
        <w:jc w:val="left"/>
        <w:rPr>
          <w:rFonts w:ascii="宋体" w:hAnsi="宋体" w:cs="宋体"/>
          <w:kern w:val="0"/>
          <w:sz w:val="24"/>
        </w:rPr>
      </w:pPr>
      <w:r>
        <w:rPr>
          <w:rFonts w:hint="eastAsia" w:ascii="宋体" w:hAnsi="宋体" w:cs="宋体"/>
          <w:kern w:val="0"/>
          <w:sz w:val="24"/>
        </w:rPr>
        <w:t>（2）由派驻运维主管负责利用平台的统一监控系统，提供以业务为主导的7*24小时监控服务。</w:t>
      </w:r>
    </w:p>
    <w:p>
      <w:pPr>
        <w:widowControl/>
        <w:spacing w:line="360" w:lineRule="auto"/>
        <w:ind w:firstLine="480"/>
        <w:jc w:val="left"/>
        <w:rPr>
          <w:rFonts w:ascii="宋体" w:hAnsi="宋体" w:cs="宋体"/>
          <w:kern w:val="0"/>
          <w:sz w:val="24"/>
        </w:rPr>
      </w:pPr>
      <w:r>
        <w:rPr>
          <w:rFonts w:hint="eastAsia" w:ascii="宋体" w:hAnsi="宋体" w:cs="宋体"/>
          <w:kern w:val="0"/>
          <w:sz w:val="24"/>
        </w:rPr>
        <w:t>（3）配备具备丰富运维管理经验的人员，协助大数据管理局进行运维文档编制与管理工作；处理交办的运维类文档的编制工作，并及时报告进度。</w:t>
      </w:r>
    </w:p>
    <w:p>
      <w:pPr>
        <w:widowControl/>
        <w:spacing w:line="360" w:lineRule="auto"/>
        <w:ind w:firstLine="480"/>
        <w:jc w:val="left"/>
        <w:rPr>
          <w:rFonts w:ascii="宋体" w:hAnsi="宋体" w:cs="宋体"/>
          <w:kern w:val="0"/>
          <w:sz w:val="24"/>
        </w:rPr>
      </w:pPr>
      <w:r>
        <w:rPr>
          <w:rFonts w:hint="eastAsia" w:ascii="宋体" w:hAnsi="宋体" w:cs="宋体"/>
          <w:kern w:val="0"/>
          <w:sz w:val="24"/>
        </w:rPr>
        <w:t>（4）由派驻运维主管负责协调二三线技术资源，协助大数据管理局跟踪业界新技术、新产品、新应用并提供相应的咨询服务，针对客户需求或12345问题提供咨询解答、解决方案、开展技术培训和交流研讨等工作。</w:t>
      </w:r>
    </w:p>
    <w:p>
      <w:pPr>
        <w:widowControl/>
        <w:spacing w:line="360" w:lineRule="auto"/>
        <w:ind w:firstLine="480"/>
        <w:jc w:val="left"/>
        <w:rPr>
          <w:rFonts w:ascii="宋体" w:hAnsi="宋体" w:cs="宋体"/>
          <w:kern w:val="0"/>
          <w:sz w:val="24"/>
        </w:rPr>
      </w:pPr>
      <w:r>
        <w:rPr>
          <w:rFonts w:hint="eastAsia" w:ascii="宋体" w:hAnsi="宋体" w:cs="宋体"/>
          <w:kern w:val="0"/>
          <w:sz w:val="24"/>
        </w:rPr>
        <w:t>（5）运维服务团队由驻场（运维主管、现场值守服务人员、项目管理人员）和后台（二线支持）两部分构成，人员数量及质量必须满足大数据管理局的要求，驻场人员至少2人，需提供驻场和后台运维人员名单和个人简介。</w:t>
      </w:r>
    </w:p>
    <w:p>
      <w:pPr>
        <w:widowControl/>
        <w:spacing w:line="360" w:lineRule="auto"/>
        <w:ind w:firstLine="480"/>
        <w:jc w:val="left"/>
        <w:rPr>
          <w:rFonts w:ascii="宋体" w:hAnsi="宋体" w:cs="宋体"/>
          <w:kern w:val="0"/>
          <w:sz w:val="24"/>
        </w:rPr>
      </w:pPr>
      <w:r>
        <w:rPr>
          <w:rFonts w:hint="eastAsia" w:ascii="宋体" w:hAnsi="宋体" w:cs="宋体"/>
          <w:kern w:val="0"/>
          <w:sz w:val="24"/>
        </w:rPr>
        <w:t>（6）其他要求</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1）维护工作人员应严格遵守各项规章制度和管理规定，严格遵守信息安全保密制度。</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2）报价人应提供维护项目组成员的名单、简介和维护工作的职责分工。</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3）报价人的派驻现场工程师现场办公时必须遵循</w:t>
      </w:r>
      <w:r>
        <w:rPr>
          <w:rFonts w:hint="eastAsia" w:ascii="宋体" w:hAnsi="宋体" w:cs="宋体"/>
          <w:kern w:val="0"/>
          <w:sz w:val="24"/>
        </w:rPr>
        <w:t>海南省大数据管理局</w:t>
      </w:r>
      <w:r>
        <w:rPr>
          <w:rFonts w:hint="eastAsia" w:ascii="宋体" w:hAnsi="宋体" w:cs="宋体"/>
          <w:kern w:val="0"/>
          <w:sz w:val="24"/>
          <w:lang w:val="zh-CN"/>
        </w:rPr>
        <w:t xml:space="preserve">的规章制度。 </w:t>
      </w:r>
    </w:p>
    <w:p>
      <w:pPr>
        <w:widowControl/>
        <w:spacing w:line="360" w:lineRule="auto"/>
        <w:ind w:firstLine="480"/>
        <w:jc w:val="left"/>
        <w:rPr>
          <w:rFonts w:ascii="宋体" w:hAnsi="宋体" w:cs="宋体"/>
          <w:kern w:val="0"/>
          <w:sz w:val="24"/>
          <w:lang w:val="zh-CN"/>
        </w:rPr>
      </w:pPr>
      <w:r>
        <w:rPr>
          <w:rFonts w:hint="eastAsia" w:ascii="宋体" w:hAnsi="宋体" w:cs="宋体"/>
          <w:kern w:val="0"/>
          <w:sz w:val="24"/>
          <w:lang w:val="zh-CN"/>
        </w:rPr>
        <w:t>4）驻场工程师工作必须每周提供工作周报，内容包括本周服务情况通报，需协调处理的问题等等。</w:t>
      </w:r>
    </w:p>
    <w:p>
      <w:pPr>
        <w:widowControl/>
        <w:spacing w:line="360" w:lineRule="auto"/>
        <w:ind w:firstLine="480"/>
        <w:jc w:val="left"/>
        <w:rPr>
          <w:rFonts w:ascii="宋体" w:hAnsi="宋体" w:cs="宋体"/>
          <w:kern w:val="0"/>
          <w:sz w:val="24"/>
        </w:rPr>
      </w:pPr>
      <w:r>
        <w:rPr>
          <w:rFonts w:hint="eastAsia" w:ascii="宋体" w:hAnsi="宋体" w:cs="宋体"/>
          <w:kern w:val="0"/>
          <w:sz w:val="24"/>
        </w:rPr>
        <w:t>（7）服务支持方式需求</w:t>
      </w:r>
    </w:p>
    <w:p>
      <w:pPr>
        <w:widowControl/>
        <w:spacing w:line="360" w:lineRule="auto"/>
        <w:ind w:firstLine="480"/>
        <w:jc w:val="left"/>
        <w:rPr>
          <w:rFonts w:ascii="宋体" w:hAnsi="宋体" w:cs="宋体"/>
          <w:kern w:val="0"/>
          <w:sz w:val="24"/>
        </w:rPr>
      </w:pPr>
      <w:r>
        <w:rPr>
          <w:rFonts w:hint="eastAsia" w:ascii="宋体" w:hAnsi="宋体" w:cs="宋体"/>
          <w:kern w:val="0"/>
          <w:sz w:val="24"/>
        </w:rPr>
        <w:t>a.电话支持服务</w:t>
      </w:r>
    </w:p>
    <w:p>
      <w:pPr>
        <w:widowControl/>
        <w:spacing w:line="360" w:lineRule="auto"/>
        <w:ind w:firstLine="480"/>
        <w:jc w:val="left"/>
        <w:rPr>
          <w:rFonts w:ascii="宋体" w:hAnsi="宋体" w:cs="宋体"/>
          <w:kern w:val="0"/>
          <w:sz w:val="24"/>
        </w:rPr>
      </w:pPr>
      <w:r>
        <w:rPr>
          <w:rFonts w:hint="eastAsia" w:ascii="宋体" w:hAnsi="宋体" w:cs="宋体"/>
          <w:kern w:val="0"/>
          <w:sz w:val="24"/>
        </w:rPr>
        <w:t>提供7*24小时不间断的电话支持服务，对平台的维护及时进行响应。提供服务呼叫（包括电话、邮件等）的接收、记录、分类和优先级排序；协调二线服务工程师解决上升的突发事件；提供电话完成服务回访工作，并对回访工作进行录单跟踪处理。</w:t>
      </w:r>
    </w:p>
    <w:p>
      <w:pPr>
        <w:widowControl/>
        <w:spacing w:line="360" w:lineRule="auto"/>
        <w:ind w:firstLine="480"/>
        <w:jc w:val="left"/>
        <w:rPr>
          <w:rFonts w:ascii="宋体" w:hAnsi="宋体" w:cs="宋体"/>
          <w:kern w:val="0"/>
          <w:sz w:val="24"/>
        </w:rPr>
      </w:pPr>
      <w:r>
        <w:rPr>
          <w:rFonts w:hint="eastAsia" w:ascii="宋体" w:hAnsi="宋体" w:cs="宋体"/>
          <w:kern w:val="0"/>
          <w:sz w:val="24"/>
        </w:rPr>
        <w:t>b.现场支持服务</w:t>
      </w:r>
    </w:p>
    <w:p>
      <w:pPr>
        <w:widowControl/>
        <w:spacing w:line="360" w:lineRule="auto"/>
        <w:ind w:firstLine="480"/>
        <w:jc w:val="left"/>
        <w:rPr>
          <w:rFonts w:ascii="宋体" w:hAnsi="宋体" w:cs="宋体"/>
          <w:kern w:val="0"/>
          <w:sz w:val="24"/>
        </w:rPr>
      </w:pPr>
      <w:r>
        <w:rPr>
          <w:rFonts w:hint="eastAsia" w:ascii="宋体" w:hAnsi="宋体" w:cs="宋体"/>
          <w:kern w:val="0"/>
          <w:sz w:val="24"/>
        </w:rPr>
        <w:t>提供5*8小时现场支持服务，现场响应时间〈1小时，如遇紧急突发事件或重大的安全事件，现场响应时间〈30分钟。根据故障级别及响应要求，分派工程师现场处理服务请求或故障排查，以及应用系统的版本变更、配置更改等技术支持工作。</w:t>
      </w:r>
    </w:p>
    <w:p>
      <w:pPr>
        <w:widowControl/>
        <w:spacing w:line="360" w:lineRule="auto"/>
        <w:ind w:firstLine="480"/>
        <w:jc w:val="left"/>
        <w:rPr>
          <w:rFonts w:ascii="宋体" w:hAnsi="宋体" w:cs="宋体"/>
          <w:kern w:val="0"/>
          <w:sz w:val="24"/>
        </w:rPr>
      </w:pPr>
      <w:r>
        <w:rPr>
          <w:rFonts w:hint="eastAsia" w:ascii="宋体" w:hAnsi="宋体" w:cs="宋体"/>
          <w:kern w:val="0"/>
          <w:sz w:val="24"/>
        </w:rPr>
        <w:t>c.例行巡检服务</w:t>
      </w:r>
    </w:p>
    <w:p>
      <w:pPr>
        <w:widowControl/>
        <w:spacing w:line="360" w:lineRule="auto"/>
        <w:ind w:firstLine="480"/>
        <w:jc w:val="left"/>
        <w:rPr>
          <w:rFonts w:ascii="宋体" w:hAnsi="宋体" w:cs="宋体"/>
          <w:kern w:val="0"/>
          <w:sz w:val="24"/>
        </w:rPr>
      </w:pPr>
      <w:r>
        <w:rPr>
          <w:rFonts w:hint="eastAsia" w:ascii="宋体" w:hAnsi="宋体" w:cs="宋体"/>
          <w:kern w:val="0"/>
          <w:sz w:val="24"/>
        </w:rPr>
        <w:t>提供每个月1次的系统例行检查服务，根据平台运行状况提供例检报告，并对例检发现的问题进行跟踪处理，确保各项设备服务的正常稳定运行，可以运维月报的形式体现。</w:t>
      </w:r>
    </w:p>
    <w:p>
      <w:pPr>
        <w:widowControl/>
        <w:spacing w:line="360" w:lineRule="auto"/>
        <w:ind w:firstLine="480"/>
        <w:jc w:val="left"/>
        <w:rPr>
          <w:rFonts w:ascii="宋体" w:hAnsi="宋体" w:cs="宋体"/>
          <w:kern w:val="0"/>
          <w:sz w:val="24"/>
        </w:rPr>
      </w:pPr>
      <w:r>
        <w:rPr>
          <w:rFonts w:hint="eastAsia" w:ascii="宋体" w:hAnsi="宋体" w:cs="宋体"/>
          <w:kern w:val="0"/>
          <w:sz w:val="24"/>
        </w:rPr>
        <w:t>d.远程维护服务</w:t>
      </w:r>
    </w:p>
    <w:p>
      <w:pPr>
        <w:widowControl/>
        <w:spacing w:line="360" w:lineRule="auto"/>
        <w:ind w:firstLine="480"/>
        <w:jc w:val="left"/>
        <w:rPr>
          <w:rFonts w:ascii="宋体" w:hAnsi="宋体" w:cs="宋体"/>
          <w:kern w:val="0"/>
          <w:sz w:val="24"/>
        </w:rPr>
      </w:pPr>
      <w:r>
        <w:rPr>
          <w:rFonts w:hint="eastAsia" w:ascii="宋体" w:hAnsi="宋体" w:cs="宋体"/>
          <w:kern w:val="0"/>
          <w:sz w:val="24"/>
        </w:rPr>
        <w:t>可根据故障情况提供远程直接维护服务，针对性服务方式，可以避免由于交通等原因造成的服务响应不及时，同时可以提供相应的故障远程排查服务以及相关系统的变更、配置管理支持等，在远程接入条件满足下，连通时间为60分钟内。</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3.2.4.2运维管理单位</w:t>
      </w:r>
      <w:bookmarkEnd w:id="336"/>
      <w:bookmarkEnd w:id="337"/>
      <w:bookmarkEnd w:id="338"/>
      <w:bookmarkEnd w:id="339"/>
      <w:bookmarkEnd w:id="340"/>
    </w:p>
    <w:p>
      <w:pPr>
        <w:widowControl/>
        <w:spacing w:line="360" w:lineRule="auto"/>
        <w:ind w:firstLine="480"/>
        <w:jc w:val="left"/>
        <w:rPr>
          <w:rFonts w:ascii="宋体" w:hAnsi="宋体" w:cs="宋体"/>
          <w:kern w:val="0"/>
          <w:sz w:val="24"/>
        </w:rPr>
      </w:pPr>
      <w:r>
        <w:rPr>
          <w:rFonts w:hint="eastAsia" w:ascii="宋体" w:hAnsi="宋体" w:cs="宋体"/>
          <w:kern w:val="0"/>
          <w:sz w:val="24"/>
        </w:rPr>
        <w:t>本项目的运维管理主要职责是负责平台的日常软硬件维护，保障系统安全、稳定运行，并在系统出现故障时进行维护。</w:t>
      </w:r>
    </w:p>
    <w:p>
      <w:pPr>
        <w:widowControl/>
        <w:spacing w:line="360" w:lineRule="auto"/>
        <w:ind w:firstLine="480"/>
        <w:jc w:val="left"/>
        <w:rPr>
          <w:rFonts w:ascii="宋体" w:hAnsi="宋体" w:cs="宋体"/>
          <w:kern w:val="0"/>
          <w:sz w:val="24"/>
        </w:rPr>
      </w:pPr>
      <w:r>
        <w:rPr>
          <w:rFonts w:ascii="宋体" w:hAnsi="宋体" w:cs="宋体"/>
          <w:kern w:val="0"/>
          <w:sz w:val="24"/>
        </w:rPr>
        <w:t>对信息系统用到的硬件、软件做定期的检查。当出现人为或意外故障时，让系统及时恢复数据，保证系统正常运行</w:t>
      </w:r>
      <w:r>
        <w:rPr>
          <w:rFonts w:hint="eastAsia" w:ascii="宋体" w:hAnsi="宋体" w:cs="宋体"/>
          <w:kern w:val="0"/>
          <w:sz w:val="24"/>
        </w:rPr>
        <w:t>；</w:t>
      </w:r>
    </w:p>
    <w:p>
      <w:pPr>
        <w:widowControl/>
        <w:spacing w:line="360" w:lineRule="auto"/>
        <w:ind w:firstLine="480"/>
        <w:jc w:val="left"/>
        <w:rPr>
          <w:rFonts w:ascii="宋体" w:hAnsi="宋体" w:cs="宋体"/>
          <w:kern w:val="0"/>
          <w:sz w:val="24"/>
        </w:rPr>
      </w:pPr>
      <w:r>
        <w:rPr>
          <w:rFonts w:ascii="宋体" w:hAnsi="宋体" w:cs="宋体"/>
          <w:kern w:val="0"/>
          <w:sz w:val="24"/>
        </w:rPr>
        <w:t>对系统用到的硬件、软件做定期的升级维护，完善系统功能，满足系统需求变动</w:t>
      </w:r>
      <w:r>
        <w:rPr>
          <w:rFonts w:hint="eastAsia" w:ascii="宋体" w:hAnsi="宋体" w:cs="宋体"/>
          <w:kern w:val="0"/>
          <w:sz w:val="24"/>
        </w:rPr>
        <w:t>；</w:t>
      </w:r>
    </w:p>
    <w:p>
      <w:pPr>
        <w:widowControl/>
        <w:spacing w:line="360" w:lineRule="auto"/>
        <w:ind w:firstLine="480"/>
        <w:jc w:val="left"/>
        <w:rPr>
          <w:rFonts w:ascii="宋体" w:hAnsi="宋体" w:cs="宋体"/>
          <w:kern w:val="0"/>
          <w:sz w:val="24"/>
        </w:rPr>
      </w:pPr>
      <w:r>
        <w:rPr>
          <w:rFonts w:ascii="宋体" w:hAnsi="宋体" w:cs="宋体"/>
          <w:kern w:val="0"/>
          <w:sz w:val="24"/>
        </w:rPr>
        <w:t>提供现场故障排除服务，并及时解决突发事件，减少故障损失</w:t>
      </w:r>
      <w:r>
        <w:rPr>
          <w:rFonts w:hint="eastAsia" w:ascii="宋体" w:hAnsi="宋体" w:cs="宋体"/>
          <w:kern w:val="0"/>
          <w:sz w:val="24"/>
        </w:rPr>
        <w:t>；</w:t>
      </w:r>
    </w:p>
    <w:p>
      <w:pPr>
        <w:widowControl/>
        <w:spacing w:line="360" w:lineRule="auto"/>
        <w:ind w:firstLine="480"/>
        <w:jc w:val="left"/>
        <w:rPr>
          <w:rFonts w:ascii="宋体" w:hAnsi="宋体" w:cs="宋体"/>
          <w:kern w:val="0"/>
          <w:sz w:val="24"/>
        </w:rPr>
      </w:pPr>
      <w:r>
        <w:rPr>
          <w:rFonts w:ascii="宋体" w:hAnsi="宋体" w:cs="宋体"/>
          <w:kern w:val="0"/>
          <w:sz w:val="24"/>
        </w:rPr>
        <w:t>在台风、突发环境应急、核应急和辐射事故应急时，维护人员将现场值守，保障系统无故障运行。</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bookmarkStart w:id="341" w:name="_Toc494100108"/>
      <w:bookmarkStart w:id="342" w:name="_Toc26416"/>
      <w:bookmarkStart w:id="343" w:name="_Toc26464207"/>
      <w:bookmarkStart w:id="344" w:name="_Toc40972385"/>
      <w:bookmarkStart w:id="345" w:name="_Toc22828514"/>
      <w:r>
        <w:rPr>
          <w:rFonts w:hint="eastAsia" w:ascii="Arial" w:hAnsi="Arial"/>
          <w:bCs/>
        </w:rPr>
        <w:t>3.2.4.3运维管理规范</w:t>
      </w:r>
      <w:bookmarkEnd w:id="341"/>
      <w:bookmarkEnd w:id="342"/>
      <w:bookmarkEnd w:id="343"/>
      <w:bookmarkEnd w:id="344"/>
      <w:bookmarkEnd w:id="345"/>
    </w:p>
    <w:p>
      <w:pPr>
        <w:widowControl/>
        <w:spacing w:line="360" w:lineRule="auto"/>
        <w:ind w:firstLine="480"/>
        <w:jc w:val="left"/>
        <w:rPr>
          <w:rFonts w:ascii="宋体" w:hAnsi="宋体" w:cs="宋体"/>
          <w:kern w:val="0"/>
          <w:sz w:val="24"/>
        </w:rPr>
      </w:pPr>
      <w:r>
        <w:rPr>
          <w:rFonts w:ascii="宋体" w:hAnsi="宋体" w:cs="宋体"/>
          <w:kern w:val="0"/>
          <w:sz w:val="24"/>
        </w:rPr>
        <w:t>运维管理单位成立项目运维小组，制定本项目的运维管理规范，并由专人与本项目承建单位售后服务保障相关人员建立接口关系，对项目运维服务进行组织管理。</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3.2.4.4日常管理规范</w:t>
      </w:r>
    </w:p>
    <w:p>
      <w:pPr>
        <w:widowControl/>
        <w:spacing w:line="360" w:lineRule="auto"/>
        <w:ind w:firstLine="480"/>
        <w:jc w:val="left"/>
        <w:rPr>
          <w:rFonts w:ascii="宋体" w:hAnsi="宋体" w:cs="宋体"/>
          <w:kern w:val="0"/>
          <w:sz w:val="24"/>
        </w:rPr>
      </w:pPr>
      <w:r>
        <w:rPr>
          <w:rFonts w:ascii="宋体" w:hAnsi="宋体" w:cs="宋体"/>
          <w:kern w:val="0"/>
          <w:sz w:val="24"/>
        </w:rPr>
        <w:t>遵守各项规章制度，严格按照建设单位相应的规章制度办事。</w:t>
      </w:r>
    </w:p>
    <w:p>
      <w:pPr>
        <w:widowControl/>
        <w:spacing w:line="360" w:lineRule="auto"/>
        <w:ind w:firstLine="48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与建设单位运行维护体系其他部门和环节协同工作，密切配合，共同开展技术支持工作</w:t>
      </w:r>
      <w:r>
        <w:rPr>
          <w:rFonts w:hint="eastAsia" w:ascii="宋体" w:hAnsi="宋体" w:cs="宋体"/>
          <w:kern w:val="0"/>
          <w:sz w:val="24"/>
        </w:rPr>
        <w:t>；</w:t>
      </w:r>
    </w:p>
    <w:p>
      <w:pPr>
        <w:widowControl/>
        <w:spacing w:line="360" w:lineRule="auto"/>
        <w:ind w:firstLine="48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出现疑难技术、业务问题和重大紧急情况时，及时向负责人报告</w:t>
      </w:r>
      <w:r>
        <w:rPr>
          <w:rFonts w:hint="eastAsia" w:ascii="宋体" w:hAnsi="宋体" w:cs="宋体"/>
          <w:kern w:val="0"/>
          <w:sz w:val="24"/>
        </w:rPr>
        <w:t>；</w:t>
      </w:r>
    </w:p>
    <w:p>
      <w:pPr>
        <w:widowControl/>
        <w:spacing w:line="360" w:lineRule="auto"/>
        <w:ind w:firstLine="480"/>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现场技术支持时要精神饱满，穿着得体，谈吐文明，举止庄重。接听电话时要文明礼貌，语言清晰明了，语气和善</w:t>
      </w:r>
      <w:r>
        <w:rPr>
          <w:rFonts w:hint="eastAsia" w:ascii="宋体" w:hAnsi="宋体" w:cs="宋体"/>
          <w:kern w:val="0"/>
          <w:sz w:val="24"/>
        </w:rPr>
        <w:t>；</w:t>
      </w:r>
    </w:p>
    <w:p>
      <w:pPr>
        <w:widowControl/>
        <w:spacing w:line="360" w:lineRule="auto"/>
        <w:ind w:firstLine="480"/>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遵守保密原则。对建设单位的网络、主机、系统软件等密码业务数据等负有保密责任，不得随意复制和传播。</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3.2.4.5现场服务支持规范</w:t>
      </w:r>
    </w:p>
    <w:p>
      <w:pPr>
        <w:widowControl/>
        <w:spacing w:line="360" w:lineRule="auto"/>
        <w:ind w:firstLine="480"/>
        <w:jc w:val="left"/>
        <w:rPr>
          <w:rFonts w:ascii="宋体" w:hAnsi="宋体" w:cs="宋体"/>
          <w:kern w:val="0"/>
          <w:sz w:val="24"/>
        </w:rPr>
      </w:pPr>
      <w:r>
        <w:rPr>
          <w:rFonts w:ascii="宋体" w:hAnsi="宋体" w:cs="宋体"/>
          <w:kern w:val="0"/>
          <w:sz w:val="24"/>
        </w:rPr>
        <w:t>运维工作人员要做到耐心、细心、热心的服务。工作要做到事事有记录、事事有反馈、重大问题及时汇报。严格遵守工作作息时间，严格按照服务工作流程操作。</w:t>
      </w:r>
    </w:p>
    <w:p>
      <w:pPr>
        <w:widowControl/>
        <w:spacing w:line="360" w:lineRule="auto"/>
        <w:ind w:firstLine="48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运维人员应着装整洁、言行礼貌大方，技术专业，操作熟练、严谨、规范；现场支持时必须遵守建设单位单位的相关规章制度</w:t>
      </w:r>
      <w:r>
        <w:rPr>
          <w:rFonts w:hint="eastAsia" w:ascii="宋体" w:hAnsi="宋体" w:cs="宋体"/>
          <w:kern w:val="0"/>
          <w:sz w:val="24"/>
        </w:rPr>
        <w:t>；</w:t>
      </w:r>
    </w:p>
    <w:p>
      <w:pPr>
        <w:widowControl/>
        <w:spacing w:line="360" w:lineRule="auto"/>
        <w:ind w:firstLine="48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运维人员在进行现场支持工作时必须在保证数据和系统安全的前提下开展工作</w:t>
      </w:r>
      <w:r>
        <w:rPr>
          <w:rFonts w:hint="eastAsia" w:ascii="宋体" w:hAnsi="宋体" w:cs="宋体"/>
          <w:kern w:val="0"/>
          <w:sz w:val="24"/>
        </w:rPr>
        <w:t>；</w:t>
      </w:r>
    </w:p>
    <w:p>
      <w:pPr>
        <w:widowControl/>
        <w:spacing w:line="360" w:lineRule="auto"/>
        <w:ind w:firstLine="480"/>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现场支持时出现暂时无法解决的故障或其他新的故障时，应告知建设单位并及时上报负责人，寻找其他解决途径</w:t>
      </w:r>
      <w:r>
        <w:rPr>
          <w:rFonts w:hint="eastAsia" w:ascii="宋体" w:hAnsi="宋体" w:cs="宋体"/>
          <w:kern w:val="0"/>
          <w:sz w:val="24"/>
        </w:rPr>
        <w:t>；</w:t>
      </w:r>
    </w:p>
    <w:p>
      <w:pPr>
        <w:widowControl/>
        <w:spacing w:line="360" w:lineRule="auto"/>
        <w:ind w:firstLine="480"/>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故障解决后，运维人员要详细记录问题的发生时间、地点、提出人和问题描述，并形成书面文档，必要时应向建设单位介绍故障出现的原因及预防方法和解决技巧。</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3.2.4.6问题记录规范</w:t>
      </w:r>
    </w:p>
    <w:p>
      <w:pPr>
        <w:widowControl/>
        <w:spacing w:line="360" w:lineRule="auto"/>
        <w:ind w:firstLine="480"/>
        <w:jc w:val="left"/>
        <w:rPr>
          <w:rFonts w:ascii="宋体" w:hAnsi="宋体" w:cs="宋体"/>
          <w:kern w:val="0"/>
          <w:sz w:val="24"/>
        </w:rPr>
      </w:pPr>
      <w:r>
        <w:rPr>
          <w:rFonts w:ascii="宋体" w:hAnsi="宋体" w:cs="宋体"/>
          <w:kern w:val="0"/>
          <w:sz w:val="24"/>
        </w:rPr>
        <w:t>根据使用人员提出问题的类别，将问题分为咨询类问题和系统缺陷类问题二类：咨询类问题是指通过服务热线或现场解疑等方式能够当场解决建设单位提出的问题，具有问题解答直接、快速和实时的特点，该问题到现场支持人员处即可中止，对于该类问题的记录可使用咨询类问题记录模版进行记录。系统缺陷类问题是指使用人员提出的问题涉及到系统相应环节的确认修改，需要经过逐级提交、诊断、确认、处理和回复等环节，处理解决需要运维人员进行现场分析确认，问题有解决方案后，将解决方案反馈给建设单位，并协助建设单位解决该问题。</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3.2.4.7数据安全规范</w:t>
      </w:r>
    </w:p>
    <w:p>
      <w:pPr>
        <w:widowControl/>
        <w:spacing w:line="360" w:lineRule="auto"/>
        <w:ind w:firstLine="480"/>
        <w:jc w:val="left"/>
        <w:rPr>
          <w:rFonts w:ascii="宋体" w:hAnsi="宋体" w:cs="宋体"/>
          <w:kern w:val="0"/>
          <w:sz w:val="24"/>
        </w:rPr>
      </w:pPr>
      <w:r>
        <w:rPr>
          <w:rFonts w:ascii="宋体" w:hAnsi="宋体" w:cs="宋体"/>
          <w:kern w:val="0"/>
          <w:sz w:val="24"/>
        </w:rPr>
        <w:t>重要信息资料和数据存储介质的存放、运输安全和保密管理，保证存储介质的物理安全。</w:t>
      </w:r>
    </w:p>
    <w:p>
      <w:pPr>
        <w:widowControl/>
        <w:spacing w:line="360" w:lineRule="auto"/>
        <w:ind w:firstLine="480"/>
        <w:jc w:val="left"/>
        <w:rPr>
          <w:rFonts w:ascii="宋体" w:hAnsi="宋体" w:cs="宋体"/>
          <w:kern w:val="0"/>
          <w:sz w:val="24"/>
        </w:rPr>
      </w:pPr>
      <w:r>
        <w:rPr>
          <w:rFonts w:ascii="宋体" w:hAnsi="宋体" w:cs="宋体"/>
          <w:kern w:val="0"/>
          <w:sz w:val="24"/>
        </w:rPr>
        <w:t>任何非应用性业务数据的使用及存放数据的设备或介质的调拨、转让、废弃或销毁必须严格按照程序进行逐级审批，以保证备份数据安全完整。</w:t>
      </w:r>
    </w:p>
    <w:p>
      <w:pPr>
        <w:widowControl/>
        <w:spacing w:line="360" w:lineRule="auto"/>
        <w:ind w:firstLine="480"/>
        <w:jc w:val="left"/>
        <w:rPr>
          <w:rFonts w:ascii="宋体" w:hAnsi="宋体" w:cs="宋体"/>
          <w:kern w:val="0"/>
          <w:sz w:val="24"/>
        </w:rPr>
      </w:pPr>
      <w:r>
        <w:rPr>
          <w:rFonts w:ascii="宋体" w:hAnsi="宋体" w:cs="宋体"/>
          <w:kern w:val="0"/>
          <w:sz w:val="24"/>
        </w:rPr>
        <w:t>数据恢复前，必须对原环境的数据进行备份，防止有用数据的丢失。数据恢复过程中要严格按照数据恢复手册执行，出现问题时由技术部门进行现场技术支持。数据恢复后，必须进行验证、确认，确保数据恢复的完整性和可用性。</w:t>
      </w:r>
    </w:p>
    <w:p>
      <w:pPr>
        <w:widowControl/>
        <w:spacing w:line="360" w:lineRule="auto"/>
        <w:ind w:firstLine="480"/>
        <w:jc w:val="left"/>
        <w:rPr>
          <w:rFonts w:ascii="宋体" w:hAnsi="宋体" w:cs="宋体"/>
          <w:kern w:val="0"/>
          <w:sz w:val="24"/>
        </w:rPr>
      </w:pPr>
      <w:r>
        <w:rPr>
          <w:rFonts w:ascii="宋体" w:hAnsi="宋体" w:cs="宋体"/>
          <w:kern w:val="0"/>
          <w:sz w:val="24"/>
        </w:rPr>
        <w:t>数据清理前必须对数据进行备份，在确认备份正确后方可进行清理操作。历次清理前的备份数据要根据备份策略进行定期保存或永久保存，并确保可以随时使用。数据清理的实施应避开业务高峰期，避免对联机业务运行造成影响。</w:t>
      </w:r>
    </w:p>
    <w:p>
      <w:pPr>
        <w:widowControl/>
        <w:spacing w:line="360" w:lineRule="auto"/>
        <w:ind w:firstLine="480"/>
        <w:jc w:val="left"/>
        <w:rPr>
          <w:rFonts w:ascii="宋体" w:hAnsi="宋体" w:cs="宋体"/>
          <w:kern w:val="0"/>
          <w:sz w:val="24"/>
        </w:rPr>
      </w:pPr>
      <w:r>
        <w:rPr>
          <w:rFonts w:ascii="宋体" w:hAnsi="宋体" w:cs="宋体"/>
          <w:kern w:val="0"/>
          <w:sz w:val="24"/>
        </w:rPr>
        <w:t>需要长期保存的数据，必须与</w:t>
      </w:r>
      <w:r>
        <w:rPr>
          <w:rFonts w:hint="eastAsia" w:ascii="宋体" w:hAnsi="宋体" w:cs="宋体"/>
          <w:kern w:val="0"/>
          <w:sz w:val="24"/>
        </w:rPr>
        <w:t>相关部门</w:t>
      </w:r>
      <w:r>
        <w:rPr>
          <w:rFonts w:ascii="宋体" w:hAnsi="宋体" w:cs="宋体"/>
          <w:kern w:val="0"/>
          <w:sz w:val="24"/>
        </w:rPr>
        <w:t>制定转存方案，根据转存方案和查询使用方法要在介质有效期内进行转存，防止存储介质过期失效，通过有效的查询、使用方法保证数据的完整性和可用性。转存的数据必须有详细的文档记录。</w:t>
      </w:r>
    </w:p>
    <w:p>
      <w:pPr>
        <w:widowControl/>
        <w:spacing w:line="360" w:lineRule="auto"/>
        <w:ind w:firstLine="480"/>
        <w:jc w:val="left"/>
        <w:rPr>
          <w:rFonts w:ascii="宋体" w:hAnsi="宋体" w:cs="宋体"/>
          <w:kern w:val="0"/>
          <w:sz w:val="24"/>
        </w:rPr>
      </w:pPr>
      <w:r>
        <w:rPr>
          <w:rFonts w:ascii="宋体" w:hAnsi="宋体" w:cs="宋体"/>
          <w:kern w:val="0"/>
          <w:sz w:val="24"/>
        </w:rPr>
        <w:t>非本单位技术人员对</w:t>
      </w:r>
      <w:r>
        <w:rPr>
          <w:rFonts w:hint="eastAsia" w:ascii="宋体" w:hAnsi="宋体" w:cs="宋体"/>
          <w:kern w:val="0"/>
          <w:sz w:val="24"/>
        </w:rPr>
        <w:t>相关</w:t>
      </w:r>
      <w:r>
        <w:rPr>
          <w:rFonts w:ascii="宋体" w:hAnsi="宋体" w:cs="宋体"/>
          <w:kern w:val="0"/>
          <w:sz w:val="24"/>
        </w:rPr>
        <w:t>的设备、系统等进行维修、维护时，必须由信息科相关技术人员现场全程监督。计算机设备送外维修，须经设备管理机构负责人批准。送修前，需将设备存储介质内应用软件和数据等涉经营管理的信息备份后删除，并进行登记。对修复的设备，设备维修人员应对设备进行验收、病毒检测和登记。</w:t>
      </w:r>
    </w:p>
    <w:p>
      <w:pPr>
        <w:widowControl/>
        <w:spacing w:line="360" w:lineRule="auto"/>
        <w:ind w:firstLine="480"/>
        <w:jc w:val="left"/>
        <w:rPr>
          <w:rFonts w:ascii="宋体" w:hAnsi="宋体" w:cs="宋体"/>
          <w:kern w:val="0"/>
          <w:sz w:val="24"/>
        </w:rPr>
      </w:pPr>
      <w:r>
        <w:rPr>
          <w:rFonts w:ascii="宋体" w:hAnsi="宋体" w:cs="宋体"/>
          <w:kern w:val="0"/>
          <w:sz w:val="24"/>
        </w:rPr>
        <w:t>应对报废设备中存有的程序、数据资料进行备份后清除，并妥善处理废弃无用的资料和介质，防止泄密。</w:t>
      </w:r>
    </w:p>
    <w:p>
      <w:pPr>
        <w:widowControl/>
        <w:spacing w:line="360" w:lineRule="auto"/>
        <w:ind w:firstLine="480"/>
        <w:jc w:val="left"/>
        <w:rPr>
          <w:rFonts w:ascii="宋体" w:hAnsi="宋体" w:cs="宋体"/>
          <w:kern w:val="0"/>
          <w:sz w:val="24"/>
        </w:rPr>
      </w:pPr>
      <w:r>
        <w:rPr>
          <w:rFonts w:ascii="宋体" w:hAnsi="宋体" w:cs="宋体"/>
          <w:kern w:val="0"/>
          <w:sz w:val="24"/>
        </w:rPr>
        <w:t>指定专人负责计算机病毒的防范工作，建立计算机病毒防治管理制度，经常进行计算机病毒检查，发现病毒及时清除。</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3.2.4.8系统升级规范</w:t>
      </w:r>
    </w:p>
    <w:p>
      <w:pPr>
        <w:widowControl/>
        <w:spacing w:line="360" w:lineRule="auto"/>
        <w:ind w:firstLine="480"/>
        <w:jc w:val="left"/>
        <w:rPr>
          <w:rFonts w:ascii="宋体" w:hAnsi="宋体" w:cs="宋体"/>
          <w:kern w:val="0"/>
          <w:sz w:val="24"/>
        </w:rPr>
      </w:pPr>
      <w:r>
        <w:rPr>
          <w:rFonts w:ascii="宋体" w:hAnsi="宋体" w:cs="宋体"/>
          <w:kern w:val="0"/>
          <w:sz w:val="24"/>
        </w:rPr>
        <w:t>如果信息系统需要升级，在具体的操作上，需经过升级前准备、升级实施与升级后总结归档三个阶段。在实施系统升级之前，必须根据系统简要升级的内容，进行详细的压力测试和功能测试，准备好详细的升级步骤，并且要预测可能发生的意外，准备好相应的应急措施和回退系统，着急相关业务部门通知升级前后系统操作或流程变化。</w:t>
      </w:r>
    </w:p>
    <w:p>
      <w:pPr>
        <w:widowControl/>
        <w:spacing w:line="360" w:lineRule="auto"/>
        <w:ind w:firstLine="480"/>
        <w:jc w:val="center"/>
        <w:rPr>
          <w:rFonts w:ascii="宋体" w:hAnsi="宋体" w:cs="宋体"/>
          <w:kern w:val="0"/>
          <w:sz w:val="24"/>
        </w:rPr>
      </w:pPr>
      <w:r>
        <w:rPr>
          <w:rFonts w:hint="eastAsia" w:ascii="宋体" w:hAnsi="宋体" w:cs="宋体"/>
          <w:kern w:val="0"/>
          <w:sz w:val="24"/>
        </w:rPr>
        <w:t>表</w:t>
      </w:r>
      <w:r>
        <w:rPr>
          <w:rFonts w:ascii="宋体" w:hAnsi="宋体" w:cs="宋体"/>
          <w:kern w:val="0"/>
          <w:sz w:val="24"/>
        </w:rPr>
        <w:t>:信息系统升级申请表</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0"/>
        <w:gridCol w:w="1039"/>
        <w:gridCol w:w="1267"/>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90" w:type="dxa"/>
            <w:vAlign w:val="center"/>
          </w:tcPr>
          <w:p>
            <w:pPr>
              <w:widowControl/>
              <w:spacing w:line="360" w:lineRule="auto"/>
              <w:jc w:val="center"/>
              <w:rPr>
                <w:rFonts w:ascii="宋体" w:hAnsi="宋体" w:cs="宋体"/>
                <w:kern w:val="0"/>
                <w:sz w:val="24"/>
              </w:rPr>
            </w:pPr>
            <w:r>
              <w:rPr>
                <w:rFonts w:ascii="宋体" w:hAnsi="宋体" w:cs="宋体"/>
                <w:kern w:val="0"/>
                <w:sz w:val="24"/>
              </w:rPr>
              <w:t>系统名称</w:t>
            </w:r>
          </w:p>
        </w:tc>
        <w:tc>
          <w:tcPr>
            <w:tcW w:w="4727" w:type="dxa"/>
            <w:gridSpan w:val="3"/>
          </w:tcPr>
          <w:p>
            <w:pPr>
              <w:widowControl/>
              <w:spacing w:line="360" w:lineRule="auto"/>
              <w:ind w:firstLine="48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90" w:type="dxa"/>
          </w:tcPr>
          <w:p>
            <w:pPr>
              <w:widowControl/>
              <w:spacing w:line="360" w:lineRule="auto"/>
              <w:jc w:val="center"/>
              <w:rPr>
                <w:rFonts w:ascii="宋体" w:hAnsi="宋体" w:cs="宋体"/>
                <w:kern w:val="0"/>
                <w:sz w:val="24"/>
              </w:rPr>
            </w:pPr>
            <w:r>
              <w:rPr>
                <w:rFonts w:ascii="宋体" w:hAnsi="宋体" w:cs="宋体"/>
                <w:kern w:val="0"/>
                <w:sz w:val="24"/>
              </w:rPr>
              <w:t>实施日期</w:t>
            </w:r>
          </w:p>
        </w:tc>
        <w:tc>
          <w:tcPr>
            <w:tcW w:w="1039" w:type="dxa"/>
          </w:tcPr>
          <w:p>
            <w:pPr>
              <w:widowControl/>
              <w:spacing w:line="360" w:lineRule="auto"/>
              <w:ind w:firstLine="480"/>
              <w:jc w:val="left"/>
              <w:rPr>
                <w:rFonts w:ascii="宋体" w:hAnsi="宋体" w:cs="宋体"/>
                <w:kern w:val="0"/>
                <w:sz w:val="24"/>
              </w:rPr>
            </w:pPr>
          </w:p>
        </w:tc>
        <w:tc>
          <w:tcPr>
            <w:tcW w:w="1267" w:type="dxa"/>
          </w:tcPr>
          <w:p>
            <w:pPr>
              <w:widowControl/>
              <w:spacing w:line="360" w:lineRule="auto"/>
              <w:jc w:val="center"/>
              <w:rPr>
                <w:rFonts w:ascii="宋体" w:hAnsi="宋体" w:cs="宋体"/>
                <w:kern w:val="0"/>
                <w:sz w:val="24"/>
              </w:rPr>
            </w:pPr>
            <w:r>
              <w:rPr>
                <w:rFonts w:ascii="宋体" w:hAnsi="宋体" w:cs="宋体"/>
                <w:kern w:val="0"/>
                <w:sz w:val="24"/>
              </w:rPr>
              <w:t>持续时长</w:t>
            </w:r>
          </w:p>
        </w:tc>
        <w:tc>
          <w:tcPr>
            <w:tcW w:w="2421" w:type="dxa"/>
          </w:tcPr>
          <w:p>
            <w:pPr>
              <w:widowControl/>
              <w:spacing w:line="360" w:lineRule="auto"/>
              <w:ind w:firstLine="48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90" w:type="dxa"/>
            <w:vAlign w:val="center"/>
          </w:tcPr>
          <w:p>
            <w:pPr>
              <w:widowControl/>
              <w:spacing w:line="360" w:lineRule="auto"/>
              <w:jc w:val="center"/>
              <w:rPr>
                <w:rFonts w:ascii="宋体" w:hAnsi="宋体" w:cs="宋体"/>
                <w:kern w:val="0"/>
                <w:sz w:val="24"/>
              </w:rPr>
            </w:pPr>
            <w:r>
              <w:rPr>
                <w:rFonts w:ascii="宋体" w:hAnsi="宋体" w:cs="宋体"/>
                <w:kern w:val="0"/>
                <w:sz w:val="24"/>
              </w:rPr>
              <w:t>升级内容</w:t>
            </w:r>
          </w:p>
        </w:tc>
        <w:tc>
          <w:tcPr>
            <w:tcW w:w="4727" w:type="dxa"/>
            <w:gridSpan w:val="3"/>
          </w:tcPr>
          <w:p>
            <w:pPr>
              <w:widowControl/>
              <w:spacing w:line="360" w:lineRule="auto"/>
              <w:ind w:firstLine="48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90" w:type="dxa"/>
            <w:vAlign w:val="center"/>
          </w:tcPr>
          <w:p>
            <w:pPr>
              <w:widowControl/>
              <w:spacing w:line="360" w:lineRule="auto"/>
              <w:jc w:val="center"/>
              <w:rPr>
                <w:rFonts w:ascii="宋体" w:hAnsi="宋体" w:cs="宋体"/>
                <w:kern w:val="0"/>
                <w:sz w:val="24"/>
              </w:rPr>
            </w:pPr>
            <w:r>
              <w:rPr>
                <w:rFonts w:ascii="宋体" w:hAnsi="宋体" w:cs="宋体"/>
                <w:kern w:val="0"/>
                <w:sz w:val="24"/>
              </w:rPr>
              <w:t>相关人员及任务分工</w:t>
            </w:r>
          </w:p>
        </w:tc>
        <w:tc>
          <w:tcPr>
            <w:tcW w:w="4727" w:type="dxa"/>
            <w:gridSpan w:val="3"/>
          </w:tcPr>
          <w:p>
            <w:pPr>
              <w:widowControl/>
              <w:spacing w:line="360" w:lineRule="auto"/>
              <w:ind w:firstLine="48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90" w:type="dxa"/>
          </w:tcPr>
          <w:p>
            <w:pPr>
              <w:widowControl/>
              <w:spacing w:line="360" w:lineRule="auto"/>
              <w:jc w:val="center"/>
              <w:rPr>
                <w:rFonts w:ascii="宋体" w:hAnsi="宋体" w:cs="宋体"/>
                <w:kern w:val="0"/>
                <w:sz w:val="24"/>
              </w:rPr>
            </w:pPr>
            <w:r>
              <w:rPr>
                <w:rFonts w:ascii="宋体" w:hAnsi="宋体" w:cs="宋体"/>
                <w:kern w:val="0"/>
                <w:sz w:val="24"/>
              </w:rPr>
              <w:t>受影响科室</w:t>
            </w:r>
          </w:p>
        </w:tc>
        <w:tc>
          <w:tcPr>
            <w:tcW w:w="4727" w:type="dxa"/>
            <w:gridSpan w:val="3"/>
          </w:tcPr>
          <w:p>
            <w:pPr>
              <w:widowControl/>
              <w:spacing w:line="360" w:lineRule="auto"/>
              <w:ind w:firstLine="48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90" w:type="dxa"/>
          </w:tcPr>
          <w:p>
            <w:pPr>
              <w:widowControl/>
              <w:spacing w:line="360" w:lineRule="auto"/>
              <w:jc w:val="center"/>
              <w:rPr>
                <w:rFonts w:ascii="宋体" w:hAnsi="宋体" w:cs="宋体"/>
                <w:kern w:val="0"/>
                <w:sz w:val="24"/>
              </w:rPr>
            </w:pPr>
            <w:r>
              <w:rPr>
                <w:rFonts w:ascii="宋体" w:hAnsi="宋体" w:cs="宋体"/>
                <w:kern w:val="0"/>
                <w:sz w:val="24"/>
              </w:rPr>
              <w:t>可能发生的意外及应急措施</w:t>
            </w:r>
          </w:p>
        </w:tc>
        <w:tc>
          <w:tcPr>
            <w:tcW w:w="4727" w:type="dxa"/>
            <w:gridSpan w:val="3"/>
          </w:tcPr>
          <w:p>
            <w:pPr>
              <w:widowControl/>
              <w:spacing w:line="360" w:lineRule="auto"/>
              <w:ind w:firstLine="48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90" w:type="dxa"/>
          </w:tcPr>
          <w:p>
            <w:pPr>
              <w:widowControl/>
              <w:spacing w:line="360" w:lineRule="auto"/>
              <w:jc w:val="center"/>
              <w:rPr>
                <w:rFonts w:ascii="宋体" w:hAnsi="宋体" w:cs="宋体"/>
                <w:kern w:val="0"/>
                <w:sz w:val="24"/>
              </w:rPr>
            </w:pPr>
            <w:r>
              <w:rPr>
                <w:rFonts w:ascii="宋体" w:hAnsi="宋体" w:cs="宋体"/>
                <w:kern w:val="0"/>
                <w:sz w:val="24"/>
              </w:rPr>
              <w:t>回退措施</w:t>
            </w:r>
          </w:p>
        </w:tc>
        <w:tc>
          <w:tcPr>
            <w:tcW w:w="4727" w:type="dxa"/>
            <w:gridSpan w:val="3"/>
          </w:tcPr>
          <w:p>
            <w:pPr>
              <w:widowControl/>
              <w:spacing w:line="360" w:lineRule="auto"/>
              <w:ind w:firstLine="480"/>
              <w:jc w:val="left"/>
              <w:rPr>
                <w:rFonts w:ascii="宋体" w:hAnsi="宋体" w:cs="宋体"/>
                <w:kern w:val="0"/>
                <w:sz w:val="24"/>
              </w:rPr>
            </w:pPr>
          </w:p>
        </w:tc>
      </w:tr>
    </w:tbl>
    <w:p>
      <w:pPr>
        <w:widowControl/>
        <w:spacing w:line="360" w:lineRule="auto"/>
        <w:ind w:firstLine="480"/>
        <w:jc w:val="left"/>
        <w:rPr>
          <w:rFonts w:ascii="宋体" w:hAnsi="宋体" w:cs="宋体"/>
          <w:kern w:val="0"/>
          <w:sz w:val="24"/>
        </w:rPr>
      </w:pPr>
      <w:r>
        <w:rPr>
          <w:rFonts w:ascii="宋体" w:hAnsi="宋体" w:cs="宋体"/>
          <w:kern w:val="0"/>
          <w:sz w:val="24"/>
        </w:rPr>
        <w:t>在条件允许的情况下，要组织相关业务人员，围绕即将升级的功能，进行完整业务功能的模拟业务测试，特别注意测试集的完备性。</w:t>
      </w:r>
    </w:p>
    <w:p>
      <w:pPr>
        <w:widowControl/>
        <w:spacing w:line="360" w:lineRule="auto"/>
        <w:ind w:firstLine="480"/>
        <w:jc w:val="center"/>
        <w:rPr>
          <w:rFonts w:ascii="宋体" w:hAnsi="宋体" w:cs="宋体"/>
          <w:kern w:val="0"/>
          <w:sz w:val="24"/>
        </w:rPr>
      </w:pPr>
      <w:r>
        <w:rPr>
          <w:rFonts w:hint="eastAsia" w:ascii="宋体" w:hAnsi="宋体" w:cs="宋体"/>
          <w:kern w:val="0"/>
          <w:sz w:val="24"/>
        </w:rPr>
        <w:t>表：系统测试反馈表</w:t>
      </w:r>
    </w:p>
    <w:tbl>
      <w:tblPr>
        <w:tblStyle w:val="5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089"/>
        <w:gridCol w:w="1557"/>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6" w:type="dxa"/>
          </w:tcPr>
          <w:p>
            <w:pPr>
              <w:widowControl/>
              <w:spacing w:line="360" w:lineRule="auto"/>
              <w:jc w:val="center"/>
              <w:rPr>
                <w:rFonts w:ascii="宋体" w:hAnsi="宋体" w:cs="宋体"/>
                <w:kern w:val="0"/>
                <w:sz w:val="24"/>
              </w:rPr>
            </w:pPr>
            <w:r>
              <w:rPr>
                <w:rFonts w:ascii="宋体" w:hAnsi="宋体" w:cs="宋体"/>
                <w:kern w:val="0"/>
                <w:sz w:val="24"/>
              </w:rPr>
              <w:t>系统名称</w:t>
            </w:r>
          </w:p>
        </w:tc>
        <w:tc>
          <w:tcPr>
            <w:tcW w:w="2089" w:type="dxa"/>
          </w:tcPr>
          <w:p>
            <w:pPr>
              <w:widowControl/>
              <w:spacing w:line="360" w:lineRule="auto"/>
              <w:jc w:val="center"/>
              <w:rPr>
                <w:rFonts w:ascii="宋体" w:hAnsi="宋体" w:cs="宋体"/>
                <w:kern w:val="0"/>
                <w:sz w:val="24"/>
              </w:rPr>
            </w:pPr>
          </w:p>
        </w:tc>
        <w:tc>
          <w:tcPr>
            <w:tcW w:w="1557" w:type="dxa"/>
          </w:tcPr>
          <w:p>
            <w:pPr>
              <w:widowControl/>
              <w:spacing w:line="360" w:lineRule="auto"/>
              <w:jc w:val="center"/>
              <w:rPr>
                <w:rFonts w:ascii="宋体" w:hAnsi="宋体" w:cs="宋体"/>
                <w:kern w:val="0"/>
                <w:sz w:val="24"/>
              </w:rPr>
            </w:pPr>
            <w:r>
              <w:rPr>
                <w:rFonts w:ascii="宋体" w:hAnsi="宋体" w:cs="宋体"/>
                <w:kern w:val="0"/>
                <w:sz w:val="24"/>
              </w:rPr>
              <w:t>版本</w:t>
            </w:r>
          </w:p>
        </w:tc>
        <w:tc>
          <w:tcPr>
            <w:tcW w:w="2978" w:type="dxa"/>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6" w:type="dxa"/>
            <w:vAlign w:val="center"/>
          </w:tcPr>
          <w:p>
            <w:pPr>
              <w:widowControl/>
              <w:spacing w:line="360" w:lineRule="auto"/>
              <w:jc w:val="center"/>
              <w:rPr>
                <w:rFonts w:ascii="宋体" w:hAnsi="宋体" w:cs="宋体"/>
                <w:kern w:val="0"/>
                <w:sz w:val="24"/>
              </w:rPr>
            </w:pPr>
            <w:r>
              <w:rPr>
                <w:rFonts w:ascii="宋体" w:hAnsi="宋体" w:cs="宋体"/>
                <w:kern w:val="0"/>
                <w:sz w:val="24"/>
              </w:rPr>
              <w:t>功能点</w:t>
            </w:r>
          </w:p>
        </w:tc>
        <w:tc>
          <w:tcPr>
            <w:tcW w:w="6624" w:type="dxa"/>
            <w:gridSpan w:val="3"/>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6" w:type="dxa"/>
            <w:vAlign w:val="center"/>
          </w:tcPr>
          <w:p>
            <w:pPr>
              <w:widowControl/>
              <w:spacing w:line="360" w:lineRule="auto"/>
              <w:jc w:val="center"/>
              <w:rPr>
                <w:rFonts w:ascii="宋体" w:hAnsi="宋体" w:cs="宋体"/>
                <w:kern w:val="0"/>
                <w:sz w:val="24"/>
              </w:rPr>
            </w:pPr>
            <w:r>
              <w:rPr>
                <w:rFonts w:ascii="宋体" w:hAnsi="宋体" w:cs="宋体"/>
                <w:kern w:val="0"/>
                <w:sz w:val="24"/>
              </w:rPr>
              <w:t>测试过程</w:t>
            </w:r>
          </w:p>
        </w:tc>
        <w:tc>
          <w:tcPr>
            <w:tcW w:w="6624" w:type="dxa"/>
            <w:gridSpan w:val="3"/>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6" w:type="dxa"/>
          </w:tcPr>
          <w:p>
            <w:pPr>
              <w:widowControl/>
              <w:spacing w:line="360" w:lineRule="auto"/>
              <w:jc w:val="center"/>
              <w:rPr>
                <w:rFonts w:ascii="宋体" w:hAnsi="宋体" w:cs="宋体"/>
                <w:kern w:val="0"/>
                <w:sz w:val="24"/>
              </w:rPr>
            </w:pPr>
            <w:r>
              <w:rPr>
                <w:rFonts w:ascii="宋体" w:hAnsi="宋体" w:cs="宋体"/>
                <w:kern w:val="0"/>
                <w:sz w:val="24"/>
              </w:rPr>
              <w:t>测试结果</w:t>
            </w:r>
          </w:p>
        </w:tc>
        <w:tc>
          <w:tcPr>
            <w:tcW w:w="6624" w:type="dxa"/>
            <w:gridSpan w:val="3"/>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66" w:type="dxa"/>
          </w:tcPr>
          <w:p>
            <w:pPr>
              <w:widowControl/>
              <w:spacing w:line="360" w:lineRule="auto"/>
              <w:jc w:val="center"/>
              <w:rPr>
                <w:rFonts w:ascii="宋体" w:hAnsi="宋体" w:cs="宋体"/>
                <w:kern w:val="0"/>
                <w:sz w:val="24"/>
              </w:rPr>
            </w:pPr>
            <w:r>
              <w:rPr>
                <w:rFonts w:ascii="宋体" w:hAnsi="宋体" w:cs="宋体"/>
                <w:kern w:val="0"/>
                <w:sz w:val="24"/>
              </w:rPr>
              <w:t>问题描述</w:t>
            </w:r>
          </w:p>
        </w:tc>
        <w:tc>
          <w:tcPr>
            <w:tcW w:w="6624" w:type="dxa"/>
            <w:gridSpan w:val="3"/>
          </w:tcPr>
          <w:p>
            <w:pPr>
              <w:widowControl/>
              <w:spacing w:line="360" w:lineRule="auto"/>
              <w:jc w:val="center"/>
              <w:rPr>
                <w:rFonts w:ascii="宋体" w:hAnsi="宋体" w:cs="宋体"/>
                <w:kern w:val="0"/>
                <w:sz w:val="24"/>
              </w:rPr>
            </w:pPr>
          </w:p>
        </w:tc>
      </w:tr>
    </w:tbl>
    <w:p>
      <w:pPr>
        <w:widowControl/>
        <w:spacing w:line="360" w:lineRule="auto"/>
        <w:ind w:firstLine="480"/>
        <w:jc w:val="left"/>
        <w:rPr>
          <w:rFonts w:ascii="宋体" w:hAnsi="宋体" w:cs="宋体"/>
          <w:kern w:val="0"/>
          <w:sz w:val="24"/>
        </w:rPr>
      </w:pPr>
      <w:r>
        <w:rPr>
          <w:rFonts w:ascii="宋体" w:hAnsi="宋体" w:cs="宋体"/>
          <w:kern w:val="0"/>
          <w:sz w:val="24"/>
        </w:rPr>
        <w:t>系统升级完成后，应有详细的升级实施规划和步骤，在正式的升级过程中，只需注意记录整个升级实施过程，并在升级完成后进行一段时间的监控。升级完成后，对档次升级进行经验总结，做好相关文档归档工作，为下次升级管理提供依据。</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3.2.4.9文档管理规范</w:t>
      </w:r>
    </w:p>
    <w:p>
      <w:pPr>
        <w:widowControl/>
        <w:spacing w:line="360" w:lineRule="auto"/>
        <w:ind w:firstLine="480"/>
        <w:jc w:val="left"/>
        <w:rPr>
          <w:rFonts w:ascii="宋体" w:hAnsi="宋体" w:cs="宋体"/>
          <w:kern w:val="0"/>
          <w:sz w:val="24"/>
        </w:rPr>
      </w:pPr>
      <w:r>
        <w:rPr>
          <w:rFonts w:ascii="宋体" w:hAnsi="宋体" w:cs="宋体"/>
          <w:kern w:val="0"/>
          <w:sz w:val="24"/>
        </w:rPr>
        <w:t>管理在日常工作中的各种文档，并使之系统化、规范化和电子化，维护文档的完整性，保证文档的安全存储和有效使用。</w:t>
      </w:r>
    </w:p>
    <w:p>
      <w:pPr>
        <w:widowControl/>
        <w:spacing w:line="360" w:lineRule="auto"/>
        <w:ind w:firstLine="480"/>
        <w:jc w:val="left"/>
        <w:rPr>
          <w:rFonts w:ascii="宋体" w:hAnsi="宋体" w:cs="宋体"/>
          <w:kern w:val="0"/>
          <w:sz w:val="24"/>
        </w:rPr>
      </w:pPr>
      <w:r>
        <w:rPr>
          <w:rFonts w:ascii="宋体" w:hAnsi="宋体" w:cs="宋体"/>
          <w:kern w:val="0"/>
          <w:sz w:val="24"/>
        </w:rPr>
        <w:t>制定文档管理规范：规定档案管理员的权力和责任，定义文档类型，规定文档元数据使用规则，规定文档存放、归档和调阅流程。</w:t>
      </w:r>
    </w:p>
    <w:p>
      <w:pPr>
        <w:widowControl/>
        <w:spacing w:line="360" w:lineRule="auto"/>
        <w:ind w:firstLine="480"/>
        <w:jc w:val="left"/>
        <w:rPr>
          <w:rFonts w:ascii="宋体" w:hAnsi="宋体" w:cs="宋体"/>
          <w:kern w:val="0"/>
          <w:sz w:val="24"/>
        </w:rPr>
      </w:pPr>
      <w:r>
        <w:rPr>
          <w:rFonts w:ascii="宋体" w:hAnsi="宋体" w:cs="宋体"/>
          <w:kern w:val="0"/>
          <w:sz w:val="24"/>
        </w:rPr>
        <w:t>文档日常管理：在日常生产过程中产生的文档，并进行整理、分类、编目，检查文档唯一性，与其他相关文档的关联性、归档和利用等。</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bookmarkStart w:id="346" w:name="_Toc22828517"/>
      <w:bookmarkStart w:id="347" w:name="_Toc40972388"/>
      <w:bookmarkStart w:id="348" w:name="_Toc26298"/>
      <w:bookmarkStart w:id="349" w:name="_Toc26464210"/>
      <w:bookmarkStart w:id="350" w:name="_Toc494100111"/>
      <w:r>
        <w:rPr>
          <w:rFonts w:hint="eastAsia" w:ascii="Arial" w:hAnsi="Arial"/>
          <w:bCs/>
        </w:rPr>
        <w:t>3.2.4.10运维服务工作</w:t>
      </w:r>
      <w:bookmarkEnd w:id="346"/>
      <w:bookmarkEnd w:id="347"/>
      <w:bookmarkEnd w:id="348"/>
      <w:bookmarkEnd w:id="349"/>
      <w:bookmarkEnd w:id="350"/>
      <w:r>
        <w:rPr>
          <w:rFonts w:hint="eastAsia" w:ascii="Arial" w:hAnsi="Arial"/>
          <w:bCs/>
        </w:rPr>
        <w:t>免费维护期</w:t>
      </w:r>
    </w:p>
    <w:p>
      <w:pPr>
        <w:widowControl/>
        <w:spacing w:line="360" w:lineRule="auto"/>
        <w:ind w:firstLine="480"/>
        <w:jc w:val="left"/>
        <w:rPr>
          <w:rFonts w:ascii="宋体" w:hAnsi="宋体" w:cs="宋体"/>
          <w:kern w:val="0"/>
          <w:sz w:val="24"/>
        </w:rPr>
      </w:pPr>
      <w:r>
        <w:rPr>
          <w:rFonts w:ascii="宋体" w:hAnsi="宋体" w:cs="宋体"/>
          <w:kern w:val="0"/>
          <w:sz w:val="24"/>
        </w:rPr>
        <w:t>本项目提供</w:t>
      </w:r>
      <w:r>
        <w:rPr>
          <w:rFonts w:hint="eastAsia" w:ascii="宋体" w:hAnsi="宋体" w:cs="宋体"/>
          <w:kern w:val="0"/>
          <w:sz w:val="24"/>
        </w:rPr>
        <w:t>项目验收后</w:t>
      </w:r>
      <w:r>
        <w:rPr>
          <w:rFonts w:ascii="宋体" w:hAnsi="宋体" w:cs="宋体"/>
          <w:kern w:val="0"/>
          <w:sz w:val="24"/>
        </w:rPr>
        <w:t>免费2年维保服务</w:t>
      </w:r>
      <w:r>
        <w:rPr>
          <w:rFonts w:hint="eastAsia" w:ascii="宋体" w:hAnsi="宋体" w:cs="宋体"/>
          <w:kern w:val="0"/>
          <w:sz w:val="24"/>
        </w:rPr>
        <w:t>。</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bookmarkStart w:id="351" w:name="_Toc26464211"/>
      <w:bookmarkStart w:id="352" w:name="_Toc16226"/>
      <w:bookmarkStart w:id="353" w:name="_Toc494100112"/>
      <w:bookmarkStart w:id="354" w:name="_Toc40972389"/>
      <w:bookmarkStart w:id="355" w:name="_Hlk493749579"/>
      <w:bookmarkStart w:id="356" w:name="_Toc22828518"/>
      <w:r>
        <w:rPr>
          <w:rFonts w:hint="eastAsia" w:ascii="Arial" w:hAnsi="Arial"/>
          <w:bCs/>
        </w:rPr>
        <w:t>3.2.4.11应急措施</w:t>
      </w:r>
      <w:bookmarkEnd w:id="351"/>
      <w:bookmarkEnd w:id="352"/>
      <w:bookmarkEnd w:id="353"/>
      <w:bookmarkEnd w:id="354"/>
      <w:bookmarkEnd w:id="355"/>
      <w:bookmarkEnd w:id="356"/>
      <w:r>
        <w:rPr>
          <w:rFonts w:hint="eastAsia" w:ascii="Arial" w:hAnsi="Arial"/>
          <w:bCs/>
        </w:rPr>
        <w:t>及应急服务响应要求</w:t>
      </w:r>
    </w:p>
    <w:p>
      <w:pPr>
        <w:widowControl/>
        <w:spacing w:line="360" w:lineRule="auto"/>
        <w:ind w:firstLine="480"/>
        <w:jc w:val="left"/>
        <w:rPr>
          <w:rFonts w:ascii="宋体" w:hAnsi="宋体" w:cs="宋体"/>
          <w:kern w:val="0"/>
          <w:sz w:val="24"/>
        </w:rPr>
      </w:pPr>
      <w:r>
        <w:rPr>
          <w:rFonts w:hint="eastAsia" w:ascii="宋体" w:hAnsi="宋体" w:cs="宋体"/>
          <w:kern w:val="0"/>
          <w:sz w:val="24"/>
        </w:rPr>
        <w:t>投标单位应当提供完整的项目应急响应方案，有效处置突发事件，确保项目顺利进行。</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3.2.4.12运维服务质量要求</w:t>
      </w:r>
    </w:p>
    <w:p>
      <w:pPr>
        <w:widowControl/>
        <w:spacing w:line="360" w:lineRule="auto"/>
        <w:ind w:firstLine="480"/>
        <w:jc w:val="left"/>
        <w:rPr>
          <w:rFonts w:ascii="宋体" w:hAnsi="宋体" w:cs="宋体"/>
          <w:kern w:val="0"/>
          <w:sz w:val="24"/>
        </w:rPr>
      </w:pPr>
      <w:r>
        <w:rPr>
          <w:rFonts w:hint="eastAsia" w:ascii="宋体" w:hAnsi="宋体" w:cs="宋体"/>
          <w:kern w:val="0"/>
          <w:sz w:val="24"/>
        </w:rPr>
        <w:t>根据系统特性，中标人须接受以下运维服务要求，</w:t>
      </w:r>
      <w:r>
        <w:rPr>
          <w:rFonts w:ascii="宋体" w:hAnsi="宋体" w:cs="宋体"/>
          <w:kern w:val="0"/>
          <w:sz w:val="24"/>
        </w:rPr>
        <w:t>7×24（含节假日）小时响应并处理。</w:t>
      </w:r>
      <w:r>
        <w:rPr>
          <w:rFonts w:hint="eastAsia" w:ascii="宋体" w:hAnsi="宋体" w:cs="宋体"/>
          <w:kern w:val="0"/>
          <w:sz w:val="24"/>
        </w:rPr>
        <w:t>中标人应提供7x24的故障处理服务，对于电话沟通无法解决的问题，供应商应在接到故障通知4小时内到达现场对故障进行处理。对管理系统一般性故障（一般性故障指管理系统运行过程中出现的不影响管理系统运行或业务流程进行的错误），应在24小时之内给予响应。</w:t>
      </w:r>
    </w:p>
    <w:p>
      <w:pPr>
        <w:spacing w:line="360" w:lineRule="auto"/>
        <w:ind w:firstLine="482" w:firstLineChars="200"/>
        <w:rPr>
          <w:rFonts w:asciiTheme="minorEastAsia" w:hAnsiTheme="minorEastAsia" w:eastAsiaTheme="minorEastAsia"/>
          <w:b/>
          <w:sz w:val="24"/>
        </w:rPr>
      </w:pPr>
      <w:bookmarkStart w:id="357" w:name="_Toc39740369"/>
      <w:bookmarkStart w:id="358" w:name="_Toc39674428"/>
      <w:r>
        <w:rPr>
          <w:rFonts w:hint="eastAsia" w:asciiTheme="minorEastAsia" w:hAnsiTheme="minorEastAsia" w:eastAsiaTheme="minorEastAsia"/>
          <w:b/>
          <w:sz w:val="24"/>
        </w:rPr>
        <w:t>（一）故障响应时间</w:t>
      </w:r>
      <w:bookmarkEnd w:id="357"/>
      <w:bookmarkEnd w:id="358"/>
    </w:p>
    <w:tbl>
      <w:tblPr>
        <w:tblStyle w:val="53"/>
        <w:tblW w:w="7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768"/>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jc w:val="center"/>
        </w:trPr>
        <w:tc>
          <w:tcPr>
            <w:tcW w:w="869" w:type="dxa"/>
            <w:shd w:val="clear" w:color="auto" w:fill="C0C0C0"/>
            <w:vAlign w:val="center"/>
          </w:tcPr>
          <w:p>
            <w:pPr>
              <w:spacing w:line="360" w:lineRule="exact"/>
              <w:rPr>
                <w:rFonts w:ascii="宋体" w:hAnsi="宋体"/>
                <w:sz w:val="24"/>
              </w:rPr>
            </w:pPr>
            <w:r>
              <w:rPr>
                <w:rFonts w:hint="eastAsia" w:ascii="宋体" w:hAnsi="宋体"/>
                <w:sz w:val="24"/>
              </w:rPr>
              <w:t>编号</w:t>
            </w:r>
          </w:p>
        </w:tc>
        <w:tc>
          <w:tcPr>
            <w:tcW w:w="2768" w:type="dxa"/>
            <w:shd w:val="clear" w:color="auto" w:fill="C0C0C0"/>
            <w:vAlign w:val="center"/>
          </w:tcPr>
          <w:p>
            <w:pPr>
              <w:spacing w:line="360" w:lineRule="exact"/>
              <w:rPr>
                <w:rFonts w:ascii="宋体" w:hAnsi="宋体"/>
                <w:sz w:val="24"/>
              </w:rPr>
            </w:pPr>
            <w:r>
              <w:rPr>
                <w:rFonts w:hint="eastAsia" w:ascii="宋体" w:hAnsi="宋体"/>
                <w:sz w:val="24"/>
              </w:rPr>
              <w:t>故障等级</w:t>
            </w:r>
          </w:p>
        </w:tc>
        <w:tc>
          <w:tcPr>
            <w:tcW w:w="3400" w:type="dxa"/>
            <w:shd w:val="clear" w:color="auto" w:fill="C0C0C0"/>
            <w:vAlign w:val="center"/>
          </w:tcPr>
          <w:p>
            <w:pPr>
              <w:spacing w:line="360" w:lineRule="exact"/>
              <w:rPr>
                <w:rFonts w:ascii="宋体" w:hAnsi="宋体"/>
                <w:sz w:val="24"/>
              </w:rPr>
            </w:pPr>
            <w:r>
              <w:rPr>
                <w:rFonts w:hint="eastAsia" w:ascii="宋体" w:hAnsi="宋体"/>
                <w:sz w:val="24"/>
              </w:rPr>
              <w:t>故障响应时间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69" w:type="dxa"/>
            <w:vAlign w:val="center"/>
          </w:tcPr>
          <w:p>
            <w:pPr>
              <w:spacing w:line="360" w:lineRule="exact"/>
              <w:rPr>
                <w:rFonts w:ascii="宋体" w:hAnsi="宋体"/>
                <w:b/>
                <w:sz w:val="24"/>
              </w:rPr>
            </w:pPr>
            <w:r>
              <w:rPr>
                <w:rFonts w:ascii="宋体" w:hAnsi="宋体"/>
                <w:sz w:val="24"/>
              </w:rPr>
              <w:t>1</w:t>
            </w:r>
          </w:p>
        </w:tc>
        <w:tc>
          <w:tcPr>
            <w:tcW w:w="2768" w:type="dxa"/>
            <w:vAlign w:val="center"/>
          </w:tcPr>
          <w:p>
            <w:pPr>
              <w:spacing w:line="360" w:lineRule="exact"/>
              <w:rPr>
                <w:rFonts w:ascii="宋体" w:hAnsi="宋体"/>
                <w:b/>
                <w:sz w:val="24"/>
              </w:rPr>
            </w:pPr>
            <w:r>
              <w:rPr>
                <w:rFonts w:hint="eastAsia" w:ascii="宋体" w:hAnsi="宋体"/>
                <w:sz w:val="24"/>
              </w:rPr>
              <w:t>最高</w:t>
            </w:r>
          </w:p>
        </w:tc>
        <w:tc>
          <w:tcPr>
            <w:tcW w:w="3400" w:type="dxa"/>
            <w:vAlign w:val="center"/>
          </w:tcPr>
          <w:p>
            <w:pPr>
              <w:spacing w:line="360" w:lineRule="exact"/>
              <w:rPr>
                <w:rFonts w:ascii="宋体" w:hAnsi="宋体"/>
                <w:b/>
                <w:sz w:val="24"/>
              </w:rPr>
            </w:pPr>
            <w:r>
              <w:rPr>
                <w:rFonts w:ascii="宋体" w:hAnsi="宋体"/>
                <w:sz w:val="24"/>
              </w:rPr>
              <w:t>10</w:t>
            </w:r>
            <w:r>
              <w:rPr>
                <w:rFonts w:hint="eastAsia" w:ascii="宋体" w:hAnsi="宋体"/>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69" w:type="dxa"/>
            <w:vAlign w:val="center"/>
          </w:tcPr>
          <w:p>
            <w:pPr>
              <w:spacing w:line="360" w:lineRule="exact"/>
              <w:rPr>
                <w:rFonts w:ascii="宋体" w:hAnsi="宋体"/>
                <w:b/>
                <w:sz w:val="24"/>
              </w:rPr>
            </w:pPr>
            <w:r>
              <w:rPr>
                <w:rFonts w:ascii="宋体" w:hAnsi="宋体"/>
                <w:sz w:val="24"/>
              </w:rPr>
              <w:t>2</w:t>
            </w:r>
          </w:p>
        </w:tc>
        <w:tc>
          <w:tcPr>
            <w:tcW w:w="2768" w:type="dxa"/>
            <w:vAlign w:val="center"/>
          </w:tcPr>
          <w:p>
            <w:pPr>
              <w:spacing w:line="360" w:lineRule="exact"/>
              <w:rPr>
                <w:rFonts w:ascii="宋体" w:hAnsi="宋体"/>
                <w:b/>
                <w:sz w:val="24"/>
              </w:rPr>
            </w:pPr>
            <w:r>
              <w:rPr>
                <w:rFonts w:hint="eastAsia" w:ascii="宋体" w:hAnsi="宋体"/>
                <w:sz w:val="24"/>
              </w:rPr>
              <w:t>高</w:t>
            </w:r>
          </w:p>
        </w:tc>
        <w:tc>
          <w:tcPr>
            <w:tcW w:w="3400" w:type="dxa"/>
            <w:vAlign w:val="center"/>
          </w:tcPr>
          <w:p>
            <w:pPr>
              <w:spacing w:line="360" w:lineRule="exact"/>
              <w:rPr>
                <w:rFonts w:ascii="宋体" w:hAnsi="宋体"/>
                <w:b/>
                <w:sz w:val="24"/>
              </w:rPr>
            </w:pPr>
            <w:r>
              <w:rPr>
                <w:rFonts w:ascii="宋体" w:hAnsi="宋体"/>
                <w:sz w:val="24"/>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69" w:type="dxa"/>
            <w:vAlign w:val="center"/>
          </w:tcPr>
          <w:p>
            <w:pPr>
              <w:spacing w:line="360" w:lineRule="exact"/>
              <w:rPr>
                <w:rFonts w:ascii="宋体" w:hAnsi="宋体"/>
                <w:b/>
                <w:sz w:val="24"/>
              </w:rPr>
            </w:pPr>
            <w:r>
              <w:rPr>
                <w:rFonts w:ascii="宋体" w:hAnsi="宋体"/>
                <w:sz w:val="24"/>
              </w:rPr>
              <w:t>3</w:t>
            </w:r>
          </w:p>
        </w:tc>
        <w:tc>
          <w:tcPr>
            <w:tcW w:w="2768" w:type="dxa"/>
            <w:vAlign w:val="center"/>
          </w:tcPr>
          <w:p>
            <w:pPr>
              <w:spacing w:line="360" w:lineRule="exact"/>
              <w:rPr>
                <w:rFonts w:ascii="宋体" w:hAnsi="宋体"/>
                <w:b/>
                <w:sz w:val="24"/>
              </w:rPr>
            </w:pPr>
            <w:r>
              <w:rPr>
                <w:rFonts w:hint="eastAsia" w:ascii="宋体" w:hAnsi="宋体"/>
                <w:sz w:val="24"/>
              </w:rPr>
              <w:t>中</w:t>
            </w:r>
          </w:p>
        </w:tc>
        <w:tc>
          <w:tcPr>
            <w:tcW w:w="3400" w:type="dxa"/>
            <w:vAlign w:val="center"/>
          </w:tcPr>
          <w:p>
            <w:pPr>
              <w:spacing w:line="360" w:lineRule="exact"/>
              <w:rPr>
                <w:rFonts w:ascii="宋体" w:hAnsi="宋体"/>
                <w:b/>
                <w:sz w:val="24"/>
              </w:rPr>
            </w:pPr>
            <w:r>
              <w:rPr>
                <w:rFonts w:ascii="宋体" w:hAnsi="宋体"/>
                <w:sz w:val="24"/>
              </w:rPr>
              <w:t>30</w:t>
            </w:r>
            <w:r>
              <w:rPr>
                <w:rFonts w:hint="eastAsia" w:ascii="宋体" w:hAnsi="宋体"/>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69" w:type="dxa"/>
            <w:vAlign w:val="center"/>
          </w:tcPr>
          <w:p>
            <w:pPr>
              <w:spacing w:line="360" w:lineRule="exact"/>
              <w:rPr>
                <w:rFonts w:ascii="宋体" w:hAnsi="宋体"/>
                <w:b/>
                <w:sz w:val="24"/>
              </w:rPr>
            </w:pPr>
            <w:r>
              <w:rPr>
                <w:rFonts w:ascii="宋体" w:hAnsi="宋体"/>
                <w:sz w:val="24"/>
              </w:rPr>
              <w:t>4</w:t>
            </w:r>
          </w:p>
        </w:tc>
        <w:tc>
          <w:tcPr>
            <w:tcW w:w="2768" w:type="dxa"/>
            <w:vAlign w:val="center"/>
          </w:tcPr>
          <w:p>
            <w:pPr>
              <w:spacing w:line="360" w:lineRule="exact"/>
              <w:rPr>
                <w:rFonts w:ascii="宋体" w:hAnsi="宋体"/>
                <w:b/>
                <w:sz w:val="24"/>
              </w:rPr>
            </w:pPr>
            <w:r>
              <w:rPr>
                <w:rFonts w:hint="eastAsia" w:ascii="宋体" w:hAnsi="宋体"/>
                <w:sz w:val="24"/>
              </w:rPr>
              <w:t>低</w:t>
            </w:r>
          </w:p>
        </w:tc>
        <w:tc>
          <w:tcPr>
            <w:tcW w:w="3400" w:type="dxa"/>
            <w:vAlign w:val="center"/>
          </w:tcPr>
          <w:p>
            <w:pPr>
              <w:spacing w:line="360" w:lineRule="exact"/>
              <w:rPr>
                <w:rFonts w:ascii="宋体" w:hAnsi="宋体"/>
                <w:b/>
                <w:sz w:val="24"/>
              </w:rPr>
            </w:pPr>
            <w:r>
              <w:rPr>
                <w:rFonts w:ascii="宋体" w:hAnsi="宋体"/>
                <w:sz w:val="24"/>
              </w:rPr>
              <w:t>60分钟</w:t>
            </w:r>
          </w:p>
        </w:tc>
      </w:tr>
    </w:tbl>
    <w:p>
      <w:pPr>
        <w:spacing w:line="360" w:lineRule="auto"/>
        <w:ind w:firstLine="482" w:firstLineChars="200"/>
        <w:rPr>
          <w:rFonts w:asciiTheme="minorEastAsia" w:hAnsiTheme="minorEastAsia" w:eastAsiaTheme="minorEastAsia"/>
          <w:b/>
          <w:sz w:val="24"/>
        </w:rPr>
      </w:pPr>
      <w:bookmarkStart w:id="359" w:name="_Toc39740370"/>
      <w:bookmarkStart w:id="360" w:name="_Toc39674429"/>
      <w:r>
        <w:rPr>
          <w:rFonts w:hint="eastAsia" w:asciiTheme="minorEastAsia" w:hAnsiTheme="minorEastAsia" w:eastAsiaTheme="minorEastAsia"/>
          <w:b/>
          <w:sz w:val="24"/>
        </w:rPr>
        <w:t>（二）事件分析时间</w:t>
      </w:r>
      <w:bookmarkEnd w:id="359"/>
      <w:bookmarkEnd w:id="360"/>
    </w:p>
    <w:tbl>
      <w:tblPr>
        <w:tblStyle w:val="53"/>
        <w:tblW w:w="6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608"/>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blHeader/>
          <w:jc w:val="center"/>
        </w:trPr>
        <w:tc>
          <w:tcPr>
            <w:tcW w:w="977" w:type="dxa"/>
            <w:shd w:val="clear" w:color="auto" w:fill="C0C0C0"/>
            <w:vAlign w:val="center"/>
          </w:tcPr>
          <w:p>
            <w:pPr>
              <w:spacing w:line="360" w:lineRule="exact"/>
              <w:rPr>
                <w:rFonts w:ascii="宋体" w:hAnsi="宋体"/>
                <w:sz w:val="24"/>
              </w:rPr>
            </w:pPr>
            <w:r>
              <w:rPr>
                <w:rFonts w:hint="eastAsia" w:ascii="宋体" w:hAnsi="宋体"/>
                <w:sz w:val="24"/>
              </w:rPr>
              <w:t>编号</w:t>
            </w:r>
          </w:p>
        </w:tc>
        <w:tc>
          <w:tcPr>
            <w:tcW w:w="2608" w:type="dxa"/>
            <w:shd w:val="clear" w:color="auto" w:fill="C0C0C0"/>
            <w:vAlign w:val="center"/>
          </w:tcPr>
          <w:p>
            <w:pPr>
              <w:spacing w:line="360" w:lineRule="exact"/>
              <w:rPr>
                <w:rFonts w:ascii="宋体" w:hAnsi="宋体"/>
                <w:sz w:val="24"/>
              </w:rPr>
            </w:pPr>
            <w:r>
              <w:rPr>
                <w:rFonts w:hint="eastAsia" w:ascii="宋体" w:hAnsi="宋体"/>
                <w:sz w:val="24"/>
              </w:rPr>
              <w:t>优先级代码</w:t>
            </w:r>
          </w:p>
        </w:tc>
        <w:tc>
          <w:tcPr>
            <w:tcW w:w="3351" w:type="dxa"/>
            <w:shd w:val="clear" w:color="auto" w:fill="C0C0C0"/>
            <w:vAlign w:val="center"/>
          </w:tcPr>
          <w:p>
            <w:pPr>
              <w:spacing w:line="360" w:lineRule="exact"/>
              <w:rPr>
                <w:rFonts w:ascii="宋体" w:hAnsi="宋体"/>
                <w:sz w:val="24"/>
              </w:rPr>
            </w:pPr>
            <w:r>
              <w:rPr>
                <w:rFonts w:hint="eastAsia" w:ascii="宋体" w:hAnsi="宋体"/>
                <w:sz w:val="24"/>
              </w:rPr>
              <w:t>最后解决时限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77" w:type="dxa"/>
            <w:vAlign w:val="center"/>
          </w:tcPr>
          <w:p>
            <w:pPr>
              <w:spacing w:line="360" w:lineRule="exact"/>
              <w:rPr>
                <w:rFonts w:ascii="宋体" w:hAnsi="宋体"/>
                <w:b/>
                <w:sz w:val="24"/>
              </w:rPr>
            </w:pPr>
            <w:r>
              <w:rPr>
                <w:rFonts w:ascii="宋体" w:hAnsi="宋体"/>
                <w:sz w:val="24"/>
              </w:rPr>
              <w:t>1</w:t>
            </w:r>
          </w:p>
        </w:tc>
        <w:tc>
          <w:tcPr>
            <w:tcW w:w="2608" w:type="dxa"/>
            <w:vAlign w:val="center"/>
          </w:tcPr>
          <w:p>
            <w:pPr>
              <w:spacing w:line="360" w:lineRule="exact"/>
              <w:rPr>
                <w:rFonts w:ascii="宋体" w:hAnsi="宋体"/>
                <w:b/>
                <w:sz w:val="24"/>
              </w:rPr>
            </w:pPr>
            <w:r>
              <w:rPr>
                <w:rFonts w:hint="eastAsia" w:ascii="宋体" w:hAnsi="宋体"/>
                <w:sz w:val="24"/>
              </w:rPr>
              <w:t>最高</w:t>
            </w:r>
          </w:p>
        </w:tc>
        <w:tc>
          <w:tcPr>
            <w:tcW w:w="3351" w:type="dxa"/>
            <w:vAlign w:val="center"/>
          </w:tcPr>
          <w:p>
            <w:pPr>
              <w:spacing w:line="360" w:lineRule="exact"/>
              <w:rPr>
                <w:rFonts w:ascii="宋体" w:hAnsi="宋体"/>
                <w:b/>
                <w:sz w:val="24"/>
              </w:rPr>
            </w:pPr>
            <w:r>
              <w:rPr>
                <w:rFonts w:ascii="宋体" w:hAnsi="宋体"/>
                <w:sz w:val="24"/>
              </w:rPr>
              <w:t>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977" w:type="dxa"/>
            <w:vAlign w:val="center"/>
          </w:tcPr>
          <w:p>
            <w:pPr>
              <w:spacing w:line="360" w:lineRule="exact"/>
              <w:rPr>
                <w:rFonts w:ascii="宋体" w:hAnsi="宋体"/>
                <w:b/>
                <w:sz w:val="24"/>
              </w:rPr>
            </w:pPr>
            <w:r>
              <w:rPr>
                <w:rFonts w:ascii="宋体" w:hAnsi="宋体"/>
                <w:sz w:val="24"/>
              </w:rPr>
              <w:t>2</w:t>
            </w:r>
          </w:p>
        </w:tc>
        <w:tc>
          <w:tcPr>
            <w:tcW w:w="2608" w:type="dxa"/>
            <w:vAlign w:val="center"/>
          </w:tcPr>
          <w:p>
            <w:pPr>
              <w:spacing w:line="360" w:lineRule="exact"/>
              <w:rPr>
                <w:rFonts w:ascii="宋体" w:hAnsi="宋体"/>
                <w:b/>
                <w:sz w:val="24"/>
              </w:rPr>
            </w:pPr>
            <w:r>
              <w:rPr>
                <w:rFonts w:hint="eastAsia" w:ascii="宋体" w:hAnsi="宋体"/>
                <w:sz w:val="24"/>
              </w:rPr>
              <w:t>高</w:t>
            </w:r>
          </w:p>
        </w:tc>
        <w:tc>
          <w:tcPr>
            <w:tcW w:w="3351" w:type="dxa"/>
            <w:vAlign w:val="center"/>
          </w:tcPr>
          <w:p>
            <w:pPr>
              <w:spacing w:line="360" w:lineRule="exact"/>
              <w:rPr>
                <w:rFonts w:ascii="宋体" w:hAnsi="宋体"/>
                <w:b/>
                <w:sz w:val="24"/>
              </w:rPr>
            </w:pPr>
            <w:r>
              <w:rPr>
                <w:rFonts w:ascii="宋体" w:hAnsi="宋体"/>
                <w:sz w:val="24"/>
              </w:rPr>
              <w:t>16个小时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977" w:type="dxa"/>
            <w:vAlign w:val="center"/>
          </w:tcPr>
          <w:p>
            <w:pPr>
              <w:spacing w:line="360" w:lineRule="exact"/>
              <w:rPr>
                <w:rFonts w:ascii="宋体" w:hAnsi="宋体"/>
                <w:b/>
                <w:sz w:val="24"/>
              </w:rPr>
            </w:pPr>
            <w:r>
              <w:rPr>
                <w:rFonts w:ascii="宋体" w:hAnsi="宋体"/>
                <w:sz w:val="24"/>
              </w:rPr>
              <w:t>3</w:t>
            </w:r>
          </w:p>
        </w:tc>
        <w:tc>
          <w:tcPr>
            <w:tcW w:w="2608" w:type="dxa"/>
            <w:vAlign w:val="center"/>
          </w:tcPr>
          <w:p>
            <w:pPr>
              <w:spacing w:line="360" w:lineRule="exact"/>
              <w:rPr>
                <w:rFonts w:ascii="宋体" w:hAnsi="宋体"/>
                <w:b/>
                <w:sz w:val="24"/>
              </w:rPr>
            </w:pPr>
            <w:r>
              <w:rPr>
                <w:rFonts w:hint="eastAsia" w:ascii="宋体" w:hAnsi="宋体"/>
                <w:sz w:val="24"/>
              </w:rPr>
              <w:t>中</w:t>
            </w:r>
          </w:p>
        </w:tc>
        <w:tc>
          <w:tcPr>
            <w:tcW w:w="3351" w:type="dxa"/>
            <w:vAlign w:val="center"/>
          </w:tcPr>
          <w:p>
            <w:pPr>
              <w:spacing w:line="360" w:lineRule="exact"/>
              <w:rPr>
                <w:rFonts w:ascii="宋体" w:hAnsi="宋体"/>
                <w:b/>
                <w:sz w:val="24"/>
              </w:rPr>
            </w:pPr>
            <w:r>
              <w:rPr>
                <w:rFonts w:ascii="宋体" w:hAnsi="宋体"/>
                <w:sz w:val="24"/>
              </w:rPr>
              <w:t>24个小时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977" w:type="dxa"/>
            <w:vAlign w:val="center"/>
          </w:tcPr>
          <w:p>
            <w:pPr>
              <w:spacing w:line="360" w:lineRule="exact"/>
              <w:rPr>
                <w:rFonts w:ascii="宋体" w:hAnsi="宋体"/>
                <w:b/>
                <w:sz w:val="24"/>
              </w:rPr>
            </w:pPr>
            <w:r>
              <w:rPr>
                <w:rFonts w:ascii="宋体" w:hAnsi="宋体"/>
                <w:sz w:val="24"/>
              </w:rPr>
              <w:t>4</w:t>
            </w:r>
          </w:p>
        </w:tc>
        <w:tc>
          <w:tcPr>
            <w:tcW w:w="2608" w:type="dxa"/>
            <w:vAlign w:val="center"/>
          </w:tcPr>
          <w:p>
            <w:pPr>
              <w:spacing w:line="360" w:lineRule="exact"/>
              <w:rPr>
                <w:rFonts w:ascii="宋体" w:hAnsi="宋体"/>
                <w:b/>
                <w:sz w:val="24"/>
              </w:rPr>
            </w:pPr>
            <w:r>
              <w:rPr>
                <w:rFonts w:hint="eastAsia" w:ascii="宋体" w:hAnsi="宋体"/>
                <w:sz w:val="24"/>
              </w:rPr>
              <w:t>低</w:t>
            </w:r>
          </w:p>
        </w:tc>
        <w:tc>
          <w:tcPr>
            <w:tcW w:w="3351" w:type="dxa"/>
            <w:vAlign w:val="center"/>
          </w:tcPr>
          <w:p>
            <w:pPr>
              <w:spacing w:line="360" w:lineRule="exact"/>
              <w:rPr>
                <w:rFonts w:ascii="宋体" w:hAnsi="宋体"/>
                <w:b/>
                <w:sz w:val="24"/>
              </w:rPr>
            </w:pPr>
            <w:r>
              <w:rPr>
                <w:rFonts w:ascii="宋体" w:hAnsi="宋体"/>
                <w:sz w:val="24"/>
              </w:rPr>
              <w:t>48个小时</w:t>
            </w:r>
          </w:p>
        </w:tc>
      </w:tr>
    </w:tbl>
    <w:p>
      <w:pPr>
        <w:spacing w:line="360" w:lineRule="auto"/>
        <w:ind w:firstLine="482" w:firstLineChars="200"/>
        <w:rPr>
          <w:rFonts w:asciiTheme="minorEastAsia" w:hAnsiTheme="minorEastAsia" w:eastAsiaTheme="minorEastAsia"/>
          <w:b/>
          <w:sz w:val="24"/>
        </w:rPr>
      </w:pPr>
      <w:bookmarkStart w:id="361" w:name="_Toc39740371"/>
      <w:bookmarkStart w:id="362" w:name="_Toc39674430"/>
      <w:r>
        <w:rPr>
          <w:rFonts w:hint="eastAsia" w:asciiTheme="minorEastAsia" w:hAnsiTheme="minorEastAsia" w:eastAsiaTheme="minorEastAsia"/>
          <w:b/>
          <w:sz w:val="24"/>
        </w:rPr>
        <w:t>（三）故障升级报告机制</w:t>
      </w:r>
      <w:bookmarkEnd w:id="361"/>
      <w:bookmarkEnd w:id="362"/>
    </w:p>
    <w:tbl>
      <w:tblPr>
        <w:tblStyle w:val="53"/>
        <w:tblW w:w="7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1233" w:type="dxa"/>
            <w:shd w:val="clear" w:color="auto" w:fill="C0C0C0"/>
            <w:vAlign w:val="center"/>
          </w:tcPr>
          <w:p>
            <w:pPr>
              <w:spacing w:line="360" w:lineRule="exact"/>
              <w:rPr>
                <w:rFonts w:ascii="宋体" w:hAnsi="宋体"/>
                <w:sz w:val="24"/>
              </w:rPr>
            </w:pPr>
            <w:r>
              <w:rPr>
                <w:rFonts w:hint="eastAsia" w:ascii="宋体" w:hAnsi="宋体"/>
                <w:sz w:val="24"/>
              </w:rPr>
              <w:t>优先级别</w:t>
            </w:r>
          </w:p>
        </w:tc>
        <w:tc>
          <w:tcPr>
            <w:tcW w:w="6257" w:type="dxa"/>
            <w:shd w:val="clear" w:color="auto" w:fill="C0C0C0"/>
            <w:vAlign w:val="center"/>
          </w:tcPr>
          <w:p>
            <w:pPr>
              <w:spacing w:line="360" w:lineRule="exact"/>
              <w:rPr>
                <w:rFonts w:ascii="宋体" w:hAnsi="宋体"/>
                <w:sz w:val="24"/>
              </w:rPr>
            </w:pPr>
            <w:r>
              <w:rPr>
                <w:rFonts w:hint="eastAsia" w:ascii="宋体" w:hAnsi="宋体"/>
                <w:sz w:val="24"/>
              </w:rPr>
              <w:t>通告路径</w:t>
            </w:r>
            <w:r>
              <w:rPr>
                <w:rFonts w:ascii="宋体" w:hAnsi="宋体"/>
                <w:sz w:val="24"/>
              </w:rPr>
              <w:t>(通知)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dxa"/>
            <w:vAlign w:val="center"/>
          </w:tcPr>
          <w:p>
            <w:pPr>
              <w:spacing w:line="360" w:lineRule="exact"/>
              <w:rPr>
                <w:rFonts w:ascii="宋体" w:hAnsi="宋体"/>
                <w:b/>
                <w:sz w:val="24"/>
              </w:rPr>
            </w:pPr>
            <w:r>
              <w:rPr>
                <w:rFonts w:hint="eastAsia" w:ascii="宋体" w:hAnsi="宋体"/>
                <w:sz w:val="24"/>
              </w:rPr>
              <w:t>最高</w:t>
            </w:r>
          </w:p>
        </w:tc>
        <w:tc>
          <w:tcPr>
            <w:tcW w:w="6257" w:type="dxa"/>
            <w:vAlign w:val="center"/>
          </w:tcPr>
          <w:p>
            <w:pPr>
              <w:spacing w:line="360" w:lineRule="exact"/>
              <w:jc w:val="left"/>
              <w:rPr>
                <w:rFonts w:ascii="宋体" w:hAnsi="宋体"/>
                <w:b/>
                <w:sz w:val="24"/>
              </w:rPr>
            </w:pPr>
            <w:r>
              <w:rPr>
                <w:rFonts w:hint="eastAsia" w:ascii="宋体" w:hAnsi="宋体"/>
                <w:sz w:val="24"/>
              </w:rPr>
              <w:t>登记</w:t>
            </w:r>
            <w:r>
              <w:rPr>
                <w:rFonts w:ascii="宋体" w:hAnsi="宋体"/>
                <w:sz w:val="24"/>
              </w:rPr>
              <w:sym w:font="Wingdings" w:char="F0E0"/>
            </w:r>
            <w:r>
              <w:rPr>
                <w:rFonts w:hint="eastAsia" w:ascii="宋体" w:hAnsi="宋体"/>
                <w:sz w:val="24"/>
              </w:rPr>
              <w:t>事件经理</w:t>
            </w:r>
          </w:p>
          <w:p>
            <w:pPr>
              <w:spacing w:line="360" w:lineRule="exact"/>
              <w:jc w:val="left"/>
              <w:rPr>
                <w:rFonts w:ascii="宋体" w:hAnsi="宋体"/>
                <w:b/>
                <w:sz w:val="24"/>
              </w:rPr>
            </w:pPr>
            <w:r>
              <w:rPr>
                <w:rFonts w:hint="eastAsia" w:ascii="宋体" w:hAnsi="宋体"/>
                <w:sz w:val="24"/>
              </w:rPr>
              <w:t>离最终期限</w:t>
            </w:r>
            <w:r>
              <w:rPr>
                <w:rFonts w:ascii="宋体" w:hAnsi="宋体"/>
                <w:sz w:val="24"/>
              </w:rPr>
              <w:t>2小时</w:t>
            </w:r>
            <w:r>
              <w:rPr>
                <w:rFonts w:ascii="宋体" w:hAnsi="宋体"/>
                <w:sz w:val="24"/>
              </w:rPr>
              <w:sym w:font="Wingdings" w:char="F0E0"/>
            </w:r>
            <w:r>
              <w:rPr>
                <w:rFonts w:hint="eastAsia" w:ascii="宋体" w:hAnsi="宋体"/>
                <w:sz w:val="24"/>
              </w:rPr>
              <w:t>事件处理人、事件经理，采购人项目经理</w:t>
            </w:r>
          </w:p>
          <w:p>
            <w:pPr>
              <w:spacing w:line="360" w:lineRule="exact"/>
              <w:jc w:val="left"/>
              <w:rPr>
                <w:rFonts w:ascii="宋体" w:hAnsi="宋体"/>
                <w:b/>
                <w:sz w:val="24"/>
              </w:rPr>
            </w:pPr>
            <w:r>
              <w:rPr>
                <w:rFonts w:hint="eastAsia" w:ascii="宋体" w:hAnsi="宋体"/>
                <w:sz w:val="24"/>
              </w:rPr>
              <w:t>已超时</w:t>
            </w:r>
            <w:r>
              <w:rPr>
                <w:rFonts w:ascii="宋体" w:hAnsi="宋体"/>
                <w:sz w:val="24"/>
              </w:rPr>
              <w:sym w:font="Wingdings" w:char="F0E0"/>
            </w:r>
            <w:r>
              <w:rPr>
                <w:rFonts w:hint="eastAsia" w:ascii="宋体" w:hAnsi="宋体"/>
                <w:sz w:val="24"/>
              </w:rPr>
              <w:t>事件处理人、事件经理、采购人项目经理、采购人主管部长</w:t>
            </w:r>
            <w:r>
              <w:rPr>
                <w:rFonts w:ascii="宋体" w:hAnsi="宋体"/>
                <w:sz w:val="24"/>
              </w:rPr>
              <w:sym w:font="Wingdings" w:char="F0E0"/>
            </w:r>
            <w:r>
              <w:rPr>
                <w:rFonts w:hint="eastAsia" w:ascii="宋体" w:hAnsi="宋体"/>
                <w:sz w:val="24"/>
              </w:rPr>
              <w:t>采购人主管领导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dxa"/>
            <w:vAlign w:val="center"/>
          </w:tcPr>
          <w:p>
            <w:pPr>
              <w:spacing w:line="360" w:lineRule="exact"/>
              <w:rPr>
                <w:rFonts w:ascii="宋体" w:hAnsi="宋体"/>
                <w:b/>
                <w:sz w:val="24"/>
              </w:rPr>
            </w:pPr>
            <w:r>
              <w:rPr>
                <w:rFonts w:hint="eastAsia" w:ascii="宋体" w:hAnsi="宋体"/>
                <w:sz w:val="24"/>
              </w:rPr>
              <w:t>高</w:t>
            </w:r>
          </w:p>
        </w:tc>
        <w:tc>
          <w:tcPr>
            <w:tcW w:w="6257" w:type="dxa"/>
            <w:vAlign w:val="center"/>
          </w:tcPr>
          <w:p>
            <w:pPr>
              <w:spacing w:line="360" w:lineRule="exact"/>
              <w:jc w:val="left"/>
              <w:rPr>
                <w:rFonts w:ascii="宋体" w:hAnsi="宋体"/>
                <w:b/>
                <w:sz w:val="24"/>
              </w:rPr>
            </w:pPr>
            <w:r>
              <w:rPr>
                <w:rFonts w:hint="eastAsia" w:ascii="宋体" w:hAnsi="宋体"/>
                <w:sz w:val="24"/>
              </w:rPr>
              <w:t>离最终期限</w:t>
            </w:r>
            <w:r>
              <w:rPr>
                <w:rFonts w:ascii="宋体" w:hAnsi="宋体"/>
                <w:sz w:val="24"/>
              </w:rPr>
              <w:t>4小时</w:t>
            </w:r>
            <w:r>
              <w:rPr>
                <w:rFonts w:ascii="宋体" w:hAnsi="宋体"/>
                <w:sz w:val="24"/>
              </w:rPr>
              <w:sym w:font="Wingdings" w:char="F0E0"/>
            </w:r>
            <w:r>
              <w:rPr>
                <w:rFonts w:hint="eastAsia" w:ascii="宋体" w:hAnsi="宋体"/>
                <w:sz w:val="24"/>
              </w:rPr>
              <w:t>事件处理人、采购人项目经理</w:t>
            </w:r>
          </w:p>
          <w:p>
            <w:pPr>
              <w:spacing w:line="360" w:lineRule="exact"/>
              <w:jc w:val="left"/>
              <w:rPr>
                <w:rFonts w:ascii="宋体" w:hAnsi="宋体"/>
                <w:b/>
                <w:sz w:val="24"/>
              </w:rPr>
            </w:pPr>
            <w:r>
              <w:rPr>
                <w:rFonts w:hint="eastAsia" w:ascii="宋体" w:hAnsi="宋体"/>
                <w:sz w:val="24"/>
              </w:rPr>
              <w:t>已超时</w:t>
            </w:r>
            <w:r>
              <w:rPr>
                <w:rFonts w:ascii="宋体" w:hAnsi="宋体"/>
                <w:sz w:val="24"/>
              </w:rPr>
              <w:sym w:font="Wingdings" w:char="F0E0"/>
            </w:r>
            <w:r>
              <w:rPr>
                <w:rFonts w:hint="eastAsia" w:ascii="宋体" w:hAnsi="宋体"/>
                <w:sz w:val="24"/>
              </w:rPr>
              <w:t>事件处理人、事件经理、采购人项目经理、采购人主管部长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dxa"/>
            <w:vAlign w:val="center"/>
          </w:tcPr>
          <w:p>
            <w:pPr>
              <w:spacing w:line="360" w:lineRule="exact"/>
              <w:rPr>
                <w:rFonts w:ascii="宋体" w:hAnsi="宋体"/>
                <w:b/>
                <w:sz w:val="24"/>
              </w:rPr>
            </w:pPr>
            <w:r>
              <w:rPr>
                <w:rFonts w:hint="eastAsia" w:ascii="宋体" w:hAnsi="宋体"/>
                <w:sz w:val="24"/>
              </w:rPr>
              <w:t>中</w:t>
            </w:r>
          </w:p>
        </w:tc>
        <w:tc>
          <w:tcPr>
            <w:tcW w:w="6257" w:type="dxa"/>
            <w:vAlign w:val="center"/>
          </w:tcPr>
          <w:p>
            <w:pPr>
              <w:spacing w:line="360" w:lineRule="exact"/>
              <w:jc w:val="left"/>
              <w:rPr>
                <w:rFonts w:ascii="宋体" w:hAnsi="宋体"/>
                <w:b/>
                <w:sz w:val="24"/>
              </w:rPr>
            </w:pPr>
            <w:r>
              <w:rPr>
                <w:rFonts w:hint="eastAsia" w:ascii="宋体" w:hAnsi="宋体"/>
                <w:sz w:val="24"/>
              </w:rPr>
              <w:t>离最终期限</w:t>
            </w:r>
            <w:r>
              <w:rPr>
                <w:rFonts w:ascii="宋体" w:hAnsi="宋体"/>
                <w:sz w:val="24"/>
              </w:rPr>
              <w:t>6小时</w:t>
            </w:r>
            <w:r>
              <w:rPr>
                <w:rFonts w:ascii="宋体" w:hAnsi="宋体"/>
                <w:sz w:val="24"/>
              </w:rPr>
              <w:sym w:font="Wingdings" w:char="F0E0"/>
            </w:r>
            <w:r>
              <w:rPr>
                <w:rFonts w:hint="eastAsia" w:ascii="宋体" w:hAnsi="宋体"/>
                <w:sz w:val="24"/>
              </w:rPr>
              <w:t>事件处理人</w:t>
            </w:r>
          </w:p>
          <w:p>
            <w:pPr>
              <w:spacing w:line="360" w:lineRule="exact"/>
              <w:jc w:val="left"/>
              <w:rPr>
                <w:rFonts w:ascii="宋体" w:hAnsi="宋体"/>
                <w:b/>
                <w:sz w:val="24"/>
              </w:rPr>
            </w:pPr>
            <w:r>
              <w:rPr>
                <w:rFonts w:hint="eastAsia" w:ascii="宋体" w:hAnsi="宋体"/>
                <w:sz w:val="24"/>
              </w:rPr>
              <w:t>已超时</w:t>
            </w:r>
            <w:r>
              <w:rPr>
                <w:rFonts w:ascii="宋体" w:hAnsi="宋体"/>
                <w:sz w:val="24"/>
              </w:rPr>
              <w:sym w:font="Wingdings" w:char="F0E0"/>
            </w:r>
            <w:r>
              <w:rPr>
                <w:rFonts w:hint="eastAsia" w:ascii="宋体" w:hAnsi="宋体"/>
                <w:sz w:val="24"/>
              </w:rPr>
              <w:t>事件处理人、事件经理、采购人具体负责人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33" w:type="dxa"/>
            <w:vAlign w:val="center"/>
          </w:tcPr>
          <w:p>
            <w:pPr>
              <w:spacing w:line="360" w:lineRule="exact"/>
              <w:rPr>
                <w:rFonts w:ascii="宋体" w:hAnsi="宋体"/>
                <w:b/>
                <w:sz w:val="24"/>
              </w:rPr>
            </w:pPr>
            <w:r>
              <w:rPr>
                <w:rFonts w:hint="eastAsia" w:ascii="宋体" w:hAnsi="宋体"/>
                <w:sz w:val="24"/>
              </w:rPr>
              <w:t>低</w:t>
            </w:r>
          </w:p>
        </w:tc>
        <w:tc>
          <w:tcPr>
            <w:tcW w:w="6257" w:type="dxa"/>
            <w:vAlign w:val="center"/>
          </w:tcPr>
          <w:p>
            <w:pPr>
              <w:spacing w:line="360" w:lineRule="exact"/>
              <w:jc w:val="left"/>
              <w:rPr>
                <w:rFonts w:ascii="宋体" w:hAnsi="宋体"/>
                <w:b/>
                <w:sz w:val="24"/>
              </w:rPr>
            </w:pPr>
            <w:r>
              <w:rPr>
                <w:rFonts w:hint="eastAsia" w:ascii="宋体" w:hAnsi="宋体"/>
                <w:sz w:val="24"/>
              </w:rPr>
              <w:t>离最终期限</w:t>
            </w:r>
            <w:r>
              <w:rPr>
                <w:rFonts w:ascii="宋体" w:hAnsi="宋体"/>
                <w:sz w:val="24"/>
              </w:rPr>
              <w:t>12小时</w:t>
            </w:r>
            <w:r>
              <w:rPr>
                <w:rFonts w:ascii="宋体" w:hAnsi="宋体"/>
                <w:sz w:val="24"/>
              </w:rPr>
              <w:sym w:font="Wingdings" w:char="F0E0"/>
            </w:r>
            <w:r>
              <w:rPr>
                <w:rFonts w:hint="eastAsia" w:ascii="宋体" w:hAnsi="宋体"/>
                <w:sz w:val="24"/>
              </w:rPr>
              <w:t>事件处理人</w:t>
            </w:r>
          </w:p>
          <w:p>
            <w:pPr>
              <w:spacing w:line="360" w:lineRule="exact"/>
              <w:jc w:val="left"/>
              <w:rPr>
                <w:rFonts w:ascii="宋体" w:hAnsi="宋体"/>
                <w:b/>
                <w:sz w:val="24"/>
              </w:rPr>
            </w:pPr>
            <w:r>
              <w:rPr>
                <w:rFonts w:hint="eastAsia" w:ascii="宋体" w:hAnsi="宋体"/>
                <w:sz w:val="24"/>
              </w:rPr>
              <w:t>已超时</w:t>
            </w:r>
            <w:r>
              <w:rPr>
                <w:rFonts w:ascii="宋体" w:hAnsi="宋体"/>
                <w:sz w:val="24"/>
              </w:rPr>
              <w:sym w:font="Wingdings" w:char="F0E0"/>
            </w:r>
            <w:r>
              <w:rPr>
                <w:rFonts w:hint="eastAsia" w:ascii="宋体" w:hAnsi="宋体"/>
                <w:sz w:val="24"/>
              </w:rPr>
              <w:t>事件处理人、事件经理、采购人具体负责人</w:t>
            </w:r>
          </w:p>
        </w:tc>
      </w:tr>
    </w:tbl>
    <w:p>
      <w:pPr>
        <w:spacing w:line="360" w:lineRule="auto"/>
        <w:ind w:firstLine="482" w:firstLineChars="200"/>
        <w:rPr>
          <w:rFonts w:asciiTheme="minorEastAsia" w:hAnsiTheme="minorEastAsia" w:eastAsiaTheme="minorEastAsia"/>
          <w:b/>
          <w:sz w:val="24"/>
        </w:rPr>
      </w:pPr>
      <w:bookmarkStart w:id="363" w:name="_Toc39674431"/>
      <w:bookmarkStart w:id="364" w:name="_Toc39740372"/>
      <w:r>
        <w:rPr>
          <w:rFonts w:hint="eastAsia" w:asciiTheme="minorEastAsia" w:hAnsiTheme="minorEastAsia" w:eastAsiaTheme="minorEastAsia"/>
          <w:b/>
          <w:sz w:val="24"/>
        </w:rPr>
        <w:t>（四）参数说明表</w:t>
      </w:r>
      <w:bookmarkEnd w:id="363"/>
      <w:bookmarkEnd w:id="364"/>
    </w:p>
    <w:p>
      <w:pPr>
        <w:snapToGrid w:val="0"/>
        <w:spacing w:line="360" w:lineRule="auto"/>
        <w:ind w:firstLine="560" w:firstLineChars="200"/>
        <w:rPr>
          <w:rFonts w:ascii="宋体" w:hAnsi="宋体"/>
          <w:sz w:val="28"/>
          <w:szCs w:val="28"/>
        </w:rPr>
      </w:pPr>
      <w:r>
        <w:rPr>
          <w:rFonts w:hint="eastAsia" w:ascii="宋体" w:hAnsi="宋体"/>
          <w:sz w:val="28"/>
          <w:szCs w:val="28"/>
        </w:rPr>
        <w:t>运维服务时间指标中各项参数说明如下：</w:t>
      </w:r>
    </w:p>
    <w:tbl>
      <w:tblPr>
        <w:tblStyle w:val="53"/>
        <w:tblW w:w="79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0"/>
        <w:gridCol w:w="62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60"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360" w:lineRule="exact"/>
              <w:rPr>
                <w:rFonts w:ascii="宋体" w:hAnsi="宋体"/>
                <w:sz w:val="24"/>
              </w:rPr>
            </w:pPr>
            <w:r>
              <w:rPr>
                <w:rFonts w:hint="eastAsia" w:ascii="宋体" w:hAnsi="宋体"/>
                <w:sz w:val="24"/>
              </w:rPr>
              <w:t>参数</w:t>
            </w:r>
          </w:p>
        </w:tc>
        <w:tc>
          <w:tcPr>
            <w:tcW w:w="6241"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360" w:lineRule="exact"/>
              <w:rPr>
                <w:rFonts w:ascii="宋体" w:hAnsi="宋体"/>
                <w:sz w:val="24"/>
              </w:rPr>
            </w:pPr>
            <w:r>
              <w:rPr>
                <w:rFonts w:hint="eastAsia" w:ascii="宋体" w:hAnsi="宋体"/>
                <w:sz w:val="24"/>
              </w:rPr>
              <w:t>定义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sz w:val="24"/>
              </w:rPr>
              <w:t>响应时间</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sz w:val="24"/>
              </w:rPr>
              <w:t>从服务台转入或其他系统转入或直接申告故障到得到响应的时间。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sz w:val="24"/>
              </w:rPr>
              <w:t>到现场时间</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sz w:val="24"/>
              </w:rPr>
              <w:t>需现场服务时，从申告故障到工程师到达分行现场的时间。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6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sz w:val="24"/>
              </w:rPr>
              <w:t>业务恢复时间</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sz w:val="24"/>
              </w:rPr>
              <w:t>从申告故障，到工程师彻底或临时解决故障、恢复业务的时间间隔。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sz w:val="24"/>
              </w:rPr>
              <w:t>事件分析时间</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sz w:val="24"/>
              </w:rPr>
              <w:t>从故障临时解决</w:t>
            </w:r>
            <w:r>
              <w:rPr>
                <w:rFonts w:ascii="宋体" w:hAnsi="宋体"/>
                <w:sz w:val="24"/>
              </w:rPr>
              <w:t>/恢复业务到工程师提供事件情况分析报告的时间。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sz w:val="24"/>
              </w:rPr>
              <w:t>升级时间</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sz w:val="24"/>
              </w:rPr>
            </w:pPr>
            <w:r>
              <w:rPr>
                <w:rFonts w:hint="eastAsia" w:ascii="宋体" w:hAnsi="宋体"/>
                <w:sz w:val="24"/>
              </w:rPr>
              <w:t>从申告故障，到故障被升级到更高一级管理人员的时间间隔。</w:t>
            </w:r>
          </w:p>
        </w:tc>
      </w:tr>
    </w:tbl>
    <w:p>
      <w:pPr>
        <w:spacing w:line="360" w:lineRule="auto"/>
        <w:ind w:firstLine="482" w:firstLineChars="200"/>
        <w:rPr>
          <w:rFonts w:asciiTheme="minorEastAsia" w:hAnsiTheme="minorEastAsia" w:eastAsiaTheme="minorEastAsia"/>
          <w:b/>
          <w:sz w:val="24"/>
        </w:rPr>
      </w:pPr>
      <w:bookmarkStart w:id="365" w:name="_Toc39740373"/>
      <w:bookmarkStart w:id="366" w:name="_Toc39674432"/>
      <w:r>
        <w:rPr>
          <w:rFonts w:hint="eastAsia" w:asciiTheme="minorEastAsia" w:hAnsiTheme="minorEastAsia" w:eastAsiaTheme="minorEastAsia"/>
          <w:b/>
          <w:sz w:val="24"/>
        </w:rPr>
        <w:t>（五）服务量化指标</w:t>
      </w:r>
      <w:bookmarkEnd w:id="365"/>
      <w:bookmarkEnd w:id="366"/>
    </w:p>
    <w:p>
      <w:pPr>
        <w:adjustRightInd w:val="0"/>
        <w:snapToGrid w:val="0"/>
        <w:spacing w:line="360" w:lineRule="auto"/>
        <w:ind w:firstLine="480" w:firstLineChars="200"/>
        <w:rPr>
          <w:rFonts w:ascii="宋体" w:hAnsi="宋体" w:cs="宋体"/>
          <w:sz w:val="24"/>
          <w:lang w:bidi="en-US"/>
        </w:rPr>
      </w:pPr>
      <w:r>
        <w:rPr>
          <w:rFonts w:hint="eastAsia" w:ascii="宋体" w:hAnsi="宋体" w:cs="宋体"/>
          <w:sz w:val="24"/>
          <w:lang w:bidi="en-US"/>
        </w:rPr>
        <w:t>运维服务质量指标中各项参数说明如下，其中交付内容也作为后期验收文档：</w:t>
      </w:r>
    </w:p>
    <w:tbl>
      <w:tblPr>
        <w:tblStyle w:val="53"/>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90"/>
        <w:gridCol w:w="2707"/>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17" w:type="dxa"/>
            <w:vAlign w:val="center"/>
          </w:tcPr>
          <w:p>
            <w:pPr>
              <w:spacing w:line="360" w:lineRule="exact"/>
              <w:jc w:val="center"/>
              <w:rPr>
                <w:rFonts w:ascii="宋体" w:hAnsi="宋体"/>
                <w:b/>
                <w:sz w:val="24"/>
              </w:rPr>
            </w:pPr>
            <w:r>
              <w:rPr>
                <w:rFonts w:hint="eastAsia" w:ascii="宋体" w:hAnsi="宋体"/>
                <w:b/>
                <w:sz w:val="24"/>
              </w:rPr>
              <w:t>序号</w:t>
            </w:r>
          </w:p>
        </w:tc>
        <w:tc>
          <w:tcPr>
            <w:tcW w:w="3090" w:type="dxa"/>
            <w:vAlign w:val="center"/>
          </w:tcPr>
          <w:p>
            <w:pPr>
              <w:spacing w:line="360" w:lineRule="exact"/>
              <w:jc w:val="center"/>
              <w:rPr>
                <w:rFonts w:ascii="宋体" w:hAnsi="宋体"/>
                <w:b/>
                <w:sz w:val="24"/>
              </w:rPr>
            </w:pPr>
            <w:r>
              <w:rPr>
                <w:rFonts w:hint="eastAsia" w:ascii="宋体" w:hAnsi="宋体"/>
                <w:b/>
                <w:sz w:val="24"/>
              </w:rPr>
              <w:t>衡量指标</w:t>
            </w:r>
          </w:p>
        </w:tc>
        <w:tc>
          <w:tcPr>
            <w:tcW w:w="2707" w:type="dxa"/>
            <w:vAlign w:val="center"/>
          </w:tcPr>
          <w:p>
            <w:pPr>
              <w:spacing w:line="360" w:lineRule="exact"/>
              <w:jc w:val="center"/>
              <w:rPr>
                <w:rFonts w:ascii="宋体" w:hAnsi="宋体"/>
                <w:b/>
                <w:sz w:val="24"/>
              </w:rPr>
            </w:pPr>
            <w:r>
              <w:rPr>
                <w:rFonts w:hint="eastAsia" w:ascii="宋体" w:hAnsi="宋体"/>
                <w:b/>
                <w:sz w:val="24"/>
              </w:rPr>
              <w:t>指标说明</w:t>
            </w:r>
          </w:p>
        </w:tc>
        <w:tc>
          <w:tcPr>
            <w:tcW w:w="1725" w:type="dxa"/>
            <w:vAlign w:val="center"/>
          </w:tcPr>
          <w:p>
            <w:pPr>
              <w:spacing w:line="360" w:lineRule="exact"/>
              <w:jc w:val="center"/>
              <w:rPr>
                <w:rFonts w:ascii="宋体" w:hAnsi="宋体"/>
                <w:b/>
                <w:sz w:val="24"/>
              </w:rPr>
            </w:pPr>
            <w:r>
              <w:rPr>
                <w:rFonts w:hint="eastAsia" w:ascii="宋体" w:hAnsi="宋体"/>
                <w:b/>
                <w:sz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7" w:type="dxa"/>
          </w:tcPr>
          <w:p>
            <w:pPr>
              <w:spacing w:line="360" w:lineRule="exact"/>
              <w:jc w:val="center"/>
              <w:rPr>
                <w:rFonts w:ascii="宋体" w:hAnsi="宋体"/>
                <w:sz w:val="24"/>
              </w:rPr>
            </w:pPr>
            <w:r>
              <w:rPr>
                <w:rFonts w:ascii="宋体" w:hAnsi="宋体"/>
                <w:sz w:val="24"/>
              </w:rPr>
              <w:t>1</w:t>
            </w:r>
          </w:p>
        </w:tc>
        <w:tc>
          <w:tcPr>
            <w:tcW w:w="3090" w:type="dxa"/>
          </w:tcPr>
          <w:p>
            <w:pPr>
              <w:spacing w:line="360" w:lineRule="exact"/>
              <w:rPr>
                <w:rFonts w:ascii="宋体" w:hAnsi="宋体"/>
                <w:sz w:val="24"/>
              </w:rPr>
            </w:pPr>
            <w:r>
              <w:rPr>
                <w:rFonts w:hint="eastAsia" w:ascii="宋体" w:hAnsi="宋体" w:cs="宋体"/>
                <w:sz w:val="24"/>
              </w:rPr>
              <w:t>《平台运维管理月报告》</w:t>
            </w:r>
          </w:p>
        </w:tc>
        <w:tc>
          <w:tcPr>
            <w:tcW w:w="2707" w:type="dxa"/>
          </w:tcPr>
          <w:p>
            <w:pPr>
              <w:spacing w:line="360" w:lineRule="exact"/>
              <w:rPr>
                <w:rFonts w:ascii="宋体" w:hAnsi="宋体"/>
                <w:sz w:val="24"/>
              </w:rPr>
            </w:pPr>
            <w:r>
              <w:rPr>
                <w:rFonts w:hint="eastAsia" w:ascii="宋体" w:hAnsi="宋体" w:cs="宋体"/>
                <w:sz w:val="24"/>
              </w:rPr>
              <w:t>平台运维管理月报告</w:t>
            </w:r>
          </w:p>
        </w:tc>
        <w:tc>
          <w:tcPr>
            <w:tcW w:w="1725" w:type="dxa"/>
          </w:tcPr>
          <w:p>
            <w:pPr>
              <w:spacing w:line="360" w:lineRule="exact"/>
              <w:jc w:val="center"/>
              <w:rPr>
                <w:rFonts w:ascii="宋体" w:hAnsi="宋体"/>
                <w:sz w:val="24"/>
              </w:rPr>
            </w:pPr>
            <w:r>
              <w:rPr>
                <w:rFonts w:hint="eastAsia" w:ascii="宋体" w:hAnsi="宋体"/>
                <w:sz w:val="24"/>
              </w:rPr>
              <w:t>按月提供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7" w:type="dxa"/>
          </w:tcPr>
          <w:p>
            <w:pPr>
              <w:spacing w:line="360" w:lineRule="exact"/>
              <w:jc w:val="center"/>
              <w:rPr>
                <w:rFonts w:ascii="宋体" w:hAnsi="宋体"/>
                <w:sz w:val="24"/>
              </w:rPr>
            </w:pPr>
            <w:r>
              <w:rPr>
                <w:rFonts w:ascii="宋体" w:hAnsi="宋体"/>
                <w:sz w:val="24"/>
              </w:rPr>
              <w:t>2</w:t>
            </w:r>
          </w:p>
        </w:tc>
        <w:tc>
          <w:tcPr>
            <w:tcW w:w="3090" w:type="dxa"/>
          </w:tcPr>
          <w:p>
            <w:pPr>
              <w:spacing w:line="360" w:lineRule="exact"/>
              <w:rPr>
                <w:rFonts w:ascii="宋体" w:hAnsi="宋体"/>
                <w:sz w:val="24"/>
              </w:rPr>
            </w:pPr>
            <w:r>
              <w:rPr>
                <w:rFonts w:hint="eastAsia" w:ascii="宋体" w:hAnsi="宋体" w:cs="宋体"/>
                <w:sz w:val="24"/>
              </w:rPr>
              <w:t>《平台运维管理年度报告》</w:t>
            </w:r>
          </w:p>
        </w:tc>
        <w:tc>
          <w:tcPr>
            <w:tcW w:w="2707" w:type="dxa"/>
          </w:tcPr>
          <w:p>
            <w:pPr>
              <w:spacing w:line="360" w:lineRule="exact"/>
              <w:rPr>
                <w:rFonts w:ascii="宋体" w:hAnsi="宋体"/>
                <w:sz w:val="24"/>
              </w:rPr>
            </w:pPr>
            <w:r>
              <w:rPr>
                <w:rFonts w:hint="eastAsia" w:ascii="宋体" w:hAnsi="宋体" w:cs="宋体"/>
                <w:sz w:val="24"/>
              </w:rPr>
              <w:t>平台运维管理年度报告</w:t>
            </w:r>
          </w:p>
        </w:tc>
        <w:tc>
          <w:tcPr>
            <w:tcW w:w="1725" w:type="dxa"/>
          </w:tcPr>
          <w:p>
            <w:pPr>
              <w:spacing w:line="360" w:lineRule="exact"/>
              <w:jc w:val="center"/>
              <w:rPr>
                <w:rFonts w:ascii="宋体" w:hAnsi="宋体"/>
                <w:sz w:val="24"/>
              </w:rPr>
            </w:pPr>
            <w:r>
              <w:rPr>
                <w:rFonts w:hint="eastAsia" w:ascii="宋体" w:hAnsi="宋体"/>
                <w:sz w:val="24"/>
              </w:rPr>
              <w:t>按年提供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7" w:type="dxa"/>
          </w:tcPr>
          <w:p>
            <w:pPr>
              <w:spacing w:line="360" w:lineRule="exact"/>
              <w:jc w:val="center"/>
              <w:rPr>
                <w:rFonts w:ascii="宋体" w:hAnsi="宋体"/>
                <w:sz w:val="24"/>
              </w:rPr>
            </w:pPr>
            <w:r>
              <w:rPr>
                <w:rFonts w:ascii="宋体" w:hAnsi="宋体"/>
                <w:sz w:val="24"/>
              </w:rPr>
              <w:t>3</w:t>
            </w:r>
          </w:p>
        </w:tc>
        <w:tc>
          <w:tcPr>
            <w:tcW w:w="3090" w:type="dxa"/>
          </w:tcPr>
          <w:p>
            <w:pPr>
              <w:spacing w:line="360" w:lineRule="exact"/>
              <w:rPr>
                <w:rFonts w:ascii="宋体" w:hAnsi="宋体" w:cs="宋体"/>
                <w:sz w:val="24"/>
              </w:rPr>
            </w:pPr>
            <w:r>
              <w:rPr>
                <w:rFonts w:hint="eastAsia" w:ascii="宋体" w:hAnsi="宋体"/>
                <w:sz w:val="24"/>
              </w:rPr>
              <w:t>《日常巡检表》</w:t>
            </w:r>
          </w:p>
        </w:tc>
        <w:tc>
          <w:tcPr>
            <w:tcW w:w="2707" w:type="dxa"/>
          </w:tcPr>
          <w:p>
            <w:pPr>
              <w:spacing w:line="360" w:lineRule="exact"/>
              <w:rPr>
                <w:rFonts w:ascii="宋体" w:hAnsi="宋体" w:cs="宋体"/>
                <w:sz w:val="24"/>
              </w:rPr>
            </w:pPr>
            <w:r>
              <w:rPr>
                <w:rFonts w:hint="eastAsia" w:ascii="宋体" w:hAnsi="宋体"/>
                <w:sz w:val="24"/>
              </w:rPr>
              <w:t>每天的日常巡检表</w:t>
            </w:r>
          </w:p>
        </w:tc>
        <w:tc>
          <w:tcPr>
            <w:tcW w:w="1725" w:type="dxa"/>
          </w:tcPr>
          <w:p>
            <w:pPr>
              <w:spacing w:line="360" w:lineRule="exact"/>
              <w:jc w:val="center"/>
              <w:rPr>
                <w:rFonts w:ascii="宋体" w:hAnsi="宋体"/>
                <w:sz w:val="24"/>
              </w:rPr>
            </w:pPr>
            <w:r>
              <w:rPr>
                <w:rFonts w:hint="eastAsia" w:ascii="宋体" w:hAnsi="宋体"/>
                <w:sz w:val="24"/>
              </w:rPr>
              <w:t>按月提供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17" w:type="dxa"/>
          </w:tcPr>
          <w:p>
            <w:pPr>
              <w:spacing w:line="360" w:lineRule="exact"/>
              <w:jc w:val="center"/>
              <w:rPr>
                <w:rFonts w:ascii="宋体" w:hAnsi="宋体" w:cs="宋体"/>
                <w:sz w:val="24"/>
              </w:rPr>
            </w:pPr>
            <w:r>
              <w:rPr>
                <w:rFonts w:ascii="宋体" w:hAnsi="宋体" w:cs="宋体"/>
                <w:sz w:val="24"/>
              </w:rPr>
              <w:t>4</w:t>
            </w:r>
          </w:p>
        </w:tc>
        <w:tc>
          <w:tcPr>
            <w:tcW w:w="3090" w:type="dxa"/>
          </w:tcPr>
          <w:p>
            <w:pPr>
              <w:spacing w:line="360" w:lineRule="exact"/>
              <w:rPr>
                <w:rFonts w:ascii="宋体" w:hAnsi="宋体" w:cs="宋体"/>
                <w:sz w:val="24"/>
              </w:rPr>
            </w:pPr>
            <w:r>
              <w:rPr>
                <w:rFonts w:hint="eastAsia" w:ascii="宋体" w:hAnsi="宋体" w:cs="宋体"/>
                <w:sz w:val="24"/>
              </w:rPr>
              <w:t>《故障记录表》</w:t>
            </w:r>
          </w:p>
        </w:tc>
        <w:tc>
          <w:tcPr>
            <w:tcW w:w="2707" w:type="dxa"/>
          </w:tcPr>
          <w:p>
            <w:pPr>
              <w:spacing w:line="360" w:lineRule="exact"/>
              <w:rPr>
                <w:rFonts w:ascii="宋体" w:hAnsi="宋体" w:cs="宋体"/>
                <w:sz w:val="24"/>
              </w:rPr>
            </w:pPr>
            <w:r>
              <w:rPr>
                <w:rFonts w:hint="eastAsia" w:ascii="宋体" w:hAnsi="宋体" w:cs="宋体"/>
                <w:sz w:val="24"/>
              </w:rPr>
              <w:t>每月的故障记录表</w:t>
            </w:r>
          </w:p>
        </w:tc>
        <w:tc>
          <w:tcPr>
            <w:tcW w:w="1725" w:type="dxa"/>
          </w:tcPr>
          <w:p>
            <w:pPr>
              <w:spacing w:line="360" w:lineRule="exact"/>
              <w:jc w:val="center"/>
              <w:rPr>
                <w:rFonts w:ascii="宋体" w:hAnsi="宋体" w:cs="宋体"/>
                <w:sz w:val="24"/>
              </w:rPr>
            </w:pPr>
            <w:r>
              <w:rPr>
                <w:rFonts w:hint="eastAsia" w:ascii="宋体" w:hAnsi="宋体" w:cs="宋体"/>
                <w:sz w:val="24"/>
              </w:rPr>
              <w:t>按月提供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exact"/>
              <w:jc w:val="center"/>
              <w:rPr>
                <w:rFonts w:ascii="宋体" w:hAnsi="宋体"/>
                <w:sz w:val="24"/>
              </w:rPr>
            </w:pPr>
            <w:r>
              <w:rPr>
                <w:rFonts w:ascii="宋体" w:hAnsi="宋体"/>
                <w:sz w:val="24"/>
              </w:rPr>
              <w:t>5</w:t>
            </w:r>
          </w:p>
        </w:tc>
        <w:tc>
          <w:tcPr>
            <w:tcW w:w="3090" w:type="dxa"/>
          </w:tcPr>
          <w:p>
            <w:pPr>
              <w:spacing w:line="360" w:lineRule="exact"/>
              <w:rPr>
                <w:rFonts w:ascii="宋体" w:hAnsi="宋体"/>
                <w:sz w:val="24"/>
              </w:rPr>
            </w:pPr>
            <w:r>
              <w:rPr>
                <w:rFonts w:hint="eastAsia" w:ascii="宋体" w:hAnsi="宋体"/>
                <w:sz w:val="24"/>
              </w:rPr>
              <w:t>《运维系统升级审批表》</w:t>
            </w:r>
          </w:p>
        </w:tc>
        <w:tc>
          <w:tcPr>
            <w:tcW w:w="2707" w:type="dxa"/>
          </w:tcPr>
          <w:p>
            <w:pPr>
              <w:spacing w:line="360" w:lineRule="exact"/>
              <w:rPr>
                <w:rFonts w:ascii="宋体" w:hAnsi="宋体" w:cs="宋体"/>
                <w:sz w:val="24"/>
              </w:rPr>
            </w:pPr>
            <w:r>
              <w:rPr>
                <w:rFonts w:hint="eastAsia" w:ascii="宋体" w:hAnsi="宋体" w:cs="宋体"/>
                <w:sz w:val="24"/>
              </w:rPr>
              <w:t>平台</w:t>
            </w:r>
            <w:r>
              <w:rPr>
                <w:rFonts w:hint="eastAsia" w:ascii="宋体" w:hAnsi="宋体"/>
                <w:sz w:val="24"/>
              </w:rPr>
              <w:t>升级审批表</w:t>
            </w:r>
          </w:p>
        </w:tc>
        <w:tc>
          <w:tcPr>
            <w:tcW w:w="1725" w:type="dxa"/>
          </w:tcPr>
          <w:p>
            <w:pPr>
              <w:spacing w:line="360" w:lineRule="exact"/>
              <w:jc w:val="center"/>
              <w:rPr>
                <w:rFonts w:ascii="宋体" w:hAnsi="宋体"/>
                <w:sz w:val="24"/>
              </w:rPr>
            </w:pPr>
            <w:r>
              <w:rPr>
                <w:rFonts w:hint="eastAsia" w:ascii="宋体" w:hAnsi="宋体"/>
                <w:sz w:val="24"/>
              </w:rPr>
              <w:t>按次（如果有）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exact"/>
              <w:jc w:val="center"/>
              <w:rPr>
                <w:rFonts w:ascii="宋体" w:hAnsi="宋体"/>
                <w:sz w:val="24"/>
              </w:rPr>
            </w:pPr>
            <w:r>
              <w:rPr>
                <w:rFonts w:ascii="宋体" w:hAnsi="宋体"/>
                <w:sz w:val="24"/>
              </w:rPr>
              <w:t>6</w:t>
            </w:r>
          </w:p>
        </w:tc>
        <w:tc>
          <w:tcPr>
            <w:tcW w:w="3090" w:type="dxa"/>
          </w:tcPr>
          <w:p>
            <w:pPr>
              <w:spacing w:line="360" w:lineRule="exact"/>
              <w:rPr>
                <w:rFonts w:ascii="宋体" w:hAnsi="宋体"/>
                <w:sz w:val="24"/>
              </w:rPr>
            </w:pPr>
            <w:r>
              <w:rPr>
                <w:rFonts w:hint="eastAsia" w:ascii="宋体" w:hAnsi="宋体"/>
                <w:sz w:val="24"/>
              </w:rPr>
              <w:t>《</w:t>
            </w:r>
            <w:r>
              <w:rPr>
                <w:rFonts w:hint="eastAsia" w:ascii="宋体" w:hAnsi="宋体" w:cs="宋体"/>
                <w:sz w:val="24"/>
              </w:rPr>
              <w:t>平台</w:t>
            </w:r>
            <w:r>
              <w:rPr>
                <w:rFonts w:hint="eastAsia" w:ascii="宋体" w:hAnsi="宋体"/>
                <w:sz w:val="24"/>
              </w:rPr>
              <w:t>运维升级记录表》</w:t>
            </w:r>
          </w:p>
        </w:tc>
        <w:tc>
          <w:tcPr>
            <w:tcW w:w="2707" w:type="dxa"/>
          </w:tcPr>
          <w:p>
            <w:pPr>
              <w:spacing w:line="360" w:lineRule="exact"/>
              <w:rPr>
                <w:rFonts w:ascii="宋体" w:hAnsi="宋体" w:cs="宋体"/>
                <w:sz w:val="24"/>
              </w:rPr>
            </w:pPr>
            <w:r>
              <w:rPr>
                <w:rFonts w:hint="eastAsia" w:ascii="宋体" w:hAnsi="宋体" w:cs="宋体"/>
                <w:sz w:val="24"/>
              </w:rPr>
              <w:t>平台</w:t>
            </w:r>
            <w:r>
              <w:rPr>
                <w:rFonts w:hint="eastAsia" w:ascii="宋体" w:hAnsi="宋体"/>
                <w:sz w:val="24"/>
              </w:rPr>
              <w:t>升级记录表</w:t>
            </w:r>
          </w:p>
        </w:tc>
        <w:tc>
          <w:tcPr>
            <w:tcW w:w="1725" w:type="dxa"/>
          </w:tcPr>
          <w:p>
            <w:pPr>
              <w:spacing w:line="360" w:lineRule="exact"/>
              <w:jc w:val="center"/>
              <w:rPr>
                <w:rFonts w:ascii="宋体" w:hAnsi="宋体" w:cs="宋体"/>
                <w:sz w:val="24"/>
              </w:rPr>
            </w:pPr>
            <w:r>
              <w:rPr>
                <w:rFonts w:hint="eastAsia" w:ascii="宋体" w:hAnsi="宋体"/>
                <w:sz w:val="24"/>
              </w:rPr>
              <w:t>按次（如果有）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360" w:lineRule="exact"/>
              <w:jc w:val="center"/>
              <w:rPr>
                <w:rFonts w:ascii="宋体" w:hAnsi="宋体"/>
                <w:sz w:val="24"/>
              </w:rPr>
            </w:pPr>
            <w:r>
              <w:rPr>
                <w:rFonts w:ascii="宋体" w:hAnsi="宋体"/>
                <w:sz w:val="24"/>
              </w:rPr>
              <w:t>7</w:t>
            </w:r>
          </w:p>
        </w:tc>
        <w:tc>
          <w:tcPr>
            <w:tcW w:w="3090" w:type="dxa"/>
          </w:tcPr>
          <w:p>
            <w:pPr>
              <w:spacing w:line="360" w:lineRule="exact"/>
              <w:rPr>
                <w:rFonts w:ascii="宋体" w:hAnsi="宋体"/>
                <w:sz w:val="24"/>
              </w:rPr>
            </w:pPr>
            <w:r>
              <w:rPr>
                <w:rFonts w:hint="eastAsia" w:ascii="宋体" w:hAnsi="宋体"/>
                <w:sz w:val="24"/>
              </w:rPr>
              <w:t>《特殊时期</w:t>
            </w:r>
            <w:r>
              <w:rPr>
                <w:rFonts w:ascii="宋体" w:hAnsi="宋体"/>
                <w:sz w:val="24"/>
              </w:rPr>
              <w:t>7×24小时值班记录表》</w:t>
            </w:r>
          </w:p>
        </w:tc>
        <w:tc>
          <w:tcPr>
            <w:tcW w:w="2707" w:type="dxa"/>
          </w:tcPr>
          <w:p>
            <w:pPr>
              <w:spacing w:line="360" w:lineRule="exact"/>
              <w:rPr>
                <w:rFonts w:ascii="宋体" w:hAnsi="宋体" w:cs="宋体"/>
                <w:sz w:val="24"/>
              </w:rPr>
            </w:pPr>
            <w:r>
              <w:rPr>
                <w:rFonts w:hint="eastAsia" w:ascii="宋体" w:hAnsi="宋体"/>
                <w:sz w:val="24"/>
              </w:rPr>
              <w:t>特殊时期</w:t>
            </w:r>
            <w:r>
              <w:rPr>
                <w:rFonts w:ascii="宋体" w:hAnsi="宋体"/>
                <w:sz w:val="24"/>
              </w:rPr>
              <w:t>7×24小时值班记录表</w:t>
            </w:r>
          </w:p>
        </w:tc>
        <w:tc>
          <w:tcPr>
            <w:tcW w:w="1725" w:type="dxa"/>
          </w:tcPr>
          <w:p>
            <w:pPr>
              <w:spacing w:line="360" w:lineRule="exact"/>
              <w:jc w:val="center"/>
              <w:rPr>
                <w:rFonts w:ascii="宋体" w:hAnsi="宋体" w:cs="宋体"/>
                <w:sz w:val="24"/>
              </w:rPr>
            </w:pPr>
            <w:r>
              <w:rPr>
                <w:rFonts w:hint="eastAsia" w:ascii="宋体" w:hAnsi="宋体" w:cs="宋体"/>
                <w:sz w:val="24"/>
              </w:rPr>
              <w:t>按次提供</w:t>
            </w:r>
          </w:p>
        </w:tc>
      </w:tr>
    </w:tbl>
    <w:p>
      <w:pPr>
        <w:widowControl/>
        <w:spacing w:line="360" w:lineRule="auto"/>
        <w:ind w:firstLine="480"/>
        <w:jc w:val="left"/>
        <w:rPr>
          <w:rFonts w:ascii="宋体" w:hAnsi="宋体" w:cs="宋体"/>
          <w:kern w:val="0"/>
          <w:sz w:val="24"/>
        </w:rPr>
      </w:pPr>
    </w:p>
    <w:p>
      <w:pPr>
        <w:pStyle w:val="6"/>
        <w:widowControl/>
        <w:spacing w:line="360" w:lineRule="auto"/>
        <w:rPr>
          <w:rFonts w:ascii="Times New Roman" w:hAnsi="Times New Roman" w:cs="黑体"/>
        </w:rPr>
      </w:pPr>
      <w:bookmarkStart w:id="367" w:name="_Toc16067321"/>
      <w:bookmarkEnd w:id="367"/>
      <w:bookmarkStart w:id="368" w:name="_Toc15985101"/>
      <w:bookmarkEnd w:id="368"/>
      <w:r>
        <w:rPr>
          <w:rFonts w:hint="eastAsia" w:ascii="Times New Roman" w:hAnsi="Times New Roman" w:cs="黑体"/>
        </w:rPr>
        <w:t>3.2.</w:t>
      </w:r>
      <w:bookmarkStart w:id="369" w:name="_Toc2603"/>
      <w:bookmarkStart w:id="370" w:name="_Toc3459"/>
      <w:bookmarkStart w:id="371" w:name="_Toc22875"/>
      <w:bookmarkStart w:id="372" w:name="_Toc25873"/>
      <w:bookmarkStart w:id="373" w:name="_Toc38034488"/>
      <w:bookmarkStart w:id="374" w:name="_Toc493702829"/>
      <w:bookmarkStart w:id="375" w:name="_Toc15993"/>
      <w:bookmarkStart w:id="376" w:name="_Toc33608394"/>
      <w:bookmarkStart w:id="377" w:name="_Toc10495"/>
      <w:bookmarkStart w:id="378" w:name="_Toc332971356"/>
      <w:r>
        <w:rPr>
          <w:rFonts w:hint="eastAsia" w:ascii="Times New Roman" w:hAnsi="Times New Roman" w:cs="黑体"/>
        </w:rPr>
        <w:t>5项目人员培训</w:t>
      </w:r>
      <w:bookmarkEnd w:id="369"/>
      <w:bookmarkEnd w:id="370"/>
      <w:bookmarkEnd w:id="371"/>
      <w:bookmarkEnd w:id="372"/>
      <w:bookmarkEnd w:id="373"/>
      <w:bookmarkEnd w:id="374"/>
      <w:bookmarkEnd w:id="375"/>
      <w:bookmarkEnd w:id="376"/>
      <w:bookmarkEnd w:id="377"/>
      <w:bookmarkEnd w:id="378"/>
      <w:r>
        <w:rPr>
          <w:rFonts w:hint="eastAsia" w:ascii="Times New Roman" w:hAnsi="Times New Roman" w:cs="黑体"/>
        </w:rPr>
        <w:t>要求</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bookmarkStart w:id="379" w:name="_Toc38034492"/>
      <w:bookmarkStart w:id="380" w:name="_Toc493702837"/>
      <w:bookmarkStart w:id="381" w:name="_Toc12671"/>
      <w:bookmarkStart w:id="382" w:name="_Toc15202"/>
      <w:bookmarkStart w:id="383" w:name="_Toc24804"/>
      <w:bookmarkStart w:id="384" w:name="_Toc20473"/>
      <w:bookmarkStart w:id="385" w:name="_Toc332971362"/>
      <w:bookmarkStart w:id="386" w:name="_Toc3461"/>
      <w:bookmarkStart w:id="387" w:name="_Toc33608398"/>
      <w:bookmarkStart w:id="388" w:name="_Toc14646"/>
      <w:r>
        <w:rPr>
          <w:rFonts w:hint="eastAsia" w:ascii="Arial" w:hAnsi="Arial"/>
          <w:bCs/>
        </w:rPr>
        <w:t>3.2.5.1人员培训</w:t>
      </w:r>
      <w:bookmarkEnd w:id="379"/>
      <w:bookmarkEnd w:id="380"/>
      <w:bookmarkEnd w:id="381"/>
      <w:bookmarkEnd w:id="382"/>
      <w:bookmarkEnd w:id="383"/>
      <w:bookmarkEnd w:id="384"/>
      <w:bookmarkEnd w:id="385"/>
      <w:bookmarkEnd w:id="386"/>
      <w:bookmarkEnd w:id="387"/>
      <w:bookmarkEnd w:id="388"/>
      <w:r>
        <w:rPr>
          <w:rFonts w:hint="eastAsia" w:ascii="Arial" w:hAnsi="Arial"/>
          <w:bCs/>
        </w:rPr>
        <w:t>要求</w:t>
      </w:r>
    </w:p>
    <w:p>
      <w:pPr>
        <w:adjustRightInd w:val="0"/>
        <w:snapToGrid w:val="0"/>
        <w:spacing w:line="360" w:lineRule="auto"/>
        <w:ind w:firstLine="480" w:firstLineChars="200"/>
        <w:rPr>
          <w:rFonts w:ascii="宋体" w:hAnsi="宋体" w:cs="宋体"/>
          <w:sz w:val="24"/>
          <w:lang w:bidi="en-US"/>
        </w:rPr>
      </w:pPr>
      <w:r>
        <w:rPr>
          <w:rFonts w:hint="eastAsia" w:ascii="宋体" w:hAnsi="宋体" w:cs="宋体"/>
          <w:sz w:val="24"/>
          <w:lang w:bidi="en-US"/>
        </w:rPr>
        <w:t>主要为管理人员、维护人员提供所需要的业务管理类、技术类、操作类的培训，一方面，让他们熟悉该系统的业务流程和设计思想，另一方面，让他们熟悉该系统的操作，同时，维护人员能够熟悉系统软件、系统应用子系统的日常维护、监控管理、操作等。</w:t>
      </w:r>
    </w:p>
    <w:p>
      <w:pPr>
        <w:adjustRightInd w:val="0"/>
        <w:snapToGrid w:val="0"/>
        <w:spacing w:line="360" w:lineRule="auto"/>
        <w:ind w:firstLine="480" w:firstLineChars="200"/>
        <w:rPr>
          <w:rFonts w:ascii="宋体" w:hAnsi="宋体" w:cs="宋体"/>
          <w:sz w:val="24"/>
          <w:lang w:bidi="en-US"/>
        </w:rPr>
      </w:pPr>
      <w:r>
        <w:rPr>
          <w:rFonts w:hint="eastAsia" w:ascii="宋体" w:hAnsi="宋体" w:cs="宋体"/>
          <w:sz w:val="24"/>
          <w:lang w:bidi="en-US"/>
        </w:rPr>
        <w:t>项目培训应使使用部门的各类人员能够快速熟悉系统的业务功能，使这些功能可以最大限度尽快为使用部门所用；使维护人员迅速了解并掌握本期工程所用的开发技术，以保证将来系统验收后可以顺利交给维护人员自行或协助承建商对系统进行长期的维护；使所有维护人员可以针对系统的运行的各种环境独立进行维护和管理，以保证系统的成功运行。</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bookmarkStart w:id="389" w:name="_Toc342339387"/>
      <w:bookmarkEnd w:id="389"/>
      <w:bookmarkStart w:id="390" w:name="_Toc342339398"/>
      <w:bookmarkEnd w:id="390"/>
      <w:bookmarkStart w:id="391" w:name="_Toc342339393"/>
      <w:bookmarkEnd w:id="391"/>
      <w:bookmarkStart w:id="392" w:name="_Toc14103"/>
      <w:bookmarkStart w:id="393" w:name="_Toc28704"/>
      <w:bookmarkStart w:id="394" w:name="_Toc33608401"/>
      <w:bookmarkStart w:id="395" w:name="_Toc156"/>
      <w:bookmarkStart w:id="396" w:name="_Toc9917"/>
      <w:bookmarkStart w:id="397" w:name="_Toc332971365"/>
      <w:bookmarkStart w:id="398" w:name="_Toc6868"/>
      <w:bookmarkStart w:id="399" w:name="_Toc21625"/>
      <w:bookmarkStart w:id="400" w:name="_Toc493702840"/>
      <w:bookmarkStart w:id="401" w:name="_Toc38034495"/>
      <w:r>
        <w:rPr>
          <w:rFonts w:hint="eastAsia" w:ascii="Arial" w:hAnsi="Arial"/>
          <w:bCs/>
        </w:rPr>
        <w:t>3.2.5.2培训方式</w:t>
      </w:r>
      <w:bookmarkEnd w:id="392"/>
      <w:bookmarkEnd w:id="393"/>
      <w:bookmarkEnd w:id="394"/>
      <w:bookmarkEnd w:id="395"/>
      <w:bookmarkEnd w:id="396"/>
      <w:bookmarkEnd w:id="397"/>
      <w:bookmarkEnd w:id="398"/>
      <w:bookmarkEnd w:id="399"/>
      <w:bookmarkEnd w:id="400"/>
      <w:bookmarkEnd w:id="401"/>
      <w:r>
        <w:rPr>
          <w:rFonts w:hint="eastAsia" w:ascii="Arial" w:hAnsi="Arial"/>
          <w:bCs/>
        </w:rPr>
        <w:t>要求</w:t>
      </w:r>
    </w:p>
    <w:p>
      <w:pPr>
        <w:adjustRightInd w:val="0"/>
        <w:snapToGrid w:val="0"/>
        <w:spacing w:line="360" w:lineRule="auto"/>
        <w:ind w:firstLine="480" w:firstLineChars="200"/>
        <w:rPr>
          <w:rFonts w:ascii="宋体" w:hAnsi="宋体" w:cs="宋体"/>
          <w:sz w:val="24"/>
          <w:lang w:bidi="en-US"/>
        </w:rPr>
      </w:pPr>
      <w:bookmarkStart w:id="402" w:name="_Toc25416937"/>
      <w:r>
        <w:rPr>
          <w:rFonts w:hint="eastAsia" w:ascii="宋体" w:hAnsi="宋体" w:cs="宋体"/>
          <w:sz w:val="24"/>
          <w:lang w:bidi="en-US"/>
        </w:rPr>
        <w:t>投标单位应当负责提供项目相关的各类培训方式，并根据采购单位的实际要求开展，包括但不限于集中培训、现场培训、网络培训等形式。</w:t>
      </w:r>
    </w:p>
    <w:bookmarkEnd w:id="402"/>
    <w:p>
      <w:pPr>
        <w:pStyle w:val="6"/>
        <w:widowControl/>
        <w:spacing w:line="360" w:lineRule="auto"/>
        <w:rPr>
          <w:rFonts w:ascii="Times New Roman" w:hAnsi="Times New Roman" w:cs="黑体"/>
        </w:rPr>
      </w:pPr>
      <w:r>
        <w:rPr>
          <w:rFonts w:hint="eastAsia" w:ascii="Times New Roman" w:hAnsi="Times New Roman" w:cs="黑体"/>
        </w:rPr>
        <w:t>3.2.6其他要求</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3.2.6.1知识产权要求</w:t>
      </w:r>
    </w:p>
    <w:p>
      <w:pPr>
        <w:adjustRightInd w:val="0"/>
        <w:snapToGrid w:val="0"/>
        <w:spacing w:line="360" w:lineRule="auto"/>
        <w:ind w:firstLine="480" w:firstLineChars="200"/>
        <w:rPr>
          <w:rFonts w:ascii="宋体" w:hAnsi="宋体" w:cs="宋体"/>
          <w:sz w:val="24"/>
          <w:lang w:bidi="en-US"/>
        </w:rPr>
      </w:pPr>
      <w:r>
        <w:rPr>
          <w:rFonts w:hint="eastAsia" w:ascii="宋体" w:hAnsi="宋体" w:cs="Tahoma"/>
          <w:kern w:val="28"/>
          <w:sz w:val="24"/>
        </w:rPr>
        <w:t>1）海南省“码上办事”平台</w:t>
      </w:r>
      <w:r>
        <w:rPr>
          <w:rFonts w:hint="eastAsia" w:ascii="宋体" w:hAnsi="宋体" w:cs="宋体"/>
          <w:sz w:val="24"/>
          <w:lang w:bidi="en-US"/>
        </w:rPr>
        <w:t>产权归采购人所有，中标人为实施项目而提供的资料及全部项目工作成果（包括项目计划、需求规格说明书、概要设计说明书、详细设计说明书、测试报告、安装部署手册、操作手册、培训方案、试运行报告、前台页面及后台接口源代码、项目验收文档等资料）的知识产权权利归采购人所有，中标人提供的具备知识产权的产品或采购具备知识产权的成熟产品（包括硬件产品和软件产品），知识产权仍归产品提供方所有；基于成熟产品进行二次开发的系统及成果的知识产权归采购人所有。</w:t>
      </w:r>
    </w:p>
    <w:p>
      <w:pPr>
        <w:adjustRightInd w:val="0"/>
        <w:snapToGrid w:val="0"/>
        <w:spacing w:line="360" w:lineRule="auto"/>
        <w:ind w:firstLine="480" w:firstLineChars="200"/>
        <w:rPr>
          <w:rFonts w:ascii="宋体" w:hAnsi="宋体" w:cs="宋体"/>
          <w:sz w:val="24"/>
          <w:lang w:bidi="en-US"/>
        </w:rPr>
      </w:pPr>
      <w:r>
        <w:rPr>
          <w:rFonts w:hint="eastAsia" w:ascii="宋体" w:hAnsi="宋体" w:cs="宋体"/>
          <w:sz w:val="24"/>
          <w:lang w:bidi="en-US"/>
        </w:rPr>
        <w:t>2）中标人保证对其销售的产品/服务拥有完全的所有权/处置权或已取得相关授权，不侵犯任何第三方的专利、商标、著作权和其他合法权利，如因专利权、商标权或其它知识产权而引起法律和经济纠纷，由中标人承担所有相关责任的同时不得耽误本项目进度。</w:t>
      </w:r>
    </w:p>
    <w:p>
      <w:pPr>
        <w:adjustRightInd w:val="0"/>
        <w:snapToGrid w:val="0"/>
        <w:spacing w:line="360" w:lineRule="auto"/>
        <w:ind w:firstLine="480" w:firstLineChars="200"/>
        <w:rPr>
          <w:rFonts w:ascii="宋体" w:hAnsi="宋体" w:cs="宋体"/>
          <w:sz w:val="24"/>
          <w:lang w:bidi="en-US"/>
        </w:rPr>
      </w:pPr>
      <w:r>
        <w:rPr>
          <w:rFonts w:hint="eastAsia" w:ascii="宋体" w:hAnsi="宋体" w:cs="宋体"/>
          <w:sz w:val="24"/>
          <w:lang w:bidi="en-US"/>
        </w:rPr>
        <w:t>3）中标人保证其提供的软件及服务不含有任何旨在破坏最终用户计算机信息系统和/或获取最终用户隐私信息的恶意代码。</w:t>
      </w:r>
    </w:p>
    <w:p>
      <w:pPr>
        <w:adjustRightInd w:val="0"/>
        <w:snapToGrid w:val="0"/>
        <w:spacing w:line="360" w:lineRule="auto"/>
        <w:ind w:firstLine="480" w:firstLineChars="200"/>
        <w:rPr>
          <w:rFonts w:ascii="宋体" w:hAnsi="宋体" w:cs="宋体"/>
          <w:sz w:val="24"/>
          <w:lang w:bidi="en-US"/>
        </w:rPr>
      </w:pPr>
      <w:r>
        <w:rPr>
          <w:rFonts w:hint="eastAsia" w:ascii="宋体" w:hAnsi="宋体" w:cs="宋体"/>
          <w:sz w:val="24"/>
          <w:lang w:bidi="en-US"/>
        </w:rPr>
        <w:t>4）中标人应在项目完成时，将本项目所有文档（全部有关技术文件、资料及测试、验收报告等文档）汇集成册交付采购人。技术文档（光盘与纸质）及为本项目开发的软件系统（光盘形式，包括注释清晰明了的源代码）各两份。</w:t>
      </w:r>
    </w:p>
    <w:p>
      <w:pPr>
        <w:pStyle w:val="7"/>
        <w:keepNext w:val="0"/>
        <w:keepLines w:val="0"/>
        <w:numPr>
          <w:ilvl w:val="5"/>
          <w:numId w:val="0"/>
        </w:numPr>
        <w:tabs>
          <w:tab w:val="left" w:pos="425"/>
          <w:tab w:val="left" w:pos="560"/>
        </w:tabs>
        <w:spacing w:before="240" w:after="156"/>
        <w:ind w:firstLine="482" w:firstLineChars="200"/>
        <w:rPr>
          <w:rFonts w:ascii="Arial" w:hAnsi="Arial"/>
          <w:bCs/>
        </w:rPr>
      </w:pPr>
      <w:r>
        <w:rPr>
          <w:rFonts w:hint="eastAsia" w:ascii="Arial" w:hAnsi="Arial"/>
          <w:bCs/>
        </w:rPr>
        <w:t>3.2.6.2项目档案管理要求</w:t>
      </w:r>
    </w:p>
    <w:p>
      <w:pPr>
        <w:adjustRightInd w:val="0"/>
        <w:snapToGrid w:val="0"/>
        <w:spacing w:line="360" w:lineRule="auto"/>
        <w:ind w:firstLine="480" w:firstLineChars="200"/>
        <w:rPr>
          <w:rFonts w:ascii="宋体" w:hAnsi="宋体" w:cs="宋体"/>
          <w:sz w:val="24"/>
          <w:lang w:bidi="en-US"/>
        </w:rPr>
      </w:pPr>
      <w:r>
        <w:rPr>
          <w:rFonts w:hint="eastAsia" w:ascii="宋体" w:hAnsi="宋体" w:cs="宋体"/>
          <w:sz w:val="24"/>
          <w:lang w:bidi="en-US"/>
        </w:rPr>
        <w:t>中标人应当按照国家有关档案管理的规定，做好项目档案管理（包括电子档案），满足档案验收要求，并移交采购人。</w:t>
      </w:r>
      <w:r>
        <w:rPr>
          <w:rFonts w:ascii="宋体" w:hAnsi="宋体" w:cs="宋体"/>
          <w:sz w:val="24"/>
          <w:lang w:bidi="en-US"/>
        </w:rPr>
        <w:br w:type="page"/>
      </w:r>
    </w:p>
    <w:p/>
    <w:p>
      <w:pPr>
        <w:pStyle w:val="3"/>
        <w:rPr>
          <w:b w:val="0"/>
        </w:rPr>
      </w:pPr>
      <w:bookmarkStart w:id="403" w:name="_Toc67640152"/>
      <w:r>
        <w:rPr>
          <w:rFonts w:hint="eastAsia"/>
          <w:b w:val="0"/>
        </w:rPr>
        <w:t>第四章 合同条款</w:t>
      </w:r>
      <w:bookmarkEnd w:id="316"/>
      <w:r>
        <w:rPr>
          <w:rFonts w:hint="eastAsia"/>
          <w:b w:val="0"/>
        </w:rPr>
        <w:t>（模板）</w:t>
      </w:r>
      <w:bookmarkEnd w:id="403"/>
    </w:p>
    <w:p>
      <w:pPr>
        <w:spacing w:line="360" w:lineRule="auto"/>
        <w:jc w:val="center"/>
        <w:rPr>
          <w:rFonts w:ascii="宋体" w:hAnsi="宋体"/>
          <w:sz w:val="24"/>
        </w:rPr>
      </w:pPr>
    </w:p>
    <w:p>
      <w:pPr>
        <w:snapToGrid w:val="0"/>
        <w:spacing w:before="19" w:line="360" w:lineRule="auto"/>
        <w:rPr>
          <w:rFonts w:ascii="宋体" w:hAnsi="宋体"/>
          <w:b/>
          <w:sz w:val="24"/>
          <w:u w:val="single"/>
        </w:rPr>
      </w:pPr>
      <w:r>
        <w:rPr>
          <w:rFonts w:hint="eastAsia" w:ascii="宋体" w:hAnsi="宋体"/>
          <w:sz w:val="24"/>
        </w:rPr>
        <w:t>甲方:</w:t>
      </w:r>
      <w:r>
        <w:rPr>
          <w:rFonts w:hint="eastAsia" w:ascii="宋体" w:hAnsi="宋体"/>
          <w:b/>
          <w:bCs/>
          <w:sz w:val="24"/>
        </w:rPr>
        <w:t xml:space="preserve"> </w:t>
      </w:r>
      <w:r>
        <w:rPr>
          <w:rFonts w:hint="eastAsia" w:ascii="宋体" w:hAnsi="宋体"/>
          <w:b/>
          <w:sz w:val="24"/>
          <w:u w:val="single"/>
        </w:rPr>
        <w:t xml:space="preserve">                            </w:t>
      </w:r>
    </w:p>
    <w:p>
      <w:pPr>
        <w:snapToGrid w:val="0"/>
        <w:spacing w:before="19" w:line="360" w:lineRule="auto"/>
        <w:rPr>
          <w:rFonts w:ascii="宋体" w:hAnsi="宋体"/>
          <w:b/>
          <w:sz w:val="24"/>
          <w:u w:val="single"/>
        </w:rPr>
      </w:pPr>
      <w:r>
        <w:rPr>
          <w:rFonts w:hint="eastAsia" w:ascii="宋体" w:hAnsi="宋体"/>
          <w:sz w:val="24"/>
        </w:rPr>
        <w:t>乙方:</w:t>
      </w:r>
      <w:r>
        <w:rPr>
          <w:rFonts w:hint="eastAsia" w:ascii="宋体" w:hAnsi="宋体"/>
          <w:b/>
          <w:sz w:val="24"/>
        </w:rPr>
        <w:t xml:space="preserve">  </w:t>
      </w:r>
      <w:r>
        <w:rPr>
          <w:rFonts w:hint="eastAsia" w:ascii="宋体" w:hAnsi="宋体"/>
          <w:b/>
          <w:sz w:val="24"/>
          <w:u w:val="single"/>
        </w:rPr>
        <w:t xml:space="preserve">                           </w:t>
      </w:r>
    </w:p>
    <w:p>
      <w:pPr>
        <w:snapToGrid w:val="0"/>
        <w:spacing w:before="19" w:line="360" w:lineRule="auto"/>
        <w:rPr>
          <w:rFonts w:ascii="宋体" w:hAnsi="宋体"/>
          <w:b/>
          <w:sz w:val="24"/>
          <w:u w:val="single"/>
        </w:rPr>
      </w:pPr>
    </w:p>
    <w:p>
      <w:pPr>
        <w:snapToGrid w:val="0"/>
        <w:spacing w:line="360" w:lineRule="auto"/>
        <w:ind w:firstLine="480" w:firstLineChars="200"/>
        <w:rPr>
          <w:rFonts w:ascii="宋体" w:hAnsi="宋体"/>
          <w:b/>
          <w:sz w:val="36"/>
          <w:szCs w:val="36"/>
        </w:rPr>
      </w:pPr>
      <w:r>
        <w:rPr>
          <w:rFonts w:hint="eastAsia" w:ascii="宋体" w:hAnsi="宋体"/>
          <w:sz w:val="24"/>
        </w:rPr>
        <w:t>甲乙双方根据</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rPr>
        <w:t>（项目编号:HXY2021-037）单一来源采购结果及采购文件的要求,经协商一致,同意以下专用条款作为本项目合同条款的补充。当合同条款与专用条款不一致时，以专用条款为准。</w:t>
      </w:r>
    </w:p>
    <w:p>
      <w:pPr>
        <w:pStyle w:val="4"/>
      </w:pPr>
      <w:bookmarkStart w:id="404" w:name="_Toc10657"/>
      <w:bookmarkStart w:id="405" w:name="_Toc28270"/>
      <w:bookmarkStart w:id="406" w:name="_Toc31912214"/>
      <w:bookmarkStart w:id="407" w:name="_Toc67640153"/>
      <w:bookmarkStart w:id="408" w:name="_Toc3849"/>
      <w:bookmarkStart w:id="409" w:name="_Toc424566854"/>
      <w:bookmarkStart w:id="410" w:name="_Toc424716420"/>
      <w:bookmarkStart w:id="411" w:name="_Toc425425703"/>
      <w:bookmarkStart w:id="412" w:name="_Toc424563315"/>
      <w:bookmarkStart w:id="413" w:name="_Toc462068968"/>
      <w:bookmarkStart w:id="414" w:name="_Toc417386176"/>
      <w:r>
        <w:rPr>
          <w:rFonts w:hint="eastAsia"/>
        </w:rPr>
        <w:t>一、合同标的及金额等</w:t>
      </w:r>
      <w:bookmarkEnd w:id="404"/>
      <w:bookmarkEnd w:id="405"/>
      <w:bookmarkEnd w:id="406"/>
      <w:bookmarkEnd w:id="407"/>
    </w:p>
    <w:tbl>
      <w:tblPr>
        <w:tblStyle w:val="53"/>
        <w:tblW w:w="0" w:type="auto"/>
        <w:tblInd w:w="-150" w:type="dxa"/>
        <w:tblLayout w:type="fixed"/>
        <w:tblCellMar>
          <w:top w:w="0" w:type="dxa"/>
          <w:left w:w="30" w:type="dxa"/>
          <w:bottom w:w="0" w:type="dxa"/>
          <w:right w:w="30" w:type="dxa"/>
        </w:tblCellMar>
      </w:tblPr>
      <w:tblGrid>
        <w:gridCol w:w="720"/>
        <w:gridCol w:w="1448"/>
        <w:gridCol w:w="2332"/>
        <w:gridCol w:w="1080"/>
        <w:gridCol w:w="720"/>
        <w:gridCol w:w="900"/>
        <w:gridCol w:w="1080"/>
        <w:gridCol w:w="902"/>
      </w:tblGrid>
      <w:tr>
        <w:tblPrEx>
          <w:tblCellMar>
            <w:top w:w="0" w:type="dxa"/>
            <w:left w:w="30" w:type="dxa"/>
            <w:bottom w:w="0" w:type="dxa"/>
            <w:right w:w="30" w:type="dxa"/>
          </w:tblCellMar>
        </w:tblPrEx>
        <w:trPr>
          <w:trHeight w:val="593" w:hRule="exact"/>
        </w:trPr>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60" w:lineRule="auto"/>
              <w:jc w:val="center"/>
              <w:rPr>
                <w:rFonts w:ascii="宋体" w:hAnsi="宋体" w:cs="Arial"/>
                <w:b/>
                <w:szCs w:val="21"/>
              </w:rPr>
            </w:pPr>
            <w:r>
              <w:rPr>
                <w:rFonts w:hint="eastAsia" w:ascii="宋体" w:hAnsi="宋体" w:cs="Arial"/>
                <w:b/>
                <w:szCs w:val="21"/>
              </w:rPr>
              <w:t>序号</w:t>
            </w:r>
          </w:p>
        </w:tc>
        <w:tc>
          <w:tcPr>
            <w:tcW w:w="1448"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60" w:lineRule="auto"/>
              <w:jc w:val="center"/>
              <w:rPr>
                <w:rFonts w:ascii="宋体" w:hAnsi="宋体" w:cs="Arial"/>
                <w:b/>
                <w:szCs w:val="21"/>
              </w:rPr>
            </w:pPr>
            <w:r>
              <w:rPr>
                <w:rFonts w:hint="eastAsia" w:ascii="宋体" w:hAnsi="宋体" w:cs="Arial"/>
                <w:b/>
                <w:szCs w:val="21"/>
              </w:rPr>
              <w:t>项目名称</w:t>
            </w:r>
          </w:p>
        </w:tc>
        <w:tc>
          <w:tcPr>
            <w:tcW w:w="2332"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60" w:lineRule="auto"/>
              <w:jc w:val="center"/>
              <w:rPr>
                <w:rFonts w:ascii="宋体" w:hAnsi="宋体" w:cs="Arial"/>
                <w:b/>
                <w:szCs w:val="21"/>
              </w:rPr>
            </w:pPr>
            <w:r>
              <w:rPr>
                <w:rFonts w:hint="eastAsia" w:ascii="宋体" w:hAnsi="宋体" w:cs="Arial"/>
                <w:b/>
                <w:szCs w:val="21"/>
              </w:rPr>
              <w:t>项目内容</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60" w:lineRule="auto"/>
              <w:jc w:val="center"/>
              <w:rPr>
                <w:rFonts w:ascii="宋体" w:hAnsi="宋体" w:cs="Arial"/>
                <w:b/>
                <w:szCs w:val="21"/>
              </w:rPr>
            </w:pPr>
            <w:r>
              <w:rPr>
                <w:rFonts w:hint="eastAsia" w:ascii="宋体" w:hAnsi="宋体" w:cs="Arial"/>
                <w:b/>
                <w:szCs w:val="21"/>
              </w:rPr>
              <w:t>单价（元）</w:t>
            </w:r>
          </w:p>
        </w:tc>
        <w:tc>
          <w:tcPr>
            <w:tcW w:w="720" w:type="dxa"/>
            <w:tcBorders>
              <w:top w:val="single" w:color="auto" w:sz="8" w:space="0"/>
              <w:left w:val="single" w:color="auto" w:sz="8" w:space="0"/>
              <w:bottom w:val="single" w:color="auto" w:sz="8" w:space="0"/>
              <w:right w:val="single" w:color="auto" w:sz="4" w:space="0"/>
            </w:tcBorders>
          </w:tcPr>
          <w:p>
            <w:pPr>
              <w:autoSpaceDE w:val="0"/>
              <w:autoSpaceDN w:val="0"/>
              <w:adjustRightInd w:val="0"/>
              <w:spacing w:line="360" w:lineRule="auto"/>
              <w:jc w:val="center"/>
              <w:rPr>
                <w:rFonts w:ascii="宋体" w:hAnsi="宋体" w:cs="Arial"/>
                <w:b/>
                <w:szCs w:val="21"/>
              </w:rPr>
            </w:pPr>
            <w:r>
              <w:rPr>
                <w:rFonts w:hint="eastAsia" w:ascii="宋体" w:hAnsi="宋体" w:cs="Arial"/>
                <w:b/>
                <w:szCs w:val="21"/>
              </w:rPr>
              <w:t>数量</w:t>
            </w:r>
          </w:p>
        </w:tc>
        <w:tc>
          <w:tcPr>
            <w:tcW w:w="900" w:type="dxa"/>
            <w:tcBorders>
              <w:top w:val="single" w:color="auto" w:sz="8" w:space="0"/>
              <w:left w:val="single" w:color="auto" w:sz="4" w:space="0"/>
              <w:bottom w:val="single" w:color="auto" w:sz="8" w:space="0"/>
              <w:right w:val="single" w:color="auto" w:sz="8" w:space="0"/>
            </w:tcBorders>
          </w:tcPr>
          <w:p>
            <w:pPr>
              <w:autoSpaceDE w:val="0"/>
              <w:autoSpaceDN w:val="0"/>
              <w:adjustRightInd w:val="0"/>
              <w:spacing w:line="360" w:lineRule="auto"/>
              <w:jc w:val="center"/>
              <w:rPr>
                <w:rFonts w:ascii="宋体" w:hAnsi="宋体" w:cs="Arial"/>
                <w:b/>
                <w:szCs w:val="21"/>
              </w:rPr>
            </w:pPr>
            <w:r>
              <w:rPr>
                <w:rFonts w:hint="eastAsia" w:ascii="宋体" w:hAnsi="宋体" w:cs="Arial"/>
                <w:b/>
                <w:szCs w:val="21"/>
              </w:rPr>
              <w:t>单位</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60" w:lineRule="auto"/>
              <w:jc w:val="center"/>
              <w:rPr>
                <w:rFonts w:ascii="宋体" w:hAnsi="宋体" w:cs="Arial"/>
                <w:b/>
                <w:szCs w:val="21"/>
              </w:rPr>
            </w:pPr>
            <w:r>
              <w:rPr>
                <w:rFonts w:hint="eastAsia" w:ascii="宋体" w:hAnsi="宋体" w:cs="Arial"/>
                <w:b/>
                <w:szCs w:val="21"/>
              </w:rPr>
              <w:t>合计（元）</w:t>
            </w: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60" w:lineRule="auto"/>
              <w:jc w:val="center"/>
              <w:rPr>
                <w:rFonts w:ascii="宋体" w:hAnsi="宋体" w:cs="Arial"/>
                <w:b/>
                <w:szCs w:val="21"/>
              </w:rPr>
            </w:pPr>
            <w:r>
              <w:rPr>
                <w:rFonts w:hint="eastAsia" w:ascii="宋体" w:hAnsi="宋体" w:cs="Arial"/>
                <w:b/>
                <w:szCs w:val="21"/>
              </w:rPr>
              <w:t>备注</w:t>
            </w:r>
          </w:p>
        </w:tc>
      </w:tr>
      <w:tr>
        <w:tblPrEx>
          <w:tblCellMar>
            <w:top w:w="0" w:type="dxa"/>
            <w:left w:w="30" w:type="dxa"/>
            <w:bottom w:w="0" w:type="dxa"/>
            <w:right w:w="30" w:type="dxa"/>
          </w:tblCellMar>
        </w:tblPrEx>
        <w:trPr>
          <w:trHeight w:val="770"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jc w:val="center"/>
              <w:rPr>
                <w:rFonts w:ascii="宋体" w:hAnsi="宋体" w:cs="Arial"/>
                <w:szCs w:val="21"/>
              </w:rPr>
            </w:pPr>
            <w:r>
              <w:rPr>
                <w:rFonts w:hint="eastAsia" w:ascii="宋体" w:hAnsi="宋体" w:cs="Arial"/>
                <w:szCs w:val="21"/>
              </w:rPr>
              <w:t>1</w:t>
            </w:r>
          </w:p>
        </w:tc>
        <w:tc>
          <w:tcPr>
            <w:tcW w:w="1448" w:type="dxa"/>
            <w:tcBorders>
              <w:top w:val="single" w:color="auto" w:sz="8" w:space="0"/>
              <w:left w:val="single" w:color="auto" w:sz="8" w:space="0"/>
              <w:bottom w:val="single" w:color="auto" w:sz="8" w:space="0"/>
              <w:right w:val="single" w:color="auto" w:sz="8" w:space="0"/>
            </w:tcBorders>
            <w:vAlign w:val="bottom"/>
          </w:tcPr>
          <w:p>
            <w:pPr>
              <w:spacing w:line="360" w:lineRule="auto"/>
              <w:rPr>
                <w:rFonts w:ascii="宋体" w:hAnsi="宋体" w:cs="宋体"/>
                <w:szCs w:val="21"/>
              </w:rPr>
            </w:pPr>
            <w:r>
              <w:rPr>
                <w:rFonts w:hint="eastAsia" w:ascii="宋体" w:hAnsi="宋体"/>
                <w:szCs w:val="21"/>
              </w:rPr>
              <w:t xml:space="preserve"> </w:t>
            </w:r>
          </w:p>
          <w:p>
            <w:pPr>
              <w:spacing w:line="360" w:lineRule="auto"/>
              <w:jc w:val="center"/>
              <w:rPr>
                <w:rFonts w:ascii="宋体" w:hAnsi="宋体" w:cs="Arial"/>
                <w:szCs w:val="21"/>
              </w:rPr>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480" w:firstLine="315" w:firstLineChars="150"/>
              <w:jc w:val="center"/>
              <w:rPr>
                <w:rFonts w:ascii="宋体" w:hAnsi="宋体" w:cs="Arial"/>
                <w:szCs w:val="21"/>
              </w:rPr>
            </w:pPr>
            <w:r>
              <w:rPr>
                <w:rFonts w:hint="eastAsia" w:ascii="宋体" w:hAnsi="宋体" w:cs="Arial"/>
                <w:szCs w:val="21"/>
              </w:rPr>
              <w:t xml:space="preserve"> </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60" w:lineRule="auto"/>
              <w:jc w:val="center"/>
              <w:rPr>
                <w:rFonts w:ascii="宋体" w:hAnsi="宋体" w:cs="Arial"/>
                <w:szCs w:val="21"/>
              </w:rPr>
            </w:pPr>
            <w:r>
              <w:rPr>
                <w:rFonts w:hint="eastAsia" w:ascii="宋体" w:hAnsi="宋体" w:cs="Arial"/>
                <w:szCs w:val="21"/>
              </w:rPr>
              <w:t xml:space="preserve"> </w:t>
            </w:r>
          </w:p>
        </w:tc>
        <w:tc>
          <w:tcPr>
            <w:tcW w:w="720" w:type="dxa"/>
            <w:tcBorders>
              <w:top w:val="single" w:color="auto" w:sz="8" w:space="0"/>
              <w:left w:val="single" w:color="auto" w:sz="8" w:space="0"/>
              <w:bottom w:val="single" w:color="auto" w:sz="8" w:space="0"/>
              <w:right w:val="single" w:color="auto" w:sz="4" w:space="0"/>
            </w:tcBorders>
          </w:tcPr>
          <w:p>
            <w:pPr>
              <w:autoSpaceDE w:val="0"/>
              <w:autoSpaceDN w:val="0"/>
              <w:adjustRightInd w:val="0"/>
              <w:spacing w:line="360" w:lineRule="auto"/>
              <w:jc w:val="center"/>
              <w:rPr>
                <w:rFonts w:ascii="宋体" w:hAnsi="宋体" w:cs="Arial"/>
                <w:szCs w:val="21"/>
              </w:rPr>
            </w:pPr>
            <w:r>
              <w:rPr>
                <w:rFonts w:hint="eastAsia" w:ascii="宋体" w:hAnsi="宋体" w:cs="Arial"/>
                <w:szCs w:val="21"/>
              </w:rPr>
              <w:t xml:space="preserve"> </w:t>
            </w:r>
          </w:p>
        </w:tc>
        <w:tc>
          <w:tcPr>
            <w:tcW w:w="900" w:type="dxa"/>
            <w:tcBorders>
              <w:top w:val="single" w:color="auto" w:sz="8" w:space="0"/>
              <w:left w:val="single" w:color="auto" w:sz="4" w:space="0"/>
              <w:bottom w:val="single" w:color="auto" w:sz="8" w:space="0"/>
              <w:right w:val="single" w:color="auto" w:sz="8" w:space="0"/>
            </w:tcBorders>
          </w:tcPr>
          <w:p>
            <w:pPr>
              <w:autoSpaceDE w:val="0"/>
              <w:autoSpaceDN w:val="0"/>
              <w:adjustRightInd w:val="0"/>
              <w:spacing w:line="360" w:lineRule="auto"/>
              <w:jc w:val="center"/>
              <w:rPr>
                <w:rFonts w:ascii="宋体"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spacing w:line="360" w:lineRule="auto"/>
              <w:jc w:val="center"/>
              <w:rPr>
                <w:rFonts w:ascii="宋体" w:hAnsi="宋体" w:cs="Arial"/>
                <w:szCs w:val="21"/>
              </w:rPr>
            </w:pPr>
            <w:r>
              <w:rPr>
                <w:rFonts w:hint="eastAsia" w:ascii="宋体" w:hAnsi="宋体" w:cs="Arial"/>
                <w:szCs w:val="21"/>
              </w:rPr>
              <w:t xml:space="preserve"> </w:t>
            </w:r>
          </w:p>
        </w:tc>
        <w:tc>
          <w:tcPr>
            <w:tcW w:w="902"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Arial"/>
                <w:szCs w:val="21"/>
              </w:rPr>
            </w:pPr>
          </w:p>
        </w:tc>
      </w:tr>
      <w:tr>
        <w:tblPrEx>
          <w:tblCellMar>
            <w:top w:w="0" w:type="dxa"/>
            <w:left w:w="30" w:type="dxa"/>
            <w:bottom w:w="0" w:type="dxa"/>
            <w:right w:w="30" w:type="dxa"/>
          </w:tblCellMar>
        </w:tblPrEx>
        <w:trPr>
          <w:trHeight w:val="734"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jc w:val="center"/>
              <w:rPr>
                <w:rFonts w:ascii="宋体" w:hAnsi="宋体" w:cs="Arial"/>
                <w:szCs w:val="21"/>
              </w:rPr>
            </w:pPr>
            <w:r>
              <w:rPr>
                <w:rFonts w:hint="eastAsia" w:ascii="宋体" w:hAnsi="宋体" w:cs="Arial"/>
                <w:szCs w:val="21"/>
              </w:rPr>
              <w:t>2</w:t>
            </w:r>
          </w:p>
        </w:tc>
        <w:tc>
          <w:tcPr>
            <w:tcW w:w="1448" w:type="dxa"/>
            <w:tcBorders>
              <w:top w:val="single" w:color="auto" w:sz="8" w:space="0"/>
              <w:left w:val="single" w:color="auto" w:sz="8" w:space="0"/>
              <w:bottom w:val="single" w:color="auto" w:sz="8" w:space="0"/>
              <w:right w:val="single" w:color="auto" w:sz="8" w:space="0"/>
            </w:tcBorders>
            <w:vAlign w:val="bottom"/>
          </w:tcPr>
          <w:p>
            <w:pPr>
              <w:spacing w:line="360" w:lineRule="auto"/>
              <w:rPr>
                <w:rFonts w:ascii="宋体" w:hAnsi="宋体" w:cs="宋体"/>
                <w:szCs w:val="21"/>
              </w:rPr>
            </w:pPr>
            <w:r>
              <w:rPr>
                <w:rFonts w:hint="eastAsia" w:ascii="宋体" w:hAnsi="宋体"/>
                <w:szCs w:val="21"/>
              </w:rPr>
              <w:t xml:space="preserve"> </w:t>
            </w:r>
          </w:p>
          <w:p>
            <w:pPr>
              <w:spacing w:line="360" w:lineRule="auto"/>
              <w:jc w:val="center"/>
              <w:rPr>
                <w:rFonts w:ascii="宋体" w:hAnsi="宋体" w:cs="Arial"/>
                <w:szCs w:val="21"/>
              </w:rPr>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480" w:firstLine="315" w:firstLineChars="150"/>
              <w:jc w:val="center"/>
              <w:rPr>
                <w:rFonts w:ascii="宋体" w:hAnsi="宋体" w:cs="Arial"/>
                <w:szCs w:val="21"/>
              </w:rPr>
            </w:pPr>
            <w:r>
              <w:rPr>
                <w:rFonts w:hint="eastAsia" w:ascii="宋体" w:hAnsi="宋体" w:cs="Arial"/>
                <w:szCs w:val="21"/>
              </w:rPr>
              <w:t xml:space="preserve"> </w:t>
            </w: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60" w:lineRule="auto"/>
              <w:jc w:val="center"/>
              <w:rPr>
                <w:rFonts w:ascii="宋体" w:hAnsi="宋体" w:cs="Arial"/>
                <w:szCs w:val="21"/>
              </w:rPr>
            </w:pPr>
            <w:r>
              <w:rPr>
                <w:rFonts w:hint="eastAsia" w:ascii="宋体" w:hAnsi="宋体" w:cs="Arial"/>
                <w:szCs w:val="21"/>
              </w:rPr>
              <w:t xml:space="preserve"> </w:t>
            </w:r>
          </w:p>
        </w:tc>
        <w:tc>
          <w:tcPr>
            <w:tcW w:w="720" w:type="dxa"/>
            <w:tcBorders>
              <w:top w:val="single" w:color="auto" w:sz="8" w:space="0"/>
              <w:left w:val="single" w:color="auto" w:sz="8" w:space="0"/>
              <w:bottom w:val="single" w:color="auto" w:sz="8" w:space="0"/>
              <w:right w:val="single" w:color="auto" w:sz="4" w:space="0"/>
            </w:tcBorders>
          </w:tcPr>
          <w:p>
            <w:pPr>
              <w:autoSpaceDE w:val="0"/>
              <w:autoSpaceDN w:val="0"/>
              <w:adjustRightInd w:val="0"/>
              <w:spacing w:line="360" w:lineRule="auto"/>
              <w:jc w:val="center"/>
              <w:rPr>
                <w:rFonts w:ascii="宋体" w:hAnsi="宋体" w:cs="Arial"/>
                <w:szCs w:val="21"/>
              </w:rPr>
            </w:pPr>
            <w:r>
              <w:rPr>
                <w:rFonts w:hint="eastAsia" w:ascii="宋体" w:hAnsi="宋体" w:cs="Arial"/>
                <w:szCs w:val="21"/>
              </w:rPr>
              <w:t xml:space="preserve"> </w:t>
            </w:r>
          </w:p>
        </w:tc>
        <w:tc>
          <w:tcPr>
            <w:tcW w:w="900" w:type="dxa"/>
            <w:tcBorders>
              <w:top w:val="single" w:color="auto" w:sz="8" w:space="0"/>
              <w:left w:val="single" w:color="auto" w:sz="4" w:space="0"/>
              <w:bottom w:val="single" w:color="auto" w:sz="8" w:space="0"/>
              <w:right w:val="single" w:color="auto" w:sz="8" w:space="0"/>
            </w:tcBorders>
          </w:tcPr>
          <w:p>
            <w:pPr>
              <w:autoSpaceDE w:val="0"/>
              <w:autoSpaceDN w:val="0"/>
              <w:adjustRightInd w:val="0"/>
              <w:spacing w:line="360" w:lineRule="auto"/>
              <w:jc w:val="center"/>
              <w:rPr>
                <w:rFonts w:ascii="宋体"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spacing w:line="360" w:lineRule="auto"/>
              <w:jc w:val="center"/>
              <w:rPr>
                <w:rFonts w:ascii="宋体" w:hAnsi="宋体" w:cs="Arial"/>
                <w:szCs w:val="21"/>
              </w:rPr>
            </w:pPr>
            <w:r>
              <w:rPr>
                <w:rFonts w:hint="eastAsia" w:ascii="宋体" w:hAnsi="宋体" w:cs="Arial"/>
                <w:szCs w:val="21"/>
              </w:rPr>
              <w:t xml:space="preserve"> </w:t>
            </w:r>
          </w:p>
        </w:tc>
        <w:tc>
          <w:tcPr>
            <w:tcW w:w="902"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Arial"/>
                <w:szCs w:val="21"/>
              </w:rPr>
            </w:pPr>
          </w:p>
        </w:tc>
      </w:tr>
      <w:tr>
        <w:tblPrEx>
          <w:tblCellMar>
            <w:top w:w="0" w:type="dxa"/>
            <w:left w:w="30" w:type="dxa"/>
            <w:bottom w:w="0" w:type="dxa"/>
            <w:right w:w="30" w:type="dxa"/>
          </w:tblCellMar>
        </w:tblPrEx>
        <w:trPr>
          <w:trHeight w:val="734" w:hRule="exact"/>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jc w:val="center"/>
              <w:rPr>
                <w:rFonts w:ascii="宋体" w:hAnsi="宋体" w:cs="Arial"/>
                <w:szCs w:val="21"/>
              </w:rPr>
            </w:pPr>
          </w:p>
        </w:tc>
        <w:tc>
          <w:tcPr>
            <w:tcW w:w="1448" w:type="dxa"/>
            <w:tcBorders>
              <w:top w:val="single" w:color="auto" w:sz="8" w:space="0"/>
              <w:left w:val="single" w:color="auto" w:sz="8" w:space="0"/>
              <w:bottom w:val="single" w:color="auto" w:sz="8" w:space="0"/>
              <w:right w:val="single" w:color="auto" w:sz="8" w:space="0"/>
            </w:tcBorders>
            <w:vAlign w:val="bottom"/>
          </w:tcPr>
          <w:p>
            <w:pPr>
              <w:spacing w:line="360" w:lineRule="auto"/>
              <w:rPr>
                <w:rFonts w:ascii="宋体" w:hAnsi="宋体"/>
                <w:szCs w:val="21"/>
              </w:rPr>
            </w:pPr>
          </w:p>
        </w:tc>
        <w:tc>
          <w:tcPr>
            <w:tcW w:w="233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ind w:right="480" w:firstLine="315" w:firstLineChars="150"/>
              <w:jc w:val="center"/>
              <w:rPr>
                <w:rFonts w:ascii="宋体"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360" w:lineRule="auto"/>
              <w:jc w:val="center"/>
              <w:rPr>
                <w:rFonts w:ascii="宋体" w:hAnsi="宋体" w:cs="Arial"/>
                <w:szCs w:val="21"/>
              </w:rPr>
            </w:pPr>
          </w:p>
        </w:tc>
        <w:tc>
          <w:tcPr>
            <w:tcW w:w="720" w:type="dxa"/>
            <w:tcBorders>
              <w:top w:val="single" w:color="auto" w:sz="8" w:space="0"/>
              <w:left w:val="single" w:color="auto" w:sz="8" w:space="0"/>
              <w:bottom w:val="single" w:color="auto" w:sz="8" w:space="0"/>
              <w:right w:val="single" w:color="auto" w:sz="4" w:space="0"/>
            </w:tcBorders>
          </w:tcPr>
          <w:p>
            <w:pPr>
              <w:autoSpaceDE w:val="0"/>
              <w:autoSpaceDN w:val="0"/>
              <w:adjustRightInd w:val="0"/>
              <w:spacing w:line="360" w:lineRule="auto"/>
              <w:jc w:val="center"/>
              <w:rPr>
                <w:rFonts w:ascii="宋体" w:hAnsi="宋体" w:cs="Arial"/>
                <w:szCs w:val="21"/>
              </w:rPr>
            </w:pPr>
          </w:p>
        </w:tc>
        <w:tc>
          <w:tcPr>
            <w:tcW w:w="900" w:type="dxa"/>
            <w:tcBorders>
              <w:top w:val="single" w:color="auto" w:sz="8" w:space="0"/>
              <w:left w:val="single" w:color="auto" w:sz="4" w:space="0"/>
              <w:bottom w:val="single" w:color="auto" w:sz="8" w:space="0"/>
              <w:right w:val="single" w:color="auto" w:sz="8" w:space="0"/>
            </w:tcBorders>
          </w:tcPr>
          <w:p>
            <w:pPr>
              <w:autoSpaceDE w:val="0"/>
              <w:autoSpaceDN w:val="0"/>
              <w:adjustRightInd w:val="0"/>
              <w:spacing w:line="360" w:lineRule="auto"/>
              <w:jc w:val="center"/>
              <w:rPr>
                <w:rFonts w:ascii="宋体" w:hAnsi="宋体" w:cs="Arial"/>
                <w:szCs w:val="21"/>
              </w:rPr>
            </w:pPr>
          </w:p>
        </w:tc>
        <w:tc>
          <w:tcPr>
            <w:tcW w:w="1080" w:type="dxa"/>
            <w:tcBorders>
              <w:top w:val="single" w:color="auto" w:sz="8" w:space="0"/>
              <w:left w:val="single" w:color="auto" w:sz="8" w:space="0"/>
              <w:bottom w:val="single" w:color="auto" w:sz="8" w:space="0"/>
              <w:right w:val="single" w:color="auto" w:sz="8" w:space="0"/>
            </w:tcBorders>
          </w:tcPr>
          <w:p>
            <w:pPr>
              <w:spacing w:line="360" w:lineRule="auto"/>
              <w:jc w:val="center"/>
              <w:rPr>
                <w:rFonts w:ascii="宋体" w:hAnsi="宋体" w:cs="Arial"/>
                <w:szCs w:val="21"/>
              </w:rPr>
            </w:pPr>
          </w:p>
        </w:tc>
        <w:tc>
          <w:tcPr>
            <w:tcW w:w="902"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Arial"/>
                <w:szCs w:val="21"/>
              </w:rPr>
            </w:pPr>
          </w:p>
        </w:tc>
      </w:tr>
      <w:tr>
        <w:tblPrEx>
          <w:tblCellMar>
            <w:top w:w="0" w:type="dxa"/>
            <w:left w:w="30" w:type="dxa"/>
            <w:bottom w:w="0" w:type="dxa"/>
            <w:right w:w="30" w:type="dxa"/>
          </w:tblCellMar>
        </w:tblPrEx>
        <w:trPr>
          <w:trHeight w:val="579" w:hRule="exact"/>
        </w:trPr>
        <w:tc>
          <w:tcPr>
            <w:tcW w:w="2168"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jc w:val="center"/>
              <w:rPr>
                <w:rFonts w:ascii="宋体" w:hAnsi="宋体" w:cs="Arial"/>
                <w:szCs w:val="21"/>
              </w:rPr>
            </w:pPr>
            <w:r>
              <w:rPr>
                <w:rFonts w:hint="eastAsia" w:ascii="宋体" w:hAnsi="宋体" w:cs="Arial"/>
                <w:b/>
                <w:szCs w:val="21"/>
              </w:rPr>
              <w:t>合同总额</w:t>
            </w:r>
          </w:p>
        </w:tc>
        <w:tc>
          <w:tcPr>
            <w:tcW w:w="7014" w:type="dxa"/>
            <w:gridSpan w:val="6"/>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Arial"/>
                <w:szCs w:val="21"/>
              </w:rPr>
            </w:pPr>
            <w:r>
              <w:rPr>
                <w:rFonts w:hint="eastAsia" w:ascii="宋体" w:hAnsi="宋体" w:cs="Arial"/>
                <w:szCs w:val="21"/>
              </w:rPr>
              <w:t>（小写）：</w:t>
            </w:r>
            <w:r>
              <w:rPr>
                <w:rFonts w:ascii="宋体" w:hAnsi="宋体" w:cs="Arial"/>
                <w:szCs w:val="21"/>
              </w:rPr>
              <w:t>¥</w:t>
            </w:r>
            <w:r>
              <w:rPr>
                <w:rFonts w:hint="eastAsia" w:ascii="宋体" w:hAnsi="宋体" w:cs="Arial"/>
                <w:szCs w:val="21"/>
              </w:rPr>
              <w:t xml:space="preserve">      元</w:t>
            </w:r>
          </w:p>
        </w:tc>
      </w:tr>
      <w:tr>
        <w:tblPrEx>
          <w:tblCellMar>
            <w:top w:w="0" w:type="dxa"/>
            <w:left w:w="30" w:type="dxa"/>
            <w:bottom w:w="0" w:type="dxa"/>
            <w:right w:w="30" w:type="dxa"/>
          </w:tblCellMar>
        </w:tblPrEx>
        <w:trPr>
          <w:trHeight w:val="579" w:hRule="atLeast"/>
        </w:trPr>
        <w:tc>
          <w:tcPr>
            <w:tcW w:w="2168" w:type="dxa"/>
            <w:gridSpan w:val="2"/>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Arial"/>
                <w:szCs w:val="21"/>
              </w:rPr>
            </w:pPr>
          </w:p>
        </w:tc>
        <w:tc>
          <w:tcPr>
            <w:tcW w:w="7014" w:type="dxa"/>
            <w:gridSpan w:val="6"/>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Arial"/>
                <w:szCs w:val="21"/>
              </w:rPr>
            </w:pPr>
            <w:r>
              <w:rPr>
                <w:rFonts w:hint="eastAsia" w:ascii="宋体" w:hAnsi="宋体" w:cs="Arial"/>
                <w:szCs w:val="21"/>
              </w:rPr>
              <w:t>（大写</w:t>
            </w:r>
            <w:r>
              <w:rPr>
                <w:rFonts w:ascii="宋体" w:hAnsi="宋体" w:cs="Arial"/>
                <w:szCs w:val="21"/>
              </w:rPr>
              <w:t>）</w:t>
            </w:r>
            <w:r>
              <w:rPr>
                <w:rFonts w:hint="eastAsia" w:ascii="宋体" w:hAnsi="宋体" w:cs="Arial"/>
                <w:szCs w:val="21"/>
              </w:rPr>
              <w:t>:               元整</w:t>
            </w:r>
          </w:p>
        </w:tc>
      </w:tr>
    </w:tbl>
    <w:p>
      <w:pPr>
        <w:snapToGrid w:val="0"/>
        <w:spacing w:before="19" w:line="360" w:lineRule="auto"/>
        <w:rPr>
          <w:rFonts w:ascii="宋体" w:hAnsi="宋体"/>
          <w:b/>
          <w:sz w:val="28"/>
          <w:szCs w:val="28"/>
        </w:rPr>
      </w:pPr>
      <w:r>
        <w:rPr>
          <w:rFonts w:hint="eastAsia" w:ascii="宋体" w:hAnsi="宋体"/>
          <w:b/>
          <w:sz w:val="28"/>
          <w:szCs w:val="28"/>
        </w:rPr>
        <w:t>工期：</w:t>
      </w:r>
    </w:p>
    <w:p>
      <w:pPr>
        <w:pStyle w:val="4"/>
      </w:pPr>
      <w:bookmarkStart w:id="415" w:name="_Toc6416"/>
      <w:bookmarkStart w:id="416" w:name="_Toc31912215"/>
      <w:bookmarkStart w:id="417" w:name="_Toc6155"/>
      <w:bookmarkStart w:id="418" w:name="_Toc67640154"/>
      <w:bookmarkStart w:id="419" w:name="_Hlk31912873"/>
      <w:r>
        <w:rPr>
          <w:rFonts w:hint="eastAsia"/>
        </w:rPr>
        <w:t>二、项目目标和</w:t>
      </w:r>
      <w:r>
        <w:t>建设内容</w:t>
      </w:r>
      <w:bookmarkEnd w:id="415"/>
      <w:bookmarkEnd w:id="416"/>
      <w:bookmarkEnd w:id="417"/>
      <w:bookmarkEnd w:id="418"/>
    </w:p>
    <w:p>
      <w:pPr>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项目目标</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建设内容</w:t>
      </w:r>
    </w:p>
    <w:p>
      <w:pPr>
        <w:pStyle w:val="4"/>
      </w:pPr>
      <w:bookmarkStart w:id="420" w:name="_Toc2909"/>
      <w:bookmarkStart w:id="421" w:name="_Toc29238"/>
      <w:bookmarkStart w:id="422" w:name="_Toc31912216"/>
      <w:bookmarkStart w:id="423" w:name="_Toc67640155"/>
      <w:r>
        <w:rPr>
          <w:rFonts w:hint="eastAsia"/>
        </w:rPr>
        <w:t>三、项目实施计划</w:t>
      </w:r>
      <w:bookmarkEnd w:id="420"/>
      <w:bookmarkEnd w:id="421"/>
      <w:bookmarkEnd w:id="422"/>
      <w:bookmarkEnd w:id="423"/>
    </w:p>
    <w:p>
      <w:pPr>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项目</w:t>
      </w:r>
      <w:r>
        <w:rPr>
          <w:rFonts w:ascii="宋体" w:hAnsi="宋体"/>
          <w:sz w:val="24"/>
        </w:rPr>
        <w:t>周期</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项目进度</w:t>
      </w:r>
    </w:p>
    <w:p>
      <w:pPr>
        <w:snapToGrid w:val="0"/>
        <w:spacing w:line="360" w:lineRule="auto"/>
        <w:ind w:firstLine="480" w:firstLineChars="200"/>
        <w:rPr>
          <w:rFonts w:ascii="宋体" w:hAnsi="宋体"/>
          <w:sz w:val="24"/>
        </w:rPr>
      </w:pPr>
      <w:r>
        <w:rPr>
          <w:rFonts w:hint="eastAsia" w:ascii="宋体" w:hAnsi="宋体"/>
          <w:sz w:val="24"/>
        </w:rPr>
        <w:t>3.</w:t>
      </w:r>
      <w:r>
        <w:rPr>
          <w:rFonts w:ascii="宋体" w:hAnsi="宋体"/>
          <w:sz w:val="24"/>
        </w:rPr>
        <w:t xml:space="preserve"> 服务地点：</w:t>
      </w:r>
      <w:r>
        <w:rPr>
          <w:rFonts w:hint="eastAsia" w:ascii="宋体" w:hAnsi="宋体"/>
          <w:sz w:val="24"/>
        </w:rPr>
        <w:t>本合同履行地点</w:t>
      </w:r>
      <w:r>
        <w:rPr>
          <w:rFonts w:ascii="宋体" w:hAnsi="宋体"/>
          <w:sz w:val="24"/>
        </w:rPr>
        <w:t>为</w:t>
      </w:r>
      <w:r>
        <w:rPr>
          <w:rFonts w:hint="eastAsia" w:ascii="宋体" w:hAnsi="宋体"/>
          <w:sz w:val="24"/>
        </w:rPr>
        <w:t>海南省内</w:t>
      </w:r>
      <w:r>
        <w:rPr>
          <w:rFonts w:ascii="宋体" w:hAnsi="宋体"/>
          <w:sz w:val="24"/>
        </w:rPr>
        <w:t>甲方指定地点。</w:t>
      </w:r>
    </w:p>
    <w:bookmarkEnd w:id="408"/>
    <w:bookmarkEnd w:id="419"/>
    <w:p>
      <w:pPr>
        <w:pStyle w:val="4"/>
      </w:pPr>
      <w:bookmarkStart w:id="424" w:name="_Toc4363"/>
      <w:bookmarkStart w:id="425" w:name="_Toc17301"/>
      <w:bookmarkStart w:id="426" w:name="_Toc67640156"/>
      <w:r>
        <w:rPr>
          <w:rFonts w:hint="eastAsia"/>
        </w:rPr>
        <w:t>四、</w:t>
      </w:r>
      <w:bookmarkEnd w:id="424"/>
      <w:r>
        <w:rPr>
          <w:rFonts w:hint="eastAsia"/>
        </w:rPr>
        <w:t>费用及付款方式</w:t>
      </w:r>
      <w:bookmarkEnd w:id="425"/>
      <w:bookmarkEnd w:id="426"/>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服务报价</w:t>
      </w:r>
    </w:p>
    <w:p>
      <w:pPr>
        <w:pStyle w:val="2"/>
        <w:ind w:left="0" w:firstLine="480" w:firstLineChars="200"/>
        <w:rPr>
          <w:rFonts w:ascii="宋体" w:hAnsi="宋体"/>
          <w:szCs w:val="24"/>
        </w:rPr>
      </w:pPr>
      <w:r>
        <w:rPr>
          <w:rFonts w:hint="eastAsia" w:ascii="宋体" w:hAnsi="宋体"/>
          <w:szCs w:val="24"/>
        </w:rPr>
        <w:t>2.</w:t>
      </w:r>
      <w:r>
        <w:rPr>
          <w:rFonts w:ascii="宋体" w:hAnsi="宋体"/>
          <w:szCs w:val="24"/>
        </w:rPr>
        <w:t xml:space="preserve"> </w:t>
      </w:r>
      <w:r>
        <w:rPr>
          <w:rFonts w:hint="eastAsia" w:ascii="宋体" w:hAnsi="宋体"/>
          <w:szCs w:val="24"/>
        </w:rPr>
        <w:t>付款方式</w:t>
      </w:r>
    </w:p>
    <w:p>
      <w:pPr>
        <w:pStyle w:val="4"/>
      </w:pPr>
      <w:bookmarkStart w:id="427" w:name="_Toc22711"/>
      <w:bookmarkStart w:id="428" w:name="_Toc20870"/>
      <w:bookmarkStart w:id="429" w:name="_Toc67640157"/>
      <w:r>
        <w:rPr>
          <w:rFonts w:hint="eastAsia"/>
        </w:rPr>
        <w:t>五、</w:t>
      </w:r>
      <w:bookmarkEnd w:id="427"/>
      <w:r>
        <w:rPr>
          <w:rFonts w:hint="eastAsia"/>
        </w:rPr>
        <w:t>质保期</w:t>
      </w:r>
      <w:bookmarkEnd w:id="428"/>
      <w:bookmarkEnd w:id="429"/>
    </w:p>
    <w:p>
      <w:pPr>
        <w:spacing w:line="360" w:lineRule="auto"/>
        <w:ind w:firstLine="480" w:firstLineChars="200"/>
        <w:rPr>
          <w:rFonts w:ascii="宋体" w:hAnsi="宋体"/>
          <w:sz w:val="24"/>
        </w:rPr>
      </w:pPr>
      <w:r>
        <w:rPr>
          <w:rFonts w:hint="eastAsia" w:ascii="宋体" w:hAnsi="宋体"/>
          <w:sz w:val="24"/>
        </w:rPr>
        <w:t>自项目终验通过之日起，乙方提供2年免费</w:t>
      </w:r>
      <w:r>
        <w:rPr>
          <w:rFonts w:ascii="宋体" w:hAnsi="宋体"/>
          <w:sz w:val="24"/>
        </w:rPr>
        <w:t>项目维护服务，包括系统维护、功能修订、性能优化、故障检测</w:t>
      </w:r>
      <w:r>
        <w:rPr>
          <w:rFonts w:hint="eastAsia" w:ascii="宋体" w:hAnsi="宋体"/>
          <w:sz w:val="24"/>
        </w:rPr>
        <w:t>、基础库维护</w:t>
      </w:r>
      <w:r>
        <w:rPr>
          <w:rFonts w:ascii="宋体" w:hAnsi="宋体"/>
          <w:sz w:val="24"/>
        </w:rPr>
        <w:t>等</w:t>
      </w:r>
      <w:r>
        <w:rPr>
          <w:rFonts w:hint="eastAsia" w:ascii="宋体" w:hAnsi="宋体"/>
          <w:sz w:val="24"/>
        </w:rPr>
        <w:t>。质保期后，甲方</w:t>
      </w:r>
      <w:r>
        <w:rPr>
          <w:rFonts w:ascii="宋体" w:hAnsi="宋体"/>
          <w:sz w:val="24"/>
        </w:rPr>
        <w:t>可继续委托乙方作为</w:t>
      </w:r>
      <w:r>
        <w:rPr>
          <w:rFonts w:hint="eastAsia" w:ascii="宋体" w:hAnsi="宋体"/>
          <w:sz w:val="24"/>
        </w:rPr>
        <w:t>本项目的维护</w:t>
      </w:r>
      <w:r>
        <w:rPr>
          <w:rFonts w:ascii="宋体" w:hAnsi="宋体"/>
          <w:sz w:val="24"/>
        </w:rPr>
        <w:t>方。</w:t>
      </w:r>
    </w:p>
    <w:p>
      <w:pPr>
        <w:pStyle w:val="4"/>
      </w:pPr>
      <w:bookmarkStart w:id="430" w:name="_Toc26062"/>
      <w:bookmarkStart w:id="431" w:name="_Toc9881"/>
      <w:bookmarkStart w:id="432" w:name="_Toc67640158"/>
      <w:r>
        <w:rPr>
          <w:rFonts w:hint="eastAsia"/>
        </w:rPr>
        <w:t>六、</w:t>
      </w:r>
      <w:bookmarkEnd w:id="430"/>
      <w:r>
        <w:rPr>
          <w:rFonts w:hint="eastAsia"/>
        </w:rPr>
        <w:t>知识产权归属</w:t>
      </w:r>
      <w:bookmarkEnd w:id="431"/>
      <w:bookmarkEnd w:id="432"/>
    </w:p>
    <w:p>
      <w:pPr>
        <w:spacing w:line="360" w:lineRule="auto"/>
        <w:ind w:firstLine="435"/>
        <w:rPr>
          <w:rFonts w:ascii="宋体" w:hAnsi="宋体"/>
          <w:sz w:val="24"/>
        </w:rPr>
      </w:pPr>
      <w:r>
        <w:rPr>
          <w:rFonts w:hint="eastAsia" w:ascii="宋体" w:hAnsi="宋体"/>
          <w:sz w:val="24"/>
        </w:rPr>
        <w:t>乙方应保证在本项目使用的任何产品和服务（包括部分使用）时，不会产生因第三方提出侵犯其专利权、商标权或其它知识产权而引起的法律和经济纠纷，如因专利权、商标权或其它知识产权而引起法律和经济纠纷，由乙方承担所有相关责任的同时不得耽误本项目供货。</w:t>
      </w:r>
    </w:p>
    <w:p>
      <w:pPr>
        <w:spacing w:line="360" w:lineRule="auto"/>
        <w:ind w:firstLine="435"/>
        <w:rPr>
          <w:rFonts w:ascii="宋体" w:hAnsi="宋体"/>
          <w:sz w:val="24"/>
        </w:rPr>
      </w:pPr>
      <w:r>
        <w:rPr>
          <w:rFonts w:hint="eastAsia" w:ascii="宋体" w:hAnsi="宋体"/>
          <w:sz w:val="24"/>
        </w:rPr>
        <w:t>同时，乙方为实施项目而提供的资料及工作成果的知识产权权利归甲方所有，乙方提供的</w:t>
      </w:r>
      <w:r>
        <w:rPr>
          <w:rFonts w:ascii="宋体" w:hAnsi="宋体"/>
          <w:sz w:val="24"/>
        </w:rPr>
        <w:t>具备知识产权</w:t>
      </w:r>
      <w:r>
        <w:rPr>
          <w:rFonts w:hint="eastAsia" w:ascii="宋体" w:hAnsi="宋体"/>
          <w:sz w:val="24"/>
        </w:rPr>
        <w:t>的</w:t>
      </w:r>
      <w:r>
        <w:rPr>
          <w:rFonts w:ascii="宋体" w:hAnsi="宋体"/>
          <w:sz w:val="24"/>
        </w:rPr>
        <w:t>产品</w:t>
      </w:r>
      <w:r>
        <w:rPr>
          <w:rFonts w:hint="eastAsia" w:ascii="宋体" w:hAnsi="宋体"/>
          <w:sz w:val="24"/>
        </w:rPr>
        <w:t>或采购具备</w:t>
      </w:r>
      <w:r>
        <w:rPr>
          <w:rFonts w:ascii="宋体" w:hAnsi="宋体"/>
          <w:sz w:val="24"/>
        </w:rPr>
        <w:t>知识产权</w:t>
      </w:r>
      <w:r>
        <w:rPr>
          <w:rFonts w:hint="eastAsia" w:ascii="宋体" w:hAnsi="宋体"/>
          <w:sz w:val="24"/>
        </w:rPr>
        <w:t>的成熟产品，知识产权仍归产品提供方所有。</w:t>
      </w:r>
    </w:p>
    <w:p>
      <w:pPr>
        <w:pStyle w:val="4"/>
      </w:pPr>
      <w:bookmarkStart w:id="433" w:name="_Toc4381"/>
      <w:bookmarkStart w:id="434" w:name="_Toc67640159"/>
      <w:r>
        <w:rPr>
          <w:rFonts w:hint="eastAsia"/>
        </w:rPr>
        <w:t>七、双方</w:t>
      </w:r>
      <w:r>
        <w:t>确定</w:t>
      </w:r>
      <w:r>
        <w:rPr>
          <w:rFonts w:hint="eastAsia"/>
        </w:rPr>
        <w:t>因履行本合同应遵守的保密义务</w:t>
      </w:r>
      <w:bookmarkEnd w:id="433"/>
      <w:bookmarkEnd w:id="434"/>
    </w:p>
    <w:p>
      <w:pPr>
        <w:spacing w:line="360" w:lineRule="auto"/>
        <w:ind w:firstLine="435"/>
        <w:rPr>
          <w:rFonts w:ascii="宋体" w:hAnsi="宋体"/>
          <w:sz w:val="24"/>
        </w:rPr>
      </w:pPr>
      <w:r>
        <w:rPr>
          <w:rFonts w:ascii="宋体" w:hAnsi="宋体"/>
          <w:sz w:val="24"/>
        </w:rPr>
        <w:t>1.</w:t>
      </w:r>
      <w:r>
        <w:rPr>
          <w:rFonts w:hint="eastAsia" w:ascii="宋体" w:hAnsi="宋体"/>
          <w:sz w:val="24"/>
        </w:rPr>
        <w:t>乙方</w:t>
      </w:r>
      <w:r>
        <w:rPr>
          <w:rFonts w:ascii="宋体" w:hAnsi="宋体"/>
          <w:sz w:val="24"/>
        </w:rPr>
        <w:t>应在项目完成时，将本项目所有文档汇集成册交付</w:t>
      </w:r>
      <w:r>
        <w:rPr>
          <w:rFonts w:hint="eastAsia" w:ascii="宋体" w:hAnsi="宋体"/>
          <w:sz w:val="24"/>
        </w:rPr>
        <w:t>甲方。技术文档（光盘与纸质）及为本项目开发的软件系统（光盘形式，包括注释清晰明了的源代码）各两份。同时，在项目建设过程中建立代码服务器，按建设进度及时更新代码，项目结束后，保留源代码的代码服务器移交甲方。</w:t>
      </w:r>
    </w:p>
    <w:p>
      <w:pPr>
        <w:spacing w:line="360" w:lineRule="auto"/>
        <w:ind w:firstLine="435"/>
        <w:rPr>
          <w:rFonts w:ascii="宋体" w:hAnsi="宋体"/>
          <w:sz w:val="24"/>
        </w:rPr>
      </w:pPr>
      <w:r>
        <w:rPr>
          <w:rFonts w:ascii="宋体" w:hAnsi="宋体"/>
          <w:sz w:val="24"/>
        </w:rPr>
        <w:t>2.未经</w:t>
      </w:r>
      <w:r>
        <w:rPr>
          <w:rFonts w:hint="eastAsia" w:ascii="宋体" w:hAnsi="宋体"/>
          <w:sz w:val="24"/>
        </w:rPr>
        <w:t>甲方</w:t>
      </w:r>
      <w:r>
        <w:rPr>
          <w:rFonts w:ascii="宋体" w:hAnsi="宋体"/>
          <w:sz w:val="24"/>
        </w:rPr>
        <w:t>认可的情况下，所有的文档必须用中文书写或有完整的中文注释。</w:t>
      </w:r>
    </w:p>
    <w:p>
      <w:pPr>
        <w:spacing w:line="360" w:lineRule="auto"/>
        <w:ind w:firstLine="435"/>
        <w:rPr>
          <w:rFonts w:ascii="宋体" w:hAnsi="宋体"/>
          <w:sz w:val="24"/>
        </w:rPr>
      </w:pPr>
      <w:r>
        <w:rPr>
          <w:rFonts w:ascii="宋体" w:hAnsi="宋体"/>
          <w:sz w:val="24"/>
        </w:rPr>
        <w:t>3.</w:t>
      </w:r>
      <w:r>
        <w:rPr>
          <w:rFonts w:hint="eastAsia" w:ascii="宋体" w:hAnsi="宋体"/>
          <w:sz w:val="24"/>
        </w:rPr>
        <w:t>乙方</w:t>
      </w:r>
      <w:r>
        <w:rPr>
          <w:rFonts w:ascii="宋体" w:hAnsi="宋体"/>
          <w:sz w:val="24"/>
        </w:rPr>
        <w:t>应设置专人在项目建设期间对文档进行检查和管理，形成规范的文档体系，项目最终验收后全部移交给</w:t>
      </w:r>
      <w:r>
        <w:rPr>
          <w:rFonts w:hint="eastAsia" w:ascii="宋体" w:hAnsi="宋体"/>
          <w:sz w:val="24"/>
        </w:rPr>
        <w:t>甲方</w:t>
      </w:r>
      <w:r>
        <w:rPr>
          <w:rFonts w:ascii="宋体" w:hAnsi="宋体"/>
          <w:sz w:val="24"/>
        </w:rPr>
        <w:t>。</w:t>
      </w:r>
    </w:p>
    <w:p>
      <w:pPr>
        <w:spacing w:line="360" w:lineRule="auto"/>
        <w:ind w:firstLine="435"/>
        <w:rPr>
          <w:rFonts w:ascii="宋体" w:hAnsi="宋体"/>
          <w:sz w:val="24"/>
        </w:rPr>
      </w:pPr>
      <w:r>
        <w:rPr>
          <w:rFonts w:ascii="宋体" w:hAnsi="宋体"/>
          <w:sz w:val="24"/>
        </w:rPr>
        <w:t>4.</w:t>
      </w:r>
      <w:r>
        <w:rPr>
          <w:rFonts w:hint="eastAsia" w:ascii="宋体" w:hAnsi="宋体"/>
          <w:sz w:val="24"/>
        </w:rPr>
        <w:t>乙方</w:t>
      </w:r>
      <w:r>
        <w:rPr>
          <w:rFonts w:ascii="宋体" w:hAnsi="宋体"/>
          <w:sz w:val="24"/>
        </w:rPr>
        <w:t>应在中标后与</w:t>
      </w:r>
      <w:r>
        <w:rPr>
          <w:rFonts w:hint="eastAsia" w:ascii="宋体" w:hAnsi="宋体"/>
          <w:sz w:val="24"/>
        </w:rPr>
        <w:t>甲方</w:t>
      </w:r>
      <w:r>
        <w:rPr>
          <w:rFonts w:ascii="宋体" w:hAnsi="宋体"/>
          <w:sz w:val="24"/>
        </w:rPr>
        <w:t>签订保密协议，承诺不将任何涉及本项目的信息向外界泄露，该保密义务在合同终止后继续有效</w:t>
      </w:r>
      <w:r>
        <w:rPr>
          <w:rFonts w:hint="eastAsia" w:ascii="宋体" w:hAnsi="宋体"/>
          <w:sz w:val="24"/>
        </w:rPr>
        <w:t>。</w:t>
      </w:r>
    </w:p>
    <w:p>
      <w:pPr>
        <w:pStyle w:val="4"/>
      </w:pPr>
      <w:bookmarkStart w:id="435" w:name="_Toc8463"/>
      <w:bookmarkStart w:id="436" w:name="_Toc67640160"/>
      <w:r>
        <w:rPr>
          <w:rFonts w:hint="eastAsia"/>
        </w:rPr>
        <w:t>八、验收要求</w:t>
      </w:r>
      <w:bookmarkEnd w:id="435"/>
      <w:bookmarkEnd w:id="436"/>
    </w:p>
    <w:p>
      <w:pPr>
        <w:tabs>
          <w:tab w:val="left" w:pos="630"/>
        </w:tabs>
        <w:spacing w:line="360" w:lineRule="auto"/>
        <w:ind w:firstLine="480" w:firstLineChars="200"/>
        <w:rPr>
          <w:rFonts w:ascii="宋体" w:hAnsi="宋体"/>
          <w:sz w:val="24"/>
        </w:rPr>
      </w:pPr>
      <w:r>
        <w:rPr>
          <w:rFonts w:hint="eastAsia" w:ascii="宋体" w:hAnsi="宋体"/>
          <w:sz w:val="24"/>
        </w:rPr>
        <w:t>本项目验收应包括初步</w:t>
      </w:r>
      <w:r>
        <w:rPr>
          <w:rFonts w:ascii="宋体" w:hAnsi="宋体"/>
          <w:sz w:val="24"/>
        </w:rPr>
        <w:t>验收</w:t>
      </w:r>
      <w:r>
        <w:rPr>
          <w:rFonts w:hint="eastAsia" w:ascii="宋体" w:hAnsi="宋体"/>
          <w:sz w:val="24"/>
        </w:rPr>
        <w:t xml:space="preserve">、竣工验收两个阶段，中标人应在项目验收时应做好项目质量控制、成本控制、进度控制等管理，做好项目过程中各种文档的管理。如：立项报告、招投标文件、合同、会议纪要、验收报告等，在验收阶段提供验收报告。 </w:t>
      </w:r>
    </w:p>
    <w:bookmarkEnd w:id="409"/>
    <w:bookmarkEnd w:id="410"/>
    <w:bookmarkEnd w:id="411"/>
    <w:bookmarkEnd w:id="412"/>
    <w:p>
      <w:pPr>
        <w:pStyle w:val="4"/>
      </w:pPr>
      <w:bookmarkStart w:id="437" w:name="_Toc7343"/>
      <w:bookmarkStart w:id="438" w:name="_Toc67640161"/>
      <w:r>
        <w:rPr>
          <w:rFonts w:hint="eastAsia"/>
        </w:rPr>
        <w:t>九、违约赔偿</w:t>
      </w:r>
      <w:bookmarkEnd w:id="437"/>
      <w:bookmarkEnd w:id="438"/>
    </w:p>
    <w:p>
      <w:pPr>
        <w:snapToGrid w:val="0"/>
        <w:spacing w:line="360" w:lineRule="auto"/>
        <w:ind w:firstLine="480" w:firstLineChars="200"/>
        <w:rPr>
          <w:rFonts w:ascii="宋体" w:hAnsi="宋体"/>
          <w:sz w:val="24"/>
        </w:rPr>
      </w:pPr>
      <w:r>
        <w:rPr>
          <w:rFonts w:hint="eastAsia" w:ascii="宋体" w:hAnsi="宋体"/>
          <w:sz w:val="24"/>
        </w:rPr>
        <w:t>1.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万分之五/</w:t>
      </w:r>
      <w:r>
        <w:rPr>
          <w:rFonts w:ascii="宋体" w:hAnsi="宋体"/>
          <w:sz w:val="24"/>
        </w:rPr>
        <w:t>天</w:t>
      </w:r>
      <w:r>
        <w:rPr>
          <w:rFonts w:hint="eastAsia" w:ascii="宋体" w:hAnsi="宋体"/>
          <w:sz w:val="24"/>
        </w:rPr>
        <w:t>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480" w:firstLineChars="200"/>
        <w:rPr>
          <w:rFonts w:ascii="宋体" w:hAnsi="宋体"/>
          <w:sz w:val="24"/>
        </w:rPr>
      </w:pPr>
      <w:r>
        <w:rPr>
          <w:rFonts w:hint="eastAsia" w:ascii="宋体" w:hAnsi="宋体"/>
          <w:sz w:val="24"/>
        </w:rPr>
        <w:t>2.若由于甲方原因延迟付款的，每延长一日，甲方应按照开发费用总金额万分之五的标准向乙方支付违约金。</w:t>
      </w:r>
    </w:p>
    <w:p>
      <w:pPr>
        <w:snapToGrid w:val="0"/>
        <w:spacing w:line="360" w:lineRule="auto"/>
        <w:ind w:firstLine="480" w:firstLineChars="200"/>
        <w:rPr>
          <w:rFonts w:ascii="宋体" w:hAnsi="宋体"/>
          <w:sz w:val="24"/>
        </w:rPr>
      </w:pPr>
      <w:r>
        <w:rPr>
          <w:rFonts w:hint="eastAsia" w:ascii="宋体" w:hAnsi="宋体"/>
          <w:sz w:val="24"/>
        </w:rPr>
        <w:t>3.</w:t>
      </w:r>
      <w:r>
        <w:rPr>
          <w:rFonts w:ascii="宋体" w:hAnsi="宋体"/>
          <w:sz w:val="24"/>
        </w:rPr>
        <w:t>若因甲方的原因造成合同终止，则前期支付给乙方的款项乙方将不退还给</w:t>
      </w:r>
      <w:r>
        <w:rPr>
          <w:rFonts w:hint="eastAsia" w:ascii="宋体" w:hAnsi="宋体"/>
          <w:sz w:val="24"/>
        </w:rPr>
        <w:t>，乙方可以要求甲方赔偿相应损失</w:t>
      </w:r>
      <w:r>
        <w:rPr>
          <w:rFonts w:ascii="宋体" w:hAnsi="宋体"/>
          <w:sz w:val="24"/>
        </w:rPr>
        <w:t>。若因乙方的原因造成合同终止，则乙方需将前期甲方支付给乙方的款项</w:t>
      </w:r>
      <w:r>
        <w:rPr>
          <w:rFonts w:hint="eastAsia" w:ascii="宋体" w:hAnsi="宋体"/>
          <w:sz w:val="24"/>
        </w:rPr>
        <w:t>及利息</w:t>
      </w:r>
      <w:r>
        <w:rPr>
          <w:rFonts w:ascii="宋体" w:hAnsi="宋体"/>
          <w:sz w:val="24"/>
        </w:rPr>
        <w:t>退还给甲方</w:t>
      </w:r>
      <w:r>
        <w:rPr>
          <w:rFonts w:hint="eastAsia" w:ascii="宋体" w:hAnsi="宋体"/>
          <w:sz w:val="24"/>
        </w:rPr>
        <w:t>并赔偿甲方相应损失</w:t>
      </w:r>
      <w:r>
        <w:rPr>
          <w:rFonts w:ascii="宋体" w:hAnsi="宋体"/>
          <w:sz w:val="24"/>
        </w:rPr>
        <w:t>。</w:t>
      </w:r>
    </w:p>
    <w:p>
      <w:pPr>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.如果双方中任何一方由于战争、严重火灾、水灾、台风和地震以及其它经双方同意属于不可抗力的事故，致使合同履行受阻时，履行合同的期限应予以延长，延长的期限应相当于事故所影响的时间。</w:t>
      </w:r>
    </w:p>
    <w:p>
      <w:pPr>
        <w:pStyle w:val="4"/>
      </w:pPr>
      <w:bookmarkStart w:id="439" w:name="_Toc6552"/>
      <w:bookmarkStart w:id="440" w:name="_Toc417386177"/>
      <w:bookmarkStart w:id="441" w:name="_Toc462068969"/>
      <w:bookmarkStart w:id="442" w:name="_Toc67640162"/>
      <w:r>
        <w:rPr>
          <w:rFonts w:hint="eastAsia"/>
        </w:rPr>
        <w:t>十、合同纠纷处理</w:t>
      </w:r>
      <w:bookmarkEnd w:id="439"/>
      <w:bookmarkEnd w:id="440"/>
      <w:bookmarkEnd w:id="441"/>
      <w:bookmarkEnd w:id="442"/>
    </w:p>
    <w:p>
      <w:pPr>
        <w:tabs>
          <w:tab w:val="left" w:pos="1980"/>
        </w:tabs>
        <w:snapToGrid w:val="0"/>
        <w:spacing w:line="360" w:lineRule="auto"/>
        <w:ind w:firstLine="470" w:firstLineChars="196"/>
        <w:rPr>
          <w:rFonts w:ascii="宋体" w:hAnsi="宋体"/>
          <w:sz w:val="24"/>
        </w:rPr>
      </w:pPr>
      <w:bookmarkStart w:id="443" w:name="_Toc462068970"/>
      <w:bookmarkStart w:id="444" w:name="_Toc417386178"/>
      <w:r>
        <w:rPr>
          <w:rFonts w:hint="eastAsia" w:ascii="宋体" w:hAnsi="宋体"/>
          <w:sz w:val="24"/>
        </w:rPr>
        <w:t>本合同履行过程中发生纠纷，应协商解决，协商不成，可向原告方人民法院提起诉讼解决。</w:t>
      </w:r>
    </w:p>
    <w:p>
      <w:pPr>
        <w:pStyle w:val="4"/>
      </w:pPr>
      <w:bookmarkStart w:id="445" w:name="_Toc15595"/>
      <w:bookmarkStart w:id="446" w:name="_Toc67640163"/>
      <w:r>
        <w:rPr>
          <w:rFonts w:hint="eastAsia"/>
        </w:rPr>
        <w:t>十一、</w:t>
      </w:r>
      <w:bookmarkEnd w:id="443"/>
      <w:bookmarkEnd w:id="444"/>
      <w:r>
        <w:rPr>
          <w:rFonts w:hint="eastAsia"/>
        </w:rPr>
        <w:t>不可抗力</w:t>
      </w:r>
      <w:bookmarkEnd w:id="445"/>
      <w:bookmarkEnd w:id="446"/>
    </w:p>
    <w:p>
      <w:pPr>
        <w:tabs>
          <w:tab w:val="left" w:pos="1980"/>
        </w:tabs>
        <w:snapToGrid w:val="0"/>
        <w:spacing w:line="360" w:lineRule="auto"/>
        <w:ind w:firstLine="470" w:firstLineChars="196"/>
        <w:rPr>
          <w:rFonts w:ascii="宋体" w:hAnsi="宋体"/>
          <w:sz w:val="24"/>
        </w:rPr>
      </w:pPr>
      <w:r>
        <w:rPr>
          <w:rFonts w:hint="eastAsia" w:ascii="宋体" w:hAnsi="宋体"/>
          <w:sz w:val="24"/>
        </w:rPr>
        <w:t>任何一方由于不可抗力原因不能履行合同时，应在不可抗力事件发生后3日内向对方通报，以减轻可能给对方造成的损失，在取得有关机构的不可抗力证明或双方谅解确认后，允许延期履行或修订合同，并根据情况可部分或全部免于承担违约责任。</w:t>
      </w:r>
    </w:p>
    <w:p>
      <w:pPr>
        <w:pStyle w:val="4"/>
      </w:pPr>
      <w:bookmarkStart w:id="447" w:name="_Toc2172"/>
      <w:bookmarkStart w:id="448" w:name="_Toc417386179"/>
      <w:bookmarkStart w:id="449" w:name="_Toc462068971"/>
      <w:bookmarkStart w:id="450" w:name="_Toc67640164"/>
      <w:r>
        <w:rPr>
          <w:rFonts w:hint="eastAsia"/>
        </w:rPr>
        <w:t>十二、合同鉴证</w:t>
      </w:r>
      <w:bookmarkEnd w:id="447"/>
      <w:bookmarkEnd w:id="448"/>
      <w:bookmarkEnd w:id="449"/>
      <w:bookmarkEnd w:id="450"/>
    </w:p>
    <w:p>
      <w:pPr>
        <w:tabs>
          <w:tab w:val="left" w:pos="1980"/>
        </w:tabs>
        <w:snapToGrid w:val="0"/>
        <w:spacing w:line="360" w:lineRule="auto"/>
        <w:ind w:firstLine="470" w:firstLineChars="196"/>
        <w:rPr>
          <w:rFonts w:ascii="宋体" w:hAnsi="宋体"/>
          <w:sz w:val="24"/>
        </w:rPr>
      </w:pPr>
      <w:r>
        <w:rPr>
          <w:rFonts w:hint="eastAsia" w:ascii="宋体" w:hAnsi="宋体"/>
          <w:sz w:val="24"/>
        </w:rPr>
        <w:t>招标代理机构应当在本合同上签章，以证明本合同条款与招标文件、响应文件的相关要求相符并且未对采购内容和技术参数进行实质性修改。</w:t>
      </w:r>
    </w:p>
    <w:p>
      <w:pPr>
        <w:pStyle w:val="4"/>
      </w:pPr>
      <w:bookmarkStart w:id="451" w:name="_Toc14879"/>
      <w:bookmarkStart w:id="452" w:name="_Toc462068972"/>
      <w:bookmarkStart w:id="453" w:name="_Toc417386180"/>
      <w:bookmarkStart w:id="454" w:name="_Toc67640165"/>
      <w:r>
        <w:rPr>
          <w:rFonts w:hint="eastAsia"/>
        </w:rPr>
        <w:t>十三、本合同的组成文件</w:t>
      </w:r>
      <w:bookmarkEnd w:id="451"/>
      <w:bookmarkEnd w:id="452"/>
      <w:bookmarkEnd w:id="453"/>
      <w:bookmarkEnd w:id="454"/>
    </w:p>
    <w:p>
      <w:pPr>
        <w:snapToGrid w:val="0"/>
        <w:spacing w:line="360" w:lineRule="auto"/>
        <w:ind w:left="555"/>
        <w:rPr>
          <w:rFonts w:ascii="宋体" w:hAnsi="宋体"/>
          <w:sz w:val="24"/>
        </w:rPr>
      </w:pPr>
      <w:r>
        <w:rPr>
          <w:rFonts w:hint="eastAsia" w:ascii="宋体" w:hAnsi="宋体"/>
          <w:sz w:val="24"/>
        </w:rPr>
        <w:t>1.合同通用条款和专用条款；</w:t>
      </w:r>
    </w:p>
    <w:p>
      <w:pPr>
        <w:snapToGrid w:val="0"/>
        <w:spacing w:line="360" w:lineRule="auto"/>
        <w:ind w:left="555"/>
        <w:rPr>
          <w:rFonts w:ascii="宋体" w:hAnsi="宋体"/>
          <w:sz w:val="24"/>
        </w:rPr>
      </w:pPr>
      <w:r>
        <w:rPr>
          <w:rFonts w:hint="eastAsia" w:ascii="宋体" w:hAnsi="宋体"/>
          <w:sz w:val="24"/>
        </w:rPr>
        <w:t>2.招标文件、乙方的响应文件和评标时的澄清函（如有）；</w:t>
      </w:r>
    </w:p>
    <w:p>
      <w:pPr>
        <w:snapToGrid w:val="0"/>
        <w:spacing w:line="360" w:lineRule="auto"/>
        <w:ind w:left="555"/>
        <w:rPr>
          <w:rFonts w:ascii="宋体" w:hAnsi="宋体"/>
          <w:sz w:val="24"/>
        </w:rPr>
      </w:pPr>
      <w:r>
        <w:rPr>
          <w:rFonts w:hint="eastAsia" w:ascii="宋体" w:hAnsi="宋体"/>
          <w:sz w:val="24"/>
        </w:rPr>
        <w:t>3.中标通知书；</w:t>
      </w:r>
    </w:p>
    <w:p>
      <w:pPr>
        <w:snapToGrid w:val="0"/>
        <w:spacing w:line="360" w:lineRule="auto"/>
        <w:ind w:left="555"/>
        <w:rPr>
          <w:rFonts w:ascii="宋体" w:hAnsi="宋体"/>
          <w:sz w:val="24"/>
        </w:rPr>
      </w:pPr>
      <w:r>
        <w:rPr>
          <w:rFonts w:hint="eastAsia" w:ascii="宋体" w:hAnsi="宋体"/>
          <w:sz w:val="24"/>
        </w:rPr>
        <w:t>4.甲乙双方商定的其他必要文件。</w:t>
      </w:r>
    </w:p>
    <w:p>
      <w:pPr>
        <w:snapToGrid w:val="0"/>
        <w:spacing w:line="360" w:lineRule="auto"/>
        <w:ind w:firstLine="480" w:firstLineChars="200"/>
        <w:rPr>
          <w:rFonts w:ascii="宋体" w:hAnsi="宋体"/>
          <w:bCs/>
          <w:sz w:val="24"/>
        </w:rPr>
      </w:pPr>
      <w:r>
        <w:rPr>
          <w:rFonts w:hint="eastAsia" w:ascii="宋体" w:hAnsi="宋体"/>
          <w:bCs/>
          <w:sz w:val="24"/>
        </w:rPr>
        <w:t>上述合同文件内容互为补充，如有不明确，由甲方负责解释。</w:t>
      </w:r>
    </w:p>
    <w:p>
      <w:pPr>
        <w:pStyle w:val="4"/>
      </w:pPr>
      <w:bookmarkStart w:id="455" w:name="_Toc417386181"/>
      <w:bookmarkStart w:id="456" w:name="_Toc462068973"/>
      <w:bookmarkStart w:id="457" w:name="_Toc2402"/>
      <w:bookmarkStart w:id="458" w:name="_Toc67640166"/>
      <w:r>
        <w:rPr>
          <w:rFonts w:hint="eastAsia"/>
        </w:rPr>
        <w:t>十四、合同</w:t>
      </w:r>
      <w:bookmarkEnd w:id="455"/>
      <w:bookmarkEnd w:id="456"/>
      <w:r>
        <w:rPr>
          <w:rFonts w:hint="eastAsia"/>
        </w:rPr>
        <w:t>生效</w:t>
      </w:r>
      <w:bookmarkEnd w:id="457"/>
      <w:bookmarkEnd w:id="458"/>
    </w:p>
    <w:bookmarkEnd w:id="413"/>
    <w:bookmarkEnd w:id="414"/>
    <w:p>
      <w:pPr>
        <w:snapToGrid w:val="0"/>
        <w:spacing w:line="360" w:lineRule="auto"/>
        <w:ind w:firstLine="480" w:firstLineChars="200"/>
        <w:rPr>
          <w:rFonts w:ascii="宋体" w:hAnsi="宋体" w:cs="宋体"/>
          <w:sz w:val="24"/>
        </w:rPr>
      </w:pPr>
      <w:r>
        <w:rPr>
          <w:rFonts w:hint="eastAsia" w:ascii="宋体" w:hAnsi="宋体"/>
          <w:bCs/>
          <w:sz w:val="24"/>
        </w:rPr>
        <w:t>本合同一式陆份，中文书写。甲方执叁份，乙方、招标代理机构各执一份，另外一份由招标代理机构报政府采购主管部门备案。</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ascii="宋体" w:hAnsi="宋体"/>
          <w:bCs/>
          <w:sz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ascii="宋体" w:hAnsi="宋体"/>
          <w:sz w:val="24"/>
        </w:rPr>
      </w:pPr>
      <w:r>
        <w:rPr>
          <w:rFonts w:hint="eastAsia" w:ascii="宋体" w:hAnsi="宋体"/>
          <w:b/>
          <w:sz w:val="24"/>
        </w:rPr>
        <w:t>甲方：</w:t>
      </w:r>
      <w:r>
        <w:rPr>
          <w:rFonts w:ascii="宋体" w:hAnsi="宋体"/>
          <w:b/>
          <w:sz w:val="24"/>
          <w:u w:val="single"/>
        </w:rPr>
        <w:t xml:space="preserve">                   </w:t>
      </w:r>
      <w:r>
        <w:rPr>
          <w:rFonts w:hint="eastAsia" w:ascii="宋体" w:hAnsi="宋体"/>
          <w:b/>
          <w:sz w:val="24"/>
          <w:u w:val="single"/>
        </w:rPr>
        <w:t>（盖章）</w:t>
      </w: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乙方：</w:t>
      </w:r>
      <w:r>
        <w:rPr>
          <w:rFonts w:ascii="宋体" w:hAnsi="宋体"/>
          <w:b/>
          <w:sz w:val="24"/>
          <w:u w:val="single"/>
        </w:rPr>
        <w:t xml:space="preserve">                  </w:t>
      </w:r>
      <w:r>
        <w:rPr>
          <w:rFonts w:hint="eastAsia" w:ascii="宋体" w:hAnsi="宋体"/>
          <w:b/>
          <w:sz w:val="24"/>
          <w:u w:val="single"/>
        </w:rPr>
        <w:t>（盖章）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ascii="宋体" w:hAnsi="宋体"/>
          <w:sz w:val="24"/>
          <w:u w:val="single"/>
        </w:rPr>
      </w:pPr>
      <w:r>
        <w:rPr>
          <w:rFonts w:hint="eastAsia" w:ascii="宋体" w:hAnsi="宋体"/>
          <w:sz w:val="24"/>
        </w:rPr>
        <w:t>地址：</w:t>
      </w:r>
      <w:r>
        <w:rPr>
          <w:rFonts w:ascii="宋体" w:hAnsi="宋体"/>
          <w:sz w:val="24"/>
          <w:u w:val="single"/>
        </w:rPr>
        <w:t xml:space="preserve">                           </w:t>
      </w:r>
      <w:r>
        <w:rPr>
          <w:rFonts w:ascii="宋体" w:hAnsi="宋体"/>
          <w:sz w:val="24"/>
        </w:rPr>
        <w:t xml:space="preserve">      </w:t>
      </w:r>
      <w:r>
        <w:rPr>
          <w:rFonts w:hint="eastAsia" w:ascii="宋体" w:hAnsi="宋体"/>
          <w:sz w:val="24"/>
        </w:rPr>
        <w:t>地址：</w:t>
      </w:r>
      <w:r>
        <w:rPr>
          <w:rFonts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ascii="宋体" w:hAnsi="宋体"/>
          <w:sz w:val="24"/>
          <w:u w:val="single"/>
        </w:rPr>
      </w:pPr>
      <w:r>
        <w:rPr>
          <w:rFonts w:hint="eastAsia" w:ascii="宋体" w:hAnsi="宋体"/>
          <w:sz w:val="24"/>
        </w:rPr>
        <w:t>法定（或授权）代表人：</w:t>
      </w:r>
      <w:r>
        <w:rPr>
          <w:rFonts w:ascii="宋体" w:hAnsi="宋体"/>
          <w:sz w:val="24"/>
          <w:u w:val="single"/>
        </w:rPr>
        <w:t xml:space="preserve">            </w:t>
      </w:r>
      <w:r>
        <w:rPr>
          <w:rFonts w:ascii="宋体" w:hAnsi="宋体"/>
          <w:sz w:val="24"/>
        </w:rPr>
        <w:t xml:space="preserve">     </w:t>
      </w:r>
      <w:r>
        <w:rPr>
          <w:rFonts w:hint="eastAsia" w:ascii="宋体" w:hAnsi="宋体"/>
          <w:sz w:val="24"/>
        </w:rPr>
        <w:t>法定（或授权）代表人：</w:t>
      </w:r>
      <w:r>
        <w:rPr>
          <w:rFonts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ascii="宋体" w:hAnsi="宋体"/>
          <w:sz w:val="24"/>
          <w:u w:val="single"/>
        </w:rPr>
      </w:pPr>
      <w:r>
        <w:rPr>
          <w:rFonts w:hint="eastAsia" w:ascii="宋体" w:hAnsi="宋体"/>
          <w:sz w:val="24"/>
        </w:rPr>
        <w:t>开户行：</w:t>
      </w:r>
      <w:r>
        <w:rPr>
          <w:rFonts w:hint="eastAsia" w:ascii="宋体" w:hAnsi="宋体"/>
          <w:sz w:val="24"/>
          <w:u w:val="single"/>
        </w:rPr>
        <w:t xml:space="preserve">                          </w:t>
      </w:r>
      <w:r>
        <w:rPr>
          <w:rFonts w:hint="eastAsia" w:ascii="宋体" w:hAnsi="宋体"/>
          <w:sz w:val="24"/>
        </w:rPr>
        <w:t xml:space="preserve">     开户行：</w:t>
      </w:r>
      <w:r>
        <w:rPr>
          <w:rFonts w:hint="eastAsia"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ascii="宋体" w:hAnsi="宋体"/>
          <w:sz w:val="24"/>
        </w:rPr>
      </w:pPr>
      <w:r>
        <w:rPr>
          <w:rFonts w:hint="eastAsia" w:ascii="宋体" w:hAnsi="宋体"/>
          <w:sz w:val="24"/>
        </w:rPr>
        <w:t>户名：</w:t>
      </w:r>
      <w:r>
        <w:rPr>
          <w:rFonts w:hint="eastAsia" w:ascii="宋体" w:hAnsi="宋体"/>
          <w:sz w:val="24"/>
          <w:u w:val="single"/>
        </w:rPr>
        <w:t xml:space="preserve">                            </w:t>
      </w:r>
      <w:r>
        <w:rPr>
          <w:rFonts w:hint="eastAsia" w:ascii="宋体" w:hAnsi="宋体"/>
          <w:sz w:val="24"/>
        </w:rPr>
        <w:t xml:space="preserve">     户名：</w:t>
      </w:r>
      <w:r>
        <w:rPr>
          <w:rFonts w:hint="eastAsia"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ascii="宋体" w:hAnsi="宋体"/>
          <w:sz w:val="24"/>
        </w:rPr>
      </w:pPr>
      <w:r>
        <w:rPr>
          <w:rFonts w:hint="eastAsia" w:ascii="宋体" w:hAnsi="宋体"/>
          <w:sz w:val="24"/>
        </w:rPr>
        <w:t>帐号：</w:t>
      </w:r>
      <w:r>
        <w:rPr>
          <w:rFonts w:hint="eastAsia" w:ascii="宋体" w:hAnsi="宋体"/>
          <w:sz w:val="24"/>
          <w:u w:val="single"/>
        </w:rPr>
        <w:t xml:space="preserve">                            </w:t>
      </w:r>
      <w:r>
        <w:rPr>
          <w:rFonts w:hint="eastAsia" w:ascii="宋体" w:hAnsi="宋体"/>
          <w:sz w:val="24"/>
        </w:rPr>
        <w:t xml:space="preserve">     帐号：</w:t>
      </w:r>
      <w:r>
        <w:rPr>
          <w:rFonts w:hint="eastAsia" w:ascii="宋体" w:hAnsi="宋体"/>
          <w:sz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rPr>
          <w:rFonts w:ascii="宋体" w:hAnsi="宋体"/>
          <w:sz w:val="24"/>
        </w:rPr>
      </w:pPr>
      <w:r>
        <w:rPr>
          <w:rFonts w:hint="eastAsia"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51" w:firstLineChars="196"/>
        <w:rPr>
          <w:rFonts w:ascii="宋体" w:hAnsi="宋体"/>
          <w:b/>
          <w:sz w:val="28"/>
        </w:rPr>
      </w:pPr>
      <w:r>
        <w:rPr>
          <w:rFonts w:hint="eastAsia" w:ascii="宋体" w:hAnsi="宋体"/>
          <w:b/>
          <w:sz w:val="28"/>
        </w:rPr>
        <w:t>招标代理机构声明：本合同标的经海南和信源招标代理有限公司依法定程序采购，合同主要条款内容与招响应文件的内容一致。</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28"/>
          <w:u w:val="single"/>
        </w:rPr>
      </w:pPr>
      <w:r>
        <w:rPr>
          <w:rFonts w:hint="eastAsia" w:ascii="宋体" w:hAnsi="宋体"/>
          <w:b/>
          <w:sz w:val="28"/>
        </w:rPr>
        <w:t>招标代理机构：</w:t>
      </w:r>
      <w:r>
        <w:rPr>
          <w:rFonts w:hint="eastAsia" w:ascii="宋体" w:hAnsi="宋体"/>
          <w:b/>
          <w:sz w:val="28"/>
          <w:u w:val="single"/>
        </w:rPr>
        <w:t>海南和信源招标代理有限公司（盖章）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sz w:val="28"/>
          <w:u w:val="single"/>
        </w:rPr>
      </w:pPr>
      <w:r>
        <w:rPr>
          <w:rFonts w:hint="eastAsia" w:ascii="宋体" w:hAnsi="宋体"/>
          <w:sz w:val="28"/>
        </w:rPr>
        <w:t>经办人：</w:t>
      </w:r>
      <w:r>
        <w:rPr>
          <w:rFonts w:ascii="宋体" w:hAnsi="宋体"/>
          <w:sz w:val="28"/>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560" w:firstLineChars="200"/>
        <w:rPr>
          <w:rFonts w:ascii="宋体" w:hAnsi="宋体"/>
          <w:sz w:val="28"/>
        </w:rPr>
      </w:pPr>
      <w:r>
        <w:rPr>
          <w:rFonts w:hint="eastAsia" w:ascii="宋体" w:hAnsi="宋体"/>
          <w:sz w:val="28"/>
        </w:rPr>
        <w:t>年</w:t>
      </w:r>
      <w:r>
        <w:rPr>
          <w:rFonts w:ascii="宋体" w:hAnsi="宋体"/>
          <w:sz w:val="28"/>
        </w:rPr>
        <w:t xml:space="preserve">   </w:t>
      </w:r>
      <w:r>
        <w:rPr>
          <w:rFonts w:hint="eastAsia" w:ascii="宋体" w:hAnsi="宋体"/>
          <w:sz w:val="28"/>
        </w:rPr>
        <w:t>月</w:t>
      </w:r>
      <w:r>
        <w:rPr>
          <w:rFonts w:ascii="宋体" w:hAnsi="宋体"/>
          <w:sz w:val="28"/>
        </w:rPr>
        <w:t xml:space="preserve">    </w:t>
      </w:r>
      <w:r>
        <w:rPr>
          <w:rFonts w:hint="eastAsia" w:ascii="宋体" w:hAnsi="宋体"/>
          <w:sz w:val="28"/>
        </w:rPr>
        <w:t>日</w:t>
      </w:r>
    </w:p>
    <w:p>
      <w:pPr>
        <w:snapToGrid w:val="0"/>
        <w:spacing w:line="360" w:lineRule="auto"/>
        <w:ind w:firstLine="480" w:firstLineChars="200"/>
        <w:rPr>
          <w:rFonts w:ascii="宋体" w:hAnsi="宋体"/>
          <w:sz w:val="24"/>
        </w:rPr>
      </w:pPr>
      <w:r>
        <w:rPr>
          <w:rFonts w:ascii="宋体" w:hAnsi="宋体"/>
          <w:sz w:val="24"/>
        </w:rPr>
        <w:br w:type="page"/>
      </w:r>
    </w:p>
    <w:p>
      <w:pPr>
        <w:pStyle w:val="3"/>
        <w:rPr>
          <w:b w:val="0"/>
        </w:rPr>
      </w:pPr>
      <w:bookmarkStart w:id="459" w:name="_Toc67640167"/>
      <w:r>
        <w:rPr>
          <w:rFonts w:hint="eastAsia"/>
          <w:b w:val="0"/>
        </w:rPr>
        <w:t>第五章 响应文件内容和格式</w:t>
      </w:r>
      <w:bookmarkEnd w:id="459"/>
      <w:bookmarkStart w:id="460" w:name="_Toc171325098"/>
    </w:p>
    <w:bookmarkEnd w:id="460"/>
    <w:p>
      <w:pPr>
        <w:spacing w:line="360" w:lineRule="auto"/>
        <w:ind w:firstLine="480" w:firstLineChars="200"/>
        <w:rPr>
          <w:rFonts w:ascii="宋体" w:hAnsi="宋体"/>
          <w:sz w:val="24"/>
        </w:rPr>
      </w:pPr>
      <w:r>
        <w:rPr>
          <w:rFonts w:hint="eastAsia" w:ascii="宋体" w:hAnsi="宋体"/>
          <w:sz w:val="24"/>
        </w:rPr>
        <w:t>请报价人按照以下文件要求的格式、内容制作响应文件，并按以下顺序编制目录及页码，否则可能将影响对响应文件的评价。</w:t>
      </w:r>
    </w:p>
    <w:p>
      <w:pPr>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报价函（表1）</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报价一览表（表2）</w:t>
      </w:r>
    </w:p>
    <w:p>
      <w:pPr>
        <w:snapToGrid w:val="0"/>
        <w:spacing w:line="360" w:lineRule="auto"/>
        <w:ind w:firstLine="480" w:firstLineChars="200"/>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报价人简介</w:t>
      </w:r>
    </w:p>
    <w:p>
      <w:pPr>
        <w:snapToGrid w:val="0"/>
        <w:spacing w:line="360" w:lineRule="auto"/>
        <w:ind w:firstLine="480" w:firstLineChars="200"/>
        <w:rPr>
          <w:rFonts w:ascii="宋体" w:hAnsi="宋体"/>
          <w:sz w:val="24"/>
        </w:rPr>
      </w:pPr>
      <w:r>
        <w:rPr>
          <w:rFonts w:hint="eastAsia" w:ascii="宋体" w:hAnsi="宋体"/>
          <w:sz w:val="24"/>
        </w:rPr>
        <w:t>4.</w:t>
      </w:r>
      <w:r>
        <w:rPr>
          <w:rFonts w:ascii="宋体" w:hAnsi="宋体"/>
          <w:sz w:val="24"/>
        </w:rPr>
        <w:t xml:space="preserve"> </w:t>
      </w:r>
      <w:r>
        <w:rPr>
          <w:rFonts w:hint="eastAsia" w:ascii="宋体" w:hAnsi="宋体"/>
          <w:sz w:val="24"/>
        </w:rPr>
        <w:t>技术商务要求响应表（表3）</w:t>
      </w:r>
    </w:p>
    <w:p>
      <w:pPr>
        <w:snapToGrid w:val="0"/>
        <w:spacing w:line="360" w:lineRule="auto"/>
        <w:ind w:firstLine="480" w:firstLineChars="200"/>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授权委托书（表4</w:t>
      </w:r>
      <w:r>
        <w:rPr>
          <w:rFonts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6.</w:t>
      </w:r>
      <w:r>
        <w:rPr>
          <w:rFonts w:ascii="宋体" w:hAnsi="宋体"/>
          <w:sz w:val="24"/>
        </w:rPr>
        <w:t xml:space="preserve"> </w:t>
      </w:r>
      <w:r>
        <w:rPr>
          <w:rFonts w:hint="eastAsia" w:ascii="宋体" w:hAnsi="宋体"/>
          <w:sz w:val="24"/>
        </w:rPr>
        <w:t>法人代表、授权代表身份证复印件</w:t>
      </w:r>
    </w:p>
    <w:p>
      <w:pPr>
        <w:snapToGrid w:val="0"/>
        <w:spacing w:line="360" w:lineRule="auto"/>
        <w:ind w:firstLine="480" w:firstLineChars="200"/>
        <w:rPr>
          <w:rFonts w:ascii="宋体" w:hAnsi="宋体"/>
          <w:sz w:val="24"/>
        </w:rPr>
      </w:pPr>
      <w:r>
        <w:rPr>
          <w:rFonts w:hint="eastAsia" w:ascii="宋体" w:hAnsi="宋体"/>
          <w:sz w:val="24"/>
        </w:rPr>
        <w:t>7.</w:t>
      </w:r>
      <w:r>
        <w:rPr>
          <w:rFonts w:ascii="宋体" w:hAnsi="宋体"/>
          <w:sz w:val="24"/>
        </w:rPr>
        <w:t xml:space="preserve"> </w:t>
      </w:r>
      <w:r>
        <w:rPr>
          <w:rFonts w:hint="eastAsia" w:ascii="宋体" w:hAnsi="宋体"/>
          <w:b/>
          <w:sz w:val="24"/>
        </w:rPr>
        <w:t>报价人资格要求中所有材料：</w:t>
      </w:r>
    </w:p>
    <w:p>
      <w:pPr>
        <w:snapToGrid w:val="0"/>
        <w:spacing w:line="360" w:lineRule="auto"/>
        <w:ind w:firstLine="480" w:firstLineChars="200"/>
        <w:rPr>
          <w:rFonts w:ascii="宋体" w:hAnsi="宋体" w:cs="Tahoma"/>
          <w:sz w:val="24"/>
        </w:rPr>
      </w:pPr>
      <w:r>
        <w:rPr>
          <w:rFonts w:hint="eastAsia" w:ascii="宋体" w:hAnsi="宋体"/>
          <w:sz w:val="24"/>
        </w:rPr>
        <w:t xml:space="preserve">   1）</w:t>
      </w:r>
      <w:r>
        <w:rPr>
          <w:rFonts w:hint="eastAsia" w:ascii="宋体" w:hAnsi="宋体" w:cs="Tahoma"/>
          <w:sz w:val="24"/>
        </w:rPr>
        <w:t>企业需提供营业执照</w:t>
      </w:r>
      <w:r>
        <w:rPr>
          <w:rFonts w:hint="eastAsia" w:ascii="宋体" w:hAnsi="宋体"/>
          <w:sz w:val="24"/>
        </w:rPr>
        <w:t>复印件</w:t>
      </w:r>
      <w:r>
        <w:rPr>
          <w:rFonts w:hint="eastAsia" w:ascii="宋体" w:hAnsi="宋体" w:cs="Tahoma"/>
          <w:sz w:val="24"/>
        </w:rPr>
        <w:t>，事业单位需提供事业单位法人证书</w:t>
      </w:r>
      <w:r>
        <w:rPr>
          <w:rFonts w:hint="eastAsia" w:ascii="宋体" w:hAnsi="宋体"/>
          <w:sz w:val="24"/>
        </w:rPr>
        <w:t>复印件</w:t>
      </w:r>
    </w:p>
    <w:p>
      <w:pPr>
        <w:snapToGrid w:val="0"/>
        <w:spacing w:line="360" w:lineRule="auto"/>
        <w:ind w:firstLine="480" w:firstLineChars="200"/>
        <w:rPr>
          <w:rFonts w:ascii="宋体" w:hAnsi="宋体"/>
          <w:sz w:val="24"/>
        </w:rPr>
      </w:pPr>
      <w:r>
        <w:rPr>
          <w:rFonts w:hint="eastAsia" w:ascii="宋体" w:hAnsi="宋体"/>
          <w:sz w:val="24"/>
        </w:rPr>
        <w:t xml:space="preserve">   2）企业纳税证明或者会计师事务所出具的财务审计报告</w:t>
      </w:r>
    </w:p>
    <w:p>
      <w:pPr>
        <w:snapToGrid w:val="0"/>
        <w:spacing w:line="360" w:lineRule="auto"/>
        <w:ind w:firstLine="840" w:firstLineChars="350"/>
        <w:rPr>
          <w:rFonts w:ascii="宋体" w:hAnsi="宋体"/>
          <w:sz w:val="24"/>
        </w:rPr>
      </w:pPr>
      <w:r>
        <w:rPr>
          <w:rFonts w:hint="eastAsia" w:ascii="宋体" w:hAnsi="宋体"/>
          <w:sz w:val="24"/>
        </w:rPr>
        <w:t>3）社会保障缴费记录复印件</w:t>
      </w:r>
    </w:p>
    <w:p>
      <w:pPr>
        <w:snapToGrid w:val="0"/>
        <w:spacing w:line="360" w:lineRule="auto"/>
        <w:ind w:firstLine="480" w:firstLineChars="200"/>
        <w:rPr>
          <w:rFonts w:ascii="宋体" w:hAnsi="宋体"/>
          <w:sz w:val="24"/>
        </w:rPr>
      </w:pPr>
      <w:r>
        <w:rPr>
          <w:rFonts w:hint="eastAsia" w:ascii="宋体" w:hAnsi="宋体"/>
          <w:sz w:val="24"/>
        </w:rPr>
        <w:t xml:space="preserve">   4）</w:t>
      </w:r>
      <w:r>
        <w:rPr>
          <w:rFonts w:hint="eastAsia" w:ascii="宋体" w:hAnsi="宋体" w:cs="宋体"/>
          <w:sz w:val="24"/>
        </w:rPr>
        <w:t>参加政府采购活动前三年内，在经营活动中没有重大违法记录的声明函（表5）</w:t>
      </w:r>
    </w:p>
    <w:p>
      <w:pPr>
        <w:snapToGrid w:val="0"/>
        <w:spacing w:line="360" w:lineRule="auto"/>
        <w:ind w:firstLine="840" w:firstLineChars="350"/>
        <w:rPr>
          <w:rFonts w:ascii="宋体" w:hAnsi="宋体"/>
          <w:sz w:val="24"/>
        </w:rPr>
      </w:pPr>
      <w:r>
        <w:rPr>
          <w:rFonts w:hint="eastAsia" w:ascii="宋体" w:hAnsi="宋体"/>
          <w:sz w:val="24"/>
        </w:rPr>
        <w:t>5）保证金缴纳证明复印件</w:t>
      </w:r>
    </w:p>
    <w:p>
      <w:pPr>
        <w:snapToGrid w:val="0"/>
        <w:spacing w:line="360" w:lineRule="auto"/>
        <w:ind w:firstLine="480" w:firstLineChars="200"/>
        <w:rPr>
          <w:rFonts w:ascii="宋体" w:hAnsi="宋体"/>
          <w:sz w:val="24"/>
        </w:rPr>
      </w:pPr>
      <w:r>
        <w:rPr>
          <w:rFonts w:hint="eastAsia" w:ascii="宋体" w:hAnsi="宋体"/>
          <w:sz w:val="24"/>
        </w:rPr>
        <w:t xml:space="preserve">   6）报价人资格要求中的其他材料</w:t>
      </w:r>
    </w:p>
    <w:p>
      <w:pPr>
        <w:snapToGrid w:val="0"/>
        <w:spacing w:line="360" w:lineRule="auto"/>
        <w:ind w:firstLine="480" w:firstLineChars="200"/>
        <w:rPr>
          <w:rFonts w:ascii="宋体" w:hAnsi="宋体"/>
          <w:sz w:val="24"/>
        </w:rPr>
      </w:pPr>
      <w:r>
        <w:rPr>
          <w:rFonts w:hint="eastAsia" w:ascii="宋体" w:hAnsi="宋体"/>
          <w:sz w:val="24"/>
        </w:rPr>
        <w:t>8.</w:t>
      </w:r>
      <w:r>
        <w:rPr>
          <w:rFonts w:ascii="宋体" w:hAnsi="宋体"/>
          <w:sz w:val="24"/>
        </w:rPr>
        <w:t xml:space="preserve"> </w:t>
      </w:r>
      <w:r>
        <w:rPr>
          <w:rFonts w:hint="eastAsia" w:ascii="宋体" w:hAnsi="宋体"/>
          <w:sz w:val="24"/>
        </w:rPr>
        <w:t>针对本项目的成本核算及情况说明</w:t>
      </w:r>
    </w:p>
    <w:p>
      <w:pPr>
        <w:snapToGrid w:val="0"/>
        <w:spacing w:line="360" w:lineRule="auto"/>
        <w:ind w:firstLine="480" w:firstLineChars="200"/>
        <w:rPr>
          <w:rFonts w:ascii="宋体" w:hAnsi="宋体"/>
          <w:sz w:val="24"/>
        </w:rPr>
      </w:pPr>
      <w:r>
        <w:rPr>
          <w:rFonts w:hint="eastAsia" w:ascii="宋体" w:hAnsi="宋体"/>
          <w:sz w:val="24"/>
        </w:rPr>
        <w:t>9</w:t>
      </w:r>
      <w:r>
        <w:rPr>
          <w:rFonts w:ascii="宋体" w:hAnsi="宋体"/>
          <w:sz w:val="24"/>
        </w:rPr>
        <w:t xml:space="preserve">. </w:t>
      </w:r>
      <w:r>
        <w:rPr>
          <w:rFonts w:hint="eastAsia" w:ascii="宋体" w:hAnsi="宋体"/>
          <w:sz w:val="24"/>
        </w:rPr>
        <w:t>报价人同类项目合同价格清单及相应的合同复印件</w:t>
      </w:r>
    </w:p>
    <w:p>
      <w:pPr>
        <w:snapToGrid w:val="0"/>
        <w:spacing w:line="360" w:lineRule="auto"/>
        <w:ind w:firstLine="480" w:firstLineChars="200"/>
        <w:rPr>
          <w:rFonts w:ascii="宋体" w:hAnsi="宋体"/>
          <w:sz w:val="24"/>
        </w:rPr>
      </w:pPr>
      <w:r>
        <w:rPr>
          <w:rFonts w:hint="eastAsia" w:ascii="宋体" w:hAnsi="宋体"/>
          <w:sz w:val="24"/>
        </w:rPr>
        <w:t>10.</w:t>
      </w:r>
      <w:r>
        <w:rPr>
          <w:rFonts w:ascii="宋体" w:hAnsi="宋体"/>
          <w:sz w:val="24"/>
        </w:rPr>
        <w:t xml:space="preserve"> </w:t>
      </w:r>
      <w:r>
        <w:rPr>
          <w:rFonts w:hint="eastAsia" w:ascii="宋体" w:hAnsi="宋体"/>
          <w:sz w:val="24"/>
        </w:rPr>
        <w:t>技术部分(根据“用户需求书”内容做出全面响应，内容包括且不仅限于软件解决方案、项目实施方案、售后方案、培训方案等)</w:t>
      </w:r>
    </w:p>
    <w:p>
      <w:pPr>
        <w:snapToGrid w:val="0"/>
        <w:spacing w:line="360" w:lineRule="auto"/>
        <w:ind w:firstLine="480" w:firstLineChars="200"/>
        <w:rPr>
          <w:rFonts w:ascii="宋体" w:hAnsi="宋体"/>
          <w:sz w:val="24"/>
        </w:rPr>
      </w:pPr>
      <w:r>
        <w:rPr>
          <w:rFonts w:hint="eastAsia" w:ascii="宋体" w:hAnsi="宋体"/>
          <w:sz w:val="24"/>
        </w:rPr>
        <w:t>11.</w:t>
      </w:r>
      <w:r>
        <w:rPr>
          <w:rFonts w:ascii="宋体" w:hAnsi="宋体"/>
          <w:sz w:val="24"/>
        </w:rPr>
        <w:t xml:space="preserve"> </w:t>
      </w:r>
      <w:r>
        <w:rPr>
          <w:rFonts w:hint="eastAsia" w:ascii="宋体" w:hAnsi="宋体"/>
          <w:sz w:val="24"/>
        </w:rPr>
        <w:t>报价人认为需要的其它材料</w:t>
      </w:r>
    </w:p>
    <w:p>
      <w:pPr>
        <w:spacing w:line="360" w:lineRule="auto"/>
        <w:ind w:firstLine="480" w:firstLineChars="200"/>
        <w:rPr>
          <w:sz w:val="24"/>
        </w:rPr>
      </w:pPr>
    </w:p>
    <w:p>
      <w:pPr>
        <w:spacing w:line="360" w:lineRule="auto"/>
        <w:ind w:firstLine="480" w:firstLineChars="200"/>
        <w:rPr>
          <w:sz w:val="24"/>
        </w:rPr>
      </w:pPr>
      <w:r>
        <w:rPr>
          <w:rFonts w:hint="eastAsia"/>
          <w:sz w:val="24"/>
        </w:rPr>
        <w:t>注：以上材料需要加盖公章</w:t>
      </w:r>
    </w:p>
    <w:p>
      <w:pPr>
        <w:spacing w:line="360" w:lineRule="auto"/>
        <w:rPr>
          <w:sz w:val="24"/>
        </w:rPr>
      </w:pPr>
      <w:r>
        <w:rPr>
          <w:rFonts w:hint="eastAsia"/>
          <w:sz w:val="24"/>
        </w:rPr>
        <w:t xml:space="preserve"> </w:t>
      </w:r>
    </w:p>
    <w:p>
      <w:pPr>
        <w:pStyle w:val="5"/>
      </w:pPr>
      <w:r>
        <w:br w:type="page"/>
      </w:r>
      <w:bookmarkStart w:id="461" w:name="_Toc475436585"/>
      <w:bookmarkStart w:id="462" w:name="_Toc31342"/>
      <w:bookmarkStart w:id="463" w:name="_Toc475436467"/>
      <w:bookmarkStart w:id="464" w:name="_Toc520275555"/>
      <w:bookmarkStart w:id="465" w:name="_Toc67640168"/>
      <w:r>
        <w:rPr>
          <w:rFonts w:hint="eastAsia"/>
        </w:rPr>
        <w:t>表1.报价函</w:t>
      </w:r>
      <w:bookmarkEnd w:id="461"/>
      <w:bookmarkEnd w:id="462"/>
      <w:bookmarkEnd w:id="463"/>
      <w:bookmarkEnd w:id="464"/>
      <w:bookmarkEnd w:id="465"/>
    </w:p>
    <w:p>
      <w:pPr>
        <w:spacing w:line="360" w:lineRule="auto"/>
        <w:rPr>
          <w:sz w:val="24"/>
        </w:rPr>
      </w:pPr>
    </w:p>
    <w:p>
      <w:pPr>
        <w:spacing w:before="19" w:line="360" w:lineRule="auto"/>
        <w:rPr>
          <w:rFonts w:ascii="宋体" w:hAnsi="宋体"/>
          <w:sz w:val="24"/>
        </w:rPr>
      </w:pPr>
      <w:r>
        <w:rPr>
          <w:rFonts w:hint="eastAsia" w:ascii="宋体" w:hAnsi="宋体"/>
          <w:sz w:val="24"/>
        </w:rPr>
        <w:t>致：海南和信源招标代理有限公司：</w:t>
      </w:r>
    </w:p>
    <w:p>
      <w:pPr>
        <w:spacing w:line="360" w:lineRule="auto"/>
        <w:ind w:firstLine="600" w:firstLineChars="250"/>
        <w:rPr>
          <w:rFonts w:ascii="宋体" w:hAnsi="宋体"/>
          <w:sz w:val="24"/>
        </w:rPr>
      </w:pPr>
      <w:r>
        <w:rPr>
          <w:rFonts w:hint="eastAsia" w:ascii="宋体" w:hAnsi="宋体"/>
          <w:sz w:val="24"/>
        </w:rPr>
        <w:t>根据贵单位“</w:t>
      </w:r>
      <w:r>
        <w:rPr>
          <w:rFonts w:hint="eastAsia" w:ascii="宋体" w:hAnsi="宋体" w:cs="Tahoma"/>
          <w:kern w:val="28"/>
          <w:sz w:val="24"/>
          <w:u w:val="single"/>
        </w:rPr>
        <w:t>海南省“码上办事”平台项目</w:t>
      </w:r>
      <w:r>
        <w:rPr>
          <w:rFonts w:hint="eastAsia" w:ascii="宋体" w:hAnsi="宋体"/>
          <w:sz w:val="24"/>
        </w:rPr>
        <w:t>”（项目编号为</w:t>
      </w:r>
      <w:r>
        <w:rPr>
          <w:rFonts w:hint="eastAsia" w:ascii="宋体" w:hAnsi="宋体"/>
          <w:sz w:val="24"/>
          <w:u w:val="single"/>
        </w:rPr>
        <w:t xml:space="preserve"> </w:t>
      </w:r>
      <w:r>
        <w:rPr>
          <w:rFonts w:hint="eastAsia" w:ascii="宋体" w:hAnsi="宋体"/>
          <w:b/>
          <w:sz w:val="24"/>
          <w:u w:val="single"/>
        </w:rPr>
        <w:t>HXY2021-037</w:t>
      </w:r>
      <w:r>
        <w:rPr>
          <w:rFonts w:hint="eastAsia" w:ascii="宋体" w:hAnsi="宋体"/>
          <w:sz w:val="24"/>
          <w:u w:val="single"/>
        </w:rPr>
        <w:t>）</w:t>
      </w:r>
      <w:r>
        <w:rPr>
          <w:rFonts w:hint="eastAsia" w:ascii="宋体" w:hAnsi="宋体"/>
          <w:sz w:val="24"/>
        </w:rPr>
        <w:t>的报价邀请函， 正式授权下述签字人</w:t>
      </w:r>
      <w:r>
        <w:rPr>
          <w:rFonts w:hint="eastAsia" w:ascii="宋体" w:hAnsi="宋体"/>
          <w:sz w:val="24"/>
          <w:u w:val="single"/>
        </w:rPr>
        <w:t xml:space="preserve">          </w:t>
      </w:r>
      <w:r>
        <w:rPr>
          <w:rFonts w:hint="eastAsia" w:ascii="宋体" w:hAnsi="宋体"/>
          <w:sz w:val="24"/>
        </w:rPr>
        <w:t>（姓名和职务）代表报价人</w:t>
      </w:r>
      <w:r>
        <w:rPr>
          <w:rFonts w:hint="eastAsia" w:ascii="宋体" w:hAnsi="宋体"/>
          <w:sz w:val="24"/>
          <w:u w:val="single"/>
        </w:rPr>
        <w:t xml:space="preserve">          </w:t>
      </w:r>
      <w:r>
        <w:rPr>
          <w:rFonts w:hint="eastAsia" w:ascii="宋体" w:hAnsi="宋体"/>
          <w:sz w:val="24"/>
        </w:rPr>
        <w:t>（报价单位名称），提交响应文件。</w:t>
      </w:r>
    </w:p>
    <w:p>
      <w:pPr>
        <w:spacing w:line="360" w:lineRule="auto"/>
        <w:ind w:firstLine="480" w:firstLineChars="200"/>
        <w:rPr>
          <w:rFonts w:ascii="宋体" w:hAnsi="宋体"/>
          <w:sz w:val="24"/>
        </w:rPr>
      </w:pPr>
      <w:r>
        <w:rPr>
          <w:rFonts w:hint="eastAsia" w:ascii="宋体" w:hAnsi="宋体"/>
          <w:sz w:val="24"/>
        </w:rPr>
        <w:t>根据此函，我们宣布同意如下：</w:t>
      </w:r>
    </w:p>
    <w:p>
      <w:pPr>
        <w:spacing w:line="360" w:lineRule="auto"/>
        <w:rPr>
          <w:rFonts w:ascii="宋体" w:hAnsi="宋体"/>
          <w:sz w:val="24"/>
        </w:rPr>
      </w:pPr>
      <w:r>
        <w:rPr>
          <w:rFonts w:hint="eastAsia" w:ascii="宋体" w:hAnsi="宋体"/>
          <w:sz w:val="24"/>
        </w:rPr>
        <w:t xml:space="preserve">    1.</w:t>
      </w:r>
      <w:r>
        <w:rPr>
          <w:rFonts w:ascii="宋体" w:hAnsi="宋体"/>
          <w:sz w:val="24"/>
        </w:rPr>
        <w:t xml:space="preserve"> </w:t>
      </w:r>
      <w:r>
        <w:rPr>
          <w:rFonts w:hint="eastAsia" w:ascii="宋体" w:hAnsi="宋体"/>
          <w:sz w:val="24"/>
        </w:rPr>
        <w:t>我方接受单一来源采购文件的所有的条款和规定。</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我方同意按照单一来源采购文件第一章“报价人须知”的规定，本响应文件的有效期为从报价截止日期起计算的</w:t>
      </w:r>
      <w:r>
        <w:rPr>
          <w:rFonts w:hint="eastAsia" w:ascii="宋体" w:hAnsi="宋体"/>
          <w:sz w:val="24"/>
          <w:u w:val="single"/>
        </w:rPr>
        <w:t>60天</w:t>
      </w:r>
      <w:r>
        <w:rPr>
          <w:rFonts w:hint="eastAsia" w:ascii="宋体" w:hAnsi="宋体"/>
          <w:sz w:val="24"/>
        </w:rPr>
        <w:t>，在此期间，本响应文件将始终对我方具有约束力，并可随时被接受。</w:t>
      </w:r>
    </w:p>
    <w:p>
      <w:pPr>
        <w:spacing w:line="360" w:lineRule="auto"/>
        <w:rPr>
          <w:rFonts w:ascii="宋体" w:hAnsi="宋体"/>
          <w:sz w:val="24"/>
        </w:rPr>
      </w:pPr>
      <w:r>
        <w:rPr>
          <w:rFonts w:hint="eastAsia" w:ascii="宋体" w:hAnsi="宋体"/>
          <w:sz w:val="24"/>
        </w:rPr>
        <w:t xml:space="preserve">    3.</w:t>
      </w:r>
      <w:r>
        <w:rPr>
          <w:rFonts w:ascii="宋体" w:hAnsi="宋体"/>
          <w:sz w:val="24"/>
        </w:rPr>
        <w:t xml:space="preserve"> </w:t>
      </w:r>
      <w:r>
        <w:rPr>
          <w:rFonts w:hint="eastAsia" w:ascii="宋体" w:hAnsi="宋体"/>
          <w:sz w:val="24"/>
        </w:rPr>
        <w:t>我们同意提供贵单位要求的有关本次报价的所有资料或证据。</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 xml:space="preserve"> </w:t>
      </w:r>
      <w:r>
        <w:rPr>
          <w:rFonts w:hint="eastAsia" w:ascii="宋体" w:hAnsi="宋体"/>
          <w:sz w:val="24"/>
        </w:rPr>
        <w:t>如果我方成交，我们将根据招标文件的规定严格履行自己的责任和义务。</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如果我方成交，我方将支付本次招标的服务费。</w:t>
      </w:r>
    </w:p>
    <w:p>
      <w:pPr>
        <w:spacing w:line="360" w:lineRule="auto"/>
        <w:ind w:firstLine="570"/>
        <w:rPr>
          <w:rFonts w:ascii="宋体" w:hAnsi="宋体"/>
          <w:sz w:val="24"/>
        </w:rPr>
      </w:pPr>
    </w:p>
    <w:p>
      <w:pPr>
        <w:pStyle w:val="2"/>
      </w:pPr>
    </w:p>
    <w:p>
      <w:pPr>
        <w:spacing w:line="360" w:lineRule="auto"/>
        <w:rPr>
          <w:rFonts w:ascii="宋体" w:hAnsi="宋体"/>
          <w:sz w:val="24"/>
        </w:rPr>
      </w:pPr>
      <w:r>
        <w:rPr>
          <w:rFonts w:hint="eastAsia" w:ascii="宋体" w:hAnsi="宋体"/>
          <w:sz w:val="24"/>
        </w:rPr>
        <w:t xml:space="preserve">        报价人名称：</w:t>
      </w:r>
      <w:r>
        <w:rPr>
          <w:rFonts w:hint="eastAsia" w:ascii="宋体" w:hAnsi="宋体"/>
          <w:sz w:val="24"/>
          <w:u w:val="single"/>
        </w:rPr>
        <w:t xml:space="preserve">              （公章）</w:t>
      </w:r>
    </w:p>
    <w:p>
      <w:pPr>
        <w:spacing w:line="360" w:lineRule="auto"/>
        <w:rPr>
          <w:rFonts w:ascii="宋体" w:hAnsi="宋体"/>
          <w:sz w:val="24"/>
          <w:u w:val="single"/>
        </w:rPr>
      </w:pPr>
      <w:r>
        <w:rPr>
          <w:rFonts w:hint="eastAsia" w:ascii="宋体" w:hAnsi="宋体"/>
          <w:sz w:val="24"/>
        </w:rPr>
        <w:t xml:space="preserve">        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 xml:space="preserve">        授权代表：</w:t>
      </w:r>
      <w:r>
        <w:rPr>
          <w:rFonts w:hint="eastAsia" w:ascii="宋体" w:hAnsi="宋体"/>
          <w:sz w:val="24"/>
          <w:u w:val="single"/>
        </w:rPr>
        <w:t xml:space="preserve">    （签字或私章）        </w:t>
      </w:r>
      <w:r>
        <w:rPr>
          <w:rFonts w:hint="eastAsia" w:ascii="宋体" w:hAnsi="宋体"/>
          <w:sz w:val="24"/>
        </w:rPr>
        <w:t xml:space="preserve">   职务：</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 xml:space="preserve">        日期：</w:t>
      </w:r>
      <w:r>
        <w:rPr>
          <w:rFonts w:hint="eastAsia" w:ascii="宋体" w:hAnsi="宋体"/>
          <w:sz w:val="24"/>
          <w:u w:val="single"/>
        </w:rPr>
        <w:t xml:space="preserve">                  </w:t>
      </w:r>
    </w:p>
    <w:p>
      <w:pPr>
        <w:pStyle w:val="5"/>
      </w:pPr>
      <w:r>
        <w:rPr>
          <w:sz w:val="24"/>
          <w:u w:val="single"/>
        </w:rPr>
        <w:br w:type="page"/>
      </w:r>
      <w:bookmarkStart w:id="466" w:name="_Toc13192"/>
      <w:bookmarkStart w:id="467" w:name="_Toc171325099"/>
      <w:bookmarkStart w:id="468" w:name="_Toc67640169"/>
      <w:r>
        <w:rPr>
          <w:rFonts w:hint="eastAsia"/>
        </w:rPr>
        <w:t>表2.报价一览表</w:t>
      </w:r>
      <w:bookmarkEnd w:id="466"/>
      <w:bookmarkEnd w:id="467"/>
      <w:bookmarkEnd w:id="468"/>
    </w:p>
    <w:p>
      <w:pPr>
        <w:spacing w:before="19" w:line="360" w:lineRule="auto"/>
        <w:rPr>
          <w:rFonts w:ascii="宋体" w:hAnsi="宋体"/>
          <w:sz w:val="24"/>
        </w:rPr>
      </w:pPr>
      <w:r>
        <w:rPr>
          <w:rFonts w:hint="eastAsia" w:ascii="宋体" w:hAnsi="宋体"/>
          <w:sz w:val="24"/>
        </w:rPr>
        <w:t>项目名称：</w:t>
      </w:r>
      <w:r>
        <w:rPr>
          <w:rFonts w:hint="eastAsia" w:ascii="宋体" w:hAnsi="宋体" w:cs="Tahoma"/>
          <w:kern w:val="28"/>
          <w:sz w:val="24"/>
          <w:u w:val="single"/>
        </w:rPr>
        <w:t>海南省“码上办事”平台项目</w:t>
      </w:r>
      <w:r>
        <w:rPr>
          <w:rFonts w:hint="eastAsia" w:ascii="宋体" w:hAnsi="宋体"/>
          <w:sz w:val="24"/>
        </w:rPr>
        <w:t xml:space="preserve">            </w:t>
      </w:r>
    </w:p>
    <w:p>
      <w:pPr>
        <w:spacing w:before="19" w:line="360" w:lineRule="auto"/>
        <w:rPr>
          <w:rFonts w:ascii="宋体" w:hAnsi="宋体"/>
          <w:sz w:val="24"/>
        </w:rPr>
      </w:pPr>
      <w:r>
        <w:rPr>
          <w:rFonts w:hint="eastAsia" w:ascii="宋体" w:hAnsi="宋体"/>
          <w:sz w:val="24"/>
        </w:rPr>
        <w:t>项目编号：</w:t>
      </w:r>
      <w:r>
        <w:rPr>
          <w:rFonts w:hint="eastAsia" w:ascii="宋体" w:hAnsi="宋体"/>
          <w:b/>
          <w:sz w:val="24"/>
        </w:rPr>
        <w:t>HXY2021-037             工期：</w:t>
      </w:r>
      <w:r>
        <w:rPr>
          <w:rFonts w:hint="eastAsia" w:ascii="宋体" w:hAnsi="宋体"/>
          <w:b/>
          <w:bCs/>
          <w:sz w:val="24"/>
        </w:rPr>
        <w:t>18个月</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657"/>
        <w:gridCol w:w="1150"/>
        <w:gridCol w:w="692"/>
        <w:gridCol w:w="1276"/>
        <w:gridCol w:w="1276"/>
        <w:gridCol w:w="1308"/>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auto"/>
              <w:jc w:val="center"/>
              <w:rPr>
                <w:rFonts w:ascii="宋体" w:hAnsi="宋体"/>
                <w:b/>
              </w:rPr>
            </w:pPr>
            <w:r>
              <w:rPr>
                <w:rFonts w:hint="eastAsia" w:ascii="宋体" w:hAnsi="宋体"/>
                <w:b/>
              </w:rPr>
              <w:t>序号</w:t>
            </w:r>
          </w:p>
        </w:tc>
        <w:tc>
          <w:tcPr>
            <w:tcW w:w="1657" w:type="dxa"/>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auto"/>
              <w:jc w:val="center"/>
              <w:rPr>
                <w:rFonts w:ascii="宋体" w:hAnsi="宋体"/>
                <w:b/>
              </w:rPr>
            </w:pPr>
            <w:r>
              <w:rPr>
                <w:rFonts w:hint="eastAsia" w:ascii="宋体" w:hAnsi="宋体"/>
                <w:b/>
              </w:rPr>
              <w:t>名称</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auto"/>
              <w:jc w:val="center"/>
              <w:rPr>
                <w:rFonts w:ascii="宋体" w:hAnsi="宋体"/>
                <w:b/>
              </w:rPr>
            </w:pPr>
            <w:r>
              <w:rPr>
                <w:rFonts w:hint="eastAsia" w:ascii="宋体" w:hAnsi="宋体"/>
                <w:b/>
              </w:rPr>
              <w:t>项目内容</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auto"/>
              <w:jc w:val="center"/>
              <w:rPr>
                <w:rFonts w:ascii="宋体" w:hAnsi="宋体"/>
                <w:b/>
              </w:rPr>
            </w:pPr>
            <w:r>
              <w:rPr>
                <w:rFonts w:hint="eastAsia" w:ascii="宋体" w:hAnsi="宋体"/>
                <w:b/>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auto"/>
              <w:ind w:firstLine="120"/>
              <w:jc w:val="center"/>
              <w:rPr>
                <w:rFonts w:ascii="宋体" w:hAnsi="宋体"/>
                <w:b/>
              </w:rPr>
            </w:pPr>
            <w:r>
              <w:rPr>
                <w:rFonts w:hint="eastAsia" w:ascii="宋体" w:hAnsi="宋体"/>
                <w:b/>
              </w:rPr>
              <w:t>数量</w:t>
            </w: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auto"/>
              <w:jc w:val="center"/>
              <w:rPr>
                <w:rFonts w:ascii="宋体" w:hAnsi="宋体"/>
                <w:b/>
              </w:rPr>
            </w:pPr>
            <w:r>
              <w:rPr>
                <w:rFonts w:hint="eastAsia" w:ascii="宋体" w:hAnsi="宋体"/>
                <w:b/>
              </w:rPr>
              <w:t>单价</w:t>
            </w: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360"/>
              </w:tabs>
              <w:spacing w:line="360" w:lineRule="auto"/>
              <w:jc w:val="center"/>
              <w:rPr>
                <w:rFonts w:ascii="宋体" w:hAnsi="宋体"/>
                <w:b/>
              </w:rPr>
            </w:pPr>
            <w:r>
              <w:rPr>
                <w:rFonts w:hint="eastAsia" w:ascii="宋体" w:hAnsi="宋体"/>
                <w:b/>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rPr>
                <w:rFonts w:ascii="宋体" w:hAnsi="宋体"/>
              </w:rPr>
            </w:pPr>
            <w:r>
              <w:rPr>
                <w:rFonts w:hint="eastAsia" w:ascii="宋体" w:hAnsi="宋体"/>
              </w:rPr>
              <w:t>1</w:t>
            </w:r>
          </w:p>
        </w:tc>
        <w:tc>
          <w:tcPr>
            <w:tcW w:w="16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lang w:val="de-DE"/>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00"/>
              <w:rPr>
                <w:rFonts w:ascii="宋体"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tabs>
                <w:tab w:val="left" w:pos="360"/>
              </w:tabs>
              <w:spacing w:before="67" w:line="360" w:lineRule="auto"/>
              <w:ind w:right="-357" w:firstLine="120"/>
              <w:rPr>
                <w:rFonts w:ascii="宋体" w:hAnsi="宋体"/>
              </w:rPr>
            </w:pP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rPr>
                <w:rFonts w:ascii="宋体" w:hAnsi="宋体"/>
              </w:rPr>
            </w:pPr>
            <w:r>
              <w:rPr>
                <w:rFonts w:hint="eastAsia" w:ascii="宋体" w:hAnsi="宋体"/>
              </w:rPr>
              <w:t>2</w:t>
            </w:r>
          </w:p>
        </w:tc>
        <w:tc>
          <w:tcPr>
            <w:tcW w:w="16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00"/>
              <w:rPr>
                <w:rFonts w:ascii="宋体"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tabs>
                <w:tab w:val="left" w:pos="360"/>
              </w:tabs>
              <w:spacing w:before="67" w:line="360" w:lineRule="auto"/>
              <w:ind w:right="-357" w:firstLine="120"/>
              <w:rPr>
                <w:rFonts w:ascii="宋体" w:hAnsi="宋体"/>
              </w:rPr>
            </w:pP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rPr>
                <w:rFonts w:ascii="宋体" w:hAnsi="宋体"/>
              </w:rPr>
            </w:pPr>
            <w:r>
              <w:rPr>
                <w:rFonts w:hint="eastAsia" w:ascii="宋体" w:hAnsi="宋体"/>
              </w:rPr>
              <w:t>3</w:t>
            </w:r>
          </w:p>
        </w:tc>
        <w:tc>
          <w:tcPr>
            <w:tcW w:w="16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00"/>
              <w:rPr>
                <w:rFonts w:ascii="宋体"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tabs>
                <w:tab w:val="left" w:pos="360"/>
              </w:tabs>
              <w:spacing w:before="67" w:line="360" w:lineRule="auto"/>
              <w:ind w:right="-357" w:firstLine="120"/>
              <w:rPr>
                <w:rFonts w:ascii="宋体" w:hAnsi="宋体"/>
              </w:rPr>
            </w:pP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rPr>
                <w:rFonts w:ascii="宋体" w:hAnsi="宋体"/>
              </w:rPr>
            </w:pPr>
            <w:r>
              <w:rPr>
                <w:rFonts w:hint="eastAsia" w:ascii="宋体" w:hAnsi="宋体"/>
              </w:rPr>
              <w:t>4</w:t>
            </w:r>
          </w:p>
        </w:tc>
        <w:tc>
          <w:tcPr>
            <w:tcW w:w="16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00"/>
              <w:rPr>
                <w:rFonts w:ascii="宋体"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tabs>
                <w:tab w:val="left" w:pos="360"/>
              </w:tabs>
              <w:spacing w:before="67" w:line="360" w:lineRule="auto"/>
              <w:ind w:right="-357" w:firstLine="120"/>
              <w:rPr>
                <w:rFonts w:ascii="宋体" w:hAnsi="宋体"/>
              </w:rPr>
            </w:pP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rPr>
                <w:rFonts w:ascii="宋体" w:hAnsi="宋体"/>
              </w:rPr>
            </w:pPr>
            <w:r>
              <w:rPr>
                <w:rFonts w:hint="eastAsia" w:ascii="宋体" w:hAnsi="宋体"/>
              </w:rPr>
              <w:t>5</w:t>
            </w:r>
          </w:p>
        </w:tc>
        <w:tc>
          <w:tcPr>
            <w:tcW w:w="16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00"/>
              <w:rPr>
                <w:rFonts w:ascii="宋体" w:hAnsi="宋体"/>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tabs>
                <w:tab w:val="left" w:pos="360"/>
              </w:tabs>
              <w:spacing w:before="67" w:line="360" w:lineRule="auto"/>
              <w:ind w:right="-357" w:firstLine="120"/>
              <w:rPr>
                <w:rFonts w:ascii="宋体" w:hAnsi="宋体"/>
              </w:rPr>
            </w:pP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rPr>
                <w:rFonts w:ascii="宋体" w:hAnsi="宋体"/>
              </w:rPr>
            </w:pPr>
            <w:r>
              <w:rPr>
                <w:rFonts w:hint="eastAsia" w:ascii="宋体" w:hAnsi="宋体"/>
              </w:rPr>
              <w:t>…</w:t>
            </w:r>
          </w:p>
        </w:tc>
        <w:tc>
          <w:tcPr>
            <w:tcW w:w="16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00"/>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c>
          <w:tcPr>
            <w:tcW w:w="1276" w:type="dxa"/>
            <w:tcBorders>
              <w:top w:val="single" w:color="auto" w:sz="4" w:space="0"/>
              <w:left w:val="single" w:color="auto" w:sz="4" w:space="0"/>
              <w:bottom w:val="single" w:color="auto" w:sz="4" w:space="0"/>
              <w:right w:val="single" w:color="auto" w:sz="4" w:space="0"/>
            </w:tcBorders>
          </w:tcPr>
          <w:p>
            <w:pPr>
              <w:tabs>
                <w:tab w:val="left" w:pos="360"/>
              </w:tabs>
              <w:spacing w:before="67" w:line="360" w:lineRule="auto"/>
              <w:ind w:right="-357" w:firstLine="120"/>
              <w:rPr>
                <w:rFonts w:ascii="宋体" w:hAnsi="宋体"/>
              </w:rPr>
            </w:pPr>
          </w:p>
        </w:tc>
        <w:tc>
          <w:tcPr>
            <w:tcW w:w="1308"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c>
          <w:tcPr>
            <w:tcW w:w="1159" w:type="dxa"/>
            <w:tcBorders>
              <w:top w:val="single" w:color="auto" w:sz="4" w:space="0"/>
              <w:left w:val="single" w:color="auto" w:sz="4" w:space="0"/>
              <w:bottom w:val="single" w:color="auto" w:sz="4" w:space="0"/>
              <w:right w:val="single" w:color="auto" w:sz="4" w:space="0"/>
            </w:tcBorders>
            <w:vAlign w:val="center"/>
          </w:tcPr>
          <w:p>
            <w:pPr>
              <w:tabs>
                <w:tab w:val="left" w:pos="360"/>
              </w:tabs>
              <w:spacing w:before="67" w:line="360" w:lineRule="auto"/>
              <w:ind w:right="-357" w:firstLine="24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265"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jc w:val="center"/>
              <w:rPr>
                <w:b/>
                <w:sz w:val="24"/>
                <w:szCs w:val="21"/>
              </w:rPr>
            </w:pPr>
          </w:p>
          <w:p>
            <w:pPr>
              <w:autoSpaceDE w:val="0"/>
              <w:autoSpaceDN w:val="0"/>
              <w:adjustRightInd w:val="0"/>
              <w:spacing w:line="360" w:lineRule="auto"/>
              <w:jc w:val="center"/>
              <w:rPr>
                <w:sz w:val="24"/>
                <w:szCs w:val="21"/>
              </w:rPr>
            </w:pPr>
            <w:r>
              <w:rPr>
                <w:rFonts w:hint="eastAsia"/>
                <w:b/>
                <w:sz w:val="24"/>
                <w:szCs w:val="21"/>
              </w:rPr>
              <w:t>投标总额</w:t>
            </w:r>
          </w:p>
        </w:tc>
        <w:tc>
          <w:tcPr>
            <w:tcW w:w="1150" w:type="dxa"/>
            <w:tcBorders>
              <w:top w:val="single" w:color="auto" w:sz="4" w:space="0"/>
              <w:left w:val="single" w:color="auto" w:sz="4" w:space="0"/>
              <w:right w:val="single" w:color="auto" w:sz="4" w:space="0"/>
            </w:tcBorders>
          </w:tcPr>
          <w:p>
            <w:pPr>
              <w:spacing w:line="360" w:lineRule="auto"/>
              <w:rPr>
                <w:b/>
                <w:sz w:val="24"/>
                <w:szCs w:val="21"/>
              </w:rPr>
            </w:pPr>
            <w:r>
              <w:rPr>
                <w:b/>
                <w:sz w:val="24"/>
                <w:szCs w:val="21"/>
              </w:rPr>
              <w:t>（小写）</w:t>
            </w:r>
          </w:p>
        </w:tc>
        <w:tc>
          <w:tcPr>
            <w:tcW w:w="5711" w:type="dxa"/>
            <w:gridSpan w:val="5"/>
            <w:tcBorders>
              <w:top w:val="single" w:color="auto" w:sz="4" w:space="0"/>
              <w:left w:val="single" w:color="auto" w:sz="4" w:space="0"/>
              <w:bottom w:val="single" w:color="auto" w:sz="4" w:space="0"/>
              <w:right w:val="single" w:color="auto" w:sz="4" w:space="0"/>
            </w:tcBorders>
          </w:tcPr>
          <w:p>
            <w:pPr>
              <w:spacing w:line="360" w:lineRule="auto"/>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5" w:type="dxa"/>
            <w:gridSpan w:val="2"/>
            <w:vMerge w:val="continue"/>
            <w:tcBorders>
              <w:left w:val="single" w:color="auto" w:sz="4" w:space="0"/>
              <w:right w:val="single" w:color="auto" w:sz="4" w:space="0"/>
            </w:tcBorders>
          </w:tcPr>
          <w:p>
            <w:pPr>
              <w:spacing w:line="360" w:lineRule="auto"/>
              <w:jc w:val="center"/>
              <w:rPr>
                <w:rFonts w:ascii="宋体" w:hAnsi="宋体" w:cs="Arial Unicode MS"/>
              </w:rPr>
            </w:pPr>
          </w:p>
        </w:tc>
        <w:tc>
          <w:tcPr>
            <w:tcW w:w="1150" w:type="dxa"/>
            <w:tcBorders>
              <w:left w:val="single" w:color="auto" w:sz="4" w:space="0"/>
              <w:right w:val="single" w:color="auto" w:sz="4" w:space="0"/>
            </w:tcBorders>
          </w:tcPr>
          <w:p>
            <w:pPr>
              <w:spacing w:line="360" w:lineRule="auto"/>
              <w:rPr>
                <w:b/>
                <w:sz w:val="24"/>
                <w:szCs w:val="21"/>
              </w:rPr>
            </w:pPr>
            <w:r>
              <w:rPr>
                <w:b/>
                <w:sz w:val="24"/>
                <w:szCs w:val="21"/>
              </w:rPr>
              <w:t>（大写）</w:t>
            </w:r>
          </w:p>
        </w:tc>
        <w:tc>
          <w:tcPr>
            <w:tcW w:w="5711" w:type="dxa"/>
            <w:gridSpan w:val="5"/>
            <w:tcBorders>
              <w:top w:val="single" w:color="auto" w:sz="4" w:space="0"/>
              <w:left w:val="single" w:color="auto" w:sz="4" w:space="0"/>
              <w:bottom w:val="single" w:color="auto" w:sz="4" w:space="0"/>
              <w:right w:val="single" w:color="auto" w:sz="4" w:space="0"/>
            </w:tcBorders>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5" w:type="dxa"/>
            <w:gridSpan w:val="2"/>
            <w:vMerge w:val="restart"/>
            <w:tcBorders>
              <w:left w:val="single" w:color="auto" w:sz="4" w:space="0"/>
              <w:right w:val="single" w:color="auto" w:sz="4" w:space="0"/>
            </w:tcBorders>
            <w:vAlign w:val="center"/>
          </w:tcPr>
          <w:p>
            <w:pPr>
              <w:spacing w:line="360" w:lineRule="auto"/>
              <w:jc w:val="center"/>
              <w:rPr>
                <w:rFonts w:ascii="宋体" w:hAnsi="宋体" w:cs="Arial Unicode MS"/>
              </w:rPr>
            </w:pPr>
            <w:r>
              <w:rPr>
                <w:rFonts w:hint="eastAsia"/>
                <w:b/>
                <w:sz w:val="24"/>
                <w:szCs w:val="21"/>
              </w:rPr>
              <w:t>最终报价</w:t>
            </w:r>
          </w:p>
        </w:tc>
        <w:tc>
          <w:tcPr>
            <w:tcW w:w="1150" w:type="dxa"/>
            <w:tcBorders>
              <w:left w:val="single" w:color="auto" w:sz="4" w:space="0"/>
              <w:right w:val="single" w:color="auto" w:sz="4" w:space="0"/>
            </w:tcBorders>
            <w:vAlign w:val="center"/>
          </w:tcPr>
          <w:p>
            <w:pPr>
              <w:spacing w:line="360" w:lineRule="auto"/>
              <w:rPr>
                <w:b/>
                <w:sz w:val="24"/>
                <w:szCs w:val="21"/>
              </w:rPr>
            </w:pPr>
            <w:r>
              <w:rPr>
                <w:rFonts w:hint="eastAsia"/>
                <w:b/>
                <w:sz w:val="24"/>
                <w:szCs w:val="21"/>
              </w:rPr>
              <w:t>（小写）</w:t>
            </w:r>
          </w:p>
        </w:tc>
        <w:tc>
          <w:tcPr>
            <w:tcW w:w="571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265" w:type="dxa"/>
            <w:gridSpan w:val="2"/>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Arial Unicode MS"/>
              </w:rPr>
            </w:pPr>
          </w:p>
        </w:tc>
        <w:tc>
          <w:tcPr>
            <w:tcW w:w="1150" w:type="dxa"/>
            <w:tcBorders>
              <w:left w:val="single" w:color="auto" w:sz="4" w:space="0"/>
              <w:bottom w:val="single" w:color="auto" w:sz="4" w:space="0"/>
              <w:right w:val="single" w:color="auto" w:sz="4" w:space="0"/>
            </w:tcBorders>
            <w:vAlign w:val="center"/>
          </w:tcPr>
          <w:p>
            <w:pPr>
              <w:spacing w:line="360" w:lineRule="auto"/>
              <w:rPr>
                <w:b/>
                <w:sz w:val="24"/>
                <w:szCs w:val="21"/>
              </w:rPr>
            </w:pPr>
            <w:r>
              <w:rPr>
                <w:rFonts w:hint="eastAsia"/>
                <w:b/>
                <w:sz w:val="24"/>
                <w:szCs w:val="21"/>
              </w:rPr>
              <w:t>（大写）</w:t>
            </w:r>
          </w:p>
        </w:tc>
        <w:tc>
          <w:tcPr>
            <w:tcW w:w="571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b/>
                <w:sz w:val="24"/>
                <w:szCs w:val="21"/>
              </w:rPr>
            </w:pPr>
          </w:p>
        </w:tc>
      </w:tr>
    </w:tbl>
    <w:p>
      <w:pPr>
        <w:spacing w:before="19" w:line="360" w:lineRule="auto"/>
        <w:rPr>
          <w:rFonts w:ascii="宋体" w:hAnsi="宋体"/>
          <w:sz w:val="24"/>
        </w:rPr>
      </w:pPr>
    </w:p>
    <w:p>
      <w:pPr>
        <w:spacing w:before="19" w:line="360" w:lineRule="auto"/>
        <w:rPr>
          <w:rFonts w:ascii="宋体" w:hAnsi="宋体"/>
          <w:sz w:val="24"/>
        </w:rPr>
      </w:pPr>
      <w:r>
        <w:rPr>
          <w:rFonts w:hint="eastAsia" w:ascii="宋体" w:hAnsi="宋体"/>
          <w:sz w:val="24"/>
        </w:rPr>
        <w:t>报价人全称：（盖章）       授权代表</w:t>
      </w:r>
      <w:r>
        <w:rPr>
          <w:rFonts w:hint="eastAsia" w:ascii="宋体" w:hAnsi="宋体"/>
          <w:sz w:val="24"/>
          <w:u w:val="single"/>
        </w:rPr>
        <w:t>（签名或私章）</w:t>
      </w:r>
      <w:r>
        <w:rPr>
          <w:rFonts w:hint="eastAsia" w:ascii="宋体" w:hAnsi="宋体"/>
          <w:sz w:val="24"/>
        </w:rPr>
        <w:t>：</w:t>
      </w:r>
    </w:p>
    <w:p>
      <w:pPr>
        <w:spacing w:line="360" w:lineRule="auto"/>
        <w:rPr>
          <w:rFonts w:ascii="宋体" w:hAnsi="宋体"/>
          <w:sz w:val="24"/>
        </w:rPr>
      </w:pPr>
    </w:p>
    <w:p>
      <w:pPr>
        <w:tabs>
          <w:tab w:val="left" w:pos="360"/>
        </w:tabs>
        <w:spacing w:before="67" w:line="360" w:lineRule="auto"/>
        <w:ind w:left="-15" w:leftChars="-7" w:right="-119"/>
        <w:rPr>
          <w:rFonts w:ascii="宋体" w:hAnsi="宋体"/>
          <w:b/>
          <w:sz w:val="24"/>
        </w:rPr>
      </w:pPr>
      <w:r>
        <w:rPr>
          <w:rFonts w:hint="eastAsia" w:ascii="宋体" w:hAnsi="宋体"/>
          <w:b/>
          <w:sz w:val="24"/>
        </w:rPr>
        <w:t>注: 1.</w:t>
      </w:r>
      <w:r>
        <w:rPr>
          <w:rFonts w:ascii="宋体" w:hAnsi="宋体"/>
          <w:b/>
          <w:sz w:val="24"/>
        </w:rPr>
        <w:t xml:space="preserve"> </w:t>
      </w:r>
      <w:r>
        <w:rPr>
          <w:rFonts w:hint="eastAsia" w:ascii="宋体" w:hAnsi="宋体"/>
          <w:b/>
          <w:sz w:val="24"/>
        </w:rPr>
        <w:t>报价总计包括服务及所有的费用和税费；</w:t>
      </w:r>
    </w:p>
    <w:p>
      <w:pPr>
        <w:snapToGrid w:val="0"/>
        <w:spacing w:line="360" w:lineRule="auto"/>
        <w:ind w:firstLine="472" w:firstLineChars="196"/>
        <w:rPr>
          <w:rFonts w:ascii="宋体" w:hAnsi="宋体"/>
          <w:b/>
          <w:sz w:val="24"/>
        </w:rPr>
      </w:pPr>
      <w:r>
        <w:rPr>
          <w:rFonts w:hint="eastAsia" w:ascii="宋体" w:hAnsi="宋体"/>
          <w:b/>
          <w:sz w:val="24"/>
        </w:rPr>
        <w:t>2</w:t>
      </w:r>
      <w:r>
        <w:rPr>
          <w:rFonts w:ascii="宋体" w:hAnsi="宋体"/>
          <w:b/>
          <w:sz w:val="24"/>
        </w:rPr>
        <w:t xml:space="preserve">. </w:t>
      </w:r>
      <w:r>
        <w:rPr>
          <w:rFonts w:hint="eastAsia" w:ascii="宋体" w:hAnsi="宋体"/>
          <w:b/>
          <w:sz w:val="24"/>
        </w:rPr>
        <w:t>投标报价时，“最终报价”栏请先不要填写，谈判结束后授权代表在响应文件正本的此表格上填写最终报价；</w:t>
      </w:r>
    </w:p>
    <w:p>
      <w:pPr>
        <w:snapToGrid w:val="0"/>
        <w:spacing w:line="360" w:lineRule="auto"/>
        <w:ind w:firstLine="472" w:firstLineChars="196"/>
        <w:rPr>
          <w:rFonts w:ascii="宋体" w:hAnsi="宋体"/>
          <w:b/>
          <w:sz w:val="24"/>
        </w:rPr>
      </w:pPr>
      <w:r>
        <w:rPr>
          <w:rFonts w:hint="eastAsia" w:ascii="宋体" w:hAnsi="宋体"/>
          <w:b/>
          <w:sz w:val="24"/>
        </w:rPr>
        <w:t>3.</w:t>
      </w:r>
      <w:r>
        <w:rPr>
          <w:rFonts w:ascii="宋体" w:hAnsi="宋体"/>
          <w:b/>
          <w:sz w:val="24"/>
        </w:rPr>
        <w:t xml:space="preserve"> </w:t>
      </w:r>
      <w:r>
        <w:rPr>
          <w:rFonts w:hint="eastAsia" w:ascii="宋体" w:hAnsi="宋体"/>
          <w:b/>
          <w:sz w:val="24"/>
        </w:rPr>
        <w:t>报价一览表格式不得自行改动。</w:t>
      </w:r>
    </w:p>
    <w:p>
      <w:pPr>
        <w:pStyle w:val="5"/>
      </w:pPr>
      <w:r>
        <w:rPr>
          <w:sz w:val="24"/>
        </w:rPr>
        <w:br w:type="page"/>
      </w:r>
      <w:bookmarkStart w:id="469" w:name="_Toc515606827"/>
      <w:bookmarkStart w:id="470" w:name="_Toc747"/>
      <w:bookmarkStart w:id="471" w:name="_Toc446596471"/>
      <w:bookmarkStart w:id="472" w:name="_Toc502669275"/>
      <w:bookmarkStart w:id="473" w:name="_Toc67640170"/>
      <w:bookmarkStart w:id="474" w:name="_Toc171325107"/>
      <w:bookmarkStart w:id="475" w:name="_Toc475436469"/>
      <w:bookmarkStart w:id="476" w:name="_Toc475436587"/>
      <w:bookmarkStart w:id="477" w:name="_Toc520275556"/>
      <w:r>
        <w:rPr>
          <w:rFonts w:hint="eastAsia"/>
        </w:rPr>
        <w:t>表3.技术商务要求响应表</w:t>
      </w:r>
      <w:bookmarkEnd w:id="469"/>
      <w:bookmarkEnd w:id="470"/>
      <w:bookmarkEnd w:id="471"/>
      <w:bookmarkEnd w:id="472"/>
      <w:bookmarkEnd w:id="473"/>
    </w:p>
    <w:p>
      <w:pPr>
        <w:snapToGrid w:val="0"/>
        <w:spacing w:line="360" w:lineRule="auto"/>
        <w:ind w:firstLine="480" w:firstLineChars="200"/>
        <w:rPr>
          <w:rFonts w:ascii="宋体" w:hAnsi="宋体"/>
          <w:sz w:val="24"/>
          <w:u w:val="single"/>
        </w:rPr>
      </w:pPr>
      <w:r>
        <w:rPr>
          <w:rFonts w:hint="eastAsia" w:ascii="宋体" w:hAnsi="宋体"/>
          <w:sz w:val="24"/>
        </w:rPr>
        <w:t>说明：报价人必须仔细阅读招标文件第三章中所有技术规范条款、相关功能和</w:t>
      </w:r>
      <w:r>
        <w:rPr>
          <w:rFonts w:ascii="宋体" w:hAnsi="宋体"/>
          <w:sz w:val="24"/>
        </w:rPr>
        <w:t>服务内容等</w:t>
      </w:r>
      <w:r>
        <w:rPr>
          <w:rFonts w:hint="eastAsia" w:ascii="宋体" w:hAnsi="宋体"/>
          <w:sz w:val="24"/>
        </w:rPr>
        <w:t>要求，并对第三章所有技术规范、功能条目及资质（如有）和</w:t>
      </w:r>
      <w:r>
        <w:rPr>
          <w:rFonts w:ascii="宋体" w:hAnsi="宋体"/>
          <w:sz w:val="24"/>
        </w:rPr>
        <w:t>服务内容等</w:t>
      </w:r>
      <w:r>
        <w:rPr>
          <w:rFonts w:hint="eastAsia" w:ascii="宋体" w:hAnsi="宋体"/>
          <w:sz w:val="24"/>
        </w:rPr>
        <w:t>要求列入下表。</w:t>
      </w:r>
      <w:r>
        <w:rPr>
          <w:rFonts w:hint="eastAsia" w:ascii="宋体" w:hAnsi="宋体"/>
          <w:b/>
          <w:sz w:val="24"/>
          <w:u w:val="single"/>
        </w:rPr>
        <w:t>报价人必须根据所投产品的实际情况如实填写，如发现有虚假描述的，该响应文件无效，并报政府采购主管部门严肃处理。</w:t>
      </w:r>
    </w:p>
    <w:tbl>
      <w:tblPr>
        <w:tblStyle w:val="5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454"/>
        <w:gridCol w:w="2644"/>
        <w:gridCol w:w="2590"/>
        <w:gridCol w:w="925"/>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639" w:type="dxa"/>
            <w:tcBorders>
              <w:bottom w:val="single" w:color="auto" w:sz="4" w:space="0"/>
            </w:tcBorders>
            <w:shd w:val="clear" w:color="auto" w:fill="D9D9D9"/>
            <w:vAlign w:val="center"/>
          </w:tcPr>
          <w:p>
            <w:pPr>
              <w:snapToGrid w:val="0"/>
              <w:spacing w:line="360" w:lineRule="auto"/>
              <w:jc w:val="center"/>
              <w:rPr>
                <w:rFonts w:ascii="宋体" w:hAnsi="宋体"/>
                <w:sz w:val="24"/>
              </w:rPr>
            </w:pPr>
            <w:r>
              <w:rPr>
                <w:rFonts w:hint="eastAsia" w:ascii="宋体" w:hAnsi="宋体"/>
                <w:sz w:val="24"/>
              </w:rPr>
              <w:t>序号</w:t>
            </w:r>
          </w:p>
        </w:tc>
        <w:tc>
          <w:tcPr>
            <w:tcW w:w="1454" w:type="dxa"/>
            <w:tcBorders>
              <w:bottom w:val="single" w:color="auto" w:sz="4" w:space="0"/>
            </w:tcBorders>
            <w:shd w:val="clear" w:color="auto" w:fill="D9D9D9"/>
          </w:tcPr>
          <w:p>
            <w:pPr>
              <w:snapToGrid w:val="0"/>
              <w:spacing w:line="360" w:lineRule="auto"/>
              <w:jc w:val="center"/>
              <w:rPr>
                <w:rFonts w:ascii="宋体" w:hAnsi="宋体"/>
                <w:sz w:val="24"/>
              </w:rPr>
            </w:pPr>
            <w:r>
              <w:rPr>
                <w:rFonts w:hint="eastAsia" w:ascii="宋体" w:hAnsi="宋体"/>
                <w:sz w:val="24"/>
              </w:rPr>
              <w:t>产品名称/品目</w:t>
            </w:r>
          </w:p>
        </w:tc>
        <w:tc>
          <w:tcPr>
            <w:tcW w:w="2644" w:type="dxa"/>
            <w:tcBorders>
              <w:bottom w:val="single" w:color="auto" w:sz="4" w:space="0"/>
            </w:tcBorders>
            <w:shd w:val="clear" w:color="auto" w:fill="D9D9D9"/>
            <w:vAlign w:val="center"/>
          </w:tcPr>
          <w:p>
            <w:pPr>
              <w:snapToGrid w:val="0"/>
              <w:spacing w:line="360" w:lineRule="auto"/>
              <w:jc w:val="center"/>
              <w:rPr>
                <w:rFonts w:ascii="宋体" w:hAnsi="宋体"/>
                <w:sz w:val="24"/>
              </w:rPr>
            </w:pPr>
            <w:r>
              <w:rPr>
                <w:rFonts w:hint="eastAsia" w:ascii="宋体" w:hAnsi="宋体"/>
                <w:sz w:val="24"/>
              </w:rPr>
              <w:t>采购文件技术参数/功能要求/</w:t>
            </w:r>
            <w:r>
              <w:rPr>
                <w:rFonts w:ascii="宋体" w:hAnsi="宋体"/>
                <w:sz w:val="24"/>
              </w:rPr>
              <w:t>服务内容</w:t>
            </w:r>
          </w:p>
        </w:tc>
        <w:tc>
          <w:tcPr>
            <w:tcW w:w="2590" w:type="dxa"/>
            <w:tcBorders>
              <w:bottom w:val="single" w:color="auto" w:sz="4" w:space="0"/>
            </w:tcBorders>
            <w:shd w:val="clear" w:color="auto" w:fill="D9D9D9"/>
            <w:vAlign w:val="center"/>
          </w:tcPr>
          <w:p>
            <w:pPr>
              <w:snapToGrid w:val="0"/>
              <w:spacing w:line="360" w:lineRule="auto"/>
              <w:jc w:val="center"/>
              <w:rPr>
                <w:rFonts w:ascii="宋体" w:hAnsi="宋体"/>
                <w:sz w:val="24"/>
              </w:rPr>
            </w:pPr>
            <w:r>
              <w:rPr>
                <w:rFonts w:hint="eastAsia" w:ascii="宋体" w:hAnsi="宋体"/>
                <w:sz w:val="24"/>
              </w:rPr>
              <w:t>响应文件技术参数/功能响应/服务内容</w:t>
            </w:r>
          </w:p>
        </w:tc>
        <w:tc>
          <w:tcPr>
            <w:tcW w:w="925" w:type="dxa"/>
            <w:tcBorders>
              <w:bottom w:val="single" w:color="auto" w:sz="4" w:space="0"/>
            </w:tcBorders>
            <w:shd w:val="clear" w:color="auto" w:fill="D9D9D9"/>
            <w:vAlign w:val="center"/>
          </w:tcPr>
          <w:p>
            <w:pPr>
              <w:snapToGrid w:val="0"/>
              <w:spacing w:line="360" w:lineRule="auto"/>
              <w:jc w:val="center"/>
              <w:rPr>
                <w:rFonts w:ascii="宋体" w:hAnsi="宋体"/>
                <w:sz w:val="24"/>
              </w:rPr>
            </w:pPr>
            <w:r>
              <w:rPr>
                <w:rFonts w:hint="eastAsia" w:ascii="宋体" w:hAnsi="宋体"/>
                <w:sz w:val="24"/>
              </w:rPr>
              <w:t>偏离情况</w:t>
            </w:r>
          </w:p>
        </w:tc>
        <w:tc>
          <w:tcPr>
            <w:tcW w:w="856" w:type="dxa"/>
            <w:tcBorders>
              <w:bottom w:val="single" w:color="auto" w:sz="4" w:space="0"/>
            </w:tcBorders>
            <w:shd w:val="clear" w:color="auto" w:fill="D9D9D9"/>
            <w:vAlign w:val="center"/>
          </w:tcPr>
          <w:p>
            <w:pPr>
              <w:snapToGrid w:val="0"/>
              <w:spacing w:line="360" w:lineRule="auto"/>
              <w:jc w:val="center"/>
              <w:rPr>
                <w:rFonts w:ascii="宋体" w:hAnsi="宋体"/>
                <w:sz w:val="24"/>
              </w:rPr>
            </w:pPr>
            <w:r>
              <w:rPr>
                <w:rFonts w:hint="eastAsia" w:ascii="宋体" w:hAnsi="宋体"/>
                <w:sz w:val="24"/>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639" w:type="dxa"/>
            <w:vAlign w:val="center"/>
          </w:tcPr>
          <w:p>
            <w:pPr>
              <w:spacing w:line="360" w:lineRule="auto"/>
              <w:jc w:val="center"/>
              <w:rPr>
                <w:rFonts w:ascii="宋体" w:hAnsi="宋体"/>
                <w:sz w:val="24"/>
              </w:rPr>
            </w:pPr>
            <w:r>
              <w:rPr>
                <w:rFonts w:hint="eastAsia" w:ascii="宋体" w:hAnsi="宋体"/>
                <w:sz w:val="24"/>
              </w:rPr>
              <w:t>1</w:t>
            </w:r>
          </w:p>
        </w:tc>
        <w:tc>
          <w:tcPr>
            <w:tcW w:w="1454" w:type="dxa"/>
            <w:vAlign w:val="center"/>
          </w:tcPr>
          <w:p>
            <w:pPr>
              <w:snapToGrid w:val="0"/>
              <w:spacing w:line="360" w:lineRule="auto"/>
              <w:jc w:val="center"/>
              <w:rPr>
                <w:rFonts w:ascii="宋体" w:hAnsi="宋体"/>
                <w:sz w:val="24"/>
              </w:rPr>
            </w:pPr>
          </w:p>
        </w:tc>
        <w:tc>
          <w:tcPr>
            <w:tcW w:w="2644" w:type="dxa"/>
            <w:vAlign w:val="center"/>
          </w:tcPr>
          <w:p>
            <w:pPr>
              <w:snapToGrid w:val="0"/>
              <w:spacing w:line="360" w:lineRule="auto"/>
              <w:jc w:val="center"/>
              <w:rPr>
                <w:rFonts w:ascii="宋体" w:hAnsi="宋体"/>
                <w:sz w:val="24"/>
              </w:rPr>
            </w:pPr>
          </w:p>
        </w:tc>
        <w:tc>
          <w:tcPr>
            <w:tcW w:w="2590" w:type="dxa"/>
            <w:vAlign w:val="center"/>
          </w:tcPr>
          <w:p>
            <w:pPr>
              <w:snapToGrid w:val="0"/>
              <w:spacing w:line="360" w:lineRule="auto"/>
              <w:jc w:val="center"/>
              <w:rPr>
                <w:rFonts w:ascii="宋体" w:hAnsi="宋体"/>
                <w:sz w:val="24"/>
              </w:rPr>
            </w:pPr>
          </w:p>
        </w:tc>
        <w:tc>
          <w:tcPr>
            <w:tcW w:w="925" w:type="dxa"/>
            <w:vAlign w:val="center"/>
          </w:tcPr>
          <w:p>
            <w:pPr>
              <w:snapToGrid w:val="0"/>
              <w:spacing w:line="360" w:lineRule="auto"/>
              <w:jc w:val="center"/>
              <w:rPr>
                <w:rFonts w:ascii="宋体" w:hAnsi="宋体"/>
                <w:sz w:val="24"/>
              </w:rPr>
            </w:pPr>
          </w:p>
        </w:tc>
        <w:tc>
          <w:tcPr>
            <w:tcW w:w="856" w:type="dxa"/>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639" w:type="dxa"/>
            <w:vAlign w:val="center"/>
          </w:tcPr>
          <w:p>
            <w:pPr>
              <w:spacing w:line="360" w:lineRule="auto"/>
              <w:jc w:val="center"/>
              <w:rPr>
                <w:rFonts w:ascii="宋体" w:hAnsi="宋体"/>
                <w:sz w:val="24"/>
              </w:rPr>
            </w:pPr>
            <w:r>
              <w:rPr>
                <w:rFonts w:hint="eastAsia" w:ascii="宋体" w:hAnsi="宋体"/>
                <w:sz w:val="24"/>
              </w:rPr>
              <w:t>2</w:t>
            </w:r>
          </w:p>
        </w:tc>
        <w:tc>
          <w:tcPr>
            <w:tcW w:w="1454" w:type="dxa"/>
            <w:vAlign w:val="center"/>
          </w:tcPr>
          <w:p>
            <w:pPr>
              <w:snapToGrid w:val="0"/>
              <w:spacing w:line="360" w:lineRule="auto"/>
              <w:jc w:val="center"/>
              <w:rPr>
                <w:rFonts w:ascii="宋体" w:hAnsi="宋体"/>
                <w:sz w:val="24"/>
              </w:rPr>
            </w:pPr>
          </w:p>
        </w:tc>
        <w:tc>
          <w:tcPr>
            <w:tcW w:w="2644" w:type="dxa"/>
            <w:vAlign w:val="center"/>
          </w:tcPr>
          <w:p>
            <w:pPr>
              <w:snapToGrid w:val="0"/>
              <w:spacing w:line="360" w:lineRule="auto"/>
              <w:jc w:val="center"/>
              <w:rPr>
                <w:rFonts w:ascii="宋体" w:hAnsi="宋体"/>
                <w:sz w:val="24"/>
              </w:rPr>
            </w:pPr>
          </w:p>
        </w:tc>
        <w:tc>
          <w:tcPr>
            <w:tcW w:w="2590" w:type="dxa"/>
            <w:vAlign w:val="center"/>
          </w:tcPr>
          <w:p>
            <w:pPr>
              <w:snapToGrid w:val="0"/>
              <w:spacing w:line="360" w:lineRule="auto"/>
              <w:jc w:val="center"/>
              <w:rPr>
                <w:rFonts w:ascii="宋体" w:hAnsi="宋体"/>
                <w:sz w:val="24"/>
              </w:rPr>
            </w:pPr>
          </w:p>
        </w:tc>
        <w:tc>
          <w:tcPr>
            <w:tcW w:w="925" w:type="dxa"/>
            <w:vAlign w:val="center"/>
          </w:tcPr>
          <w:p>
            <w:pPr>
              <w:snapToGrid w:val="0"/>
              <w:spacing w:line="360" w:lineRule="auto"/>
              <w:jc w:val="center"/>
              <w:rPr>
                <w:rFonts w:ascii="宋体" w:hAnsi="宋体"/>
                <w:sz w:val="24"/>
              </w:rPr>
            </w:pPr>
          </w:p>
        </w:tc>
        <w:tc>
          <w:tcPr>
            <w:tcW w:w="856" w:type="dxa"/>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blHeader/>
        </w:trPr>
        <w:tc>
          <w:tcPr>
            <w:tcW w:w="639" w:type="dxa"/>
            <w:vAlign w:val="center"/>
          </w:tcPr>
          <w:p>
            <w:pPr>
              <w:spacing w:line="360" w:lineRule="auto"/>
              <w:jc w:val="center"/>
              <w:rPr>
                <w:rFonts w:ascii="宋体" w:hAnsi="宋体"/>
                <w:sz w:val="24"/>
              </w:rPr>
            </w:pPr>
            <w:r>
              <w:rPr>
                <w:rFonts w:hint="eastAsia" w:ascii="宋体" w:hAnsi="宋体"/>
                <w:sz w:val="24"/>
              </w:rPr>
              <w:t>3</w:t>
            </w:r>
          </w:p>
        </w:tc>
        <w:tc>
          <w:tcPr>
            <w:tcW w:w="1454" w:type="dxa"/>
            <w:vAlign w:val="center"/>
          </w:tcPr>
          <w:p>
            <w:pPr>
              <w:snapToGrid w:val="0"/>
              <w:spacing w:line="360" w:lineRule="auto"/>
              <w:jc w:val="center"/>
              <w:rPr>
                <w:rFonts w:ascii="宋体" w:hAnsi="宋体"/>
                <w:sz w:val="24"/>
              </w:rPr>
            </w:pPr>
          </w:p>
        </w:tc>
        <w:tc>
          <w:tcPr>
            <w:tcW w:w="2644" w:type="dxa"/>
            <w:vAlign w:val="center"/>
          </w:tcPr>
          <w:p>
            <w:pPr>
              <w:snapToGrid w:val="0"/>
              <w:spacing w:line="360" w:lineRule="auto"/>
              <w:jc w:val="center"/>
              <w:rPr>
                <w:rFonts w:ascii="宋体" w:hAnsi="宋体"/>
                <w:sz w:val="24"/>
              </w:rPr>
            </w:pPr>
          </w:p>
        </w:tc>
        <w:tc>
          <w:tcPr>
            <w:tcW w:w="2590" w:type="dxa"/>
            <w:vAlign w:val="center"/>
          </w:tcPr>
          <w:p>
            <w:pPr>
              <w:snapToGrid w:val="0"/>
              <w:spacing w:line="360" w:lineRule="auto"/>
              <w:jc w:val="center"/>
              <w:rPr>
                <w:rFonts w:ascii="宋体" w:hAnsi="宋体"/>
                <w:sz w:val="24"/>
              </w:rPr>
            </w:pPr>
          </w:p>
        </w:tc>
        <w:tc>
          <w:tcPr>
            <w:tcW w:w="925" w:type="dxa"/>
            <w:vAlign w:val="center"/>
          </w:tcPr>
          <w:p>
            <w:pPr>
              <w:snapToGrid w:val="0"/>
              <w:spacing w:line="360" w:lineRule="auto"/>
              <w:jc w:val="center"/>
              <w:rPr>
                <w:rFonts w:ascii="宋体" w:hAnsi="宋体"/>
                <w:sz w:val="24"/>
              </w:rPr>
            </w:pPr>
          </w:p>
        </w:tc>
        <w:tc>
          <w:tcPr>
            <w:tcW w:w="856" w:type="dxa"/>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trPr>
        <w:tc>
          <w:tcPr>
            <w:tcW w:w="639" w:type="dxa"/>
            <w:vAlign w:val="center"/>
          </w:tcPr>
          <w:p>
            <w:pPr>
              <w:spacing w:line="360" w:lineRule="auto"/>
              <w:jc w:val="center"/>
              <w:rPr>
                <w:rFonts w:ascii="宋体" w:hAnsi="宋体"/>
                <w:sz w:val="24"/>
              </w:rPr>
            </w:pPr>
            <w:r>
              <w:rPr>
                <w:rFonts w:hint="eastAsia" w:ascii="宋体" w:hAnsi="宋体"/>
                <w:sz w:val="24"/>
              </w:rPr>
              <w:t>4</w:t>
            </w:r>
          </w:p>
        </w:tc>
        <w:tc>
          <w:tcPr>
            <w:tcW w:w="1454" w:type="dxa"/>
            <w:vAlign w:val="center"/>
          </w:tcPr>
          <w:p>
            <w:pPr>
              <w:snapToGrid w:val="0"/>
              <w:spacing w:line="360" w:lineRule="auto"/>
              <w:jc w:val="center"/>
              <w:rPr>
                <w:rFonts w:ascii="宋体" w:hAnsi="宋体"/>
                <w:sz w:val="24"/>
              </w:rPr>
            </w:pPr>
          </w:p>
        </w:tc>
        <w:tc>
          <w:tcPr>
            <w:tcW w:w="2644" w:type="dxa"/>
            <w:vAlign w:val="center"/>
          </w:tcPr>
          <w:p>
            <w:pPr>
              <w:snapToGrid w:val="0"/>
              <w:spacing w:line="360" w:lineRule="auto"/>
              <w:jc w:val="center"/>
              <w:rPr>
                <w:rFonts w:ascii="宋体" w:hAnsi="宋体"/>
                <w:sz w:val="24"/>
              </w:rPr>
            </w:pPr>
          </w:p>
        </w:tc>
        <w:tc>
          <w:tcPr>
            <w:tcW w:w="2590" w:type="dxa"/>
            <w:vAlign w:val="center"/>
          </w:tcPr>
          <w:p>
            <w:pPr>
              <w:snapToGrid w:val="0"/>
              <w:spacing w:line="360" w:lineRule="auto"/>
              <w:jc w:val="center"/>
              <w:rPr>
                <w:rFonts w:ascii="宋体" w:hAnsi="宋体"/>
                <w:sz w:val="24"/>
              </w:rPr>
            </w:pPr>
          </w:p>
        </w:tc>
        <w:tc>
          <w:tcPr>
            <w:tcW w:w="925" w:type="dxa"/>
            <w:vAlign w:val="center"/>
          </w:tcPr>
          <w:p>
            <w:pPr>
              <w:snapToGrid w:val="0"/>
              <w:spacing w:line="360" w:lineRule="auto"/>
              <w:jc w:val="center"/>
              <w:rPr>
                <w:rFonts w:ascii="宋体" w:hAnsi="宋体"/>
                <w:sz w:val="24"/>
              </w:rPr>
            </w:pPr>
          </w:p>
        </w:tc>
        <w:tc>
          <w:tcPr>
            <w:tcW w:w="856" w:type="dxa"/>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639" w:type="dxa"/>
            <w:vAlign w:val="center"/>
          </w:tcPr>
          <w:p>
            <w:pPr>
              <w:spacing w:line="360" w:lineRule="auto"/>
              <w:jc w:val="center"/>
              <w:rPr>
                <w:rFonts w:ascii="宋体" w:hAnsi="宋体"/>
                <w:sz w:val="24"/>
              </w:rPr>
            </w:pPr>
            <w:r>
              <w:rPr>
                <w:rFonts w:hint="eastAsia" w:ascii="宋体" w:hAnsi="宋体"/>
                <w:sz w:val="24"/>
              </w:rPr>
              <w:t>5</w:t>
            </w:r>
          </w:p>
        </w:tc>
        <w:tc>
          <w:tcPr>
            <w:tcW w:w="1454" w:type="dxa"/>
            <w:vAlign w:val="center"/>
          </w:tcPr>
          <w:p>
            <w:pPr>
              <w:snapToGrid w:val="0"/>
              <w:spacing w:line="360" w:lineRule="auto"/>
              <w:jc w:val="center"/>
              <w:rPr>
                <w:rFonts w:ascii="宋体" w:hAnsi="宋体"/>
                <w:sz w:val="24"/>
              </w:rPr>
            </w:pPr>
            <w:r>
              <w:rPr>
                <w:rFonts w:ascii="宋体" w:hAnsi="宋体"/>
                <w:sz w:val="24"/>
              </w:rPr>
              <w:t>…</w:t>
            </w:r>
          </w:p>
        </w:tc>
        <w:tc>
          <w:tcPr>
            <w:tcW w:w="2644" w:type="dxa"/>
            <w:vAlign w:val="center"/>
          </w:tcPr>
          <w:p>
            <w:pPr>
              <w:snapToGrid w:val="0"/>
              <w:spacing w:line="360" w:lineRule="auto"/>
              <w:jc w:val="center"/>
              <w:rPr>
                <w:rFonts w:ascii="宋体" w:hAnsi="宋体"/>
                <w:sz w:val="24"/>
              </w:rPr>
            </w:pPr>
          </w:p>
        </w:tc>
        <w:tc>
          <w:tcPr>
            <w:tcW w:w="2590" w:type="dxa"/>
            <w:vAlign w:val="center"/>
          </w:tcPr>
          <w:p>
            <w:pPr>
              <w:snapToGrid w:val="0"/>
              <w:spacing w:line="360" w:lineRule="auto"/>
              <w:jc w:val="center"/>
              <w:rPr>
                <w:rFonts w:ascii="宋体" w:hAnsi="宋体"/>
                <w:sz w:val="24"/>
              </w:rPr>
            </w:pPr>
          </w:p>
        </w:tc>
        <w:tc>
          <w:tcPr>
            <w:tcW w:w="925" w:type="dxa"/>
            <w:vAlign w:val="center"/>
          </w:tcPr>
          <w:p>
            <w:pPr>
              <w:snapToGrid w:val="0"/>
              <w:spacing w:line="360" w:lineRule="auto"/>
              <w:jc w:val="center"/>
              <w:rPr>
                <w:rFonts w:ascii="宋体" w:hAnsi="宋体"/>
                <w:sz w:val="24"/>
              </w:rPr>
            </w:pPr>
          </w:p>
        </w:tc>
        <w:tc>
          <w:tcPr>
            <w:tcW w:w="856" w:type="dxa"/>
            <w:vAlign w:val="center"/>
          </w:tcPr>
          <w:p>
            <w:pPr>
              <w:snapToGrid w:val="0"/>
              <w:spacing w:line="360" w:lineRule="auto"/>
              <w:jc w:val="center"/>
              <w:rPr>
                <w:rFonts w:ascii="宋体" w:hAnsi="宋体"/>
                <w:sz w:val="24"/>
              </w:rPr>
            </w:pPr>
          </w:p>
        </w:tc>
      </w:tr>
    </w:tbl>
    <w:p>
      <w:pPr>
        <w:snapToGrid w:val="0"/>
        <w:spacing w:line="360" w:lineRule="auto"/>
        <w:rPr>
          <w:rFonts w:ascii="宋体" w:hAnsi="宋体"/>
          <w:bCs/>
          <w:sz w:val="24"/>
        </w:rPr>
      </w:pPr>
    </w:p>
    <w:p>
      <w:pPr>
        <w:snapToGrid w:val="0"/>
        <w:spacing w:line="360" w:lineRule="auto"/>
        <w:rPr>
          <w:rFonts w:ascii="宋体" w:hAnsi="宋体"/>
          <w:bCs/>
          <w:sz w:val="24"/>
        </w:rPr>
      </w:pPr>
      <w:r>
        <w:rPr>
          <w:rFonts w:hint="eastAsia" w:ascii="宋体" w:hAnsi="宋体"/>
          <w:bCs/>
          <w:sz w:val="24"/>
        </w:rPr>
        <w:t>报价人全称（公章）：            授权代表</w:t>
      </w:r>
      <w:r>
        <w:rPr>
          <w:rFonts w:hint="eastAsia" w:ascii="宋体" w:hAnsi="宋体"/>
          <w:sz w:val="24"/>
          <w:u w:val="single"/>
        </w:rPr>
        <w:t>（签名或私章）</w:t>
      </w:r>
      <w:r>
        <w:rPr>
          <w:rFonts w:hint="eastAsia" w:ascii="宋体" w:hAnsi="宋体"/>
          <w:bCs/>
          <w:sz w:val="24"/>
        </w:rPr>
        <w:t>：</w:t>
      </w:r>
    </w:p>
    <w:p>
      <w:pPr>
        <w:tabs>
          <w:tab w:val="left" w:pos="11130"/>
        </w:tabs>
        <w:snapToGrid w:val="0"/>
        <w:spacing w:line="360" w:lineRule="auto"/>
        <w:ind w:firstLine="120" w:firstLineChars="50"/>
        <w:rPr>
          <w:rFonts w:ascii="宋体" w:hAnsi="宋体"/>
          <w:bCs/>
          <w:sz w:val="24"/>
        </w:rPr>
      </w:pPr>
      <w:r>
        <w:rPr>
          <w:rFonts w:hint="eastAsia" w:ascii="宋体" w:hAnsi="宋体"/>
          <w:bCs/>
          <w:sz w:val="24"/>
        </w:rPr>
        <w:t>注：1.此表为表样，行数可自行添加，但表式不变。</w:t>
      </w:r>
      <w:r>
        <w:rPr>
          <w:rFonts w:hint="eastAsia" w:ascii="宋体" w:hAnsi="宋体"/>
          <w:bCs/>
          <w:sz w:val="24"/>
        </w:rPr>
        <w:tab/>
      </w:r>
    </w:p>
    <w:p>
      <w:pPr>
        <w:snapToGrid w:val="0"/>
        <w:spacing w:line="360" w:lineRule="auto"/>
        <w:ind w:firstLine="480" w:firstLineChars="200"/>
        <w:rPr>
          <w:rFonts w:ascii="宋体" w:hAnsi="宋体"/>
          <w:bCs/>
          <w:sz w:val="24"/>
        </w:rPr>
      </w:pPr>
      <w:r>
        <w:rPr>
          <w:rFonts w:hint="eastAsia" w:ascii="宋体" w:hAnsi="宋体"/>
          <w:bCs/>
          <w:sz w:val="24"/>
        </w:rPr>
        <w:t>2．请在“响应文件技术参数/功能响应” 中列出所投设备/项目的详细技术参数和功能的响应描述情况。</w:t>
      </w:r>
    </w:p>
    <w:p>
      <w:pPr>
        <w:snapToGrid w:val="0"/>
        <w:spacing w:line="360" w:lineRule="auto"/>
        <w:ind w:firstLine="480" w:firstLineChars="200"/>
        <w:rPr>
          <w:rFonts w:ascii="宋体" w:hAnsi="宋体"/>
          <w:bCs/>
          <w:sz w:val="24"/>
        </w:rPr>
      </w:pPr>
      <w:r>
        <w:rPr>
          <w:rFonts w:hint="eastAsia" w:ascii="宋体" w:hAnsi="宋体"/>
          <w:bCs/>
          <w:sz w:val="24"/>
        </w:rPr>
        <w:t>3．偏离情况说明分正偏离、完全响应、负偏离，分别表示优于要求、满足要求、不满足要求。</w:t>
      </w:r>
      <w:r>
        <w:rPr>
          <w:rFonts w:hint="eastAsia" w:ascii="宋体" w:hAnsi="宋体"/>
          <w:b/>
          <w:bCs/>
          <w:sz w:val="24"/>
          <w:u w:val="single"/>
        </w:rPr>
        <w:t>评委评标时不能只根据报价人填写的偏离情况说明来判断是否响应</w:t>
      </w:r>
      <w:r>
        <w:rPr>
          <w:rFonts w:hint="eastAsia" w:ascii="宋体" w:hAnsi="宋体"/>
          <w:bCs/>
          <w:sz w:val="24"/>
        </w:rPr>
        <w:t>，而应认真查阅“</w:t>
      </w:r>
      <w:r>
        <w:rPr>
          <w:rFonts w:hint="eastAsia" w:ascii="宋体" w:hAnsi="宋体"/>
          <w:sz w:val="24"/>
        </w:rPr>
        <w:t>响应文件技术参数/功能响应/服务内容</w:t>
      </w:r>
      <w:r>
        <w:rPr>
          <w:rFonts w:hint="eastAsia" w:ascii="宋体" w:hAnsi="宋体"/>
          <w:bCs/>
          <w:sz w:val="24"/>
        </w:rPr>
        <w:t>”内容以及相关的技术资料判断是否满足要求。</w:t>
      </w:r>
    </w:p>
    <w:p>
      <w:pPr>
        <w:snapToGrid w:val="0"/>
        <w:spacing w:line="360" w:lineRule="auto"/>
        <w:rPr>
          <w:rFonts w:ascii="宋体" w:hAnsi="宋体"/>
          <w:bCs/>
          <w:sz w:val="24"/>
        </w:rPr>
      </w:pPr>
      <w:r>
        <w:rPr>
          <w:rFonts w:hint="eastAsia" w:ascii="宋体" w:hAnsi="宋体"/>
          <w:bCs/>
          <w:sz w:val="24"/>
        </w:rPr>
        <w:t>4.“页码索引”指“</w:t>
      </w:r>
      <w:r>
        <w:rPr>
          <w:rFonts w:hint="eastAsia" w:ascii="宋体" w:hAnsi="宋体"/>
          <w:sz w:val="24"/>
        </w:rPr>
        <w:t>响应文件技术参数/功能响应/服务内容</w:t>
      </w:r>
      <w:r>
        <w:rPr>
          <w:rFonts w:hint="eastAsia" w:ascii="宋体" w:hAnsi="宋体"/>
          <w:bCs/>
          <w:sz w:val="24"/>
        </w:rPr>
        <w:t>”的内容在响应文件中的页码，便于查阅。</w:t>
      </w:r>
    </w:p>
    <w:p>
      <w:pPr>
        <w:pStyle w:val="5"/>
      </w:pPr>
      <w:r>
        <w:rPr>
          <w:sz w:val="24"/>
        </w:rPr>
        <w:br w:type="page"/>
      </w:r>
      <w:bookmarkStart w:id="478" w:name="_Toc13087"/>
      <w:bookmarkStart w:id="479" w:name="_Toc67640171"/>
      <w:r>
        <w:rPr>
          <w:rFonts w:hint="eastAsia"/>
        </w:rPr>
        <w:t>表4.</w:t>
      </w:r>
      <w:bookmarkEnd w:id="474"/>
      <w:r>
        <w:rPr>
          <w:rFonts w:hint="eastAsia"/>
        </w:rPr>
        <w:t>授权委托书</w:t>
      </w:r>
      <w:bookmarkEnd w:id="475"/>
      <w:bookmarkEnd w:id="476"/>
      <w:bookmarkEnd w:id="477"/>
      <w:bookmarkEnd w:id="478"/>
      <w:bookmarkEnd w:id="479"/>
    </w:p>
    <w:p>
      <w:pPr>
        <w:spacing w:line="360" w:lineRule="auto"/>
        <w:rPr>
          <w:rFonts w:ascii="宋体" w:hAnsi="宋体"/>
          <w:b/>
          <w:sz w:val="24"/>
        </w:rPr>
      </w:pPr>
      <w:r>
        <w:rPr>
          <w:rFonts w:hint="eastAsia" w:ascii="宋体" w:hAnsi="宋体"/>
          <w:b/>
          <w:sz w:val="24"/>
        </w:rPr>
        <w:t>致：海南和信源招标代理有限公司：</w:t>
      </w:r>
    </w:p>
    <w:p>
      <w:pPr>
        <w:spacing w:line="360" w:lineRule="auto"/>
        <w:rPr>
          <w:rFonts w:ascii="宋体" w:hAnsi="宋体"/>
          <w:sz w:val="24"/>
        </w:rPr>
      </w:pPr>
      <w:r>
        <w:rPr>
          <w:rFonts w:hint="eastAsia" w:ascii="宋体" w:hAnsi="宋体"/>
          <w:sz w:val="24"/>
        </w:rPr>
        <w:t xml:space="preserve">    本授权书声明：</w:t>
      </w:r>
    </w:p>
    <w:p>
      <w:pPr>
        <w:spacing w:line="360" w:lineRule="auto"/>
        <w:rPr>
          <w:rFonts w:ascii="宋体" w:hAnsi="宋体"/>
          <w:sz w:val="24"/>
          <w:u w:val="single"/>
        </w:rPr>
      </w:pPr>
      <w:r>
        <w:rPr>
          <w:rFonts w:hint="eastAsia" w:ascii="宋体" w:hAnsi="宋体"/>
          <w:sz w:val="24"/>
        </w:rPr>
        <w:t>委托人：</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 xml:space="preserve"> 法定代表人：</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受托人：姓名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出生日期：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r>
        <w:rPr>
          <w:rFonts w:hint="eastAsia" w:ascii="宋体" w:hAnsi="宋体"/>
          <w:sz w:val="24"/>
        </w:rPr>
        <w:t>所在单位：</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身 份 证：</w:t>
      </w:r>
      <w:r>
        <w:rPr>
          <w:rFonts w:hint="eastAsia" w:ascii="宋体" w:hAnsi="宋体"/>
          <w:sz w:val="24"/>
          <w:u w:val="single"/>
        </w:rPr>
        <w:t xml:space="preserve">                </w:t>
      </w:r>
      <w:r>
        <w:rPr>
          <w:rFonts w:hint="eastAsia" w:ascii="宋体" w:hAnsi="宋体"/>
          <w:sz w:val="24"/>
        </w:rPr>
        <w:t>联系方式:</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兹委托受托人</w:t>
      </w:r>
      <w:r>
        <w:rPr>
          <w:rFonts w:hint="eastAsia" w:ascii="宋体" w:hAnsi="宋体"/>
          <w:sz w:val="24"/>
          <w:u w:val="single"/>
        </w:rPr>
        <w:t xml:space="preserve">               </w:t>
      </w:r>
      <w:r>
        <w:rPr>
          <w:rFonts w:hint="eastAsia" w:ascii="宋体" w:hAnsi="宋体"/>
          <w:sz w:val="24"/>
        </w:rPr>
        <w:t>代表我方参加海南和信源招标代理有限公司组织的</w:t>
      </w:r>
      <w:r>
        <w:rPr>
          <w:rFonts w:hint="eastAsia" w:ascii="宋体" w:hAnsi="宋体" w:cs="Tahoma"/>
          <w:kern w:val="28"/>
          <w:sz w:val="24"/>
          <w:u w:val="single"/>
        </w:rPr>
        <w:t>海南省“码上办事”平台项目</w:t>
      </w:r>
      <w:r>
        <w:rPr>
          <w:rFonts w:hint="eastAsia" w:ascii="宋体" w:hAnsi="宋体"/>
          <w:sz w:val="24"/>
        </w:rPr>
        <w:t>（项目编号为：</w:t>
      </w:r>
      <w:r>
        <w:rPr>
          <w:rFonts w:hint="eastAsia" w:ascii="宋体" w:hAnsi="宋体"/>
          <w:b/>
          <w:sz w:val="24"/>
          <w:u w:val="single"/>
        </w:rPr>
        <w:t>HXY2021-037</w:t>
      </w:r>
      <w:r>
        <w:rPr>
          <w:rFonts w:hint="eastAsia" w:ascii="宋体" w:hAnsi="宋体"/>
          <w:sz w:val="24"/>
        </w:rPr>
        <w:t>）的政府采购活动，并授权其全权办理以下事宜：</w:t>
      </w:r>
    </w:p>
    <w:p>
      <w:pPr>
        <w:spacing w:line="360" w:lineRule="auto"/>
        <w:ind w:firstLine="480" w:firstLineChars="200"/>
        <w:rPr>
          <w:rFonts w:ascii="宋体" w:hAnsi="宋体"/>
          <w:sz w:val="24"/>
        </w:rPr>
      </w:pPr>
      <w:r>
        <w:rPr>
          <w:rFonts w:hint="eastAsia" w:ascii="宋体" w:hAnsi="宋体"/>
          <w:sz w:val="24"/>
        </w:rPr>
        <w:t>1.参加报价活动；</w:t>
      </w:r>
    </w:p>
    <w:p>
      <w:pPr>
        <w:spacing w:line="360" w:lineRule="auto"/>
        <w:ind w:firstLine="480" w:firstLineChars="200"/>
        <w:rPr>
          <w:rFonts w:ascii="宋体" w:hAnsi="宋体"/>
          <w:sz w:val="24"/>
        </w:rPr>
      </w:pPr>
      <w:r>
        <w:rPr>
          <w:rFonts w:hint="eastAsia" w:ascii="宋体" w:hAnsi="宋体"/>
          <w:sz w:val="24"/>
        </w:rPr>
        <w:t>2.出席谈判会议；</w:t>
      </w:r>
    </w:p>
    <w:p>
      <w:pPr>
        <w:spacing w:line="360" w:lineRule="auto"/>
        <w:ind w:firstLine="480" w:firstLineChars="200"/>
        <w:rPr>
          <w:rFonts w:ascii="宋体" w:hAnsi="宋体"/>
          <w:sz w:val="24"/>
        </w:rPr>
      </w:pPr>
      <w:r>
        <w:rPr>
          <w:rFonts w:hint="eastAsia" w:ascii="宋体" w:hAnsi="宋体"/>
          <w:sz w:val="24"/>
        </w:rPr>
        <w:t>3.签订与成交事宜有关的合同；</w:t>
      </w:r>
    </w:p>
    <w:p>
      <w:pPr>
        <w:spacing w:line="360" w:lineRule="auto"/>
        <w:ind w:firstLine="480" w:firstLineChars="200"/>
        <w:rPr>
          <w:rFonts w:ascii="宋体" w:hAnsi="宋体"/>
          <w:sz w:val="24"/>
        </w:rPr>
      </w:pPr>
      <w:r>
        <w:rPr>
          <w:rFonts w:hint="eastAsia" w:ascii="宋体" w:hAnsi="宋体"/>
          <w:sz w:val="24"/>
        </w:rPr>
        <w:t>4.负责合同的履行、服务以及在合同履行过程中有关事宜的洽谈和处理。</w:t>
      </w:r>
    </w:p>
    <w:p>
      <w:pPr>
        <w:spacing w:line="360" w:lineRule="auto"/>
        <w:rPr>
          <w:rFonts w:ascii="宋体" w:hAnsi="宋体" w:cs="宋体"/>
          <w:sz w:val="24"/>
        </w:rPr>
      </w:pPr>
      <w:r>
        <w:rPr>
          <w:rFonts w:hint="eastAsia" w:ascii="宋体" w:hAnsi="宋体"/>
          <w:sz w:val="24"/>
        </w:rPr>
        <w:t xml:space="preserve">    受托人在办理上述事宜过程中以其自己的名义所签署的所有文件我方均予以承认。受托人无转委托权。</w:t>
      </w:r>
    </w:p>
    <w:p>
      <w:pPr>
        <w:spacing w:line="360" w:lineRule="auto"/>
        <w:ind w:firstLine="480" w:firstLineChars="200"/>
        <w:rPr>
          <w:rFonts w:ascii="宋体" w:hAnsi="宋体"/>
          <w:sz w:val="24"/>
        </w:rPr>
      </w:pPr>
      <w:r>
        <w:rPr>
          <w:rFonts w:hint="eastAsia" w:ascii="宋体" w:hAnsi="宋体"/>
          <w:sz w:val="24"/>
        </w:rPr>
        <w:t>委托期限：至上述事宜处理完毕止。</w:t>
      </w:r>
    </w:p>
    <w:p>
      <w:pPr>
        <w:spacing w:line="360" w:lineRule="auto"/>
        <w:ind w:firstLine="3840" w:firstLineChars="1600"/>
        <w:rPr>
          <w:rFonts w:ascii="宋体" w:hAnsi="宋体"/>
          <w:sz w:val="24"/>
        </w:rPr>
      </w:pPr>
    </w:p>
    <w:p>
      <w:pPr>
        <w:spacing w:line="360" w:lineRule="auto"/>
        <w:ind w:firstLine="3840" w:firstLineChars="1600"/>
        <w:rPr>
          <w:rFonts w:ascii="宋体" w:hAnsi="宋体"/>
          <w:sz w:val="24"/>
          <w:u w:val="single"/>
        </w:rPr>
      </w:pPr>
      <w:r>
        <w:rPr>
          <w:rFonts w:hint="eastAsia" w:ascii="宋体" w:hAnsi="宋体"/>
          <w:sz w:val="24"/>
        </w:rPr>
        <w:t xml:space="preserve">委托单位   </w:t>
      </w:r>
      <w:r>
        <w:rPr>
          <w:rFonts w:hint="eastAsia" w:ascii="宋体" w:hAnsi="宋体"/>
          <w:sz w:val="24"/>
          <w:u w:val="single"/>
        </w:rPr>
        <w:t xml:space="preserve"> （公章）          </w:t>
      </w:r>
    </w:p>
    <w:p>
      <w:pPr>
        <w:spacing w:line="360" w:lineRule="auto"/>
        <w:rPr>
          <w:rFonts w:ascii="宋体" w:hAnsi="宋体"/>
          <w:sz w:val="24"/>
          <w:u w:val="single"/>
        </w:rPr>
      </w:pPr>
      <w:r>
        <w:rPr>
          <w:rFonts w:hint="eastAsia" w:ascii="宋体" w:hAnsi="宋体"/>
          <w:sz w:val="24"/>
        </w:rPr>
        <w:t xml:space="preserve">                                法定代表人 </w:t>
      </w:r>
      <w:r>
        <w:rPr>
          <w:rFonts w:hint="eastAsia" w:ascii="宋体" w:hAnsi="宋体"/>
          <w:sz w:val="24"/>
          <w:u w:val="single"/>
        </w:rPr>
        <w:t xml:space="preserve"> （签字或私章）      </w:t>
      </w:r>
    </w:p>
    <w:p>
      <w:pPr>
        <w:spacing w:line="360" w:lineRule="auto"/>
        <w:rPr>
          <w:rFonts w:ascii="宋体" w:hAnsi="宋体"/>
          <w:sz w:val="24"/>
          <w:u w:val="single"/>
        </w:rPr>
      </w:pPr>
      <w:r>
        <w:rPr>
          <w:rFonts w:hint="eastAsia" w:ascii="宋体" w:hAnsi="宋体"/>
          <w:sz w:val="24"/>
        </w:rPr>
        <w:t xml:space="preserve">                                受托人 </w:t>
      </w:r>
      <w:r>
        <w:rPr>
          <w:rFonts w:hint="eastAsia" w:ascii="宋体" w:hAnsi="宋体"/>
          <w:sz w:val="24"/>
          <w:u w:val="single"/>
        </w:rPr>
        <w:t xml:space="preserve"> （签字或私章）      </w:t>
      </w:r>
    </w:p>
    <w:p>
      <w:pPr>
        <w:spacing w:line="360" w:lineRule="auto"/>
        <w:ind w:firstLine="3960" w:firstLineChars="165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line="360" w:lineRule="auto"/>
      </w:pPr>
    </w:p>
    <w:p>
      <w:pPr>
        <w:pStyle w:val="5"/>
      </w:pPr>
      <w:bookmarkStart w:id="480" w:name="_Toc492628939"/>
      <w:r>
        <w:br w:type="page"/>
      </w:r>
      <w:bookmarkEnd w:id="480"/>
      <w:bookmarkStart w:id="481" w:name="_Toc23579"/>
      <w:bookmarkStart w:id="482" w:name="_Toc520275557"/>
      <w:bookmarkStart w:id="483" w:name="_Toc67640172"/>
      <w:r>
        <w:rPr>
          <w:rFonts w:hint="eastAsia"/>
        </w:rPr>
        <w:t>表5.参加政府采购活动前三年内，在经营活动中没有重大违法记录的声明函</w:t>
      </w:r>
      <w:bookmarkEnd w:id="481"/>
      <w:bookmarkEnd w:id="482"/>
      <w:bookmarkEnd w:id="483"/>
    </w:p>
    <w:p>
      <w:pPr>
        <w:spacing w:line="360" w:lineRule="auto"/>
        <w:rPr>
          <w:rFonts w:ascii="宋体" w:hAnsi="宋体"/>
        </w:rPr>
      </w:pPr>
    </w:p>
    <w:p>
      <w:pPr>
        <w:snapToGrid w:val="0"/>
        <w:spacing w:before="19" w:line="360" w:lineRule="auto"/>
        <w:rPr>
          <w:rFonts w:ascii="宋体" w:hAnsi="宋体"/>
          <w:b/>
          <w:sz w:val="28"/>
        </w:rPr>
      </w:pPr>
      <w:r>
        <w:rPr>
          <w:rFonts w:hint="eastAsia" w:ascii="宋体" w:hAnsi="宋体"/>
          <w:b/>
          <w:sz w:val="28"/>
        </w:rPr>
        <w:t>致：海南和信源招标代理有限公司</w:t>
      </w:r>
    </w:p>
    <w:p>
      <w:pPr>
        <w:tabs>
          <w:tab w:val="left" w:pos="630"/>
        </w:tabs>
        <w:spacing w:line="360" w:lineRule="auto"/>
        <w:rPr>
          <w:rFonts w:ascii="宋体" w:hAnsi="宋体"/>
        </w:rPr>
      </w:pPr>
    </w:p>
    <w:p>
      <w:pPr>
        <w:spacing w:line="360" w:lineRule="auto"/>
        <w:ind w:firstLine="480" w:firstLineChars="200"/>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sz w:val="24"/>
          <w:u w:val="single"/>
        </w:rPr>
        <w:t>海南省“码上办事”平台项目</w:t>
      </w:r>
      <w:r>
        <w:rPr>
          <w:rFonts w:hint="eastAsia" w:ascii="宋体" w:hAnsi="宋体"/>
          <w:sz w:val="24"/>
        </w:rPr>
        <w:t>（项目编号为：</w:t>
      </w:r>
      <w:r>
        <w:rPr>
          <w:rFonts w:hint="eastAsia" w:ascii="宋体" w:hAnsi="宋体"/>
          <w:sz w:val="24"/>
          <w:u w:val="single"/>
        </w:rPr>
        <w:t xml:space="preserve"> HXY2021-037 </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，我司声明如下：</w:t>
      </w:r>
    </w:p>
    <w:p>
      <w:pPr>
        <w:spacing w:line="360" w:lineRule="auto"/>
        <w:ind w:firstLine="480" w:firstLineChars="200"/>
        <w:rPr>
          <w:rFonts w:ascii="宋体" w:hAnsi="宋体"/>
          <w:sz w:val="24"/>
        </w:rPr>
      </w:pPr>
      <w:r>
        <w:rPr>
          <w:rFonts w:hint="eastAsia" w:ascii="宋体" w:hAnsi="宋体"/>
          <w:sz w:val="24"/>
        </w:rPr>
        <w:t>本项目招标公告前三年内，我司</w:t>
      </w:r>
      <w:r>
        <w:rPr>
          <w:rFonts w:hint="eastAsia" w:ascii="宋体" w:hAnsi="宋体" w:cs="宋体"/>
          <w:bCs/>
          <w:sz w:val="24"/>
          <w:lang w:val="en-GB"/>
        </w:rPr>
        <w:t>在经营活动中</w:t>
      </w:r>
      <w:r>
        <w:rPr>
          <w:rFonts w:hint="eastAsia" w:ascii="宋体" w:hAnsi="宋体"/>
          <w:sz w:val="24"/>
        </w:rPr>
        <w:t>没有被列入失信被执行人、重大税收违法案件当事人名单、政府采购严重违法失信行为记录名单等重大违法行为。</w:t>
      </w:r>
    </w:p>
    <w:p>
      <w:pPr>
        <w:spacing w:line="360" w:lineRule="auto"/>
        <w:ind w:firstLine="482" w:firstLineChars="200"/>
        <w:rPr>
          <w:rFonts w:ascii="宋体" w:hAnsi="宋体"/>
          <w:sz w:val="24"/>
        </w:rPr>
      </w:pPr>
      <w:r>
        <w:rPr>
          <w:rFonts w:hint="eastAsia" w:ascii="宋体" w:hAnsi="宋体"/>
          <w:b/>
          <w:sz w:val="24"/>
        </w:rPr>
        <w:t>如有虚假，我司愿意接受相关处罚。</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ind w:firstLine="576"/>
        <w:rPr>
          <w:rFonts w:ascii="宋体" w:hAnsi="宋体"/>
          <w:sz w:val="24"/>
        </w:rPr>
      </w:pPr>
    </w:p>
    <w:p>
      <w:pPr>
        <w:spacing w:line="360" w:lineRule="auto"/>
        <w:ind w:firstLine="576"/>
        <w:rPr>
          <w:rFonts w:ascii="宋体" w:hAnsi="宋体" w:cs="宋体"/>
          <w:b/>
          <w:sz w:val="24"/>
        </w:rPr>
      </w:pPr>
    </w:p>
    <w:p>
      <w:pPr>
        <w:spacing w:line="360" w:lineRule="auto"/>
        <w:ind w:firstLine="576"/>
        <w:rPr>
          <w:rFonts w:ascii="宋体" w:hAnsi="宋体"/>
          <w:b/>
          <w:sz w:val="24"/>
        </w:rPr>
      </w:pPr>
    </w:p>
    <w:p>
      <w:pPr>
        <w:snapToGrid w:val="0"/>
        <w:spacing w:line="360" w:lineRule="auto"/>
        <w:ind w:firstLine="960" w:firstLineChars="400"/>
        <w:rPr>
          <w:rFonts w:ascii="宋体" w:hAnsi="宋体"/>
          <w:sz w:val="24"/>
        </w:rPr>
      </w:pPr>
      <w:r>
        <w:rPr>
          <w:rFonts w:hint="eastAsia" w:ascii="宋体" w:hAnsi="宋体"/>
          <w:sz w:val="24"/>
        </w:rPr>
        <w:t>报价人名称：</w:t>
      </w:r>
      <w:r>
        <w:rPr>
          <w:rFonts w:hint="eastAsia" w:ascii="宋体" w:hAnsi="宋体"/>
          <w:sz w:val="24"/>
          <w:u w:val="single"/>
        </w:rPr>
        <w:t xml:space="preserve">              （公章）</w:t>
      </w:r>
    </w:p>
    <w:p>
      <w:pPr>
        <w:snapToGrid w:val="0"/>
        <w:spacing w:line="360" w:lineRule="auto"/>
        <w:rPr>
          <w:rFonts w:ascii="宋体" w:hAnsi="宋体"/>
          <w:sz w:val="24"/>
          <w:u w:val="single"/>
        </w:rPr>
      </w:pPr>
      <w:r>
        <w:rPr>
          <w:rFonts w:hint="eastAsia" w:ascii="宋体" w:hAnsi="宋体"/>
          <w:sz w:val="24"/>
        </w:rPr>
        <w:t xml:space="preserve">        地址：</w:t>
      </w:r>
      <w:r>
        <w:rPr>
          <w:rFonts w:hint="eastAsia" w:ascii="宋体" w:hAnsi="宋体"/>
          <w:sz w:val="24"/>
          <w:u w:val="single"/>
        </w:rPr>
        <w:t xml:space="preserve">                               </w:t>
      </w:r>
      <w:r>
        <w:rPr>
          <w:rFonts w:hint="eastAsia" w:ascii="宋体" w:hAnsi="宋体"/>
          <w:sz w:val="24"/>
        </w:rPr>
        <w:t>邮编：</w:t>
      </w:r>
      <w:r>
        <w:rPr>
          <w:rFonts w:hint="eastAsia" w:ascii="宋体" w:hAnsi="宋体"/>
          <w:sz w:val="24"/>
          <w:u w:val="single"/>
        </w:rPr>
        <w:t xml:space="preserve">          </w:t>
      </w:r>
    </w:p>
    <w:p>
      <w:pPr>
        <w:snapToGrid w:val="0"/>
        <w:spacing w:line="360" w:lineRule="auto"/>
        <w:rPr>
          <w:rFonts w:ascii="宋体" w:hAnsi="宋体"/>
          <w:sz w:val="24"/>
          <w:u w:val="single"/>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传真：</w:t>
      </w:r>
      <w:r>
        <w:rPr>
          <w:rFonts w:hint="eastAsia" w:ascii="宋体" w:hAnsi="宋体"/>
          <w:sz w:val="24"/>
          <w:u w:val="single"/>
        </w:rPr>
        <w:t xml:space="preserve">             </w:t>
      </w:r>
    </w:p>
    <w:p>
      <w:pPr>
        <w:snapToGrid w:val="0"/>
        <w:spacing w:line="360" w:lineRule="auto"/>
        <w:rPr>
          <w:rFonts w:ascii="宋体" w:hAnsi="宋体"/>
          <w:sz w:val="24"/>
          <w:u w:val="single"/>
        </w:rPr>
      </w:pPr>
      <w:r>
        <w:rPr>
          <w:rFonts w:hint="eastAsia" w:ascii="宋体" w:hAnsi="宋体"/>
          <w:sz w:val="24"/>
        </w:rPr>
        <w:t xml:space="preserve">        授权代表：</w:t>
      </w:r>
      <w:r>
        <w:rPr>
          <w:rFonts w:hint="eastAsia" w:ascii="宋体" w:hAnsi="宋体"/>
          <w:sz w:val="24"/>
          <w:u w:val="single"/>
        </w:rPr>
        <w:t xml:space="preserve">   （签字或私章）         </w:t>
      </w:r>
      <w:r>
        <w:rPr>
          <w:rFonts w:hint="eastAsia" w:ascii="宋体" w:hAnsi="宋体"/>
          <w:sz w:val="24"/>
        </w:rPr>
        <w:t xml:space="preserve">   职务：</w:t>
      </w:r>
      <w:r>
        <w:rPr>
          <w:rFonts w:hint="eastAsia" w:ascii="宋体" w:hAnsi="宋体"/>
          <w:sz w:val="24"/>
          <w:u w:val="single"/>
        </w:rPr>
        <w:t xml:space="preserve">                  </w:t>
      </w:r>
    </w:p>
    <w:p>
      <w:pPr>
        <w:snapToGrid w:val="0"/>
        <w:spacing w:line="360" w:lineRule="auto"/>
        <w:rPr>
          <w:rFonts w:ascii="宋体" w:hAnsi="宋体"/>
          <w:sz w:val="24"/>
          <w:u w:val="single"/>
        </w:rPr>
      </w:pPr>
      <w:r>
        <w:rPr>
          <w:rFonts w:hint="eastAsia" w:ascii="宋体" w:hAnsi="宋体"/>
          <w:sz w:val="24"/>
        </w:rPr>
        <w:t xml:space="preserve">        日期：</w:t>
      </w:r>
      <w:r>
        <w:rPr>
          <w:rFonts w:hint="eastAsia" w:ascii="宋体" w:hAnsi="宋体"/>
          <w:sz w:val="24"/>
          <w:u w:val="single"/>
        </w:rPr>
        <w:t xml:space="preserve">                  </w:t>
      </w:r>
    </w:p>
    <w:p>
      <w:pPr>
        <w:snapToGrid w:val="0"/>
        <w:spacing w:line="360" w:lineRule="auto"/>
        <w:rPr>
          <w:rFonts w:ascii="宋体" w:hAnsi="宋体"/>
          <w:sz w:val="24"/>
          <w:u w:val="single"/>
        </w:rPr>
      </w:pPr>
    </w:p>
    <w:bookmarkEnd w:id="317"/>
    <w:p>
      <w:pPr>
        <w:tabs>
          <w:tab w:val="left" w:pos="1260"/>
        </w:tabs>
        <w:suppressAutoHyphens/>
        <w:spacing w:line="360" w:lineRule="auto"/>
      </w:pPr>
    </w:p>
    <w:sectPr>
      <w:footerReference r:id="rId9" w:type="default"/>
      <w:footnotePr>
        <w:pos w:val="beneathText"/>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Noto Sans CJK JP Regular">
    <w:altName w:val="Segoe Print"/>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ˎ̥">
    <w:altName w:val="Adobe 仿宋 Std R"/>
    <w:panose1 w:val="00000000000000000000"/>
    <w:charset w:val="00"/>
    <w:family w:val="roman"/>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Helvetica">
    <w:panose1 w:val="020B0604020202020204"/>
    <w:charset w:val="00"/>
    <w:family w:val="swiss"/>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Garamond">
    <w:panose1 w:val="02020502050306020203"/>
    <w:charset w:val="00"/>
    <w:family w:val="roman"/>
    <w:pitch w:val="default"/>
    <w:sig w:usb0="00000000" w:usb1="00000000" w:usb2="00000000" w:usb3="00000000" w:csb0="00000000" w:csb1="00000000"/>
  </w:font>
  <w:font w:name="宋体 (正文)">
    <w:altName w:val="宋体"/>
    <w:panose1 w:val="00000000000000000000"/>
    <w:charset w:val="86"/>
    <w:family w:val="roman"/>
    <w:pitch w:val="default"/>
    <w:sig w:usb0="00000000" w:usb1="00000000" w:usb2="00000010" w:usb3="00000000" w:csb0="000401FF" w:csb1="00000000"/>
  </w:font>
  <w:font w:name="Helvetica Neue">
    <w:altName w:val="Times New Roman"/>
    <w:panose1 w:val="00000000000000000000"/>
    <w:charset w:val="00"/>
    <w:family w:val="auto"/>
    <w:pitch w:val="default"/>
    <w:sig w:usb0="00000000" w:usb1="00000000" w:usb2="00000010" w:usb3="00000000" w:csb0="00000001" w:csb1="00000000"/>
  </w:font>
  <w:font w:name="Futura Bk">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dobe 仿宋 Std R">
    <w:panose1 w:val="02020400000000000000"/>
    <w:charset w:val="86"/>
    <w:family w:val="auto"/>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0173008"/>
    </w:sdtPr>
    <w:sdtContent>
      <w:p>
        <w:pPr>
          <w:pStyle w:val="34"/>
          <w:jc w:val="center"/>
        </w:pPr>
        <w:r>
          <w:fldChar w:fldCharType="begin"/>
        </w:r>
        <w:r>
          <w:instrText xml:space="preserve">PAGE   \* MERGEFORMAT</w:instrText>
        </w:r>
        <w:r>
          <w:fldChar w:fldCharType="separate"/>
        </w:r>
        <w:r>
          <w:rPr>
            <w:lang w:val="zh-CN"/>
          </w:rPr>
          <w:t>II</w:t>
        </w:r>
        <w:r>
          <w:rPr>
            <w:lang w:val="zh-CN"/>
          </w:rPr>
          <w:fldChar w:fldCharType="end"/>
        </w:r>
      </w:p>
    </w:sdtContent>
  </w:sdt>
  <w:p>
    <w:pPr>
      <w:pStyle w:val="34"/>
      <w:tabs>
        <w:tab w:val="center" w:pos="4206"/>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7"/>
      </w:rPr>
    </w:pPr>
    <w:r>
      <w:fldChar w:fldCharType="begin"/>
    </w:r>
    <w:r>
      <w:rPr>
        <w:rStyle w:val="57"/>
      </w:rPr>
      <w:instrText xml:space="preserve">PAGE  </w:instrText>
    </w:r>
    <w:r>
      <w:fldChar w:fldCharType="separate"/>
    </w:r>
    <w:r>
      <w:rPr>
        <w:rStyle w:val="57"/>
      </w:rPr>
      <w:t>19</w: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5320628"/>
    </w:sdtPr>
    <w:sdtContent>
      <w:p>
        <w:pPr>
          <w:pStyle w:val="34"/>
          <w:jc w:val="center"/>
        </w:pPr>
        <w:r>
          <w:fldChar w:fldCharType="begin"/>
        </w:r>
        <w:r>
          <w:instrText xml:space="preserve">PAGE   \* MERGEFORMAT</w:instrText>
        </w:r>
        <w:r>
          <w:fldChar w:fldCharType="separate"/>
        </w:r>
        <w:r>
          <w:rPr>
            <w:lang w:val="zh-CN"/>
          </w:rPr>
          <w:t>I</w:t>
        </w:r>
        <w:r>
          <w:rPr>
            <w:lang w:val="zh-CN"/>
          </w:rPr>
          <w:fldChar w:fldCharType="end"/>
        </w:r>
      </w:p>
    </w:sdtContent>
  </w:sdt>
  <w:p>
    <w:pPr>
      <w:pStyle w:val="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7"/>
      </w:rPr>
    </w:pPr>
    <w:r>
      <w:fldChar w:fldCharType="begin"/>
    </w:r>
    <w:r>
      <w:rPr>
        <w:rStyle w:val="57"/>
      </w:rPr>
      <w:instrText xml:space="preserve">PAGE  </w:instrText>
    </w:r>
    <w:r>
      <w:fldChar w:fldCharType="separate"/>
    </w:r>
    <w:r>
      <w:rPr>
        <w:rStyle w:val="57"/>
      </w:rPr>
      <w:t>18</w:t>
    </w:r>
    <w:r>
      <w:fldChar w:fldCharType="end"/>
    </w:r>
  </w:p>
  <w:p>
    <w:pPr>
      <w:pStyle w:val="34"/>
      <w:tabs>
        <w:tab w:val="center" w:pos="4206"/>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pPr>
    <w:r>
      <w:rPr>
        <w:rFonts w:hint="eastAsia" w:ascii="宋体" w:hAnsi="宋体"/>
      </w:rPr>
      <w:t>项目编号：HXY2021-037</w:t>
    </w:r>
    <w:r>
      <w:rPr>
        <w:rFonts w:ascii="宋体" w:hAnsi="宋体"/>
      </w:rPr>
      <w:t xml:space="preserve">   </w:t>
    </w:r>
    <w:r>
      <w:rPr>
        <w:rFonts w:hint="eastAsia"/>
      </w:rPr>
      <w:t xml:space="preserve">                                         </w:t>
    </w:r>
    <w:r>
      <w:t xml:space="preserve"> </w:t>
    </w:r>
    <w:r>
      <w:rPr>
        <w:rFonts w:hint="eastAsia"/>
      </w:rPr>
      <w:t>海南和信源招标代理有限公司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7"/>
      </w:rPr>
    </w:pPr>
    <w:r>
      <w:fldChar w:fldCharType="begin"/>
    </w:r>
    <w:r>
      <w:rPr>
        <w:rStyle w:val="57"/>
      </w:rPr>
      <w:instrText xml:space="preserve">PAGE  </w:instrText>
    </w:r>
    <w:r>
      <w:fldChar w:fldCharType="separate"/>
    </w:r>
    <w:r>
      <w:rPr>
        <w:rStyle w:val="57"/>
      </w:rPr>
      <w:t>19</w:t>
    </w:r>
    <w:r>
      <w:fldChar w:fldCharType="end"/>
    </w:r>
  </w:p>
  <w:p>
    <w:pPr>
      <w:pStyle w:val="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3D39D1"/>
    <w:multiLevelType w:val="singleLevel"/>
    <w:tmpl w:val="973D39D1"/>
    <w:lvl w:ilvl="0" w:tentative="0">
      <w:start w:val="1"/>
      <w:numFmt w:val="decimal"/>
      <w:lvlText w:val="%1)"/>
      <w:lvlJc w:val="left"/>
      <w:pPr>
        <w:ind w:left="425" w:hanging="425"/>
      </w:pPr>
      <w:rPr>
        <w:rFonts w:hint="default"/>
      </w:rPr>
    </w:lvl>
  </w:abstractNum>
  <w:abstractNum w:abstractNumId="1">
    <w:nsid w:val="A4DDC5A8"/>
    <w:multiLevelType w:val="singleLevel"/>
    <w:tmpl w:val="A4DDC5A8"/>
    <w:lvl w:ilvl="0" w:tentative="0">
      <w:start w:val="1"/>
      <w:numFmt w:val="decimal"/>
      <w:pStyle w:val="785"/>
      <w:lvlText w:val="%1)"/>
      <w:lvlJc w:val="left"/>
      <w:pPr>
        <w:ind w:left="425" w:hanging="425"/>
      </w:pPr>
      <w:rPr>
        <w:rFonts w:hint="default"/>
      </w:rPr>
    </w:lvl>
  </w:abstractNum>
  <w:abstractNum w:abstractNumId="2">
    <w:nsid w:val="A9B9FA85"/>
    <w:multiLevelType w:val="singleLevel"/>
    <w:tmpl w:val="A9B9FA85"/>
    <w:lvl w:ilvl="0" w:tentative="0">
      <w:start w:val="1"/>
      <w:numFmt w:val="bullet"/>
      <w:pStyle w:val="497"/>
      <w:lvlText w:val=""/>
      <w:lvlJc w:val="left"/>
      <w:pPr>
        <w:ind w:left="420" w:hanging="420"/>
      </w:pPr>
      <w:rPr>
        <w:rFonts w:hint="default" w:ascii="Wingdings" w:hAnsi="Wingdings"/>
      </w:rPr>
    </w:lvl>
  </w:abstractNum>
  <w:abstractNum w:abstractNumId="3">
    <w:nsid w:val="B5FDF282"/>
    <w:multiLevelType w:val="multilevel"/>
    <w:tmpl w:val="B5FDF282"/>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228"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pStyle w:val="9"/>
      <w:suff w:val="nothing"/>
      <w:lvlText w:val="%6）"/>
      <w:lvlJc w:val="left"/>
      <w:pPr>
        <w:ind w:left="18"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F0F263A"/>
    <w:multiLevelType w:val="singleLevel"/>
    <w:tmpl w:val="CF0F263A"/>
    <w:lvl w:ilvl="0" w:tentative="0">
      <w:start w:val="1"/>
      <w:numFmt w:val="decimal"/>
      <w:suff w:val="nothing"/>
      <w:lvlText w:val="（%1）"/>
      <w:lvlJc w:val="left"/>
    </w:lvl>
  </w:abstractNum>
  <w:abstractNum w:abstractNumId="5">
    <w:nsid w:val="D23E780D"/>
    <w:multiLevelType w:val="singleLevel"/>
    <w:tmpl w:val="D23E780D"/>
    <w:lvl w:ilvl="0" w:tentative="0">
      <w:start w:val="1"/>
      <w:numFmt w:val="decimal"/>
      <w:lvlText w:val="%1)"/>
      <w:lvlJc w:val="left"/>
      <w:pPr>
        <w:ind w:left="425" w:hanging="425"/>
      </w:pPr>
      <w:rPr>
        <w:rFonts w:hint="default"/>
      </w:rPr>
    </w:lvl>
  </w:abstractNum>
  <w:abstractNum w:abstractNumId="6">
    <w:nsid w:val="D583E9D7"/>
    <w:multiLevelType w:val="singleLevel"/>
    <w:tmpl w:val="D583E9D7"/>
    <w:lvl w:ilvl="0" w:tentative="0">
      <w:start w:val="1"/>
      <w:numFmt w:val="decimal"/>
      <w:lvlText w:val="%1)"/>
      <w:lvlJc w:val="left"/>
      <w:pPr>
        <w:ind w:left="425" w:hanging="425"/>
      </w:pPr>
      <w:rPr>
        <w:rFonts w:hint="default"/>
      </w:rPr>
    </w:lvl>
  </w:abstractNum>
  <w:abstractNum w:abstractNumId="7">
    <w:nsid w:val="F26F739A"/>
    <w:multiLevelType w:val="singleLevel"/>
    <w:tmpl w:val="F26F739A"/>
    <w:lvl w:ilvl="0" w:tentative="0">
      <w:start w:val="3"/>
      <w:numFmt w:val="chineseCounting"/>
      <w:pStyle w:val="608"/>
      <w:suff w:val="nothing"/>
      <w:lvlText w:val="%1、"/>
      <w:lvlJc w:val="left"/>
      <w:rPr>
        <w:rFonts w:hint="eastAsia"/>
      </w:rPr>
    </w:lvl>
  </w:abstractNum>
  <w:abstractNum w:abstractNumId="8">
    <w:nsid w:val="00000001"/>
    <w:multiLevelType w:val="multilevel"/>
    <w:tmpl w:val="00000001"/>
    <w:lvl w:ilvl="0" w:tentative="0">
      <w:start w:val="1"/>
      <w:numFmt w:val="decimal"/>
      <w:pStyle w:val="649"/>
      <w:lvlText w:val="第%1章"/>
      <w:lvlJc w:val="left"/>
      <w:pPr>
        <w:tabs>
          <w:tab w:val="left" w:pos="425"/>
        </w:tabs>
        <w:ind w:left="0" w:firstLine="0"/>
      </w:pPr>
      <w:rPr>
        <w:rFonts w:hint="eastAsia"/>
        <w:b w:val="0"/>
        <w:i w:val="0"/>
        <w:caps w:val="0"/>
        <w:smallCaps w:val="0"/>
        <w:strike w:val="0"/>
        <w:dstrike w:val="0"/>
        <w:outline w:val="0"/>
        <w:shadow w:val="0"/>
        <w:emboss w:val="0"/>
        <w:imprint w:val="0"/>
        <w:vanish w:val="0"/>
        <w:spacing w:val="0"/>
        <w:position w:val="0"/>
        <w:sz w:val="44"/>
        <w:u w:val="none"/>
        <w:vertAlign w:val="baseline"/>
      </w:rPr>
    </w:lvl>
    <w:lvl w:ilvl="1" w:tentative="0">
      <w:start w:val="1"/>
      <w:numFmt w:val="decimal"/>
      <w:isLgl/>
      <w:lvlText w:val="%1.%2"/>
      <w:lvlJc w:val="left"/>
      <w:pPr>
        <w:tabs>
          <w:tab w:val="left" w:pos="425"/>
        </w:tabs>
        <w:ind w:left="0" w:firstLine="0"/>
      </w:pPr>
      <w:rPr>
        <w:rFonts w:hint="eastAsia"/>
        <w:b w:val="0"/>
        <w:i w:val="0"/>
        <w:color w:val="000000"/>
      </w:rPr>
    </w:lvl>
    <w:lvl w:ilvl="2" w:tentative="0">
      <w:start w:val="1"/>
      <w:numFmt w:val="decimal"/>
      <w:isLgl/>
      <w:lvlText w:val="%1.%2.%3"/>
      <w:lvlJc w:val="left"/>
      <w:pPr>
        <w:tabs>
          <w:tab w:val="left" w:pos="425"/>
        </w:tabs>
        <w:ind w:left="0" w:firstLine="0"/>
      </w:pPr>
      <w:rPr>
        <w:rFonts w:hint="eastAsia"/>
        <w:lang w:val="en-US"/>
      </w:rPr>
    </w:lvl>
    <w:lvl w:ilvl="3" w:tentative="0">
      <w:start w:val="1"/>
      <w:numFmt w:val="decimal"/>
      <w:isLgl/>
      <w:lvlText w:val="%1.%2.%3.%4"/>
      <w:lvlJc w:val="left"/>
      <w:pPr>
        <w:tabs>
          <w:tab w:val="left" w:pos="851"/>
        </w:tabs>
        <w:ind w:left="426" w:firstLine="0"/>
      </w:pPr>
      <w:rPr>
        <w:rFonts w:hint="eastAsia"/>
        <w:lang w:val="en-US"/>
      </w:rPr>
    </w:lvl>
    <w:lvl w:ilvl="4" w:tentative="0">
      <w:start w:val="1"/>
      <w:numFmt w:val="decimal"/>
      <w:isLgl/>
      <w:lvlText w:val="%1.%2.%3.%4.%5"/>
      <w:lvlJc w:val="left"/>
      <w:pPr>
        <w:tabs>
          <w:tab w:val="left" w:pos="425"/>
        </w:tabs>
        <w:ind w:left="0" w:firstLine="0"/>
      </w:pPr>
      <w:rPr>
        <w:rFonts w:hint="eastAsia"/>
        <w:b w:val="0"/>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9">
    <w:nsid w:val="020A5F00"/>
    <w:multiLevelType w:val="multilevel"/>
    <w:tmpl w:val="020A5F00"/>
    <w:lvl w:ilvl="0" w:tentative="0">
      <w:start w:val="1"/>
      <w:numFmt w:val="decimal"/>
      <w:pStyle w:val="165"/>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03576F75"/>
    <w:multiLevelType w:val="singleLevel"/>
    <w:tmpl w:val="03576F75"/>
    <w:lvl w:ilvl="0" w:tentative="0">
      <w:start w:val="1"/>
      <w:numFmt w:val="bullet"/>
      <w:pStyle w:val="28"/>
      <w:lvlText w:val=""/>
      <w:lvlJc w:val="left"/>
      <w:pPr>
        <w:ind w:left="420" w:hanging="420"/>
      </w:pPr>
      <w:rPr>
        <w:rFonts w:hint="default" w:ascii="Wingdings" w:hAnsi="Wingdings"/>
      </w:rPr>
    </w:lvl>
  </w:abstractNum>
  <w:abstractNum w:abstractNumId="11">
    <w:nsid w:val="0437647D"/>
    <w:multiLevelType w:val="multilevel"/>
    <w:tmpl w:val="0437647D"/>
    <w:lvl w:ilvl="0" w:tentative="0">
      <w:start w:val="1"/>
      <w:numFmt w:val="bullet"/>
      <w:pStyle w:val="267"/>
      <w:lvlText w:val=""/>
      <w:lvlJc w:val="left"/>
      <w:pPr>
        <w:ind w:left="900" w:hanging="420"/>
      </w:pPr>
      <w:rPr>
        <w:rFonts w:hint="default" w:ascii="Wingdings" w:hAnsi="Wingdings"/>
      </w:rPr>
    </w:lvl>
    <w:lvl w:ilvl="1" w:tentative="0">
      <w:start w:val="1"/>
      <w:numFmt w:val="bullet"/>
      <w:pStyle w:val="203"/>
      <w:lvlText w:val=""/>
      <w:lvlJc w:val="left"/>
      <w:pPr>
        <w:ind w:left="1320" w:hanging="420"/>
      </w:pPr>
      <w:rPr>
        <w:rFonts w:hint="default" w:ascii="Wingdings" w:hAnsi="Wingdings" w:cs="Wingdings"/>
      </w:rPr>
    </w:lvl>
    <w:lvl w:ilvl="2" w:tentative="0">
      <w:start w:val="1"/>
      <w:numFmt w:val="bullet"/>
      <w:pStyle w:val="108"/>
      <w:lvlText w:val=""/>
      <w:lvlJc w:val="left"/>
      <w:pPr>
        <w:ind w:left="1740" w:hanging="420"/>
      </w:pPr>
      <w:rPr>
        <w:rFonts w:hint="default" w:ascii="Wingdings" w:hAnsi="Wingdings" w:cs="Wingdings"/>
      </w:rPr>
    </w:lvl>
    <w:lvl w:ilvl="3" w:tentative="0">
      <w:start w:val="1"/>
      <w:numFmt w:val="bullet"/>
      <w:pStyle w:val="215"/>
      <w:lvlText w:val=""/>
      <w:lvlJc w:val="left"/>
      <w:pPr>
        <w:ind w:left="2160" w:hanging="420"/>
      </w:pPr>
      <w:rPr>
        <w:rFonts w:hint="default" w:ascii="Wingdings" w:hAnsi="Wingdings" w:cs="Wingdings"/>
      </w:rPr>
    </w:lvl>
    <w:lvl w:ilvl="4" w:tentative="0">
      <w:start w:val="1"/>
      <w:numFmt w:val="bullet"/>
      <w:pStyle w:val="254"/>
      <w:lvlText w:val=""/>
      <w:lvlJc w:val="left"/>
      <w:pPr>
        <w:ind w:left="2580" w:hanging="420"/>
      </w:pPr>
      <w:rPr>
        <w:rFonts w:hint="default" w:ascii="Wingdings" w:hAnsi="Wingdings" w:cs="Wingdings"/>
      </w:rPr>
    </w:lvl>
    <w:lvl w:ilvl="5" w:tentative="0">
      <w:start w:val="1"/>
      <w:numFmt w:val="bullet"/>
      <w:pStyle w:val="168"/>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12">
    <w:nsid w:val="071676DC"/>
    <w:multiLevelType w:val="multilevel"/>
    <w:tmpl w:val="071676DC"/>
    <w:lvl w:ilvl="0" w:tentative="0">
      <w:start w:val="1"/>
      <w:numFmt w:val="bullet"/>
      <w:pStyle w:val="133"/>
      <w:lvlText w:val=""/>
      <w:lvlJc w:val="left"/>
      <w:pPr>
        <w:ind w:left="900" w:hanging="420"/>
      </w:pPr>
      <w:rPr>
        <w:rFonts w:hint="default" w:ascii="Wingdings" w:hAnsi="Wingdings"/>
      </w:rPr>
    </w:lvl>
    <w:lvl w:ilvl="1" w:tentative="0">
      <w:start w:val="1"/>
      <w:numFmt w:val="bullet"/>
      <w:pStyle w:val="525"/>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3">
    <w:nsid w:val="0D70406F"/>
    <w:multiLevelType w:val="multilevel"/>
    <w:tmpl w:val="0D70406F"/>
    <w:lvl w:ilvl="0" w:tentative="0">
      <w:start w:val="1"/>
      <w:numFmt w:val="bullet"/>
      <w:pStyle w:val="270"/>
      <w:lvlText w:val=""/>
      <w:lvlJc w:val="left"/>
      <w:pPr>
        <w:tabs>
          <w:tab w:val="left" w:pos="1260"/>
        </w:tabs>
        <w:ind w:left="1260" w:hanging="420"/>
      </w:pPr>
      <w:rPr>
        <w:rFonts w:hint="default" w:ascii="Wingdings" w:hAnsi="Wingdings" w:cs="Times New Roman"/>
      </w:rPr>
    </w:lvl>
    <w:lvl w:ilvl="1" w:tentative="0">
      <w:start w:val="1"/>
      <w:numFmt w:val="bullet"/>
      <w:lvlText w:val=""/>
      <w:lvlJc w:val="left"/>
      <w:pPr>
        <w:tabs>
          <w:tab w:val="left" w:pos="1680"/>
        </w:tabs>
        <w:ind w:left="1680" w:hanging="420"/>
      </w:pPr>
      <w:rPr>
        <w:rFonts w:hint="default" w:ascii="Wingdings" w:hAnsi="Wingdings" w:cs="Times New Roman"/>
      </w:rPr>
    </w:lvl>
    <w:lvl w:ilvl="2" w:tentative="0">
      <w:start w:val="1"/>
      <w:numFmt w:val="bullet"/>
      <w:lvlText w:val=""/>
      <w:lvlJc w:val="left"/>
      <w:pPr>
        <w:tabs>
          <w:tab w:val="left" w:pos="2100"/>
        </w:tabs>
        <w:ind w:left="2100" w:hanging="420"/>
      </w:pPr>
      <w:rPr>
        <w:rFonts w:hint="default" w:ascii="Wingdings" w:hAnsi="Wingdings" w:cs="Times New Roman"/>
      </w:rPr>
    </w:lvl>
    <w:lvl w:ilvl="3" w:tentative="0">
      <w:start w:val="1"/>
      <w:numFmt w:val="bullet"/>
      <w:lvlText w:val=""/>
      <w:lvlJc w:val="left"/>
      <w:pPr>
        <w:tabs>
          <w:tab w:val="left" w:pos="2520"/>
        </w:tabs>
        <w:ind w:left="2520" w:hanging="420"/>
      </w:pPr>
      <w:rPr>
        <w:rFonts w:hint="default" w:ascii="Wingdings" w:hAnsi="Wingdings" w:cs="Times New Roman"/>
      </w:rPr>
    </w:lvl>
    <w:lvl w:ilvl="4" w:tentative="0">
      <w:start w:val="1"/>
      <w:numFmt w:val="bullet"/>
      <w:lvlText w:val=""/>
      <w:lvlJc w:val="left"/>
      <w:pPr>
        <w:tabs>
          <w:tab w:val="left" w:pos="2940"/>
        </w:tabs>
        <w:ind w:left="2940" w:hanging="420"/>
      </w:pPr>
      <w:rPr>
        <w:rFonts w:hint="default" w:ascii="Wingdings" w:hAnsi="Wingdings" w:cs="Times New Roman"/>
      </w:rPr>
    </w:lvl>
    <w:lvl w:ilvl="5" w:tentative="0">
      <w:start w:val="1"/>
      <w:numFmt w:val="bullet"/>
      <w:lvlText w:val=""/>
      <w:lvlJc w:val="left"/>
      <w:pPr>
        <w:tabs>
          <w:tab w:val="left" w:pos="3360"/>
        </w:tabs>
        <w:ind w:left="3360" w:hanging="420"/>
      </w:pPr>
      <w:rPr>
        <w:rFonts w:hint="default" w:ascii="Wingdings" w:hAnsi="Wingdings" w:cs="Times New Roman"/>
      </w:rPr>
    </w:lvl>
    <w:lvl w:ilvl="6" w:tentative="0">
      <w:start w:val="1"/>
      <w:numFmt w:val="bullet"/>
      <w:lvlText w:val=""/>
      <w:lvlJc w:val="left"/>
      <w:pPr>
        <w:tabs>
          <w:tab w:val="left" w:pos="3780"/>
        </w:tabs>
        <w:ind w:left="3780" w:hanging="420"/>
      </w:pPr>
      <w:rPr>
        <w:rFonts w:hint="default" w:ascii="Wingdings" w:hAnsi="Wingdings" w:cs="Times New Roman"/>
      </w:rPr>
    </w:lvl>
    <w:lvl w:ilvl="7" w:tentative="0">
      <w:start w:val="1"/>
      <w:numFmt w:val="bullet"/>
      <w:lvlText w:val=""/>
      <w:lvlJc w:val="left"/>
      <w:pPr>
        <w:tabs>
          <w:tab w:val="left" w:pos="4200"/>
        </w:tabs>
        <w:ind w:left="4200" w:hanging="420"/>
      </w:pPr>
      <w:rPr>
        <w:rFonts w:hint="default" w:ascii="Wingdings" w:hAnsi="Wingdings" w:cs="Times New Roman"/>
      </w:rPr>
    </w:lvl>
    <w:lvl w:ilvl="8" w:tentative="0">
      <w:start w:val="1"/>
      <w:numFmt w:val="bullet"/>
      <w:lvlText w:val=""/>
      <w:lvlJc w:val="left"/>
      <w:pPr>
        <w:tabs>
          <w:tab w:val="left" w:pos="4620"/>
        </w:tabs>
        <w:ind w:left="4620" w:hanging="420"/>
      </w:pPr>
      <w:rPr>
        <w:rFonts w:hint="default" w:ascii="Wingdings" w:hAnsi="Wingdings" w:cs="Times New Roman"/>
      </w:rPr>
    </w:lvl>
  </w:abstractNum>
  <w:abstractNum w:abstractNumId="14">
    <w:nsid w:val="0F915CA6"/>
    <w:multiLevelType w:val="multilevel"/>
    <w:tmpl w:val="0F915CA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128D6622"/>
    <w:multiLevelType w:val="multilevel"/>
    <w:tmpl w:val="128D6622"/>
    <w:lvl w:ilvl="0" w:tentative="0">
      <w:start w:val="1"/>
      <w:numFmt w:val="bullet"/>
      <w:pStyle w:val="627"/>
      <w:lvlText w:val=""/>
      <w:lvlJc w:val="left"/>
      <w:pPr>
        <w:ind w:left="900" w:hanging="420"/>
      </w:pPr>
      <w:rPr>
        <w:rFonts w:hint="default" w:ascii="Wingdings" w:hAnsi="Wingdings"/>
      </w:rPr>
    </w:lvl>
    <w:lvl w:ilvl="1" w:tentative="0">
      <w:start w:val="1"/>
      <w:numFmt w:val="bullet"/>
      <w:pStyle w:val="641"/>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pStyle w:val="157"/>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pStyle w:val="212"/>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6">
    <w:nsid w:val="13485EE1"/>
    <w:multiLevelType w:val="multilevel"/>
    <w:tmpl w:val="13485EE1"/>
    <w:lvl w:ilvl="0" w:tentative="0">
      <w:start w:val="1"/>
      <w:numFmt w:val="decimal"/>
      <w:pStyle w:val="698"/>
      <w:lvlText w:val="表 %1"/>
      <w:lvlJc w:val="left"/>
      <w:pPr>
        <w:tabs>
          <w:tab w:val="left" w:pos="680"/>
        </w:tabs>
        <w:ind w:left="680" w:hanging="68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151C1A02"/>
    <w:multiLevelType w:val="multilevel"/>
    <w:tmpl w:val="151C1A02"/>
    <w:lvl w:ilvl="0" w:tentative="0">
      <w:start w:val="1"/>
      <w:numFmt w:val="decimal"/>
      <w:pStyle w:val="154"/>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18">
    <w:nsid w:val="19CC57A8"/>
    <w:multiLevelType w:val="multilevel"/>
    <w:tmpl w:val="19CC57A8"/>
    <w:lvl w:ilvl="0" w:tentative="0">
      <w:start w:val="1"/>
      <w:numFmt w:val="chineseCountingThousand"/>
      <w:pStyle w:val="155"/>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19CC6630"/>
    <w:multiLevelType w:val="multilevel"/>
    <w:tmpl w:val="19CC6630"/>
    <w:lvl w:ilvl="0" w:tentative="0">
      <w:start w:val="1"/>
      <w:numFmt w:val="decimal"/>
      <w:pStyle w:val="113"/>
      <w:lvlText w:val="%1."/>
      <w:lvlJc w:val="left"/>
      <w:pPr>
        <w:ind w:left="1680" w:hanging="360"/>
      </w:pPr>
      <w:rPr>
        <w:rFonts w:hint="default"/>
      </w:rPr>
    </w:lvl>
    <w:lvl w:ilvl="1" w:tentative="0">
      <w:start w:val="1"/>
      <w:numFmt w:val="lowerLetter"/>
      <w:lvlText w:val="%2)"/>
      <w:lvlJc w:val="left"/>
      <w:pPr>
        <w:ind w:left="2160" w:hanging="420"/>
      </w:pPr>
    </w:lvl>
    <w:lvl w:ilvl="2" w:tentative="0">
      <w:start w:val="1"/>
      <w:numFmt w:val="lowerRoman"/>
      <w:lvlText w:val="%3."/>
      <w:lvlJc w:val="right"/>
      <w:pPr>
        <w:ind w:left="2580" w:hanging="420"/>
      </w:pPr>
    </w:lvl>
    <w:lvl w:ilvl="3" w:tentative="0">
      <w:start w:val="1"/>
      <w:numFmt w:val="decimal"/>
      <w:lvlText w:val="%4."/>
      <w:lvlJc w:val="left"/>
      <w:pPr>
        <w:ind w:left="3000" w:hanging="420"/>
      </w:pPr>
    </w:lvl>
    <w:lvl w:ilvl="4" w:tentative="0">
      <w:start w:val="1"/>
      <w:numFmt w:val="lowerLetter"/>
      <w:lvlText w:val="%5)"/>
      <w:lvlJc w:val="left"/>
      <w:pPr>
        <w:ind w:left="3420" w:hanging="420"/>
      </w:pPr>
    </w:lvl>
    <w:lvl w:ilvl="5" w:tentative="0">
      <w:start w:val="1"/>
      <w:numFmt w:val="lowerRoman"/>
      <w:lvlText w:val="%6."/>
      <w:lvlJc w:val="right"/>
      <w:pPr>
        <w:ind w:left="3840" w:hanging="420"/>
      </w:pPr>
    </w:lvl>
    <w:lvl w:ilvl="6" w:tentative="0">
      <w:start w:val="1"/>
      <w:numFmt w:val="decimal"/>
      <w:lvlText w:val="%7."/>
      <w:lvlJc w:val="left"/>
      <w:pPr>
        <w:ind w:left="4260" w:hanging="420"/>
      </w:pPr>
    </w:lvl>
    <w:lvl w:ilvl="7" w:tentative="0">
      <w:start w:val="1"/>
      <w:numFmt w:val="lowerLetter"/>
      <w:lvlText w:val="%8)"/>
      <w:lvlJc w:val="left"/>
      <w:pPr>
        <w:ind w:left="4680" w:hanging="420"/>
      </w:pPr>
    </w:lvl>
    <w:lvl w:ilvl="8" w:tentative="0">
      <w:start w:val="1"/>
      <w:numFmt w:val="lowerRoman"/>
      <w:lvlText w:val="%9."/>
      <w:lvlJc w:val="right"/>
      <w:pPr>
        <w:ind w:left="5100" w:hanging="420"/>
      </w:pPr>
    </w:lvl>
  </w:abstractNum>
  <w:abstractNum w:abstractNumId="20">
    <w:nsid w:val="1A335806"/>
    <w:multiLevelType w:val="multilevel"/>
    <w:tmpl w:val="1A335806"/>
    <w:lvl w:ilvl="0" w:tentative="0">
      <w:start w:val="1"/>
      <w:numFmt w:val="decimal"/>
      <w:pStyle w:val="651"/>
      <w:lvlText w:val="%1"/>
      <w:lvlJc w:val="left"/>
      <w:pPr>
        <w:ind w:left="425" w:hanging="425"/>
      </w:pPr>
      <w:rPr>
        <w:rFonts w:hint="eastAsia"/>
      </w:rPr>
    </w:lvl>
    <w:lvl w:ilvl="1" w:tentative="0">
      <w:start w:val="1"/>
      <w:numFmt w:val="decimal"/>
      <w:lvlText w:val="%1.%2"/>
      <w:lvlJc w:val="left"/>
      <w:pPr>
        <w:ind w:left="1418" w:hanging="567"/>
      </w:pPr>
      <w:rPr>
        <w:rFonts w:hint="eastAsia"/>
      </w:rPr>
    </w:lvl>
    <w:lvl w:ilvl="2" w:tentative="0">
      <w:start w:val="1"/>
      <w:numFmt w:val="decimal"/>
      <w:lvlText w:val="%3."/>
      <w:lvlJc w:val="left"/>
      <w:pPr>
        <w:ind w:left="1985"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1B3742FF"/>
    <w:multiLevelType w:val="multilevel"/>
    <w:tmpl w:val="1B3742FF"/>
    <w:lvl w:ilvl="0" w:tentative="0">
      <w:start w:val="1"/>
      <w:numFmt w:val="bullet"/>
      <w:pStyle w:val="327"/>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2">
    <w:nsid w:val="1B8A2746"/>
    <w:multiLevelType w:val="multilevel"/>
    <w:tmpl w:val="1B8A2746"/>
    <w:lvl w:ilvl="0" w:tentative="0">
      <w:start w:val="1"/>
      <w:numFmt w:val="bullet"/>
      <w:pStyle w:val="164"/>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3">
    <w:nsid w:val="26C2257D"/>
    <w:multiLevelType w:val="multilevel"/>
    <w:tmpl w:val="26C2257D"/>
    <w:lvl w:ilvl="0" w:tentative="0">
      <w:start w:val="1"/>
      <w:numFmt w:val="decimal"/>
      <w:pStyle w:val="503"/>
      <w:lvlText w:val="%1."/>
      <w:lvlJc w:val="left"/>
      <w:pPr>
        <w:ind w:left="425" w:hanging="425"/>
      </w:pPr>
      <w:rPr>
        <w:rFonts w:hint="eastAsia"/>
      </w:rPr>
    </w:lvl>
    <w:lvl w:ilvl="1" w:tentative="0">
      <w:start w:val="1"/>
      <w:numFmt w:val="decimal"/>
      <w:lvlText w:val="%1.%2."/>
      <w:lvlJc w:val="left"/>
      <w:pPr>
        <w:ind w:left="709" w:hanging="567"/>
      </w:pPr>
      <w:rPr>
        <w:rFonts w:hint="eastAsia"/>
      </w:rPr>
    </w:lvl>
    <w:lvl w:ilvl="2" w:tentative="0">
      <w:start w:val="1"/>
      <w:numFmt w:val="decimal"/>
      <w:lvlText w:val="%1.%2.%3."/>
      <w:lvlJc w:val="left"/>
      <w:pPr>
        <w:ind w:left="851" w:hanging="709"/>
      </w:pPr>
      <w:rPr>
        <w:rFonts w:hint="eastAsia"/>
      </w:rPr>
    </w:lvl>
    <w:lvl w:ilvl="3" w:tentative="0">
      <w:start w:val="1"/>
      <w:numFmt w:val="decimal"/>
      <w:lvlText w:val="%1.%2.%3.%4."/>
      <w:lvlJc w:val="left"/>
      <w:pPr>
        <w:ind w:left="0" w:firstLine="426"/>
      </w:pPr>
      <w:rPr>
        <w:rFonts w:hint="eastAsia" w:ascii="宋体" w:hAnsi="宋体" w:eastAsia="宋体"/>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4">
    <w:nsid w:val="2F75493D"/>
    <w:multiLevelType w:val="multilevel"/>
    <w:tmpl w:val="2F75493D"/>
    <w:lvl w:ilvl="0" w:tentative="0">
      <w:start w:val="1"/>
      <w:numFmt w:val="bullet"/>
      <w:pStyle w:val="139"/>
      <w:lvlText w:val=""/>
      <w:lvlJc w:val="left"/>
      <w:pPr>
        <w:ind w:left="1080" w:hanging="420"/>
      </w:pPr>
      <w:rPr>
        <w:rFonts w:hint="default" w:ascii="Wingdings" w:hAnsi="Wingdings"/>
      </w:rPr>
    </w:lvl>
    <w:lvl w:ilvl="1" w:tentative="0">
      <w:start w:val="1"/>
      <w:numFmt w:val="bullet"/>
      <w:lvlText w:val=""/>
      <w:lvlJc w:val="left"/>
      <w:pPr>
        <w:ind w:left="1500" w:hanging="420"/>
      </w:pPr>
      <w:rPr>
        <w:rFonts w:hint="default" w:ascii="Wingdings" w:hAnsi="Wingdings"/>
      </w:rPr>
    </w:lvl>
    <w:lvl w:ilvl="2" w:tentative="0">
      <w:start w:val="1"/>
      <w:numFmt w:val="bullet"/>
      <w:lvlText w:val=""/>
      <w:lvlJc w:val="left"/>
      <w:pPr>
        <w:ind w:left="1920" w:hanging="420"/>
      </w:pPr>
      <w:rPr>
        <w:rFonts w:hint="default" w:ascii="Wingdings" w:hAnsi="Wingdings"/>
      </w:rPr>
    </w:lvl>
    <w:lvl w:ilvl="3" w:tentative="0">
      <w:start w:val="1"/>
      <w:numFmt w:val="bullet"/>
      <w:lvlText w:val=""/>
      <w:lvlJc w:val="left"/>
      <w:pPr>
        <w:ind w:left="2340" w:hanging="420"/>
      </w:pPr>
      <w:rPr>
        <w:rFonts w:hint="default" w:ascii="Wingdings" w:hAnsi="Wingdings"/>
      </w:rPr>
    </w:lvl>
    <w:lvl w:ilvl="4" w:tentative="0">
      <w:start w:val="1"/>
      <w:numFmt w:val="bullet"/>
      <w:lvlText w:val=""/>
      <w:lvlJc w:val="left"/>
      <w:pPr>
        <w:ind w:left="2760" w:hanging="420"/>
      </w:pPr>
      <w:rPr>
        <w:rFonts w:hint="default" w:ascii="Wingdings" w:hAnsi="Wingdings"/>
      </w:rPr>
    </w:lvl>
    <w:lvl w:ilvl="5" w:tentative="0">
      <w:start w:val="1"/>
      <w:numFmt w:val="bullet"/>
      <w:lvlText w:val=""/>
      <w:lvlJc w:val="left"/>
      <w:pPr>
        <w:ind w:left="3180" w:hanging="420"/>
      </w:pPr>
      <w:rPr>
        <w:rFonts w:hint="default" w:ascii="Wingdings" w:hAnsi="Wingdings"/>
      </w:rPr>
    </w:lvl>
    <w:lvl w:ilvl="6" w:tentative="0">
      <w:start w:val="1"/>
      <w:numFmt w:val="bullet"/>
      <w:lvlText w:val=""/>
      <w:lvlJc w:val="left"/>
      <w:pPr>
        <w:ind w:left="3600" w:hanging="420"/>
      </w:pPr>
      <w:rPr>
        <w:rFonts w:hint="default" w:ascii="Wingdings" w:hAnsi="Wingdings"/>
      </w:rPr>
    </w:lvl>
    <w:lvl w:ilvl="7" w:tentative="0">
      <w:start w:val="1"/>
      <w:numFmt w:val="bullet"/>
      <w:lvlText w:val=""/>
      <w:lvlJc w:val="left"/>
      <w:pPr>
        <w:ind w:left="4020" w:hanging="420"/>
      </w:pPr>
      <w:rPr>
        <w:rFonts w:hint="default" w:ascii="Wingdings" w:hAnsi="Wingdings"/>
      </w:rPr>
    </w:lvl>
    <w:lvl w:ilvl="8" w:tentative="0">
      <w:start w:val="1"/>
      <w:numFmt w:val="bullet"/>
      <w:lvlText w:val=""/>
      <w:lvlJc w:val="left"/>
      <w:pPr>
        <w:ind w:left="4440" w:hanging="420"/>
      </w:pPr>
      <w:rPr>
        <w:rFonts w:hint="default" w:ascii="Wingdings" w:hAnsi="Wingdings"/>
      </w:rPr>
    </w:lvl>
  </w:abstractNum>
  <w:abstractNum w:abstractNumId="25">
    <w:nsid w:val="315A0F2D"/>
    <w:multiLevelType w:val="multilevel"/>
    <w:tmpl w:val="315A0F2D"/>
    <w:lvl w:ilvl="0" w:tentative="0">
      <w:start w:val="1"/>
      <w:numFmt w:val="bullet"/>
      <w:pStyle w:val="225"/>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6">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pStyle w:val="618"/>
      <w:suff w:val="nothing"/>
      <w:lvlText w:val=""/>
      <w:lvlJc w:val="left"/>
      <w:pPr>
        <w:ind w:left="0" w:firstLine="0"/>
      </w:pPr>
      <w:rPr>
        <w:rFonts w:hint="eastAsia"/>
      </w:rPr>
    </w:lvl>
    <w:lvl w:ilvl="2" w:tentative="0">
      <w:start w:val="1"/>
      <w:numFmt w:val="none"/>
      <w:pStyle w:val="631"/>
      <w:suff w:val="nothing"/>
      <w:lvlText w:val=""/>
      <w:lvlJc w:val="left"/>
      <w:pPr>
        <w:ind w:left="0" w:firstLine="0"/>
      </w:pPr>
      <w:rPr>
        <w:rFonts w:hint="eastAsia"/>
      </w:rPr>
    </w:lvl>
    <w:lvl w:ilvl="3" w:tentative="0">
      <w:start w:val="1"/>
      <w:numFmt w:val="none"/>
      <w:pStyle w:val="547"/>
      <w:suff w:val="nothing"/>
      <w:lvlText w:val=""/>
      <w:lvlJc w:val="left"/>
      <w:pPr>
        <w:ind w:left="0" w:firstLine="0"/>
      </w:pPr>
      <w:rPr>
        <w:rFonts w:hint="eastAsia"/>
      </w:rPr>
    </w:lvl>
    <w:lvl w:ilvl="4" w:tentative="0">
      <w:start w:val="1"/>
      <w:numFmt w:val="none"/>
      <w:pStyle w:val="572"/>
      <w:suff w:val="nothing"/>
      <w:lvlText w:val=""/>
      <w:lvlJc w:val="left"/>
      <w:pPr>
        <w:ind w:left="0" w:firstLine="0"/>
      </w:pPr>
      <w:rPr>
        <w:rFonts w:hint="eastAsia"/>
      </w:rPr>
    </w:lvl>
    <w:lvl w:ilvl="5" w:tentative="0">
      <w:start w:val="1"/>
      <w:numFmt w:val="none"/>
      <w:pStyle w:val="533"/>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27">
    <w:nsid w:val="338E0CD8"/>
    <w:multiLevelType w:val="multilevel"/>
    <w:tmpl w:val="338E0CD8"/>
    <w:lvl w:ilvl="0" w:tentative="0">
      <w:start w:val="1"/>
      <w:numFmt w:val="decimal"/>
      <w:pStyle w:val="17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pStyle w:val="232"/>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8">
    <w:nsid w:val="3A0E72C0"/>
    <w:multiLevelType w:val="multilevel"/>
    <w:tmpl w:val="3A0E72C0"/>
    <w:lvl w:ilvl="0" w:tentative="0">
      <w:start w:val="1"/>
      <w:numFmt w:val="bullet"/>
      <w:pStyle w:val="314"/>
      <w:lvlText w:val=""/>
      <w:lvlJc w:val="left"/>
      <w:pPr>
        <w:ind w:left="902" w:hanging="420"/>
      </w:pPr>
      <w:rPr>
        <w:rFonts w:hint="default" w:ascii="Wingdings" w:hAnsi="Wingdings"/>
      </w:rPr>
    </w:lvl>
    <w:lvl w:ilvl="1" w:tentative="0">
      <w:start w:val="1"/>
      <w:numFmt w:val="bullet"/>
      <w:pStyle w:val="555"/>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29">
    <w:nsid w:val="3B7D72C8"/>
    <w:multiLevelType w:val="multilevel"/>
    <w:tmpl w:val="3B7D72C8"/>
    <w:lvl w:ilvl="0" w:tentative="0">
      <w:start w:val="1"/>
      <w:numFmt w:val="bullet"/>
      <w:pStyle w:val="188"/>
      <w:lvlText w:val=""/>
      <w:lvlJc w:val="left"/>
      <w:pPr>
        <w:ind w:left="916" w:hanging="420"/>
      </w:pPr>
      <w:rPr>
        <w:rFonts w:hint="default" w:ascii="Wingdings" w:hAnsi="Wingdings"/>
      </w:rPr>
    </w:lvl>
    <w:lvl w:ilvl="1" w:tentative="0">
      <w:start w:val="1"/>
      <w:numFmt w:val="lowerLetter"/>
      <w:lvlText w:val="%2)"/>
      <w:lvlJc w:val="left"/>
      <w:pPr>
        <w:ind w:left="1336" w:hanging="420"/>
      </w:pPr>
    </w:lvl>
    <w:lvl w:ilvl="2" w:tentative="0">
      <w:start w:val="1"/>
      <w:numFmt w:val="lowerRoman"/>
      <w:lvlText w:val="%3."/>
      <w:lvlJc w:val="right"/>
      <w:pPr>
        <w:ind w:left="1756" w:hanging="420"/>
      </w:pPr>
    </w:lvl>
    <w:lvl w:ilvl="3" w:tentative="0">
      <w:start w:val="1"/>
      <w:numFmt w:val="decimal"/>
      <w:lvlText w:val="%4."/>
      <w:lvlJc w:val="left"/>
      <w:pPr>
        <w:ind w:left="2176" w:hanging="420"/>
      </w:pPr>
    </w:lvl>
    <w:lvl w:ilvl="4" w:tentative="0">
      <w:start w:val="1"/>
      <w:numFmt w:val="lowerLetter"/>
      <w:lvlText w:val="%5)"/>
      <w:lvlJc w:val="left"/>
      <w:pPr>
        <w:ind w:left="2596" w:hanging="420"/>
      </w:pPr>
    </w:lvl>
    <w:lvl w:ilvl="5" w:tentative="0">
      <w:start w:val="1"/>
      <w:numFmt w:val="lowerRoman"/>
      <w:lvlText w:val="%6."/>
      <w:lvlJc w:val="right"/>
      <w:pPr>
        <w:ind w:left="3016" w:hanging="420"/>
      </w:pPr>
    </w:lvl>
    <w:lvl w:ilvl="6" w:tentative="0">
      <w:start w:val="1"/>
      <w:numFmt w:val="decimal"/>
      <w:lvlText w:val="%7."/>
      <w:lvlJc w:val="left"/>
      <w:pPr>
        <w:ind w:left="3436" w:hanging="420"/>
      </w:pPr>
    </w:lvl>
    <w:lvl w:ilvl="7" w:tentative="0">
      <w:start w:val="1"/>
      <w:numFmt w:val="lowerLetter"/>
      <w:lvlText w:val="%8)"/>
      <w:lvlJc w:val="left"/>
      <w:pPr>
        <w:ind w:left="3856" w:hanging="420"/>
      </w:pPr>
    </w:lvl>
    <w:lvl w:ilvl="8" w:tentative="0">
      <w:start w:val="1"/>
      <w:numFmt w:val="lowerRoman"/>
      <w:lvlText w:val="%9."/>
      <w:lvlJc w:val="right"/>
      <w:pPr>
        <w:ind w:left="4276" w:hanging="420"/>
      </w:pPr>
    </w:lvl>
  </w:abstractNum>
  <w:abstractNum w:abstractNumId="30">
    <w:nsid w:val="3D024816"/>
    <w:multiLevelType w:val="multilevel"/>
    <w:tmpl w:val="3D024816"/>
    <w:lvl w:ilvl="0" w:tentative="0">
      <w:start w:val="1"/>
      <w:numFmt w:val="decimal"/>
      <w:pStyle w:val="356"/>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pStyle w:val="357"/>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1">
    <w:nsid w:val="3E325744"/>
    <w:multiLevelType w:val="multilevel"/>
    <w:tmpl w:val="3E325744"/>
    <w:lvl w:ilvl="0" w:tentative="0">
      <w:start w:val="1"/>
      <w:numFmt w:val="decimal"/>
      <w:pStyle w:val="746"/>
      <w:lvlText w:val="%1."/>
      <w:lvlJc w:val="left"/>
      <w:pPr>
        <w:ind w:left="980" w:hanging="420"/>
      </w:pPr>
    </w:lvl>
    <w:lvl w:ilvl="1" w:tentative="0">
      <w:start w:val="1"/>
      <w:numFmt w:val="lowerLetter"/>
      <w:pStyle w:val="745"/>
      <w:lvlText w:val="%2)"/>
      <w:lvlJc w:val="left"/>
      <w:pPr>
        <w:ind w:left="1400" w:hanging="420"/>
      </w:pPr>
    </w:lvl>
    <w:lvl w:ilvl="2" w:tentative="0">
      <w:start w:val="1"/>
      <w:numFmt w:val="lowerRoman"/>
      <w:lvlText w:val="%3."/>
      <w:lvlJc w:val="right"/>
      <w:pPr>
        <w:ind w:left="1820" w:hanging="420"/>
      </w:pPr>
    </w:lvl>
    <w:lvl w:ilvl="3" w:tentative="0">
      <w:start w:val="1"/>
      <w:numFmt w:val="decimal"/>
      <w:pStyle w:val="92"/>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3F7F357B"/>
    <w:multiLevelType w:val="multilevel"/>
    <w:tmpl w:val="3F7F357B"/>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pStyle w:val="243"/>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3">
    <w:nsid w:val="40F77553"/>
    <w:multiLevelType w:val="multilevel"/>
    <w:tmpl w:val="40F77553"/>
    <w:lvl w:ilvl="0" w:tentative="0">
      <w:start w:val="1"/>
      <w:numFmt w:val="decimal"/>
      <w:pStyle w:val="34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51"/>
      <w:suff w:val="nothing"/>
      <w:lvlText w:val="%1.%2　"/>
      <w:lvlJc w:val="left"/>
      <w:pPr>
        <w:ind w:left="269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54"/>
      <w:suff w:val="nothing"/>
      <w:lvlText w:val="%1.%2.%3　"/>
      <w:lvlJc w:val="left"/>
      <w:pPr>
        <w:ind w:left="1134" w:hanging="1134"/>
      </w:pPr>
      <w:rPr>
        <w:rFonts w:hint="eastAsia" w:ascii="黑体" w:hAnsi="Times New Roman" w:eastAsia="黑体"/>
        <w:b w:val="0"/>
        <w:i w:val="0"/>
        <w:sz w:val="21"/>
      </w:rPr>
    </w:lvl>
    <w:lvl w:ilvl="3" w:tentative="0">
      <w:start w:val="1"/>
      <w:numFmt w:val="decimal"/>
      <w:pStyle w:val="353"/>
      <w:suff w:val="nothing"/>
      <w:lvlText w:val="%1.%2.%3.%4　"/>
      <w:lvlJc w:val="left"/>
      <w:pPr>
        <w:ind w:left="852" w:firstLine="0"/>
      </w:pPr>
      <w:rPr>
        <w:rFonts w:hint="eastAsia" w:ascii="黑体" w:hAnsi="Times New Roman" w:eastAsia="黑体"/>
        <w:b w:val="0"/>
        <w:i w:val="0"/>
        <w:sz w:val="21"/>
      </w:rPr>
    </w:lvl>
    <w:lvl w:ilvl="4" w:tentative="0">
      <w:start w:val="1"/>
      <w:numFmt w:val="decimal"/>
      <w:pStyle w:val="284"/>
      <w:suff w:val="nothing"/>
      <w:lvlText w:val="%1.%2.%3.%4.%5　"/>
      <w:lvlJc w:val="left"/>
      <w:pPr>
        <w:ind w:left="0" w:firstLine="0"/>
      </w:pPr>
      <w:rPr>
        <w:rFonts w:hint="eastAsia" w:ascii="黑体" w:hAnsi="Times New Roman" w:eastAsia="黑体"/>
        <w:b w:val="0"/>
        <w:i w:val="0"/>
        <w:sz w:val="21"/>
      </w:rPr>
    </w:lvl>
    <w:lvl w:ilvl="5" w:tentative="0">
      <w:start w:val="1"/>
      <w:numFmt w:val="decimal"/>
      <w:pStyle w:val="27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pStyle w:val="590"/>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4">
    <w:nsid w:val="420C153B"/>
    <w:multiLevelType w:val="multilevel"/>
    <w:tmpl w:val="420C153B"/>
    <w:lvl w:ilvl="0" w:tentative="0">
      <w:start w:val="1"/>
      <w:numFmt w:val="decimal"/>
      <w:pStyle w:val="1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color w:val="auto"/>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477DCF9F"/>
    <w:multiLevelType w:val="singleLevel"/>
    <w:tmpl w:val="477DCF9F"/>
    <w:lvl w:ilvl="0" w:tentative="0">
      <w:start w:val="1"/>
      <w:numFmt w:val="decimal"/>
      <w:lvlText w:val="%1)"/>
      <w:lvlJc w:val="left"/>
      <w:pPr>
        <w:ind w:left="425" w:hanging="425"/>
      </w:pPr>
      <w:rPr>
        <w:rFonts w:hint="default"/>
      </w:rPr>
    </w:lvl>
  </w:abstractNum>
  <w:abstractNum w:abstractNumId="36">
    <w:nsid w:val="47F5403C"/>
    <w:multiLevelType w:val="multilevel"/>
    <w:tmpl w:val="47F5403C"/>
    <w:lvl w:ilvl="0" w:tentative="0">
      <w:start w:val="1"/>
      <w:numFmt w:val="chineseCountingThousand"/>
      <w:lvlText w:val="第%1章"/>
      <w:lvlJc w:val="left"/>
      <w:pPr>
        <w:ind w:left="425" w:hanging="425"/>
      </w:pPr>
      <w:rPr>
        <w:rFonts w:hint="eastAsia"/>
        <w:sz w:val="44"/>
        <w:szCs w:val="44"/>
      </w:rPr>
    </w:lvl>
    <w:lvl w:ilvl="1" w:tentative="0">
      <w:start w:val="1"/>
      <w:numFmt w:val="decimal"/>
      <w:isLgl/>
      <w:lvlText w:val="%1.%2"/>
      <w:lvlJc w:val="left"/>
      <w:pPr>
        <w:ind w:left="0" w:firstLine="0"/>
      </w:pPr>
      <w:rPr>
        <w:rFonts w:hint="default" w:ascii="Arial" w:hAnsi="Arial" w:cs="Arial"/>
      </w:rPr>
    </w:lvl>
    <w:lvl w:ilvl="2" w:tentative="0">
      <w:start w:val="1"/>
      <w:numFmt w:val="decimal"/>
      <w:pStyle w:val="342"/>
      <w:isLgl/>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7">
    <w:nsid w:val="4EEA38C0"/>
    <w:multiLevelType w:val="multilevel"/>
    <w:tmpl w:val="4EEA38C0"/>
    <w:lvl w:ilvl="0" w:tentative="0">
      <w:start w:val="1"/>
      <w:numFmt w:val="decimal"/>
      <w:pStyle w:val="24"/>
      <w:lvlText w:val="第%1章"/>
      <w:lvlJc w:val="center"/>
      <w:pPr>
        <w:tabs>
          <w:tab w:val="left" w:pos="726"/>
        </w:tabs>
      </w:pPr>
      <w:rPr>
        <w:rFonts w:hint="eastAsia"/>
      </w:rPr>
    </w:lvl>
    <w:lvl w:ilvl="1" w:tentative="0">
      <w:start w:val="1"/>
      <w:numFmt w:val="decimal"/>
      <w:lvlText w:val="%1.%2"/>
      <w:lvlJc w:val="left"/>
      <w:pPr>
        <w:tabs>
          <w:tab w:val="left" w:pos="726"/>
        </w:tabs>
        <w:ind w:left="206" w:hanging="200"/>
      </w:pPr>
      <w:rPr>
        <w:rFonts w:hint="eastAsia"/>
      </w:rPr>
    </w:lvl>
    <w:lvl w:ilvl="2" w:tentative="0">
      <w:start w:val="1"/>
      <w:numFmt w:val="decimal"/>
      <w:lvlText w:val="%1.%2.%3"/>
      <w:lvlJc w:val="left"/>
      <w:pPr>
        <w:tabs>
          <w:tab w:val="left" w:pos="1086"/>
        </w:tabs>
      </w:pPr>
      <w:rPr>
        <w:rFonts w:hint="eastAsia"/>
        <w:color w:val="auto"/>
      </w:rPr>
    </w:lvl>
    <w:lvl w:ilvl="3" w:tentative="0">
      <w:start w:val="1"/>
      <w:numFmt w:val="decimal"/>
      <w:lvlText w:val="%1.%2.%3.%4"/>
      <w:lvlJc w:val="left"/>
      <w:pPr>
        <w:tabs>
          <w:tab w:val="left" w:pos="1446"/>
        </w:tabs>
      </w:pPr>
      <w:rPr>
        <w:rFonts w:hint="eastAsia"/>
      </w:rPr>
    </w:lvl>
    <w:lvl w:ilvl="4" w:tentative="0">
      <w:start w:val="1"/>
      <w:numFmt w:val="decimal"/>
      <w:lvlText w:val="%1.%2.%3.%4.%5"/>
      <w:lvlJc w:val="left"/>
      <w:pPr>
        <w:tabs>
          <w:tab w:val="left" w:pos="1806"/>
        </w:tabs>
      </w:pPr>
      <w:rPr>
        <w:rFonts w:hint="eastAsia"/>
      </w:rPr>
    </w:lvl>
    <w:lvl w:ilvl="5" w:tentative="0">
      <w:start w:val="1"/>
      <w:numFmt w:val="decimal"/>
      <w:lvlText w:val="%1.%2.%3.%4.%5.%6"/>
      <w:lvlJc w:val="left"/>
      <w:pPr>
        <w:tabs>
          <w:tab w:val="left" w:pos="4155"/>
        </w:tabs>
        <w:ind w:left="2715"/>
      </w:pPr>
      <w:rPr>
        <w:rFonts w:hint="eastAsia"/>
      </w:rPr>
    </w:lvl>
    <w:lvl w:ilvl="6" w:tentative="0">
      <w:start w:val="1"/>
      <w:numFmt w:val="decimal"/>
      <w:lvlText w:val="%1.%2.%3.%4.%5.%6.%7"/>
      <w:lvlJc w:val="left"/>
      <w:pPr>
        <w:tabs>
          <w:tab w:val="left" w:pos="4580"/>
        </w:tabs>
        <w:ind w:left="4416" w:hanging="1276"/>
      </w:pPr>
      <w:rPr>
        <w:rFonts w:hint="eastAsia"/>
      </w:rPr>
    </w:lvl>
    <w:lvl w:ilvl="7" w:tentative="0">
      <w:start w:val="1"/>
      <w:numFmt w:val="decimal"/>
      <w:lvlText w:val="%1.%2.%3.%4.%5.%6.%7.%8"/>
      <w:lvlJc w:val="left"/>
      <w:pPr>
        <w:tabs>
          <w:tab w:val="left" w:pos="5365"/>
        </w:tabs>
        <w:ind w:left="4983" w:hanging="1418"/>
      </w:pPr>
      <w:rPr>
        <w:rFonts w:hint="eastAsia"/>
      </w:rPr>
    </w:lvl>
    <w:lvl w:ilvl="8" w:tentative="0">
      <w:start w:val="1"/>
      <w:numFmt w:val="decimal"/>
      <w:lvlText w:val="%1.%2.%3.%4.%5.%6.%7.%8.%9"/>
      <w:lvlJc w:val="left"/>
      <w:pPr>
        <w:tabs>
          <w:tab w:val="left" w:pos="6871"/>
        </w:tabs>
        <w:ind w:left="5691" w:hanging="1700"/>
      </w:pPr>
      <w:rPr>
        <w:rFonts w:hint="eastAsia"/>
      </w:rPr>
    </w:lvl>
  </w:abstractNum>
  <w:abstractNum w:abstractNumId="38">
    <w:nsid w:val="55CD5EE0"/>
    <w:multiLevelType w:val="multilevel"/>
    <w:tmpl w:val="55CD5EE0"/>
    <w:lvl w:ilvl="0" w:tentative="0">
      <w:start w:val="1"/>
      <w:numFmt w:val="bullet"/>
      <w:lvlText w:val=""/>
      <w:lvlJc w:val="left"/>
      <w:pPr>
        <w:ind w:left="562" w:hanging="420"/>
      </w:pPr>
      <w:rPr>
        <w:rFonts w:hint="default" w:ascii="Wingdings" w:hAnsi="Wingdings"/>
      </w:rPr>
    </w:lvl>
    <w:lvl w:ilvl="1" w:tentative="0">
      <w:start w:val="1"/>
      <w:numFmt w:val="bullet"/>
      <w:lvlText w:val=""/>
      <w:lvlJc w:val="left"/>
      <w:pPr>
        <w:ind w:left="982" w:hanging="420"/>
      </w:pPr>
      <w:rPr>
        <w:rFonts w:hint="default" w:ascii="Wingdings" w:hAnsi="Wingdings"/>
      </w:rPr>
    </w:lvl>
    <w:lvl w:ilvl="2" w:tentative="0">
      <w:start w:val="1"/>
      <w:numFmt w:val="bullet"/>
      <w:pStyle w:val="242"/>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39">
    <w:nsid w:val="5A0257F7"/>
    <w:multiLevelType w:val="multilevel"/>
    <w:tmpl w:val="5A0257F7"/>
    <w:lvl w:ilvl="0" w:tentative="0">
      <w:start w:val="1"/>
      <w:numFmt w:val="bullet"/>
      <w:pStyle w:val="98"/>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0">
    <w:nsid w:val="5B784E2B"/>
    <w:multiLevelType w:val="multilevel"/>
    <w:tmpl w:val="5B784E2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1">
    <w:nsid w:val="5C2661A8"/>
    <w:multiLevelType w:val="multilevel"/>
    <w:tmpl w:val="5C2661A8"/>
    <w:lvl w:ilvl="0" w:tentative="0">
      <w:start w:val="1"/>
      <w:numFmt w:val="bullet"/>
      <w:pStyle w:val="112"/>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2">
    <w:nsid w:val="5FAF7F09"/>
    <w:multiLevelType w:val="multilevel"/>
    <w:tmpl w:val="5FAF7F09"/>
    <w:lvl w:ilvl="0" w:tentative="0">
      <w:start w:val="1"/>
      <w:numFmt w:val="decimal"/>
      <w:pStyle w:val="202"/>
      <w:lvlText w:val="%1."/>
      <w:lvlJc w:val="left"/>
      <w:pPr>
        <w:ind w:left="842" w:hanging="360"/>
      </w:pPr>
      <w:rPr>
        <w:rFonts w:hint="default"/>
      </w:rPr>
    </w:lvl>
    <w:lvl w:ilvl="1" w:tentative="0">
      <w:start w:val="1"/>
      <w:numFmt w:val="decimal"/>
      <w:pStyle w:val="263"/>
      <w:lvlText w:val="（%2）"/>
      <w:lvlJc w:val="left"/>
      <w:pPr>
        <w:ind w:left="1622" w:hanging="720"/>
      </w:pPr>
      <w:rPr>
        <w:rFonts w:hint="default"/>
      </w:rPr>
    </w:lvl>
    <w:lvl w:ilvl="2" w:tentative="0">
      <w:start w:val="1"/>
      <w:numFmt w:val="lowerRoman"/>
      <w:pStyle w:val="179"/>
      <w:lvlText w:val="%3."/>
      <w:lvlJc w:val="right"/>
      <w:pPr>
        <w:ind w:left="1742" w:hanging="420"/>
      </w:pPr>
    </w:lvl>
    <w:lvl w:ilvl="3" w:tentative="0">
      <w:start w:val="1"/>
      <w:numFmt w:val="decimal"/>
      <w:pStyle w:val="266"/>
      <w:lvlText w:val="%4."/>
      <w:lvlJc w:val="left"/>
      <w:pPr>
        <w:ind w:left="2162" w:hanging="420"/>
      </w:pPr>
    </w:lvl>
    <w:lvl w:ilvl="4" w:tentative="0">
      <w:start w:val="1"/>
      <w:numFmt w:val="lowerLetter"/>
      <w:pStyle w:val="233"/>
      <w:lvlText w:val="%5)"/>
      <w:lvlJc w:val="left"/>
      <w:pPr>
        <w:ind w:left="2582" w:hanging="420"/>
      </w:pPr>
    </w:lvl>
    <w:lvl w:ilvl="5" w:tentative="0">
      <w:start w:val="1"/>
      <w:numFmt w:val="lowerRoman"/>
      <w:pStyle w:val="236"/>
      <w:lvlText w:val="%6."/>
      <w:lvlJc w:val="right"/>
      <w:pPr>
        <w:ind w:left="3002" w:hanging="420"/>
      </w:pPr>
    </w:lvl>
    <w:lvl w:ilvl="6" w:tentative="0">
      <w:start w:val="1"/>
      <w:numFmt w:val="decimal"/>
      <w:pStyle w:val="116"/>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3">
    <w:nsid w:val="64E21029"/>
    <w:multiLevelType w:val="multilevel"/>
    <w:tmpl w:val="64E21029"/>
    <w:lvl w:ilvl="0" w:tentative="0">
      <w:start w:val="1"/>
      <w:numFmt w:val="decimal"/>
      <w:pStyle w:val="175"/>
      <w:lvlText w:val="%1"/>
      <w:lvlJc w:val="left"/>
      <w:pPr>
        <w:ind w:left="0" w:firstLine="0"/>
      </w:pPr>
      <w:rPr>
        <w:rFonts w:hint="eastAsia"/>
      </w:rPr>
    </w:lvl>
    <w:lvl w:ilvl="1" w:tentative="0">
      <w:start w:val="1"/>
      <w:numFmt w:val="decimal"/>
      <w:pStyle w:val="247"/>
      <w:lvlText w:val="%1.%2"/>
      <w:lvlJc w:val="left"/>
      <w:pPr>
        <w:ind w:left="0" w:firstLine="0"/>
      </w:pPr>
      <w:rPr>
        <w:rFonts w:hint="eastAsia"/>
      </w:rPr>
    </w:lvl>
    <w:lvl w:ilvl="2" w:tentative="0">
      <w:start w:val="1"/>
      <w:numFmt w:val="decimal"/>
      <w:lvlText w:val="%1.%2.%3"/>
      <w:lvlJc w:val="left"/>
      <w:pPr>
        <w:ind w:left="6095" w:firstLine="0"/>
      </w:pPr>
      <w:rPr>
        <w:rFonts w:hint="eastAsia"/>
      </w:rPr>
    </w:lvl>
    <w:lvl w:ilvl="3" w:tentative="0">
      <w:start w:val="1"/>
      <w:numFmt w:val="decimal"/>
      <w:pStyle w:val="251"/>
      <w:lvlText w:val="%1.%2.%3.%4"/>
      <w:lvlJc w:val="left"/>
      <w:pPr>
        <w:ind w:left="0" w:firstLine="0"/>
      </w:pPr>
      <w:rPr>
        <w:rFonts w:hint="eastAsia"/>
      </w:rPr>
    </w:lvl>
    <w:lvl w:ilvl="4" w:tentative="0">
      <w:start w:val="1"/>
      <w:numFmt w:val="decimal"/>
      <w:pStyle w:val="253"/>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4">
    <w:nsid w:val="6B5F6509"/>
    <w:multiLevelType w:val="multilevel"/>
    <w:tmpl w:val="6B5F6509"/>
    <w:lvl w:ilvl="0" w:tentative="0">
      <w:start w:val="1"/>
      <w:numFmt w:val="bullet"/>
      <w:pStyle w:val="68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5">
    <w:nsid w:val="71C30F27"/>
    <w:multiLevelType w:val="multilevel"/>
    <w:tmpl w:val="71C30F27"/>
    <w:lvl w:ilvl="0" w:tentative="0">
      <w:start w:val="1"/>
      <w:numFmt w:val="bullet"/>
      <w:lvlText w:val=""/>
      <w:lvlJc w:val="left"/>
      <w:pPr>
        <w:ind w:left="0" w:firstLine="48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6">
    <w:nsid w:val="71EE7826"/>
    <w:multiLevelType w:val="multilevel"/>
    <w:tmpl w:val="71EE7826"/>
    <w:lvl w:ilvl="0" w:tentative="0">
      <w:start w:val="1"/>
      <w:numFmt w:val="decimal"/>
      <w:pStyle w:val="561"/>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pStyle w:val="169"/>
      <w:lvlText w:val="%6."/>
      <w:lvlJc w:val="right"/>
      <w:pPr>
        <w:ind w:left="2940" w:hanging="420"/>
      </w:pPr>
    </w:lvl>
    <w:lvl w:ilvl="6" w:tentative="0">
      <w:start w:val="1"/>
      <w:numFmt w:val="decimal"/>
      <w:pStyle w:val="174"/>
      <w:lvlText w:val="%7."/>
      <w:lvlJc w:val="left"/>
      <w:pPr>
        <w:ind w:left="3360" w:hanging="420"/>
      </w:pPr>
    </w:lvl>
    <w:lvl w:ilvl="7" w:tentative="0">
      <w:start w:val="1"/>
      <w:numFmt w:val="lowerLetter"/>
      <w:pStyle w:val="97"/>
      <w:lvlText w:val="%8)"/>
      <w:lvlJc w:val="left"/>
      <w:pPr>
        <w:ind w:left="3780" w:hanging="420"/>
      </w:pPr>
    </w:lvl>
    <w:lvl w:ilvl="8" w:tentative="0">
      <w:start w:val="1"/>
      <w:numFmt w:val="lowerRoman"/>
      <w:pStyle w:val="260"/>
      <w:lvlText w:val="%9."/>
      <w:lvlJc w:val="right"/>
      <w:pPr>
        <w:ind w:left="4200" w:hanging="420"/>
      </w:pPr>
    </w:lvl>
  </w:abstractNum>
  <w:abstractNum w:abstractNumId="47">
    <w:nsid w:val="73972AC2"/>
    <w:multiLevelType w:val="multilevel"/>
    <w:tmpl w:val="73972AC2"/>
    <w:lvl w:ilvl="0" w:tentative="0">
      <w:start w:val="1"/>
      <w:numFmt w:val="decimal"/>
      <w:pStyle w:val="14"/>
      <w:lvlText w:val="%1."/>
      <w:lvlJc w:val="left"/>
      <w:pPr>
        <w:ind w:left="842" w:hanging="360"/>
      </w:pPr>
      <w:rPr>
        <w:rFonts w:hint="default"/>
      </w:rPr>
    </w:lvl>
    <w:lvl w:ilvl="1" w:tentative="0">
      <w:start w:val="1"/>
      <w:numFmt w:val="decimal"/>
      <w:lvlText w:val="（%2）"/>
      <w:lvlJc w:val="left"/>
      <w:pPr>
        <w:ind w:left="1622" w:hanging="720"/>
      </w:pPr>
      <w:rPr>
        <w:rFonts w:hint="default"/>
      </w:r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8">
    <w:nsid w:val="762822DB"/>
    <w:multiLevelType w:val="multilevel"/>
    <w:tmpl w:val="762822DB"/>
    <w:lvl w:ilvl="0" w:tentative="0">
      <w:start w:val="1"/>
      <w:numFmt w:val="decimal"/>
      <w:pStyle w:val="180"/>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pStyle w:val="653"/>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9">
    <w:nsid w:val="782571F0"/>
    <w:multiLevelType w:val="multilevel"/>
    <w:tmpl w:val="782571F0"/>
    <w:lvl w:ilvl="0" w:tentative="0">
      <w:start w:val="1"/>
      <w:numFmt w:val="bullet"/>
      <w:pStyle w:val="209"/>
      <w:lvlText w:val=""/>
      <w:lvlJc w:val="left"/>
      <w:pPr>
        <w:ind w:left="900" w:hanging="420"/>
      </w:pPr>
      <w:rPr>
        <w:rFonts w:hint="default" w:ascii="Wingdings" w:hAnsi="Wingdings" w:cs="Wingdings"/>
      </w:rPr>
    </w:lvl>
    <w:lvl w:ilvl="1" w:tentative="0">
      <w:start w:val="1"/>
      <w:numFmt w:val="bullet"/>
      <w:pStyle w:val="222"/>
      <w:lvlText w:val=""/>
      <w:lvlJc w:val="left"/>
      <w:pPr>
        <w:ind w:left="1320" w:hanging="420"/>
      </w:pPr>
      <w:rPr>
        <w:rFonts w:hint="default" w:ascii="Wingdings" w:hAnsi="Wingdings" w:cs="Wingdings"/>
      </w:rPr>
    </w:lvl>
    <w:lvl w:ilvl="2" w:tentative="0">
      <w:start w:val="1"/>
      <w:numFmt w:val="bullet"/>
      <w:pStyle w:val="220"/>
      <w:lvlText w:val=""/>
      <w:lvlJc w:val="left"/>
      <w:pPr>
        <w:ind w:left="1740" w:hanging="420"/>
      </w:pPr>
      <w:rPr>
        <w:rFonts w:hint="default" w:ascii="Wingdings" w:hAnsi="Wingdings" w:cs="Wingdings"/>
      </w:rPr>
    </w:lvl>
    <w:lvl w:ilvl="3" w:tentative="0">
      <w:start w:val="1"/>
      <w:numFmt w:val="bullet"/>
      <w:pStyle w:val="265"/>
      <w:lvlText w:val=""/>
      <w:lvlJc w:val="left"/>
      <w:pPr>
        <w:ind w:left="2160" w:hanging="420"/>
      </w:pPr>
      <w:rPr>
        <w:rFonts w:hint="default" w:ascii="Wingdings" w:hAnsi="Wingdings" w:cs="Wingdings"/>
      </w:rPr>
    </w:lvl>
    <w:lvl w:ilvl="4" w:tentative="0">
      <w:start w:val="1"/>
      <w:numFmt w:val="bullet"/>
      <w:pStyle w:val="90"/>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pStyle w:val="268"/>
      <w:lvlText w:val=""/>
      <w:lvlJc w:val="left"/>
      <w:pPr>
        <w:ind w:left="3420" w:hanging="420"/>
      </w:pPr>
      <w:rPr>
        <w:rFonts w:hint="default" w:ascii="Wingdings" w:hAnsi="Wingdings" w:cs="Wingdings"/>
      </w:rPr>
    </w:lvl>
    <w:lvl w:ilvl="7" w:tentative="0">
      <w:start w:val="1"/>
      <w:numFmt w:val="bullet"/>
      <w:pStyle w:val="239"/>
      <w:lvlText w:val=""/>
      <w:lvlJc w:val="left"/>
      <w:pPr>
        <w:ind w:left="3840" w:hanging="420"/>
      </w:pPr>
      <w:rPr>
        <w:rFonts w:hint="default" w:ascii="Wingdings" w:hAnsi="Wingdings" w:cs="Wingdings"/>
      </w:rPr>
    </w:lvl>
    <w:lvl w:ilvl="8" w:tentative="0">
      <w:start w:val="1"/>
      <w:numFmt w:val="bullet"/>
      <w:pStyle w:val="246"/>
      <w:lvlText w:val=""/>
      <w:lvlJc w:val="left"/>
      <w:pPr>
        <w:ind w:left="4260" w:hanging="420"/>
      </w:pPr>
      <w:rPr>
        <w:rFonts w:hint="default" w:ascii="Wingdings" w:hAnsi="Wingdings" w:cs="Wingdings"/>
      </w:rPr>
    </w:lvl>
  </w:abstractNum>
  <w:abstractNum w:abstractNumId="50">
    <w:nsid w:val="791B02D1"/>
    <w:multiLevelType w:val="singleLevel"/>
    <w:tmpl w:val="791B02D1"/>
    <w:lvl w:ilvl="0" w:tentative="0">
      <w:start w:val="1"/>
      <w:numFmt w:val="decimal"/>
      <w:lvlText w:val="%1)"/>
      <w:lvlJc w:val="left"/>
      <w:pPr>
        <w:ind w:left="425" w:hanging="425"/>
      </w:pPr>
      <w:rPr>
        <w:rFonts w:hint="default"/>
      </w:rPr>
    </w:lvl>
  </w:abstractNum>
  <w:abstractNum w:abstractNumId="51">
    <w:nsid w:val="7927DC12"/>
    <w:multiLevelType w:val="singleLevel"/>
    <w:tmpl w:val="7927DC12"/>
    <w:lvl w:ilvl="0" w:tentative="0">
      <w:start w:val="1"/>
      <w:numFmt w:val="bullet"/>
      <w:lvlText w:val=""/>
      <w:lvlJc w:val="left"/>
      <w:pPr>
        <w:ind w:left="420" w:hanging="420"/>
      </w:pPr>
      <w:rPr>
        <w:rFonts w:hint="default" w:ascii="Wingdings" w:hAnsi="Wingdings"/>
      </w:rPr>
    </w:lvl>
  </w:abstractNum>
  <w:abstractNum w:abstractNumId="52">
    <w:nsid w:val="79FD4224"/>
    <w:multiLevelType w:val="multilevel"/>
    <w:tmpl w:val="79FD4224"/>
    <w:lvl w:ilvl="0" w:tentative="0">
      <w:start w:val="1"/>
      <w:numFmt w:val="bullet"/>
      <w:pStyle w:val="256"/>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3">
    <w:nsid w:val="7A337445"/>
    <w:multiLevelType w:val="singleLevel"/>
    <w:tmpl w:val="7A337445"/>
    <w:lvl w:ilvl="0" w:tentative="0">
      <w:start w:val="1"/>
      <w:numFmt w:val="bullet"/>
      <w:lvlText w:val=""/>
      <w:lvlJc w:val="left"/>
      <w:pPr>
        <w:ind w:left="420" w:hanging="420"/>
      </w:pPr>
      <w:rPr>
        <w:rFonts w:hint="default" w:ascii="Wingdings" w:hAnsi="Wingdings"/>
      </w:rPr>
    </w:lvl>
  </w:abstractNum>
  <w:abstractNum w:abstractNumId="54">
    <w:nsid w:val="7BB655B3"/>
    <w:multiLevelType w:val="multilevel"/>
    <w:tmpl w:val="7BB655B3"/>
    <w:lvl w:ilvl="0" w:tentative="0">
      <w:start w:val="1"/>
      <w:numFmt w:val="decimal"/>
      <w:pStyle w:val="323"/>
      <w:lvlText w:val="图 %1"/>
      <w:lvlJc w:val="left"/>
      <w:pPr>
        <w:tabs>
          <w:tab w:val="left" w:pos="680"/>
        </w:tabs>
        <w:ind w:left="680" w:hanging="68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6"/>
  </w:num>
  <w:num w:numId="3">
    <w:abstractNumId w:val="47"/>
  </w:num>
  <w:num w:numId="4">
    <w:abstractNumId w:val="37"/>
  </w:num>
  <w:num w:numId="5">
    <w:abstractNumId w:val="10"/>
  </w:num>
  <w:num w:numId="6">
    <w:abstractNumId w:val="49"/>
  </w:num>
  <w:num w:numId="7">
    <w:abstractNumId w:val="31"/>
  </w:num>
  <w:num w:numId="8">
    <w:abstractNumId w:val="46"/>
  </w:num>
  <w:num w:numId="9">
    <w:abstractNumId w:val="39"/>
  </w:num>
  <w:num w:numId="10">
    <w:abstractNumId w:val="11"/>
  </w:num>
  <w:num w:numId="11">
    <w:abstractNumId w:val="41"/>
  </w:num>
  <w:num w:numId="12">
    <w:abstractNumId w:val="19"/>
  </w:num>
  <w:num w:numId="13">
    <w:abstractNumId w:val="42"/>
  </w:num>
  <w:num w:numId="14">
    <w:abstractNumId w:val="12"/>
  </w:num>
  <w:num w:numId="15">
    <w:abstractNumId w:val="24"/>
  </w:num>
  <w:num w:numId="16">
    <w:abstractNumId w:val="17"/>
  </w:num>
  <w:num w:numId="17">
    <w:abstractNumId w:val="18"/>
  </w:num>
  <w:num w:numId="18">
    <w:abstractNumId w:val="15"/>
  </w:num>
  <w:num w:numId="19">
    <w:abstractNumId w:val="22"/>
  </w:num>
  <w:num w:numId="20">
    <w:abstractNumId w:val="9"/>
  </w:num>
  <w:num w:numId="21">
    <w:abstractNumId w:val="27"/>
  </w:num>
  <w:num w:numId="22">
    <w:abstractNumId w:val="43"/>
  </w:num>
  <w:num w:numId="23">
    <w:abstractNumId w:val="48"/>
  </w:num>
  <w:num w:numId="24">
    <w:abstractNumId w:val="29"/>
  </w:num>
  <w:num w:numId="25">
    <w:abstractNumId w:val="34"/>
  </w:num>
  <w:num w:numId="26">
    <w:abstractNumId w:val="25"/>
  </w:num>
  <w:num w:numId="27">
    <w:abstractNumId w:val="38"/>
  </w:num>
  <w:num w:numId="28">
    <w:abstractNumId w:val="32"/>
  </w:num>
  <w:num w:numId="29">
    <w:abstractNumId w:val="52"/>
  </w:num>
  <w:num w:numId="30">
    <w:abstractNumId w:val="13"/>
  </w:num>
  <w:num w:numId="31">
    <w:abstractNumId w:val="33"/>
  </w:num>
  <w:num w:numId="32">
    <w:abstractNumId w:val="28"/>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6"/>
  </w:num>
  <w:num w:numId="36">
    <w:abstractNumId w:val="30"/>
  </w:num>
  <w:num w:numId="37">
    <w:abstractNumId w:val="2"/>
  </w:num>
  <w:num w:numId="38">
    <w:abstractNumId w:val="23"/>
  </w:num>
  <w:num w:numId="39">
    <w:abstractNumId w:val="7"/>
  </w:num>
  <w:num w:numId="40">
    <w:abstractNumId w:val="8"/>
  </w:num>
  <w:num w:numId="41">
    <w:abstractNumId w:val="20"/>
  </w:num>
  <w:num w:numId="42">
    <w:abstractNumId w:val="44"/>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5"/>
  </w:num>
  <w:num w:numId="46">
    <w:abstractNumId w:val="6"/>
  </w:num>
  <w:num w:numId="47">
    <w:abstractNumId w:val="5"/>
  </w:num>
  <w:num w:numId="48">
    <w:abstractNumId w:val="50"/>
  </w:num>
  <w:num w:numId="49">
    <w:abstractNumId w:val="0"/>
  </w:num>
  <w:num w:numId="50">
    <w:abstractNumId w:val="40"/>
  </w:num>
  <w:num w:numId="51">
    <w:abstractNumId w:val="14"/>
  </w:num>
  <w:num w:numId="52">
    <w:abstractNumId w:val="45"/>
  </w:num>
  <w:num w:numId="53">
    <w:abstractNumId w:val="4"/>
  </w:num>
  <w:num w:numId="54">
    <w:abstractNumId w:val="53"/>
  </w:num>
  <w:num w:numId="55">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EC9"/>
    <w:rsid w:val="000061B2"/>
    <w:rsid w:val="000112A2"/>
    <w:rsid w:val="0004738D"/>
    <w:rsid w:val="000578B7"/>
    <w:rsid w:val="00060CB0"/>
    <w:rsid w:val="0006293A"/>
    <w:rsid w:val="00063155"/>
    <w:rsid w:val="00064B26"/>
    <w:rsid w:val="000710F7"/>
    <w:rsid w:val="00071595"/>
    <w:rsid w:val="000740EE"/>
    <w:rsid w:val="00080277"/>
    <w:rsid w:val="00085F2E"/>
    <w:rsid w:val="00093DA9"/>
    <w:rsid w:val="000A3BFD"/>
    <w:rsid w:val="000A6FDF"/>
    <w:rsid w:val="000B3536"/>
    <w:rsid w:val="000B3A2A"/>
    <w:rsid w:val="000B5007"/>
    <w:rsid w:val="000C503E"/>
    <w:rsid w:val="000D342F"/>
    <w:rsid w:val="000D7D7F"/>
    <w:rsid w:val="000E06AF"/>
    <w:rsid w:val="000E2BAB"/>
    <w:rsid w:val="000E319A"/>
    <w:rsid w:val="000E68F5"/>
    <w:rsid w:val="000E69C3"/>
    <w:rsid w:val="000F4C9A"/>
    <w:rsid w:val="000F5457"/>
    <w:rsid w:val="000F719F"/>
    <w:rsid w:val="00100B38"/>
    <w:rsid w:val="00100D72"/>
    <w:rsid w:val="00104B35"/>
    <w:rsid w:val="00105E1D"/>
    <w:rsid w:val="00111127"/>
    <w:rsid w:val="00111147"/>
    <w:rsid w:val="001151CB"/>
    <w:rsid w:val="00130939"/>
    <w:rsid w:val="00133405"/>
    <w:rsid w:val="00133E1E"/>
    <w:rsid w:val="00134CF1"/>
    <w:rsid w:val="0013708D"/>
    <w:rsid w:val="00141C13"/>
    <w:rsid w:val="00141DB4"/>
    <w:rsid w:val="001476DA"/>
    <w:rsid w:val="00151D18"/>
    <w:rsid w:val="00152227"/>
    <w:rsid w:val="00155A92"/>
    <w:rsid w:val="00156899"/>
    <w:rsid w:val="00160D3F"/>
    <w:rsid w:val="00162A2D"/>
    <w:rsid w:val="001630DC"/>
    <w:rsid w:val="0016545B"/>
    <w:rsid w:val="00172A27"/>
    <w:rsid w:val="00172EA4"/>
    <w:rsid w:val="00174AAE"/>
    <w:rsid w:val="00176727"/>
    <w:rsid w:val="0018396D"/>
    <w:rsid w:val="00183F09"/>
    <w:rsid w:val="00185660"/>
    <w:rsid w:val="0018641D"/>
    <w:rsid w:val="001867C6"/>
    <w:rsid w:val="001A3F5B"/>
    <w:rsid w:val="001A51DE"/>
    <w:rsid w:val="001A7678"/>
    <w:rsid w:val="001B26E5"/>
    <w:rsid w:val="001B290F"/>
    <w:rsid w:val="001B464D"/>
    <w:rsid w:val="001B6EB9"/>
    <w:rsid w:val="001C2E7E"/>
    <w:rsid w:val="001C340F"/>
    <w:rsid w:val="001D0050"/>
    <w:rsid w:val="001D32ED"/>
    <w:rsid w:val="001D5F10"/>
    <w:rsid w:val="001D7517"/>
    <w:rsid w:val="001E11DE"/>
    <w:rsid w:val="001E1374"/>
    <w:rsid w:val="001E2B29"/>
    <w:rsid w:val="001E335D"/>
    <w:rsid w:val="001E56E6"/>
    <w:rsid w:val="001F2F85"/>
    <w:rsid w:val="002102FB"/>
    <w:rsid w:val="0021699B"/>
    <w:rsid w:val="00217876"/>
    <w:rsid w:val="00217980"/>
    <w:rsid w:val="0022163A"/>
    <w:rsid w:val="002247CF"/>
    <w:rsid w:val="002328B4"/>
    <w:rsid w:val="002328DD"/>
    <w:rsid w:val="00233261"/>
    <w:rsid w:val="002349C0"/>
    <w:rsid w:val="002409B1"/>
    <w:rsid w:val="00243632"/>
    <w:rsid w:val="00243D3A"/>
    <w:rsid w:val="00250532"/>
    <w:rsid w:val="0025649F"/>
    <w:rsid w:val="002622FA"/>
    <w:rsid w:val="00266D04"/>
    <w:rsid w:val="00267F6C"/>
    <w:rsid w:val="00270B09"/>
    <w:rsid w:val="00271951"/>
    <w:rsid w:val="00271D86"/>
    <w:rsid w:val="002735F9"/>
    <w:rsid w:val="0027396C"/>
    <w:rsid w:val="002741DE"/>
    <w:rsid w:val="00285D88"/>
    <w:rsid w:val="00293904"/>
    <w:rsid w:val="002941B0"/>
    <w:rsid w:val="002A3001"/>
    <w:rsid w:val="002B287B"/>
    <w:rsid w:val="002B4D79"/>
    <w:rsid w:val="002C4B59"/>
    <w:rsid w:val="002C5744"/>
    <w:rsid w:val="002D0C6C"/>
    <w:rsid w:val="002D529E"/>
    <w:rsid w:val="002E0C04"/>
    <w:rsid w:val="002E2AC2"/>
    <w:rsid w:val="002E6516"/>
    <w:rsid w:val="002E79A1"/>
    <w:rsid w:val="002F41A8"/>
    <w:rsid w:val="00300A60"/>
    <w:rsid w:val="0030291E"/>
    <w:rsid w:val="00304118"/>
    <w:rsid w:val="00313364"/>
    <w:rsid w:val="0031481C"/>
    <w:rsid w:val="00317D6F"/>
    <w:rsid w:val="0032604A"/>
    <w:rsid w:val="0032773A"/>
    <w:rsid w:val="00340065"/>
    <w:rsid w:val="003449D4"/>
    <w:rsid w:val="00346352"/>
    <w:rsid w:val="003624E5"/>
    <w:rsid w:val="00364E54"/>
    <w:rsid w:val="00366310"/>
    <w:rsid w:val="00370255"/>
    <w:rsid w:val="00370F40"/>
    <w:rsid w:val="0037504B"/>
    <w:rsid w:val="003768DC"/>
    <w:rsid w:val="00390F36"/>
    <w:rsid w:val="0039275F"/>
    <w:rsid w:val="00395C88"/>
    <w:rsid w:val="003A177E"/>
    <w:rsid w:val="003A21ED"/>
    <w:rsid w:val="003B261B"/>
    <w:rsid w:val="003C0FA7"/>
    <w:rsid w:val="003C179C"/>
    <w:rsid w:val="003C4563"/>
    <w:rsid w:val="003D4E4B"/>
    <w:rsid w:val="003E07A7"/>
    <w:rsid w:val="003E087B"/>
    <w:rsid w:val="003E48F6"/>
    <w:rsid w:val="003E4CBD"/>
    <w:rsid w:val="003E5651"/>
    <w:rsid w:val="003F1243"/>
    <w:rsid w:val="003F68DA"/>
    <w:rsid w:val="00402BF5"/>
    <w:rsid w:val="00411527"/>
    <w:rsid w:val="004118E4"/>
    <w:rsid w:val="004151E0"/>
    <w:rsid w:val="00417918"/>
    <w:rsid w:val="00421695"/>
    <w:rsid w:val="004220AB"/>
    <w:rsid w:val="00422AFC"/>
    <w:rsid w:val="00431F86"/>
    <w:rsid w:val="004323CA"/>
    <w:rsid w:val="00432983"/>
    <w:rsid w:val="00433AA5"/>
    <w:rsid w:val="00440762"/>
    <w:rsid w:val="00443B8F"/>
    <w:rsid w:val="00444963"/>
    <w:rsid w:val="00445EEF"/>
    <w:rsid w:val="00446145"/>
    <w:rsid w:val="004510A2"/>
    <w:rsid w:val="00452578"/>
    <w:rsid w:val="004650AE"/>
    <w:rsid w:val="00474C69"/>
    <w:rsid w:val="00491840"/>
    <w:rsid w:val="00492003"/>
    <w:rsid w:val="00492A55"/>
    <w:rsid w:val="004A06A8"/>
    <w:rsid w:val="004A3A82"/>
    <w:rsid w:val="004A4168"/>
    <w:rsid w:val="004A7F35"/>
    <w:rsid w:val="004B4D96"/>
    <w:rsid w:val="004C2BA0"/>
    <w:rsid w:val="004C3BC2"/>
    <w:rsid w:val="004D0FF1"/>
    <w:rsid w:val="004D641E"/>
    <w:rsid w:val="004E12C6"/>
    <w:rsid w:val="004F0AB8"/>
    <w:rsid w:val="005005B4"/>
    <w:rsid w:val="00507BDA"/>
    <w:rsid w:val="005328B2"/>
    <w:rsid w:val="00533C27"/>
    <w:rsid w:val="00536FD4"/>
    <w:rsid w:val="005374EA"/>
    <w:rsid w:val="00541F6D"/>
    <w:rsid w:val="00543CC8"/>
    <w:rsid w:val="00543E3F"/>
    <w:rsid w:val="00545521"/>
    <w:rsid w:val="00545F08"/>
    <w:rsid w:val="005819FF"/>
    <w:rsid w:val="0058380B"/>
    <w:rsid w:val="005871ED"/>
    <w:rsid w:val="00595B39"/>
    <w:rsid w:val="00595E01"/>
    <w:rsid w:val="00595F0E"/>
    <w:rsid w:val="00595F73"/>
    <w:rsid w:val="0059636D"/>
    <w:rsid w:val="005A3AC4"/>
    <w:rsid w:val="005C5335"/>
    <w:rsid w:val="005D294F"/>
    <w:rsid w:val="005E3C76"/>
    <w:rsid w:val="005E5F6D"/>
    <w:rsid w:val="005F01AD"/>
    <w:rsid w:val="005F07CE"/>
    <w:rsid w:val="005F3224"/>
    <w:rsid w:val="006078E8"/>
    <w:rsid w:val="006137D1"/>
    <w:rsid w:val="006153A9"/>
    <w:rsid w:val="00624F59"/>
    <w:rsid w:val="006333A6"/>
    <w:rsid w:val="00637A1F"/>
    <w:rsid w:val="00640B47"/>
    <w:rsid w:val="00650FF9"/>
    <w:rsid w:val="006529C7"/>
    <w:rsid w:val="006535AB"/>
    <w:rsid w:val="00654602"/>
    <w:rsid w:val="00665FFB"/>
    <w:rsid w:val="006674BF"/>
    <w:rsid w:val="00667DD3"/>
    <w:rsid w:val="00670692"/>
    <w:rsid w:val="0067193F"/>
    <w:rsid w:val="00674A4F"/>
    <w:rsid w:val="00677BD5"/>
    <w:rsid w:val="00677D19"/>
    <w:rsid w:val="0068059A"/>
    <w:rsid w:val="0068552A"/>
    <w:rsid w:val="00686BBE"/>
    <w:rsid w:val="00691D10"/>
    <w:rsid w:val="00691D4B"/>
    <w:rsid w:val="00694018"/>
    <w:rsid w:val="006A2F3E"/>
    <w:rsid w:val="006B17E0"/>
    <w:rsid w:val="006B38C9"/>
    <w:rsid w:val="006B7B18"/>
    <w:rsid w:val="006C3D67"/>
    <w:rsid w:val="006C49E5"/>
    <w:rsid w:val="006E0176"/>
    <w:rsid w:val="006E40D8"/>
    <w:rsid w:val="006E4D57"/>
    <w:rsid w:val="006E61F9"/>
    <w:rsid w:val="007022B5"/>
    <w:rsid w:val="00706542"/>
    <w:rsid w:val="007105F5"/>
    <w:rsid w:val="007236A0"/>
    <w:rsid w:val="00743EA3"/>
    <w:rsid w:val="00744B33"/>
    <w:rsid w:val="00751BAF"/>
    <w:rsid w:val="0075271E"/>
    <w:rsid w:val="007547C3"/>
    <w:rsid w:val="00762553"/>
    <w:rsid w:val="007753A5"/>
    <w:rsid w:val="00784ECB"/>
    <w:rsid w:val="0078778D"/>
    <w:rsid w:val="0079003D"/>
    <w:rsid w:val="00790E58"/>
    <w:rsid w:val="00791EFA"/>
    <w:rsid w:val="007A5BC0"/>
    <w:rsid w:val="007B31B8"/>
    <w:rsid w:val="007B53D6"/>
    <w:rsid w:val="007B6963"/>
    <w:rsid w:val="007C2462"/>
    <w:rsid w:val="007D4F45"/>
    <w:rsid w:val="007E0CB6"/>
    <w:rsid w:val="007E140B"/>
    <w:rsid w:val="007E2D73"/>
    <w:rsid w:val="007F4E1B"/>
    <w:rsid w:val="007F5E9C"/>
    <w:rsid w:val="007F68BF"/>
    <w:rsid w:val="007F68C6"/>
    <w:rsid w:val="0081471A"/>
    <w:rsid w:val="00821762"/>
    <w:rsid w:val="00836E34"/>
    <w:rsid w:val="0084086C"/>
    <w:rsid w:val="00842F16"/>
    <w:rsid w:val="0084383A"/>
    <w:rsid w:val="00846530"/>
    <w:rsid w:val="00863AB3"/>
    <w:rsid w:val="00875594"/>
    <w:rsid w:val="008756DD"/>
    <w:rsid w:val="0088317F"/>
    <w:rsid w:val="00891691"/>
    <w:rsid w:val="00895E8D"/>
    <w:rsid w:val="00896BE2"/>
    <w:rsid w:val="008B019E"/>
    <w:rsid w:val="008B4E98"/>
    <w:rsid w:val="008B66C0"/>
    <w:rsid w:val="008C1746"/>
    <w:rsid w:val="008C3103"/>
    <w:rsid w:val="008C4C54"/>
    <w:rsid w:val="008C5808"/>
    <w:rsid w:val="008D0397"/>
    <w:rsid w:val="008D5769"/>
    <w:rsid w:val="008E577A"/>
    <w:rsid w:val="008F67C5"/>
    <w:rsid w:val="008F7284"/>
    <w:rsid w:val="009006B9"/>
    <w:rsid w:val="00900DC7"/>
    <w:rsid w:val="00906555"/>
    <w:rsid w:val="0091218E"/>
    <w:rsid w:val="00920A42"/>
    <w:rsid w:val="00930125"/>
    <w:rsid w:val="0093208B"/>
    <w:rsid w:val="00936F89"/>
    <w:rsid w:val="009468B8"/>
    <w:rsid w:val="009507C7"/>
    <w:rsid w:val="00950D06"/>
    <w:rsid w:val="00951300"/>
    <w:rsid w:val="009530BF"/>
    <w:rsid w:val="0095754A"/>
    <w:rsid w:val="009645C5"/>
    <w:rsid w:val="00966007"/>
    <w:rsid w:val="00967011"/>
    <w:rsid w:val="00970B75"/>
    <w:rsid w:val="009736EA"/>
    <w:rsid w:val="0097372B"/>
    <w:rsid w:val="0098174B"/>
    <w:rsid w:val="00984316"/>
    <w:rsid w:val="009871E9"/>
    <w:rsid w:val="00991098"/>
    <w:rsid w:val="009949EF"/>
    <w:rsid w:val="00994A2D"/>
    <w:rsid w:val="009A4529"/>
    <w:rsid w:val="009A7171"/>
    <w:rsid w:val="009A717A"/>
    <w:rsid w:val="009A79D4"/>
    <w:rsid w:val="009B255E"/>
    <w:rsid w:val="009B26D7"/>
    <w:rsid w:val="009B3627"/>
    <w:rsid w:val="009B5DCD"/>
    <w:rsid w:val="009D17EE"/>
    <w:rsid w:val="009E54EE"/>
    <w:rsid w:val="009E6439"/>
    <w:rsid w:val="00A0224A"/>
    <w:rsid w:val="00A0446B"/>
    <w:rsid w:val="00A12D97"/>
    <w:rsid w:val="00A14050"/>
    <w:rsid w:val="00A17936"/>
    <w:rsid w:val="00A22C50"/>
    <w:rsid w:val="00A22E7E"/>
    <w:rsid w:val="00A24872"/>
    <w:rsid w:val="00A2677E"/>
    <w:rsid w:val="00A404EB"/>
    <w:rsid w:val="00A43022"/>
    <w:rsid w:val="00A438A0"/>
    <w:rsid w:val="00A47825"/>
    <w:rsid w:val="00A5050C"/>
    <w:rsid w:val="00A60EA2"/>
    <w:rsid w:val="00A60F9D"/>
    <w:rsid w:val="00A61058"/>
    <w:rsid w:val="00A641FA"/>
    <w:rsid w:val="00A65BAD"/>
    <w:rsid w:val="00A82A25"/>
    <w:rsid w:val="00A82D16"/>
    <w:rsid w:val="00A91CFC"/>
    <w:rsid w:val="00A94CFF"/>
    <w:rsid w:val="00AC1D6B"/>
    <w:rsid w:val="00AC2A67"/>
    <w:rsid w:val="00AC398B"/>
    <w:rsid w:val="00AC3A9E"/>
    <w:rsid w:val="00AD211F"/>
    <w:rsid w:val="00AD5283"/>
    <w:rsid w:val="00AE1154"/>
    <w:rsid w:val="00AE53D8"/>
    <w:rsid w:val="00AE6352"/>
    <w:rsid w:val="00B10A77"/>
    <w:rsid w:val="00B158CC"/>
    <w:rsid w:val="00B15C3F"/>
    <w:rsid w:val="00B17CCA"/>
    <w:rsid w:val="00B32A45"/>
    <w:rsid w:val="00B35E8C"/>
    <w:rsid w:val="00B35F96"/>
    <w:rsid w:val="00B36B21"/>
    <w:rsid w:val="00B608BB"/>
    <w:rsid w:val="00B676B6"/>
    <w:rsid w:val="00B67923"/>
    <w:rsid w:val="00B71D4A"/>
    <w:rsid w:val="00B72F3F"/>
    <w:rsid w:val="00B81019"/>
    <w:rsid w:val="00B82E6E"/>
    <w:rsid w:val="00B85984"/>
    <w:rsid w:val="00B90190"/>
    <w:rsid w:val="00B97261"/>
    <w:rsid w:val="00BA00DF"/>
    <w:rsid w:val="00BA1A2C"/>
    <w:rsid w:val="00BA2DF0"/>
    <w:rsid w:val="00BA6011"/>
    <w:rsid w:val="00BA6706"/>
    <w:rsid w:val="00BA6CB1"/>
    <w:rsid w:val="00BB311D"/>
    <w:rsid w:val="00BB5E4C"/>
    <w:rsid w:val="00BB6C98"/>
    <w:rsid w:val="00BC0D77"/>
    <w:rsid w:val="00BC2475"/>
    <w:rsid w:val="00BC4485"/>
    <w:rsid w:val="00BD1547"/>
    <w:rsid w:val="00BE455B"/>
    <w:rsid w:val="00BE59BC"/>
    <w:rsid w:val="00BE6682"/>
    <w:rsid w:val="00BE76A5"/>
    <w:rsid w:val="00BF1179"/>
    <w:rsid w:val="00BF4457"/>
    <w:rsid w:val="00C07983"/>
    <w:rsid w:val="00C200AA"/>
    <w:rsid w:val="00C23815"/>
    <w:rsid w:val="00C23EE9"/>
    <w:rsid w:val="00C34B97"/>
    <w:rsid w:val="00C41A48"/>
    <w:rsid w:val="00C422C0"/>
    <w:rsid w:val="00C4365B"/>
    <w:rsid w:val="00C440B3"/>
    <w:rsid w:val="00C45CD9"/>
    <w:rsid w:val="00C4602F"/>
    <w:rsid w:val="00C47730"/>
    <w:rsid w:val="00C56DEE"/>
    <w:rsid w:val="00C63240"/>
    <w:rsid w:val="00C662C3"/>
    <w:rsid w:val="00C6766F"/>
    <w:rsid w:val="00C67BB3"/>
    <w:rsid w:val="00C710F6"/>
    <w:rsid w:val="00C71F4F"/>
    <w:rsid w:val="00C73665"/>
    <w:rsid w:val="00C7475A"/>
    <w:rsid w:val="00C85C39"/>
    <w:rsid w:val="00C865D6"/>
    <w:rsid w:val="00CA5137"/>
    <w:rsid w:val="00CC1593"/>
    <w:rsid w:val="00CC7906"/>
    <w:rsid w:val="00CD076B"/>
    <w:rsid w:val="00CD5ED8"/>
    <w:rsid w:val="00CE15BA"/>
    <w:rsid w:val="00CE33EA"/>
    <w:rsid w:val="00CF1E92"/>
    <w:rsid w:val="00CF4235"/>
    <w:rsid w:val="00CF66D4"/>
    <w:rsid w:val="00D01FB7"/>
    <w:rsid w:val="00D05839"/>
    <w:rsid w:val="00D3089D"/>
    <w:rsid w:val="00D30AE3"/>
    <w:rsid w:val="00D32C0D"/>
    <w:rsid w:val="00D36542"/>
    <w:rsid w:val="00D42EED"/>
    <w:rsid w:val="00D52D66"/>
    <w:rsid w:val="00D57281"/>
    <w:rsid w:val="00D65410"/>
    <w:rsid w:val="00D65EB3"/>
    <w:rsid w:val="00D664F0"/>
    <w:rsid w:val="00D801E6"/>
    <w:rsid w:val="00D80FDD"/>
    <w:rsid w:val="00D869FB"/>
    <w:rsid w:val="00DA437A"/>
    <w:rsid w:val="00DB3AA4"/>
    <w:rsid w:val="00DB6C34"/>
    <w:rsid w:val="00DC378A"/>
    <w:rsid w:val="00DC3C3A"/>
    <w:rsid w:val="00DC680A"/>
    <w:rsid w:val="00DC6BF1"/>
    <w:rsid w:val="00DC6C2D"/>
    <w:rsid w:val="00DC6E5A"/>
    <w:rsid w:val="00DD5080"/>
    <w:rsid w:val="00DE0996"/>
    <w:rsid w:val="00DE3092"/>
    <w:rsid w:val="00E137E1"/>
    <w:rsid w:val="00E22C94"/>
    <w:rsid w:val="00E357FA"/>
    <w:rsid w:val="00E4010E"/>
    <w:rsid w:val="00E45D84"/>
    <w:rsid w:val="00E4640C"/>
    <w:rsid w:val="00E504D9"/>
    <w:rsid w:val="00E517E7"/>
    <w:rsid w:val="00E624C0"/>
    <w:rsid w:val="00E63440"/>
    <w:rsid w:val="00E76F7F"/>
    <w:rsid w:val="00E81244"/>
    <w:rsid w:val="00E83E95"/>
    <w:rsid w:val="00E85BAD"/>
    <w:rsid w:val="00E86ACD"/>
    <w:rsid w:val="00EA096C"/>
    <w:rsid w:val="00EB139E"/>
    <w:rsid w:val="00EB2498"/>
    <w:rsid w:val="00EB6922"/>
    <w:rsid w:val="00EC0B64"/>
    <w:rsid w:val="00ED1C1A"/>
    <w:rsid w:val="00ED5442"/>
    <w:rsid w:val="00EE1AF3"/>
    <w:rsid w:val="00EE35D4"/>
    <w:rsid w:val="00F00696"/>
    <w:rsid w:val="00F0313B"/>
    <w:rsid w:val="00F04E53"/>
    <w:rsid w:val="00F1169A"/>
    <w:rsid w:val="00F11FC4"/>
    <w:rsid w:val="00F12F02"/>
    <w:rsid w:val="00F1703D"/>
    <w:rsid w:val="00F174FB"/>
    <w:rsid w:val="00F17BF4"/>
    <w:rsid w:val="00F21FEC"/>
    <w:rsid w:val="00F22039"/>
    <w:rsid w:val="00F22D02"/>
    <w:rsid w:val="00F23596"/>
    <w:rsid w:val="00F24491"/>
    <w:rsid w:val="00F357EB"/>
    <w:rsid w:val="00F36BDC"/>
    <w:rsid w:val="00F37C71"/>
    <w:rsid w:val="00F37F85"/>
    <w:rsid w:val="00F477B0"/>
    <w:rsid w:val="00F53F0A"/>
    <w:rsid w:val="00F544FE"/>
    <w:rsid w:val="00F5649A"/>
    <w:rsid w:val="00F57709"/>
    <w:rsid w:val="00F65017"/>
    <w:rsid w:val="00F674E5"/>
    <w:rsid w:val="00F74164"/>
    <w:rsid w:val="00F76C3F"/>
    <w:rsid w:val="00F77C87"/>
    <w:rsid w:val="00F84E9F"/>
    <w:rsid w:val="00F9066B"/>
    <w:rsid w:val="00F935F0"/>
    <w:rsid w:val="00F97267"/>
    <w:rsid w:val="00F97C52"/>
    <w:rsid w:val="00FA360F"/>
    <w:rsid w:val="00FA6FA6"/>
    <w:rsid w:val="00FC1C2A"/>
    <w:rsid w:val="00FD1A83"/>
    <w:rsid w:val="00FD225F"/>
    <w:rsid w:val="00FD2805"/>
    <w:rsid w:val="00FD42AC"/>
    <w:rsid w:val="00FE1C86"/>
    <w:rsid w:val="00FE2734"/>
    <w:rsid w:val="00FF1643"/>
    <w:rsid w:val="00FF3F57"/>
    <w:rsid w:val="00FF5547"/>
    <w:rsid w:val="00FF7CB5"/>
    <w:rsid w:val="017F3471"/>
    <w:rsid w:val="01D16E6C"/>
    <w:rsid w:val="023D0049"/>
    <w:rsid w:val="024513C8"/>
    <w:rsid w:val="028D1F1B"/>
    <w:rsid w:val="02AF4E5B"/>
    <w:rsid w:val="02B12340"/>
    <w:rsid w:val="02C041D8"/>
    <w:rsid w:val="032E2457"/>
    <w:rsid w:val="038C508E"/>
    <w:rsid w:val="03AD7423"/>
    <w:rsid w:val="04350807"/>
    <w:rsid w:val="043D6198"/>
    <w:rsid w:val="047D79A7"/>
    <w:rsid w:val="04B45A98"/>
    <w:rsid w:val="04C11719"/>
    <w:rsid w:val="04CF54E6"/>
    <w:rsid w:val="06021E69"/>
    <w:rsid w:val="062542FA"/>
    <w:rsid w:val="06262821"/>
    <w:rsid w:val="062A6D10"/>
    <w:rsid w:val="06C86FEE"/>
    <w:rsid w:val="070108CD"/>
    <w:rsid w:val="07387B59"/>
    <w:rsid w:val="07477F8B"/>
    <w:rsid w:val="074B23B8"/>
    <w:rsid w:val="07F85378"/>
    <w:rsid w:val="08073380"/>
    <w:rsid w:val="082F7D63"/>
    <w:rsid w:val="083B3271"/>
    <w:rsid w:val="083D6999"/>
    <w:rsid w:val="086340E8"/>
    <w:rsid w:val="08664799"/>
    <w:rsid w:val="08BA62B2"/>
    <w:rsid w:val="08D031C0"/>
    <w:rsid w:val="08EE24DC"/>
    <w:rsid w:val="091761C6"/>
    <w:rsid w:val="093D6815"/>
    <w:rsid w:val="0A612B4A"/>
    <w:rsid w:val="0A671C4C"/>
    <w:rsid w:val="0A6E50FD"/>
    <w:rsid w:val="0AA01A0C"/>
    <w:rsid w:val="0AA42740"/>
    <w:rsid w:val="0B751DB7"/>
    <w:rsid w:val="0BA74829"/>
    <w:rsid w:val="0BAE6A41"/>
    <w:rsid w:val="0BFA6B08"/>
    <w:rsid w:val="0C8A7891"/>
    <w:rsid w:val="0C91487E"/>
    <w:rsid w:val="0CE6509E"/>
    <w:rsid w:val="0D152996"/>
    <w:rsid w:val="0D517396"/>
    <w:rsid w:val="0DB31CB2"/>
    <w:rsid w:val="0DDB6195"/>
    <w:rsid w:val="0E273B76"/>
    <w:rsid w:val="0F3F0AFA"/>
    <w:rsid w:val="0F5B489B"/>
    <w:rsid w:val="0F784EC4"/>
    <w:rsid w:val="0FA76E37"/>
    <w:rsid w:val="103F7B9A"/>
    <w:rsid w:val="11465A5C"/>
    <w:rsid w:val="11D53A28"/>
    <w:rsid w:val="125268B2"/>
    <w:rsid w:val="1273221D"/>
    <w:rsid w:val="12905357"/>
    <w:rsid w:val="13030B0C"/>
    <w:rsid w:val="1322145E"/>
    <w:rsid w:val="1389557C"/>
    <w:rsid w:val="13944E71"/>
    <w:rsid w:val="13E77F01"/>
    <w:rsid w:val="140532D2"/>
    <w:rsid w:val="147C2A13"/>
    <w:rsid w:val="14A44BA9"/>
    <w:rsid w:val="14C14E4A"/>
    <w:rsid w:val="150D08BD"/>
    <w:rsid w:val="154F4762"/>
    <w:rsid w:val="168A74B2"/>
    <w:rsid w:val="16970023"/>
    <w:rsid w:val="16DC7247"/>
    <w:rsid w:val="16FE44C5"/>
    <w:rsid w:val="170C5939"/>
    <w:rsid w:val="17521832"/>
    <w:rsid w:val="17AFD919"/>
    <w:rsid w:val="18082765"/>
    <w:rsid w:val="18B56C27"/>
    <w:rsid w:val="18CA04B4"/>
    <w:rsid w:val="18D00617"/>
    <w:rsid w:val="18D226F3"/>
    <w:rsid w:val="19187D40"/>
    <w:rsid w:val="19370E99"/>
    <w:rsid w:val="19603940"/>
    <w:rsid w:val="197E52A2"/>
    <w:rsid w:val="19BF3E7E"/>
    <w:rsid w:val="19ED0FAC"/>
    <w:rsid w:val="19FA7536"/>
    <w:rsid w:val="1A101108"/>
    <w:rsid w:val="1AA62F7C"/>
    <w:rsid w:val="1B3D157F"/>
    <w:rsid w:val="1B4B5CA4"/>
    <w:rsid w:val="1BAD3057"/>
    <w:rsid w:val="1C1366B8"/>
    <w:rsid w:val="1C912E34"/>
    <w:rsid w:val="1CE963D2"/>
    <w:rsid w:val="1D366140"/>
    <w:rsid w:val="1D5663C4"/>
    <w:rsid w:val="1DE10018"/>
    <w:rsid w:val="1DFC02D7"/>
    <w:rsid w:val="1E3D1998"/>
    <w:rsid w:val="1E766934"/>
    <w:rsid w:val="1EF572CB"/>
    <w:rsid w:val="1F66771C"/>
    <w:rsid w:val="1F881D01"/>
    <w:rsid w:val="1F9B4629"/>
    <w:rsid w:val="201F3166"/>
    <w:rsid w:val="204837CE"/>
    <w:rsid w:val="205B16B2"/>
    <w:rsid w:val="208527A0"/>
    <w:rsid w:val="20A67890"/>
    <w:rsid w:val="21145BF3"/>
    <w:rsid w:val="211F6011"/>
    <w:rsid w:val="21707D02"/>
    <w:rsid w:val="218A5C88"/>
    <w:rsid w:val="21B17037"/>
    <w:rsid w:val="220629F1"/>
    <w:rsid w:val="22580CAE"/>
    <w:rsid w:val="22AB2B2E"/>
    <w:rsid w:val="22BD154B"/>
    <w:rsid w:val="22D75FAD"/>
    <w:rsid w:val="22DA1255"/>
    <w:rsid w:val="23541C96"/>
    <w:rsid w:val="235F37AB"/>
    <w:rsid w:val="2360488A"/>
    <w:rsid w:val="23683B15"/>
    <w:rsid w:val="244C79F0"/>
    <w:rsid w:val="24684A3B"/>
    <w:rsid w:val="248A141B"/>
    <w:rsid w:val="25FD3EEF"/>
    <w:rsid w:val="26116BB8"/>
    <w:rsid w:val="26140F6D"/>
    <w:rsid w:val="26AD55B9"/>
    <w:rsid w:val="27735359"/>
    <w:rsid w:val="28544EA5"/>
    <w:rsid w:val="28886811"/>
    <w:rsid w:val="292961D9"/>
    <w:rsid w:val="295D2079"/>
    <w:rsid w:val="299B1031"/>
    <w:rsid w:val="29AC4417"/>
    <w:rsid w:val="29F1064E"/>
    <w:rsid w:val="2A3A6A08"/>
    <w:rsid w:val="2A811D43"/>
    <w:rsid w:val="2A933A90"/>
    <w:rsid w:val="2ABD5E65"/>
    <w:rsid w:val="2AE15191"/>
    <w:rsid w:val="2AFC00C5"/>
    <w:rsid w:val="2B2C7F2C"/>
    <w:rsid w:val="2B790B5F"/>
    <w:rsid w:val="2B9F546F"/>
    <w:rsid w:val="2BD772AA"/>
    <w:rsid w:val="2C125A39"/>
    <w:rsid w:val="2CAA5E2E"/>
    <w:rsid w:val="2CE82946"/>
    <w:rsid w:val="2CEE4ED0"/>
    <w:rsid w:val="2D403B1F"/>
    <w:rsid w:val="2E04115C"/>
    <w:rsid w:val="2E25715C"/>
    <w:rsid w:val="2E6F35A5"/>
    <w:rsid w:val="2E9D55B6"/>
    <w:rsid w:val="2F925126"/>
    <w:rsid w:val="2FBECA45"/>
    <w:rsid w:val="2FC24E22"/>
    <w:rsid w:val="302C21A5"/>
    <w:rsid w:val="30313070"/>
    <w:rsid w:val="304C7806"/>
    <w:rsid w:val="30514D49"/>
    <w:rsid w:val="307D10B2"/>
    <w:rsid w:val="317D397E"/>
    <w:rsid w:val="32763410"/>
    <w:rsid w:val="32A94DBF"/>
    <w:rsid w:val="330A4032"/>
    <w:rsid w:val="332A09E6"/>
    <w:rsid w:val="33603CFF"/>
    <w:rsid w:val="33826288"/>
    <w:rsid w:val="33A22CBB"/>
    <w:rsid w:val="33BC637F"/>
    <w:rsid w:val="340F5614"/>
    <w:rsid w:val="347B6B59"/>
    <w:rsid w:val="34C33296"/>
    <w:rsid w:val="34F871BB"/>
    <w:rsid w:val="357F2614"/>
    <w:rsid w:val="359D36E0"/>
    <w:rsid w:val="35B36D8C"/>
    <w:rsid w:val="36CF5084"/>
    <w:rsid w:val="370573E4"/>
    <w:rsid w:val="374B36B3"/>
    <w:rsid w:val="37BFE7E0"/>
    <w:rsid w:val="37C44836"/>
    <w:rsid w:val="384133AE"/>
    <w:rsid w:val="386E6453"/>
    <w:rsid w:val="38A4141B"/>
    <w:rsid w:val="391316A1"/>
    <w:rsid w:val="3949476A"/>
    <w:rsid w:val="39614F0E"/>
    <w:rsid w:val="39676A1F"/>
    <w:rsid w:val="39772735"/>
    <w:rsid w:val="39E0201B"/>
    <w:rsid w:val="3A0512DC"/>
    <w:rsid w:val="3A331A03"/>
    <w:rsid w:val="3A4A0037"/>
    <w:rsid w:val="3AC54D46"/>
    <w:rsid w:val="3B1947BE"/>
    <w:rsid w:val="3BE007C9"/>
    <w:rsid w:val="3BFC7F33"/>
    <w:rsid w:val="3C115006"/>
    <w:rsid w:val="3C230E56"/>
    <w:rsid w:val="3C7F1293"/>
    <w:rsid w:val="3D4943BC"/>
    <w:rsid w:val="3D4A7C8E"/>
    <w:rsid w:val="3E3B4A0C"/>
    <w:rsid w:val="3E6B4A38"/>
    <w:rsid w:val="3F2B6C06"/>
    <w:rsid w:val="3F2F21DE"/>
    <w:rsid w:val="3F446EAB"/>
    <w:rsid w:val="3F8F2866"/>
    <w:rsid w:val="3FD01824"/>
    <w:rsid w:val="40904E08"/>
    <w:rsid w:val="40943207"/>
    <w:rsid w:val="41A47C99"/>
    <w:rsid w:val="42003C21"/>
    <w:rsid w:val="42133090"/>
    <w:rsid w:val="42474483"/>
    <w:rsid w:val="426D6E43"/>
    <w:rsid w:val="426E1762"/>
    <w:rsid w:val="431A61E0"/>
    <w:rsid w:val="43967C40"/>
    <w:rsid w:val="44895578"/>
    <w:rsid w:val="45075F50"/>
    <w:rsid w:val="45455095"/>
    <w:rsid w:val="45593B9C"/>
    <w:rsid w:val="45660ECA"/>
    <w:rsid w:val="45901637"/>
    <w:rsid w:val="45AA2830"/>
    <w:rsid w:val="45CB42AE"/>
    <w:rsid w:val="4688793B"/>
    <w:rsid w:val="46D324AF"/>
    <w:rsid w:val="46D91261"/>
    <w:rsid w:val="477F67BE"/>
    <w:rsid w:val="47CA0972"/>
    <w:rsid w:val="47DE59C2"/>
    <w:rsid w:val="483941D8"/>
    <w:rsid w:val="484244CF"/>
    <w:rsid w:val="48496D68"/>
    <w:rsid w:val="489A5488"/>
    <w:rsid w:val="489C7F10"/>
    <w:rsid w:val="48BA1C9C"/>
    <w:rsid w:val="49982178"/>
    <w:rsid w:val="49AF2A11"/>
    <w:rsid w:val="49E24921"/>
    <w:rsid w:val="4A487FB0"/>
    <w:rsid w:val="4A77406D"/>
    <w:rsid w:val="4AB4489F"/>
    <w:rsid w:val="4B47314A"/>
    <w:rsid w:val="4B4D57FF"/>
    <w:rsid w:val="4BBC1A9F"/>
    <w:rsid w:val="4C1E64CD"/>
    <w:rsid w:val="4CDD05F8"/>
    <w:rsid w:val="4D004B88"/>
    <w:rsid w:val="4D2B6965"/>
    <w:rsid w:val="4D5C7353"/>
    <w:rsid w:val="4DD50C6A"/>
    <w:rsid w:val="4E3761B2"/>
    <w:rsid w:val="4E5B15B6"/>
    <w:rsid w:val="4EFB4A50"/>
    <w:rsid w:val="4F2679E6"/>
    <w:rsid w:val="4F383512"/>
    <w:rsid w:val="4FAE338B"/>
    <w:rsid w:val="50340FFD"/>
    <w:rsid w:val="50547631"/>
    <w:rsid w:val="50734054"/>
    <w:rsid w:val="507935E4"/>
    <w:rsid w:val="50E562A8"/>
    <w:rsid w:val="5106430D"/>
    <w:rsid w:val="511A6901"/>
    <w:rsid w:val="513E0FC0"/>
    <w:rsid w:val="5177040B"/>
    <w:rsid w:val="51F83894"/>
    <w:rsid w:val="52587BC2"/>
    <w:rsid w:val="52784ECE"/>
    <w:rsid w:val="5281587B"/>
    <w:rsid w:val="52854FE5"/>
    <w:rsid w:val="52D403CF"/>
    <w:rsid w:val="531760D2"/>
    <w:rsid w:val="5488449E"/>
    <w:rsid w:val="556E7DF2"/>
    <w:rsid w:val="55AD0EC7"/>
    <w:rsid w:val="55B10B79"/>
    <w:rsid w:val="56043947"/>
    <w:rsid w:val="5618427F"/>
    <w:rsid w:val="569127C4"/>
    <w:rsid w:val="576A4754"/>
    <w:rsid w:val="57A91B06"/>
    <w:rsid w:val="57D81C89"/>
    <w:rsid w:val="57FE2FA9"/>
    <w:rsid w:val="580052B2"/>
    <w:rsid w:val="581C1E99"/>
    <w:rsid w:val="583E66F9"/>
    <w:rsid w:val="58703EE9"/>
    <w:rsid w:val="593167CD"/>
    <w:rsid w:val="597509F7"/>
    <w:rsid w:val="59A47CD6"/>
    <w:rsid w:val="5A084073"/>
    <w:rsid w:val="5A254BD4"/>
    <w:rsid w:val="5A6A11A6"/>
    <w:rsid w:val="5A9B6276"/>
    <w:rsid w:val="5AF35394"/>
    <w:rsid w:val="5B860430"/>
    <w:rsid w:val="5C172D8E"/>
    <w:rsid w:val="5C204D50"/>
    <w:rsid w:val="5C514992"/>
    <w:rsid w:val="5C552563"/>
    <w:rsid w:val="5CF731F0"/>
    <w:rsid w:val="5DCC7931"/>
    <w:rsid w:val="5E3D1774"/>
    <w:rsid w:val="5E902D49"/>
    <w:rsid w:val="5E976577"/>
    <w:rsid w:val="5EA4107E"/>
    <w:rsid w:val="5F091648"/>
    <w:rsid w:val="5F39264D"/>
    <w:rsid w:val="5FFF5DBF"/>
    <w:rsid w:val="60375DC1"/>
    <w:rsid w:val="607921CC"/>
    <w:rsid w:val="60EB06B2"/>
    <w:rsid w:val="61482ACC"/>
    <w:rsid w:val="619A55F8"/>
    <w:rsid w:val="61EE7625"/>
    <w:rsid w:val="62690086"/>
    <w:rsid w:val="62DB39E5"/>
    <w:rsid w:val="638A7D32"/>
    <w:rsid w:val="639218E0"/>
    <w:rsid w:val="640D0638"/>
    <w:rsid w:val="64193580"/>
    <w:rsid w:val="64A1519D"/>
    <w:rsid w:val="64A81CAF"/>
    <w:rsid w:val="64AA6A73"/>
    <w:rsid w:val="64AD4755"/>
    <w:rsid w:val="65573FB0"/>
    <w:rsid w:val="65841B70"/>
    <w:rsid w:val="659A1941"/>
    <w:rsid w:val="665B7696"/>
    <w:rsid w:val="66D65305"/>
    <w:rsid w:val="675061BC"/>
    <w:rsid w:val="676137ED"/>
    <w:rsid w:val="678E0813"/>
    <w:rsid w:val="67D3503B"/>
    <w:rsid w:val="67E150E8"/>
    <w:rsid w:val="67F071D8"/>
    <w:rsid w:val="682E2DD2"/>
    <w:rsid w:val="68A66A83"/>
    <w:rsid w:val="68C47823"/>
    <w:rsid w:val="68F13CB8"/>
    <w:rsid w:val="69303384"/>
    <w:rsid w:val="6AB209B6"/>
    <w:rsid w:val="6AD125CF"/>
    <w:rsid w:val="6AD61411"/>
    <w:rsid w:val="6B096AA8"/>
    <w:rsid w:val="6BB507B0"/>
    <w:rsid w:val="6BC87ABA"/>
    <w:rsid w:val="6CDD6CB4"/>
    <w:rsid w:val="6D320ADC"/>
    <w:rsid w:val="6D48208F"/>
    <w:rsid w:val="6D625DB5"/>
    <w:rsid w:val="6D716FA8"/>
    <w:rsid w:val="6DA03161"/>
    <w:rsid w:val="6DA65FCD"/>
    <w:rsid w:val="6DC669DB"/>
    <w:rsid w:val="6E6E2CF7"/>
    <w:rsid w:val="6EB965CF"/>
    <w:rsid w:val="6EE16E6D"/>
    <w:rsid w:val="6EF7E8F5"/>
    <w:rsid w:val="6F35308D"/>
    <w:rsid w:val="6FBF70A6"/>
    <w:rsid w:val="6FD85D3D"/>
    <w:rsid w:val="6FF5460C"/>
    <w:rsid w:val="70075ABD"/>
    <w:rsid w:val="700B4704"/>
    <w:rsid w:val="703A030F"/>
    <w:rsid w:val="70854FCC"/>
    <w:rsid w:val="70E22D0E"/>
    <w:rsid w:val="70F37A8F"/>
    <w:rsid w:val="718A524B"/>
    <w:rsid w:val="71F9165B"/>
    <w:rsid w:val="72583665"/>
    <w:rsid w:val="725A27E7"/>
    <w:rsid w:val="72672FCA"/>
    <w:rsid w:val="73407D7B"/>
    <w:rsid w:val="738829DB"/>
    <w:rsid w:val="73991B4A"/>
    <w:rsid w:val="73B47A24"/>
    <w:rsid w:val="7446569B"/>
    <w:rsid w:val="74552DC3"/>
    <w:rsid w:val="74F248E4"/>
    <w:rsid w:val="756F6FC1"/>
    <w:rsid w:val="75951062"/>
    <w:rsid w:val="75CB27B0"/>
    <w:rsid w:val="760C648E"/>
    <w:rsid w:val="762D1124"/>
    <w:rsid w:val="76C15ED5"/>
    <w:rsid w:val="76EA62A4"/>
    <w:rsid w:val="77355E44"/>
    <w:rsid w:val="779B60C1"/>
    <w:rsid w:val="78EA6855"/>
    <w:rsid w:val="7900678E"/>
    <w:rsid w:val="79296B4C"/>
    <w:rsid w:val="79490486"/>
    <w:rsid w:val="79646415"/>
    <w:rsid w:val="79AF3845"/>
    <w:rsid w:val="79E056A2"/>
    <w:rsid w:val="7A06678C"/>
    <w:rsid w:val="7AE92BC7"/>
    <w:rsid w:val="7B884E71"/>
    <w:rsid w:val="7BBD716B"/>
    <w:rsid w:val="7BE82DCC"/>
    <w:rsid w:val="7BEF1CE8"/>
    <w:rsid w:val="7C0731E8"/>
    <w:rsid w:val="7C6A2547"/>
    <w:rsid w:val="7C9B3071"/>
    <w:rsid w:val="7D1B776D"/>
    <w:rsid w:val="7D4E1A26"/>
    <w:rsid w:val="7D8364B2"/>
    <w:rsid w:val="7DBF415E"/>
    <w:rsid w:val="7E897AD1"/>
    <w:rsid w:val="7F0605A7"/>
    <w:rsid w:val="7F0B5E1A"/>
    <w:rsid w:val="7F9E2DDD"/>
    <w:rsid w:val="81796485"/>
    <w:rsid w:val="8BFF8DC7"/>
    <w:rsid w:val="9A6F4A50"/>
    <w:rsid w:val="BA7B23C6"/>
    <w:rsid w:val="BFFD6499"/>
    <w:rsid w:val="F1FC5D7D"/>
    <w:rsid w:val="F59533C2"/>
    <w:rsid w:val="FAEF076B"/>
    <w:rsid w:val="FB7F8E7D"/>
    <w:rsid w:val="FDFF4F53"/>
    <w:rsid w:val="FE7FEEBE"/>
    <w:rsid w:val="FF761D09"/>
    <w:rsid w:val="FFBE5F56"/>
    <w:rsid w:val="FFF2D5BC"/>
    <w:rsid w:val="FFF7A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
        <o:r id="V:Rule2" type="connector" idref="#直接箭头连接符 12"/>
        <o:r id="V:Rule3" type="connector" idref="#直接箭头连接符 11"/>
        <o:r id="V:Rule4" type="connector" idref="#直接箭头连接符 7"/>
        <o:r id="V:Rule5" type="connector" idref="#直接箭头连接符 5"/>
        <o:r id="V:Rule6" type="connector" idref="#直接箭头连接符 3"/>
        <o:r id="V:Rule7" type="connector" idref="#直接箭头连接符 6"/>
        <o:r id="V:Rule8" type="connector" idref="#直接箭头连接符 2"/>
        <o:r id="V:Rule9" type="connector" idref="#直接箭头连接符 1"/>
        <o:r id="V:Rule10" type="connector" idref="#直接箭头连接符 8"/>
        <o:r id="V:Rule11" type="connector" idref="#直接箭头连接符 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99"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iPriority="0" w:semiHidden="0" w:name="List Bullet 2"/>
    <w:lsdException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qFormat="1" w:uiPriority="99"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iPriority="0" w:semiHidden="0" w:name="Body Text 2"/>
    <w:lsdException w:qFormat="1" w:unhideWhenUsed="0" w:uiPriority="99"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9"/>
    <w:pPr>
      <w:keepNext/>
      <w:keepLines/>
      <w:spacing w:before="360" w:after="360" w:line="360" w:lineRule="auto"/>
      <w:jc w:val="center"/>
      <w:textAlignment w:val="baseline"/>
      <w:outlineLvl w:val="0"/>
    </w:pPr>
    <w:rPr>
      <w:rFonts w:ascii="宋体" w:hAnsi="宋体" w:cs="Arial"/>
      <w:b/>
      <w:sz w:val="44"/>
      <w:szCs w:val="44"/>
    </w:rPr>
  </w:style>
  <w:style w:type="paragraph" w:styleId="4">
    <w:name w:val="heading 2"/>
    <w:basedOn w:val="1"/>
    <w:next w:val="1"/>
    <w:link w:val="64"/>
    <w:qFormat/>
    <w:uiPriority w:val="9"/>
    <w:pPr>
      <w:keepNext/>
      <w:keepLines/>
      <w:autoSpaceDE w:val="0"/>
      <w:autoSpaceDN w:val="0"/>
      <w:adjustRightInd w:val="0"/>
      <w:spacing w:before="360" w:after="260" w:line="360" w:lineRule="auto"/>
      <w:jc w:val="left"/>
      <w:textAlignment w:val="baseline"/>
      <w:outlineLvl w:val="1"/>
    </w:pPr>
    <w:rPr>
      <w:rFonts w:ascii="Arial" w:hAnsi="Arial" w:eastAsia="黑体"/>
      <w:b/>
      <w:spacing w:val="24"/>
      <w:kern w:val="0"/>
      <w:sz w:val="32"/>
      <w:szCs w:val="32"/>
    </w:rPr>
  </w:style>
  <w:style w:type="paragraph" w:styleId="5">
    <w:name w:val="heading 3"/>
    <w:basedOn w:val="1"/>
    <w:next w:val="1"/>
    <w:link w:val="65"/>
    <w:qFormat/>
    <w:uiPriority w:val="0"/>
    <w:pPr>
      <w:keepNext/>
      <w:keepLines/>
      <w:autoSpaceDE w:val="0"/>
      <w:autoSpaceDN w:val="0"/>
      <w:adjustRightInd w:val="0"/>
      <w:spacing w:before="360" w:after="260" w:line="360" w:lineRule="auto"/>
      <w:jc w:val="left"/>
      <w:textAlignment w:val="baseline"/>
      <w:outlineLvl w:val="2"/>
    </w:pPr>
    <w:rPr>
      <w:rFonts w:ascii="黑体" w:hAnsi="黑体" w:eastAsia="黑体"/>
      <w:b/>
      <w:sz w:val="32"/>
      <w:szCs w:val="32"/>
    </w:rPr>
  </w:style>
  <w:style w:type="paragraph" w:styleId="6">
    <w:name w:val="heading 4"/>
    <w:basedOn w:val="1"/>
    <w:next w:val="1"/>
    <w:link w:val="66"/>
    <w:qFormat/>
    <w:uiPriority w:val="99"/>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7"/>
    <w:qFormat/>
    <w:uiPriority w:val="99"/>
    <w:pPr>
      <w:keepNext/>
      <w:keepLines/>
      <w:widowControl/>
      <w:spacing w:before="280" w:after="290" w:line="360" w:lineRule="auto"/>
      <w:outlineLvl w:val="4"/>
    </w:pPr>
    <w:rPr>
      <w:rFonts w:ascii="黑体" w:hAnsi="黑体" w:eastAsia="黑体"/>
      <w:b/>
      <w:sz w:val="24"/>
      <w:szCs w:val="18"/>
    </w:rPr>
  </w:style>
  <w:style w:type="paragraph" w:styleId="9">
    <w:name w:val="heading 6"/>
    <w:basedOn w:val="1"/>
    <w:next w:val="1"/>
    <w:link w:val="68"/>
    <w:qFormat/>
    <w:uiPriority w:val="9"/>
    <w:pPr>
      <w:numPr>
        <w:ilvl w:val="5"/>
        <w:numId w:val="1"/>
      </w:numPr>
      <w:spacing w:before="240" w:after="64" w:line="320" w:lineRule="auto"/>
      <w:outlineLvl w:val="5"/>
    </w:pPr>
    <w:rPr>
      <w:sz w:val="24"/>
      <w:szCs w:val="20"/>
    </w:rPr>
  </w:style>
  <w:style w:type="paragraph" w:styleId="10">
    <w:name w:val="heading 7"/>
    <w:basedOn w:val="1"/>
    <w:next w:val="2"/>
    <w:link w:val="69"/>
    <w:qFormat/>
    <w:uiPriority w:val="0"/>
    <w:pPr>
      <w:keepNext/>
      <w:keepLines/>
      <w:numPr>
        <w:ilvl w:val="6"/>
        <w:numId w:val="2"/>
      </w:numPr>
      <w:spacing w:before="240" w:after="64" w:line="320" w:lineRule="auto"/>
      <w:outlineLvl w:val="6"/>
    </w:pPr>
    <w:rPr>
      <w:b/>
      <w:sz w:val="24"/>
      <w:szCs w:val="20"/>
    </w:rPr>
  </w:style>
  <w:style w:type="paragraph" w:styleId="11">
    <w:name w:val="heading 8"/>
    <w:basedOn w:val="1"/>
    <w:next w:val="2"/>
    <w:link w:val="70"/>
    <w:qFormat/>
    <w:uiPriority w:val="0"/>
    <w:pPr>
      <w:keepNext/>
      <w:keepLines/>
      <w:numPr>
        <w:ilvl w:val="7"/>
        <w:numId w:val="2"/>
      </w:numPr>
      <w:spacing w:before="240" w:after="64" w:line="320" w:lineRule="auto"/>
      <w:outlineLvl w:val="7"/>
    </w:pPr>
    <w:rPr>
      <w:rFonts w:ascii="Arial" w:hAnsi="Arial" w:eastAsia="黑体"/>
      <w:sz w:val="24"/>
      <w:szCs w:val="20"/>
    </w:rPr>
  </w:style>
  <w:style w:type="paragraph" w:styleId="12">
    <w:name w:val="heading 9"/>
    <w:basedOn w:val="1"/>
    <w:next w:val="2"/>
    <w:link w:val="71"/>
    <w:qFormat/>
    <w:uiPriority w:val="0"/>
    <w:pPr>
      <w:keepNext/>
      <w:keepLines/>
      <w:numPr>
        <w:ilvl w:val="8"/>
        <w:numId w:val="2"/>
      </w:numPr>
      <w:spacing w:before="240" w:after="64" w:line="320" w:lineRule="auto"/>
      <w:outlineLvl w:val="8"/>
    </w:pPr>
    <w:rPr>
      <w:rFonts w:ascii="Arial" w:hAnsi="Arial" w:eastAsia="黑体"/>
      <w:szCs w:val="20"/>
    </w:r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2">
    <w:name w:val="Normal Indent"/>
    <w:basedOn w:val="1"/>
    <w:link w:val="62"/>
    <w:qFormat/>
    <w:uiPriority w:val="99"/>
    <w:pPr>
      <w:autoSpaceDE w:val="0"/>
      <w:autoSpaceDN w:val="0"/>
      <w:spacing w:line="360" w:lineRule="auto"/>
      <w:ind w:left="181" w:firstLine="420"/>
    </w:pPr>
    <w:rPr>
      <w:sz w:val="24"/>
      <w:szCs w:val="20"/>
    </w:rPr>
  </w:style>
  <w:style w:type="paragraph" w:styleId="8">
    <w:name w:val="Body Text"/>
    <w:basedOn w:val="1"/>
    <w:link w:val="75"/>
    <w:qFormat/>
    <w:uiPriority w:val="99"/>
    <w:pPr>
      <w:widowControl/>
      <w:spacing w:after="120"/>
      <w:jc w:val="left"/>
    </w:pPr>
    <w:rPr>
      <w:kern w:val="0"/>
      <w:szCs w:val="20"/>
    </w:rPr>
  </w:style>
  <w:style w:type="paragraph" w:styleId="13">
    <w:name w:val="toc 7"/>
    <w:basedOn w:val="1"/>
    <w:next w:val="1"/>
    <w:qFormat/>
    <w:uiPriority w:val="39"/>
    <w:pPr>
      <w:ind w:left="2520" w:leftChars="1200"/>
    </w:pPr>
  </w:style>
  <w:style w:type="paragraph" w:styleId="14">
    <w:name w:val="List Number 2"/>
    <w:basedOn w:val="1"/>
    <w:qFormat/>
    <w:uiPriority w:val="0"/>
    <w:pPr>
      <w:widowControl/>
      <w:numPr>
        <w:ilvl w:val="0"/>
        <w:numId w:val="3"/>
      </w:numPr>
      <w:adjustRightInd w:val="0"/>
      <w:snapToGrid w:val="0"/>
      <w:spacing w:line="360" w:lineRule="auto"/>
      <w:ind w:left="900" w:hanging="420" w:firstLineChars="200"/>
      <w:jc w:val="left"/>
    </w:pPr>
    <w:rPr>
      <w:sz w:val="24"/>
    </w:rPr>
  </w:style>
  <w:style w:type="paragraph" w:styleId="15">
    <w:name w:val="List Bullet 4"/>
    <w:basedOn w:val="1"/>
    <w:qFormat/>
    <w:uiPriority w:val="99"/>
    <w:pPr>
      <w:widowControl/>
      <w:adjustRightInd w:val="0"/>
      <w:snapToGrid w:val="0"/>
      <w:spacing w:line="360" w:lineRule="auto"/>
      <w:ind w:left="900" w:hanging="420" w:firstLineChars="200"/>
      <w:jc w:val="left"/>
    </w:pPr>
    <w:rPr>
      <w:sz w:val="24"/>
    </w:rPr>
  </w:style>
  <w:style w:type="paragraph" w:styleId="16">
    <w:name w:val="caption"/>
    <w:basedOn w:val="1"/>
    <w:next w:val="1"/>
    <w:link w:val="72"/>
    <w:qFormat/>
    <w:uiPriority w:val="35"/>
    <w:pPr>
      <w:widowControl/>
      <w:spacing w:after="120"/>
      <w:jc w:val="center"/>
    </w:pPr>
    <w:rPr>
      <w:rFonts w:ascii="宋体" w:hAnsi="宋体"/>
      <w:bCs/>
      <w:kern w:val="0"/>
      <w:sz w:val="24"/>
      <w:szCs w:val="52"/>
    </w:rPr>
  </w:style>
  <w:style w:type="paragraph" w:styleId="17">
    <w:name w:val="List Bullet"/>
    <w:basedOn w:val="1"/>
    <w:qFormat/>
    <w:uiPriority w:val="99"/>
    <w:pPr>
      <w:widowControl/>
      <w:tabs>
        <w:tab w:val="left" w:pos="726"/>
      </w:tabs>
      <w:spacing w:beforeLines="50" w:afterLines="50" w:line="276" w:lineRule="auto"/>
      <w:ind w:left="840" w:right="340" w:hanging="357" w:firstLineChars="200"/>
    </w:pPr>
    <w:rPr>
      <w:rFonts w:ascii="Arial" w:hAnsi="Arial" w:eastAsia="Times New Roman"/>
      <w:kern w:val="0"/>
      <w:sz w:val="20"/>
      <w:lang w:val="en-GB" w:eastAsia="fr-FR"/>
    </w:rPr>
  </w:style>
  <w:style w:type="paragraph" w:styleId="18">
    <w:name w:val="Document Map"/>
    <w:basedOn w:val="1"/>
    <w:link w:val="73"/>
    <w:qFormat/>
    <w:uiPriority w:val="99"/>
    <w:pPr>
      <w:shd w:val="clear" w:color="auto" w:fill="000080"/>
    </w:pPr>
  </w:style>
  <w:style w:type="paragraph" w:styleId="19">
    <w:name w:val="annotation text"/>
    <w:basedOn w:val="1"/>
    <w:link w:val="74"/>
    <w:qFormat/>
    <w:uiPriority w:val="99"/>
    <w:pPr>
      <w:jc w:val="left"/>
    </w:pPr>
  </w:style>
  <w:style w:type="paragraph" w:styleId="20">
    <w:name w:val="Salutation"/>
    <w:basedOn w:val="1"/>
    <w:next w:val="1"/>
    <w:link w:val="742"/>
    <w:qFormat/>
    <w:uiPriority w:val="0"/>
    <w:pPr>
      <w:widowControl/>
      <w:spacing w:line="360" w:lineRule="auto"/>
      <w:ind w:firstLine="200" w:firstLineChars="200"/>
      <w:jc w:val="left"/>
    </w:pPr>
    <w:rPr>
      <w:rFonts w:ascii="Calibri" w:hAnsi="Calibri" w:eastAsia="等线"/>
      <w:szCs w:val="22"/>
    </w:rPr>
  </w:style>
  <w:style w:type="paragraph" w:styleId="21">
    <w:name w:val="Body Text 3"/>
    <w:basedOn w:val="1"/>
    <w:link w:val="744"/>
    <w:qFormat/>
    <w:uiPriority w:val="99"/>
    <w:pPr>
      <w:widowControl/>
      <w:autoSpaceDE w:val="0"/>
      <w:autoSpaceDN w:val="0"/>
      <w:adjustRightInd w:val="0"/>
      <w:spacing w:before="120" w:after="120" w:line="300" w:lineRule="auto"/>
      <w:ind w:firstLine="200" w:firstLineChars="200"/>
      <w:jc w:val="left"/>
    </w:pPr>
    <w:rPr>
      <w:rFonts w:ascii="宋体" w:hAnsi="Calibri" w:eastAsia="等线"/>
      <w:color w:val="000000"/>
      <w:spacing w:val="20"/>
      <w:sz w:val="24"/>
      <w:szCs w:val="22"/>
      <w:lang w:val="en-IE"/>
    </w:rPr>
  </w:style>
  <w:style w:type="paragraph" w:styleId="22">
    <w:name w:val="Body Text Indent"/>
    <w:basedOn w:val="1"/>
    <w:link w:val="76"/>
    <w:qFormat/>
    <w:uiPriority w:val="0"/>
    <w:pPr>
      <w:autoSpaceDE w:val="0"/>
      <w:autoSpaceDN w:val="0"/>
      <w:spacing w:line="360" w:lineRule="auto"/>
      <w:ind w:left="181" w:firstLine="539"/>
    </w:pPr>
    <w:rPr>
      <w:sz w:val="24"/>
      <w:szCs w:val="20"/>
    </w:rPr>
  </w:style>
  <w:style w:type="paragraph" w:styleId="23">
    <w:name w:val="List Number 3"/>
    <w:basedOn w:val="1"/>
    <w:qFormat/>
    <w:uiPriority w:val="0"/>
    <w:pPr>
      <w:widowControl/>
      <w:spacing w:line="360" w:lineRule="auto"/>
      <w:ind w:left="1020" w:hanging="1020" w:firstLineChars="200"/>
      <w:jc w:val="left"/>
      <w:outlineLvl w:val="0"/>
    </w:pPr>
    <w:rPr>
      <w:rFonts w:ascii="Calibri" w:hAnsi="Calibri" w:eastAsia="等线"/>
      <w:color w:val="0000FF"/>
      <w:kern w:val="0"/>
      <w:sz w:val="24"/>
      <w:lang w:eastAsia="en-US" w:bidi="en-US"/>
    </w:rPr>
  </w:style>
  <w:style w:type="paragraph" w:styleId="24">
    <w:name w:val="List Bullet 2"/>
    <w:basedOn w:val="1"/>
    <w:unhideWhenUsed/>
    <w:qFormat/>
    <w:uiPriority w:val="0"/>
    <w:pPr>
      <w:numPr>
        <w:ilvl w:val="0"/>
        <w:numId w:val="4"/>
      </w:numPr>
      <w:tabs>
        <w:tab w:val="left" w:pos="210"/>
      </w:tabs>
      <w:spacing w:beforeLines="50" w:afterLines="50" w:line="400" w:lineRule="exact"/>
      <w:contextualSpacing/>
    </w:pPr>
    <w:rPr>
      <w:rFonts w:ascii="Arial" w:hAnsi="Arial"/>
      <w:sz w:val="24"/>
      <w:szCs w:val="21"/>
    </w:rPr>
  </w:style>
  <w:style w:type="paragraph" w:styleId="25">
    <w:name w:val="toc 5"/>
    <w:basedOn w:val="1"/>
    <w:next w:val="1"/>
    <w:unhideWhenUsed/>
    <w:qFormat/>
    <w:uiPriority w:val="39"/>
    <w:pPr>
      <w:spacing w:line="360" w:lineRule="auto"/>
      <w:ind w:left="960" w:firstLine="200" w:firstLineChars="200"/>
      <w:jc w:val="left"/>
    </w:pPr>
    <w:rPr>
      <w:rFonts w:ascii="等线" w:eastAsia="等线"/>
      <w:sz w:val="18"/>
      <w:szCs w:val="18"/>
    </w:rPr>
  </w:style>
  <w:style w:type="paragraph" w:styleId="26">
    <w:name w:val="toc 3"/>
    <w:basedOn w:val="1"/>
    <w:next w:val="1"/>
    <w:qFormat/>
    <w:uiPriority w:val="39"/>
    <w:pPr>
      <w:ind w:left="840" w:leftChars="400"/>
    </w:pPr>
  </w:style>
  <w:style w:type="paragraph" w:styleId="27">
    <w:name w:val="Plain Text"/>
    <w:basedOn w:val="1"/>
    <w:link w:val="77"/>
    <w:qFormat/>
    <w:uiPriority w:val="0"/>
    <w:pPr>
      <w:spacing w:line="360" w:lineRule="auto"/>
    </w:pPr>
    <w:rPr>
      <w:rFonts w:ascii="宋体" w:hAnsi="Courier New"/>
      <w:spacing w:val="-8"/>
      <w:sz w:val="24"/>
      <w:szCs w:val="20"/>
    </w:rPr>
  </w:style>
  <w:style w:type="paragraph" w:styleId="28">
    <w:name w:val="List Number 4"/>
    <w:basedOn w:val="1"/>
    <w:qFormat/>
    <w:uiPriority w:val="0"/>
    <w:pPr>
      <w:widowControl/>
      <w:numPr>
        <w:ilvl w:val="0"/>
        <w:numId w:val="5"/>
      </w:numPr>
      <w:adjustRightInd w:val="0"/>
      <w:snapToGrid w:val="0"/>
      <w:spacing w:line="360" w:lineRule="auto"/>
      <w:ind w:left="900" w:firstLine="200" w:firstLineChars="200"/>
      <w:jc w:val="left"/>
    </w:pPr>
    <w:rPr>
      <w:sz w:val="24"/>
    </w:rPr>
  </w:style>
  <w:style w:type="paragraph" w:styleId="29">
    <w:name w:val="toc 8"/>
    <w:basedOn w:val="1"/>
    <w:next w:val="1"/>
    <w:unhideWhenUsed/>
    <w:qFormat/>
    <w:uiPriority w:val="39"/>
    <w:pPr>
      <w:spacing w:line="360" w:lineRule="auto"/>
      <w:ind w:left="1680" w:firstLine="200" w:firstLineChars="200"/>
      <w:jc w:val="left"/>
    </w:pPr>
    <w:rPr>
      <w:rFonts w:ascii="等线" w:eastAsia="等线"/>
      <w:sz w:val="18"/>
      <w:szCs w:val="18"/>
    </w:rPr>
  </w:style>
  <w:style w:type="paragraph" w:styleId="30">
    <w:name w:val="Date"/>
    <w:basedOn w:val="1"/>
    <w:next w:val="1"/>
    <w:link w:val="78"/>
    <w:qFormat/>
    <w:uiPriority w:val="99"/>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31">
    <w:name w:val="Body Text Indent 2"/>
    <w:basedOn w:val="1"/>
    <w:link w:val="79"/>
    <w:qFormat/>
    <w:uiPriority w:val="0"/>
    <w:pPr>
      <w:ind w:firstLine="540"/>
    </w:pPr>
    <w:rPr>
      <w:szCs w:val="20"/>
    </w:rPr>
  </w:style>
  <w:style w:type="paragraph" w:styleId="32">
    <w:name w:val="endnote text"/>
    <w:basedOn w:val="1"/>
    <w:link w:val="737"/>
    <w:qFormat/>
    <w:uiPriority w:val="99"/>
    <w:pPr>
      <w:widowControl/>
      <w:snapToGrid w:val="0"/>
      <w:spacing w:line="360" w:lineRule="auto"/>
      <w:ind w:firstLine="200" w:firstLineChars="200"/>
      <w:jc w:val="left"/>
    </w:pPr>
    <w:rPr>
      <w:rFonts w:ascii="Calibri" w:hAnsi="Calibri" w:eastAsia="等线"/>
      <w:kern w:val="0"/>
      <w:sz w:val="24"/>
      <w:lang w:eastAsia="en-US" w:bidi="en-US"/>
    </w:rPr>
  </w:style>
  <w:style w:type="paragraph" w:styleId="33">
    <w:name w:val="Balloon Text"/>
    <w:basedOn w:val="1"/>
    <w:link w:val="80"/>
    <w:qFormat/>
    <w:uiPriority w:val="0"/>
    <w:rPr>
      <w:sz w:val="18"/>
      <w:szCs w:val="18"/>
    </w:rPr>
  </w:style>
  <w:style w:type="paragraph" w:styleId="34">
    <w:name w:val="footer"/>
    <w:basedOn w:val="1"/>
    <w:link w:val="81"/>
    <w:qFormat/>
    <w:uiPriority w:val="99"/>
    <w:pPr>
      <w:tabs>
        <w:tab w:val="center" w:pos="4153"/>
        <w:tab w:val="right" w:pos="8306"/>
      </w:tabs>
      <w:snapToGrid w:val="0"/>
      <w:jc w:val="left"/>
    </w:pPr>
    <w:rPr>
      <w:sz w:val="18"/>
      <w:szCs w:val="18"/>
    </w:rPr>
  </w:style>
  <w:style w:type="paragraph" w:styleId="35">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spacing w:before="120" w:after="120"/>
      <w:jc w:val="left"/>
    </w:pPr>
    <w:rPr>
      <w:b/>
      <w:bCs/>
      <w:caps/>
    </w:rPr>
  </w:style>
  <w:style w:type="paragraph" w:styleId="37">
    <w:name w:val="List Continue 4"/>
    <w:basedOn w:val="1"/>
    <w:unhideWhenUsed/>
    <w:qFormat/>
    <w:uiPriority w:val="99"/>
    <w:pPr>
      <w:widowControl/>
      <w:spacing w:after="120" w:line="360" w:lineRule="auto"/>
      <w:ind w:left="1680" w:leftChars="800" w:firstLine="480" w:firstLineChars="200"/>
      <w:contextualSpacing/>
    </w:pPr>
    <w:rPr>
      <w:rFonts w:ascii="宋体" w:hAnsi="宋体" w:cs="宋体"/>
      <w:kern w:val="0"/>
      <w:sz w:val="24"/>
    </w:rPr>
  </w:style>
  <w:style w:type="paragraph" w:styleId="38">
    <w:name w:val="toc 4"/>
    <w:basedOn w:val="1"/>
    <w:next w:val="1"/>
    <w:unhideWhenUsed/>
    <w:qFormat/>
    <w:uiPriority w:val="39"/>
    <w:pPr>
      <w:spacing w:line="360" w:lineRule="auto"/>
      <w:ind w:left="720" w:firstLine="200" w:firstLineChars="200"/>
      <w:jc w:val="left"/>
    </w:pPr>
    <w:rPr>
      <w:rFonts w:ascii="等线" w:eastAsia="等线"/>
      <w:sz w:val="18"/>
      <w:szCs w:val="18"/>
    </w:rPr>
  </w:style>
  <w:style w:type="paragraph" w:styleId="39">
    <w:name w:val="Subtitle"/>
    <w:basedOn w:val="1"/>
    <w:next w:val="1"/>
    <w:link w:val="748"/>
    <w:qFormat/>
    <w:uiPriority w:val="0"/>
    <w:pPr>
      <w:widowControl/>
      <w:spacing w:after="200" w:line="276" w:lineRule="auto"/>
      <w:ind w:firstLine="200" w:firstLineChars="200"/>
      <w:jc w:val="left"/>
    </w:pPr>
    <w:rPr>
      <w:rFonts w:ascii="Cambria" w:hAnsi="Cambria" w:eastAsia="等线"/>
      <w:i/>
      <w:iCs/>
      <w:smallCaps/>
      <w:spacing w:val="10"/>
      <w:kern w:val="0"/>
      <w:sz w:val="28"/>
      <w:szCs w:val="28"/>
    </w:rPr>
  </w:style>
  <w:style w:type="paragraph" w:styleId="40">
    <w:name w:val="footnote text"/>
    <w:basedOn w:val="1"/>
    <w:link w:val="749"/>
    <w:qFormat/>
    <w:uiPriority w:val="99"/>
    <w:pPr>
      <w:widowControl/>
      <w:snapToGrid w:val="0"/>
      <w:spacing w:line="360" w:lineRule="auto"/>
      <w:ind w:firstLine="200" w:firstLineChars="200"/>
      <w:jc w:val="left"/>
    </w:pPr>
    <w:rPr>
      <w:rFonts w:ascii="Calibri" w:hAnsi="Calibri" w:eastAsia="等线"/>
      <w:kern w:val="0"/>
      <w:sz w:val="18"/>
      <w:szCs w:val="18"/>
      <w:lang w:eastAsia="en-US" w:bidi="en-US"/>
    </w:rPr>
  </w:style>
  <w:style w:type="paragraph" w:styleId="41">
    <w:name w:val="toc 6"/>
    <w:basedOn w:val="1"/>
    <w:next w:val="1"/>
    <w:unhideWhenUsed/>
    <w:qFormat/>
    <w:uiPriority w:val="39"/>
    <w:pPr>
      <w:spacing w:line="360" w:lineRule="auto"/>
      <w:ind w:left="1200" w:firstLine="200" w:firstLineChars="200"/>
      <w:jc w:val="left"/>
    </w:pPr>
    <w:rPr>
      <w:rFonts w:ascii="等线" w:eastAsia="等线"/>
      <w:sz w:val="18"/>
      <w:szCs w:val="18"/>
    </w:rPr>
  </w:style>
  <w:style w:type="paragraph" w:styleId="42">
    <w:name w:val="Body Text Indent 3"/>
    <w:basedOn w:val="1"/>
    <w:link w:val="83"/>
    <w:qFormat/>
    <w:uiPriority w:val="99"/>
    <w:pPr>
      <w:ind w:firstLine="426"/>
    </w:pPr>
    <w:rPr>
      <w:szCs w:val="20"/>
    </w:rPr>
  </w:style>
  <w:style w:type="paragraph" w:styleId="43">
    <w:name w:val="toc 2"/>
    <w:basedOn w:val="1"/>
    <w:next w:val="1"/>
    <w:qFormat/>
    <w:uiPriority w:val="39"/>
    <w:pPr>
      <w:ind w:left="210"/>
      <w:jc w:val="left"/>
    </w:pPr>
    <w:rPr>
      <w:smallCaps/>
    </w:rPr>
  </w:style>
  <w:style w:type="paragraph" w:styleId="44">
    <w:name w:val="toc 9"/>
    <w:basedOn w:val="1"/>
    <w:next w:val="1"/>
    <w:unhideWhenUsed/>
    <w:qFormat/>
    <w:uiPriority w:val="39"/>
    <w:pPr>
      <w:spacing w:line="360" w:lineRule="auto"/>
      <w:ind w:left="1920" w:firstLine="200" w:firstLineChars="200"/>
      <w:jc w:val="left"/>
    </w:pPr>
    <w:rPr>
      <w:rFonts w:ascii="等线" w:eastAsia="等线"/>
      <w:sz w:val="18"/>
      <w:szCs w:val="18"/>
    </w:rPr>
  </w:style>
  <w:style w:type="paragraph" w:styleId="45">
    <w:name w:val="Body Text 2"/>
    <w:basedOn w:val="31"/>
    <w:link w:val="84"/>
    <w:unhideWhenUsed/>
    <w:qFormat/>
    <w:uiPriority w:val="0"/>
    <w:pPr>
      <w:spacing w:beforeLines="50" w:afterLines="50" w:line="400" w:lineRule="exact"/>
      <w:ind w:left="1260" w:leftChars="600" w:firstLine="0"/>
    </w:pPr>
    <w:rPr>
      <w:rFonts w:ascii="Arial" w:hAnsi="Arial" w:eastAsia="华文细黑"/>
      <w:sz w:val="24"/>
      <w:szCs w:val="21"/>
    </w:rPr>
  </w:style>
  <w:style w:type="paragraph" w:styleId="46">
    <w:name w:val="HTML Preformatted"/>
    <w:basedOn w:val="1"/>
    <w:link w:val="74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pPr>
    <w:rPr>
      <w:rFonts w:ascii="宋体" w:hAnsi="宋体"/>
      <w:kern w:val="0"/>
      <w:sz w:val="24"/>
      <w:szCs w:val="20"/>
    </w:rPr>
  </w:style>
  <w:style w:type="paragraph" w:styleId="47">
    <w:name w:val="Normal (Web)"/>
    <w:basedOn w:val="1"/>
    <w:link w:val="85"/>
    <w:qFormat/>
    <w:uiPriority w:val="99"/>
    <w:pPr>
      <w:widowControl/>
      <w:spacing w:before="100" w:beforeAutospacing="1" w:after="100" w:afterAutospacing="1"/>
      <w:jc w:val="left"/>
    </w:pPr>
    <w:rPr>
      <w:rFonts w:ascii="宋体" w:hAnsi="宋体"/>
      <w:kern w:val="0"/>
      <w:sz w:val="24"/>
    </w:rPr>
  </w:style>
  <w:style w:type="paragraph" w:styleId="48">
    <w:name w:val="index 1"/>
    <w:basedOn w:val="1"/>
    <w:next w:val="1"/>
    <w:qFormat/>
    <w:uiPriority w:val="99"/>
  </w:style>
  <w:style w:type="paragraph" w:styleId="49">
    <w:name w:val="Title"/>
    <w:basedOn w:val="1"/>
    <w:link w:val="86"/>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50">
    <w:name w:val="annotation subject"/>
    <w:basedOn w:val="19"/>
    <w:next w:val="19"/>
    <w:link w:val="87"/>
    <w:qFormat/>
    <w:uiPriority w:val="0"/>
    <w:rPr>
      <w:b/>
      <w:bCs/>
    </w:rPr>
  </w:style>
  <w:style w:type="paragraph" w:styleId="51">
    <w:name w:val="Body Text First Indent"/>
    <w:basedOn w:val="8"/>
    <w:link w:val="88"/>
    <w:qFormat/>
    <w:uiPriority w:val="0"/>
    <w:pPr>
      <w:widowControl w:val="0"/>
      <w:ind w:firstLine="420" w:firstLineChars="100"/>
      <w:jc w:val="both"/>
    </w:pPr>
    <w:rPr>
      <w:kern w:val="2"/>
      <w:szCs w:val="24"/>
    </w:rPr>
  </w:style>
  <w:style w:type="paragraph" w:styleId="52">
    <w:name w:val="Body Text First Indent 2"/>
    <w:basedOn w:val="22"/>
    <w:link w:val="89"/>
    <w:qFormat/>
    <w:uiPriority w:val="99"/>
    <w:pPr>
      <w:autoSpaceDE/>
      <w:autoSpaceDN/>
      <w:spacing w:after="120" w:line="240" w:lineRule="auto"/>
      <w:ind w:left="420" w:leftChars="200" w:firstLine="420" w:firstLineChars="200"/>
    </w:pPr>
    <w:rPr>
      <w:sz w:val="21"/>
      <w:szCs w:val="24"/>
    </w:rPr>
  </w:style>
  <w:style w:type="table" w:styleId="54">
    <w:name w:val="Table Grid"/>
    <w:basedOn w:val="5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0"/>
    <w:rPr>
      <w:rFonts w:eastAsia="宋体"/>
      <w:b/>
      <w:bCs/>
      <w:kern w:val="2"/>
      <w:sz w:val="24"/>
      <w:szCs w:val="24"/>
      <w:lang w:val="en-US" w:eastAsia="zh-CN" w:bidi="ar-SA"/>
    </w:rPr>
  </w:style>
  <w:style w:type="character" w:styleId="57">
    <w:name w:val="page number"/>
    <w:basedOn w:val="55"/>
    <w:qFormat/>
    <w:uiPriority w:val="0"/>
  </w:style>
  <w:style w:type="character" w:styleId="58">
    <w:name w:val="FollowedHyperlink"/>
    <w:unhideWhenUsed/>
    <w:qFormat/>
    <w:uiPriority w:val="99"/>
    <w:rPr>
      <w:color w:val="800080"/>
      <w:u w:val="single"/>
    </w:rPr>
  </w:style>
  <w:style w:type="character" w:styleId="59">
    <w:name w:val="Emphasis"/>
    <w:qFormat/>
    <w:uiPriority w:val="0"/>
    <w:rPr>
      <w:i/>
      <w:iCs/>
    </w:rPr>
  </w:style>
  <w:style w:type="character" w:styleId="60">
    <w:name w:val="Hyperlink"/>
    <w:qFormat/>
    <w:uiPriority w:val="99"/>
    <w:rPr>
      <w:rFonts w:eastAsia="宋体"/>
      <w:color w:val="0000FF"/>
      <w:kern w:val="2"/>
      <w:sz w:val="24"/>
      <w:szCs w:val="24"/>
      <w:u w:val="single"/>
      <w:lang w:val="en-US" w:eastAsia="zh-CN" w:bidi="ar-SA"/>
    </w:rPr>
  </w:style>
  <w:style w:type="character" w:styleId="61">
    <w:name w:val="annotation reference"/>
    <w:qFormat/>
    <w:uiPriority w:val="99"/>
    <w:rPr>
      <w:sz w:val="21"/>
      <w:szCs w:val="21"/>
    </w:rPr>
  </w:style>
  <w:style w:type="character" w:customStyle="1" w:styleId="62">
    <w:name w:val="正文缩进 Char2"/>
    <w:basedOn w:val="55"/>
    <w:link w:val="2"/>
    <w:qFormat/>
    <w:uiPriority w:val="0"/>
    <w:rPr>
      <w:kern w:val="2"/>
      <w:sz w:val="24"/>
      <w:szCs w:val="21"/>
    </w:rPr>
  </w:style>
  <w:style w:type="character" w:customStyle="1" w:styleId="63">
    <w:name w:val="标题 1 Char2"/>
    <w:basedOn w:val="55"/>
    <w:link w:val="3"/>
    <w:qFormat/>
    <w:uiPriority w:val="9"/>
    <w:rPr>
      <w:rFonts w:hint="eastAsia" w:ascii="黑体" w:hAnsi="宋体" w:eastAsia="黑体" w:cs="黑体"/>
      <w:b/>
      <w:kern w:val="44"/>
      <w:sz w:val="36"/>
      <w:szCs w:val="44"/>
    </w:rPr>
  </w:style>
  <w:style w:type="character" w:customStyle="1" w:styleId="64">
    <w:name w:val="标题 2 Char2"/>
    <w:basedOn w:val="55"/>
    <w:link w:val="4"/>
    <w:qFormat/>
    <w:uiPriority w:val="0"/>
    <w:rPr>
      <w:rFonts w:ascii="Arial" w:hAnsi="Arial" w:eastAsia="黑体"/>
      <w:b/>
      <w:spacing w:val="24"/>
      <w:sz w:val="32"/>
      <w:szCs w:val="32"/>
    </w:rPr>
  </w:style>
  <w:style w:type="character" w:customStyle="1" w:styleId="65">
    <w:name w:val="标题 3 Char2"/>
    <w:basedOn w:val="55"/>
    <w:link w:val="5"/>
    <w:qFormat/>
    <w:uiPriority w:val="9"/>
    <w:rPr>
      <w:rFonts w:ascii="黑体" w:hAnsi="黑体" w:eastAsia="黑体"/>
      <w:b/>
      <w:kern w:val="2"/>
      <w:sz w:val="32"/>
      <w:szCs w:val="32"/>
    </w:rPr>
  </w:style>
  <w:style w:type="character" w:customStyle="1" w:styleId="66">
    <w:name w:val="标题 4 Char2"/>
    <w:basedOn w:val="55"/>
    <w:link w:val="6"/>
    <w:qFormat/>
    <w:uiPriority w:val="0"/>
    <w:rPr>
      <w:rFonts w:hint="eastAsia" w:ascii="黑体" w:hAnsi="宋体" w:eastAsia="黑体" w:cs="黑体"/>
      <w:b/>
      <w:kern w:val="2"/>
      <w:sz w:val="28"/>
      <w:szCs w:val="28"/>
    </w:rPr>
  </w:style>
  <w:style w:type="character" w:customStyle="1" w:styleId="67">
    <w:name w:val="标题 5 Char2"/>
    <w:basedOn w:val="55"/>
    <w:link w:val="7"/>
    <w:qFormat/>
    <w:uiPriority w:val="0"/>
    <w:rPr>
      <w:rFonts w:ascii="黑体" w:hAnsi="黑体" w:eastAsia="黑体"/>
      <w:b/>
      <w:kern w:val="2"/>
      <w:sz w:val="24"/>
      <w:szCs w:val="18"/>
    </w:rPr>
  </w:style>
  <w:style w:type="character" w:customStyle="1" w:styleId="68">
    <w:name w:val="标题 6 Char2"/>
    <w:basedOn w:val="55"/>
    <w:link w:val="9"/>
    <w:qFormat/>
    <w:uiPriority w:val="9"/>
    <w:rPr>
      <w:rFonts w:ascii="Arial" w:hAnsi="Arial" w:eastAsia="黑体"/>
      <w:b/>
      <w:bCs/>
      <w:kern w:val="2"/>
      <w:sz w:val="24"/>
    </w:rPr>
  </w:style>
  <w:style w:type="character" w:customStyle="1" w:styleId="69">
    <w:name w:val="标题 7 Char2"/>
    <w:basedOn w:val="55"/>
    <w:link w:val="10"/>
    <w:qFormat/>
    <w:uiPriority w:val="0"/>
    <w:rPr>
      <w:b/>
      <w:kern w:val="2"/>
      <w:sz w:val="24"/>
    </w:rPr>
  </w:style>
  <w:style w:type="character" w:customStyle="1" w:styleId="70">
    <w:name w:val="标题 8 Char2"/>
    <w:basedOn w:val="55"/>
    <w:link w:val="11"/>
    <w:qFormat/>
    <w:uiPriority w:val="0"/>
    <w:rPr>
      <w:rFonts w:ascii="Arial" w:hAnsi="Arial" w:eastAsia="黑体"/>
      <w:kern w:val="2"/>
      <w:sz w:val="24"/>
    </w:rPr>
  </w:style>
  <w:style w:type="character" w:customStyle="1" w:styleId="71">
    <w:name w:val="标题 9 Char2"/>
    <w:basedOn w:val="55"/>
    <w:link w:val="12"/>
    <w:qFormat/>
    <w:uiPriority w:val="0"/>
    <w:rPr>
      <w:rFonts w:ascii="Arial" w:hAnsi="Arial" w:eastAsia="黑体"/>
      <w:kern w:val="2"/>
      <w:sz w:val="21"/>
    </w:rPr>
  </w:style>
  <w:style w:type="character" w:customStyle="1" w:styleId="72">
    <w:name w:val="题注 Char2"/>
    <w:basedOn w:val="55"/>
    <w:link w:val="16"/>
    <w:qFormat/>
    <w:uiPriority w:val="0"/>
    <w:rPr>
      <w:rFonts w:hint="eastAsia" w:ascii="等线 Light" w:hAnsi="等线 Light" w:eastAsia="黑体" w:cs="等线 Light"/>
      <w:kern w:val="2"/>
    </w:rPr>
  </w:style>
  <w:style w:type="character" w:customStyle="1" w:styleId="73">
    <w:name w:val="文档结构图 Char1"/>
    <w:link w:val="18"/>
    <w:uiPriority w:val="99"/>
    <w:rPr>
      <w:kern w:val="2"/>
      <w:sz w:val="21"/>
      <w:szCs w:val="24"/>
      <w:shd w:val="clear" w:color="auto" w:fill="000080"/>
    </w:rPr>
  </w:style>
  <w:style w:type="character" w:customStyle="1" w:styleId="74">
    <w:name w:val="批注文字 Char3"/>
    <w:basedOn w:val="55"/>
    <w:link w:val="19"/>
    <w:qFormat/>
    <w:uiPriority w:val="99"/>
    <w:rPr>
      <w:rFonts w:hint="eastAsia" w:ascii="等线" w:hAnsi="等线" w:eastAsia="等线" w:cs="等线"/>
      <w:kern w:val="2"/>
      <w:sz w:val="24"/>
      <w:szCs w:val="24"/>
    </w:rPr>
  </w:style>
  <w:style w:type="character" w:customStyle="1" w:styleId="75">
    <w:name w:val="正文文本 Char2"/>
    <w:basedOn w:val="55"/>
    <w:link w:val="8"/>
    <w:qFormat/>
    <w:uiPriority w:val="0"/>
    <w:rPr>
      <w:rFonts w:hint="default" w:ascii="Noto Sans CJK JP Regular" w:hAnsi="Noto Sans CJK JP Regular" w:eastAsia="Noto Sans CJK JP Regular" w:cs="Noto Sans CJK JP Regular"/>
      <w:sz w:val="24"/>
      <w:szCs w:val="24"/>
      <w:lang w:eastAsia="en-US"/>
    </w:rPr>
  </w:style>
  <w:style w:type="character" w:customStyle="1" w:styleId="76">
    <w:name w:val="正文文本缩进 Char1"/>
    <w:link w:val="22"/>
    <w:qFormat/>
    <w:uiPriority w:val="0"/>
    <w:rPr>
      <w:kern w:val="2"/>
      <w:sz w:val="24"/>
    </w:rPr>
  </w:style>
  <w:style w:type="character" w:customStyle="1" w:styleId="77">
    <w:name w:val="纯文本 Char1"/>
    <w:link w:val="27"/>
    <w:qFormat/>
    <w:uiPriority w:val="0"/>
    <w:rPr>
      <w:rFonts w:ascii="宋体" w:hAnsi="Courier New" w:eastAsia="宋体"/>
      <w:spacing w:val="-8"/>
      <w:kern w:val="2"/>
      <w:sz w:val="24"/>
      <w:lang w:val="en-US" w:eastAsia="zh-CN" w:bidi="ar-SA"/>
    </w:rPr>
  </w:style>
  <w:style w:type="character" w:customStyle="1" w:styleId="78">
    <w:name w:val="日期 Char1"/>
    <w:basedOn w:val="55"/>
    <w:link w:val="30"/>
    <w:qFormat/>
    <w:uiPriority w:val="0"/>
    <w:rPr>
      <w:rFonts w:hint="eastAsia" w:ascii="等线" w:hAnsi="等线" w:eastAsia="等线" w:cs="Times New Roman"/>
      <w:kern w:val="2"/>
      <w:sz w:val="24"/>
      <w:szCs w:val="22"/>
    </w:rPr>
  </w:style>
  <w:style w:type="character" w:customStyle="1" w:styleId="79">
    <w:name w:val="正文文本缩进 2 Char1"/>
    <w:link w:val="31"/>
    <w:qFormat/>
    <w:uiPriority w:val="99"/>
    <w:rPr>
      <w:kern w:val="2"/>
      <w:sz w:val="21"/>
    </w:rPr>
  </w:style>
  <w:style w:type="character" w:customStyle="1" w:styleId="80">
    <w:name w:val="批注框文本 Char2"/>
    <w:basedOn w:val="55"/>
    <w:link w:val="33"/>
    <w:qFormat/>
    <w:uiPriority w:val="0"/>
    <w:rPr>
      <w:kern w:val="2"/>
      <w:sz w:val="18"/>
      <w:szCs w:val="18"/>
    </w:rPr>
  </w:style>
  <w:style w:type="character" w:customStyle="1" w:styleId="81">
    <w:name w:val="页脚 Char2"/>
    <w:basedOn w:val="55"/>
    <w:link w:val="34"/>
    <w:qFormat/>
    <w:uiPriority w:val="0"/>
    <w:rPr>
      <w:kern w:val="2"/>
      <w:sz w:val="18"/>
      <w:szCs w:val="18"/>
    </w:rPr>
  </w:style>
  <w:style w:type="character" w:customStyle="1" w:styleId="82">
    <w:name w:val="页眉 Char2"/>
    <w:basedOn w:val="55"/>
    <w:link w:val="35"/>
    <w:qFormat/>
    <w:uiPriority w:val="0"/>
    <w:rPr>
      <w:kern w:val="2"/>
      <w:sz w:val="18"/>
      <w:szCs w:val="18"/>
    </w:rPr>
  </w:style>
  <w:style w:type="character" w:customStyle="1" w:styleId="83">
    <w:name w:val="正文文本缩进 3 Char"/>
    <w:link w:val="42"/>
    <w:qFormat/>
    <w:uiPriority w:val="99"/>
    <w:rPr>
      <w:kern w:val="2"/>
      <w:sz w:val="21"/>
    </w:rPr>
  </w:style>
  <w:style w:type="character" w:customStyle="1" w:styleId="84">
    <w:name w:val="正文文本 2 Char1"/>
    <w:link w:val="45"/>
    <w:qFormat/>
    <w:uiPriority w:val="99"/>
    <w:rPr>
      <w:rFonts w:ascii="Arial" w:hAnsi="Arial" w:eastAsia="华文细黑"/>
      <w:kern w:val="2"/>
      <w:sz w:val="24"/>
      <w:szCs w:val="21"/>
    </w:rPr>
  </w:style>
  <w:style w:type="character" w:customStyle="1" w:styleId="85">
    <w:name w:val="普通(网站) Char"/>
    <w:link w:val="47"/>
    <w:qFormat/>
    <w:locked/>
    <w:uiPriority w:val="99"/>
    <w:rPr>
      <w:rFonts w:ascii="宋体" w:hAnsi="宋体"/>
      <w:sz w:val="24"/>
      <w:szCs w:val="24"/>
    </w:rPr>
  </w:style>
  <w:style w:type="character" w:customStyle="1" w:styleId="86">
    <w:name w:val="标题 Char1"/>
    <w:link w:val="49"/>
    <w:uiPriority w:val="0"/>
    <w:rPr>
      <w:rFonts w:ascii="Arial" w:hAnsi="Arial"/>
      <w:b/>
      <w:sz w:val="36"/>
    </w:rPr>
  </w:style>
  <w:style w:type="character" w:customStyle="1" w:styleId="87">
    <w:name w:val="批注主题 Char2"/>
    <w:basedOn w:val="74"/>
    <w:link w:val="50"/>
    <w:qFormat/>
    <w:uiPriority w:val="0"/>
    <w:rPr>
      <w:rFonts w:hint="eastAsia" w:ascii="等线" w:hAnsi="等线" w:eastAsia="等线" w:cs="等线"/>
      <w:b/>
      <w:kern w:val="2"/>
      <w:sz w:val="24"/>
      <w:szCs w:val="21"/>
    </w:rPr>
  </w:style>
  <w:style w:type="character" w:customStyle="1" w:styleId="88">
    <w:name w:val="正文首行缩进 Char"/>
    <w:link w:val="51"/>
    <w:qFormat/>
    <w:uiPriority w:val="0"/>
    <w:rPr>
      <w:kern w:val="2"/>
      <w:sz w:val="21"/>
      <w:szCs w:val="24"/>
    </w:rPr>
  </w:style>
  <w:style w:type="character" w:customStyle="1" w:styleId="89">
    <w:name w:val="正文首行缩进 2 Char1"/>
    <w:link w:val="52"/>
    <w:qFormat/>
    <w:uiPriority w:val="99"/>
    <w:rPr>
      <w:kern w:val="2"/>
      <w:sz w:val="21"/>
      <w:szCs w:val="24"/>
    </w:rPr>
  </w:style>
  <w:style w:type="paragraph" w:customStyle="1" w:styleId="90">
    <w:name w:val="SJ-图"/>
    <w:basedOn w:val="91"/>
    <w:qFormat/>
    <w:uiPriority w:val="99"/>
    <w:pPr>
      <w:numPr>
        <w:ilvl w:val="4"/>
        <w:numId w:val="6"/>
      </w:numPr>
      <w:ind w:left="5820" w:hanging="360"/>
      <w:jc w:val="center"/>
      <w:outlineLvl w:val="7"/>
    </w:pPr>
    <w:rPr>
      <w:b/>
    </w:rPr>
  </w:style>
  <w:style w:type="paragraph" w:customStyle="1" w:styleId="91">
    <w:name w:val="SJ-标题2"/>
    <w:qFormat/>
    <w:uiPriority w:val="99"/>
    <w:pPr>
      <w:keepLines/>
      <w:widowControl w:val="0"/>
      <w:spacing w:before="200" w:after="200"/>
      <w:ind w:left="1500" w:hanging="360"/>
      <w:outlineLvl w:val="1"/>
    </w:pPr>
    <w:rPr>
      <w:rFonts w:ascii="宋体" w:hAnsi="宋体" w:eastAsia="黑体" w:cs="Times New Roman"/>
      <w:kern w:val="2"/>
      <w:sz w:val="24"/>
      <w:szCs w:val="24"/>
      <w:lang w:val="en-US" w:eastAsia="zh-CN" w:bidi="ar-SA"/>
    </w:rPr>
  </w:style>
  <w:style w:type="paragraph" w:customStyle="1" w:styleId="92">
    <w:name w:val="4级标题"/>
    <w:basedOn w:val="6"/>
    <w:next w:val="1"/>
    <w:qFormat/>
    <w:uiPriority w:val="0"/>
    <w:pPr>
      <w:numPr>
        <w:ilvl w:val="3"/>
        <w:numId w:val="7"/>
      </w:numPr>
    </w:pPr>
    <w:rPr>
      <w:rFonts w:ascii="Times New Roman" w:hAnsi="Times New Roman" w:eastAsia="微软雅黑"/>
    </w:rPr>
  </w:style>
  <w:style w:type="paragraph" w:customStyle="1" w:styleId="93">
    <w:name w:val="样式 标题 4 + 小四 非加粗"/>
    <w:basedOn w:val="6"/>
    <w:link w:val="94"/>
    <w:qFormat/>
    <w:uiPriority w:val="0"/>
    <w:rPr>
      <w:b w:val="0"/>
      <w:sz w:val="24"/>
    </w:rPr>
  </w:style>
  <w:style w:type="character" w:customStyle="1" w:styleId="94">
    <w:name w:val="样式 标题 4 + 小四 非加粗 Char"/>
    <w:link w:val="93"/>
    <w:qFormat/>
    <w:uiPriority w:val="0"/>
    <w:rPr>
      <w:rFonts w:ascii="Arial" w:hAnsi="Arial" w:eastAsia="黑体"/>
      <w:bCs/>
      <w:kern w:val="2"/>
      <w:sz w:val="24"/>
      <w:szCs w:val="28"/>
      <w:lang w:val="en-US" w:eastAsia="zh-CN" w:bidi="ar-SA"/>
    </w:rPr>
  </w:style>
  <w:style w:type="paragraph" w:customStyle="1" w:styleId="95">
    <w:name w:val="正文style"/>
    <w:basedOn w:val="1"/>
    <w:link w:val="96"/>
    <w:qFormat/>
    <w:uiPriority w:val="0"/>
    <w:pPr>
      <w:spacing w:before="120" w:after="120" w:line="360" w:lineRule="auto"/>
      <w:ind w:firstLine="540" w:firstLineChars="225"/>
    </w:pPr>
    <w:rPr>
      <w:rFonts w:cs="宋体"/>
      <w:sz w:val="24"/>
      <w:szCs w:val="20"/>
    </w:rPr>
  </w:style>
  <w:style w:type="character" w:customStyle="1" w:styleId="96">
    <w:name w:val="正文style Char"/>
    <w:link w:val="95"/>
    <w:qFormat/>
    <w:uiPriority w:val="0"/>
    <w:rPr>
      <w:rFonts w:cs="宋体"/>
      <w:kern w:val="2"/>
      <w:sz w:val="24"/>
    </w:rPr>
  </w:style>
  <w:style w:type="paragraph" w:customStyle="1" w:styleId="97">
    <w:name w:val="wang2"/>
    <w:basedOn w:val="1"/>
    <w:qFormat/>
    <w:uiPriority w:val="0"/>
    <w:pPr>
      <w:keepNext/>
      <w:widowControl/>
      <w:numPr>
        <w:ilvl w:val="7"/>
        <w:numId w:val="8"/>
      </w:numPr>
      <w:adjustRightInd w:val="0"/>
      <w:snapToGrid w:val="0"/>
      <w:spacing w:before="240" w:after="240" w:line="360" w:lineRule="auto"/>
      <w:ind w:left="1320" w:firstLine="200" w:firstLineChars="200"/>
      <w:jc w:val="left"/>
      <w:outlineLvl w:val="1"/>
    </w:pPr>
    <w:rPr>
      <w:rFonts w:ascii="Arial" w:hAnsi="Arial" w:eastAsia="黑体" w:cs="Arial"/>
      <w:kern w:val="0"/>
      <w:sz w:val="24"/>
    </w:rPr>
  </w:style>
  <w:style w:type="paragraph" w:customStyle="1" w:styleId="98">
    <w:name w:val="CAUTION Text List"/>
    <w:basedOn w:val="1"/>
    <w:qFormat/>
    <w:uiPriority w:val="0"/>
    <w:pPr>
      <w:keepNext/>
      <w:keepLines/>
      <w:widowControl/>
      <w:numPr>
        <w:ilvl w:val="0"/>
        <w:numId w:val="9"/>
      </w:numPr>
      <w:pBdr>
        <w:bottom w:val="single" w:color="auto" w:sz="12" w:space="4"/>
      </w:pBdr>
      <w:tabs>
        <w:tab w:val="left" w:pos="1985"/>
      </w:tabs>
      <w:topLinePunct/>
      <w:adjustRightInd w:val="0"/>
      <w:snapToGrid w:val="0"/>
      <w:spacing w:before="80" w:after="80" w:line="240" w:lineRule="atLeast"/>
      <w:ind w:firstLine="200" w:firstLineChars="200"/>
      <w:jc w:val="left"/>
    </w:pPr>
    <w:rPr>
      <w:rFonts w:eastAsia="楷体_GB2312" w:cs="Arial"/>
      <w:iCs/>
      <w:sz w:val="24"/>
      <w:szCs w:val="21"/>
    </w:rPr>
  </w:style>
  <w:style w:type="paragraph" w:customStyle="1" w:styleId="99">
    <w:name w:val="List Paragraph11"/>
    <w:basedOn w:val="1"/>
    <w:next w:val="100"/>
    <w:qFormat/>
    <w:uiPriority w:val="34"/>
    <w:pPr>
      <w:spacing w:line="360" w:lineRule="auto"/>
      <w:ind w:firstLine="420" w:firstLineChars="200"/>
    </w:pPr>
    <w:rPr>
      <w:sz w:val="24"/>
      <w:szCs w:val="20"/>
    </w:rPr>
  </w:style>
  <w:style w:type="paragraph" w:styleId="100">
    <w:name w:val="List Paragraph"/>
    <w:basedOn w:val="1"/>
    <w:link w:val="101"/>
    <w:qFormat/>
    <w:uiPriority w:val="99"/>
    <w:pPr>
      <w:ind w:firstLine="420" w:firstLineChars="200"/>
    </w:pPr>
  </w:style>
  <w:style w:type="character" w:customStyle="1" w:styleId="101">
    <w:name w:val="列出段落 Char1"/>
    <w:link w:val="100"/>
    <w:qFormat/>
    <w:uiPriority w:val="34"/>
    <w:rPr>
      <w:kern w:val="2"/>
      <w:sz w:val="21"/>
      <w:szCs w:val="24"/>
    </w:rPr>
  </w:style>
  <w:style w:type="paragraph" w:customStyle="1" w:styleId="102">
    <w:name w:val="附录标题 2"/>
    <w:basedOn w:val="4"/>
    <w:next w:val="22"/>
    <w:qFormat/>
    <w:uiPriority w:val="0"/>
    <w:pPr>
      <w:tabs>
        <w:tab w:val="left" w:pos="425"/>
        <w:tab w:val="left" w:pos="510"/>
      </w:tabs>
      <w:autoSpaceDE/>
      <w:autoSpaceDN/>
      <w:snapToGrid w:val="0"/>
      <w:spacing w:before="260" w:line="415" w:lineRule="auto"/>
      <w:ind w:left="510" w:right="240" w:hanging="510" w:firstLineChars="200"/>
      <w:jc w:val="both"/>
      <w:textAlignment w:val="auto"/>
    </w:pPr>
    <w:rPr>
      <w:rFonts w:cs="Arial"/>
      <w:b w:val="0"/>
      <w:spacing w:val="0"/>
      <w:sz w:val="36"/>
    </w:rPr>
  </w:style>
  <w:style w:type="paragraph" w:customStyle="1" w:styleId="103">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04">
    <w:name w:val="d正文"/>
    <w:basedOn w:val="1"/>
    <w:link w:val="105"/>
    <w:qFormat/>
    <w:uiPriority w:val="0"/>
    <w:pPr>
      <w:adjustRightInd w:val="0"/>
      <w:snapToGrid w:val="0"/>
      <w:spacing w:after="120" w:line="360" w:lineRule="auto"/>
      <w:ind w:firstLine="560" w:firstLineChars="200"/>
    </w:pPr>
    <w:rPr>
      <w:rFonts w:ascii="仿宋_GB2312" w:hAnsi="仿宋_GB2312" w:eastAsia="仿宋_GB2312"/>
      <w:bCs/>
      <w:sz w:val="28"/>
      <w:lang w:val="zh-CN"/>
    </w:rPr>
  </w:style>
  <w:style w:type="character" w:customStyle="1" w:styleId="105">
    <w:name w:val="d正文 Char"/>
    <w:link w:val="104"/>
    <w:qFormat/>
    <w:uiPriority w:val="0"/>
    <w:rPr>
      <w:rFonts w:ascii="仿宋_GB2312" w:hAnsi="仿宋_GB2312" w:eastAsia="仿宋_GB2312"/>
      <w:bCs/>
      <w:kern w:val="2"/>
      <w:sz w:val="28"/>
      <w:szCs w:val="24"/>
      <w:lang w:val="zh-CN"/>
    </w:rPr>
  </w:style>
  <w:style w:type="paragraph" w:customStyle="1" w:styleId="106">
    <w:name w:val="*正文"/>
    <w:basedOn w:val="1"/>
    <w:link w:val="107"/>
    <w:qFormat/>
    <w:uiPriority w:val="0"/>
    <w:pPr>
      <w:spacing w:line="360" w:lineRule="auto"/>
      <w:ind w:firstLine="200" w:firstLineChars="200"/>
    </w:pPr>
    <w:rPr>
      <w:rFonts w:cs="宋体"/>
      <w:kern w:val="0"/>
      <w:sz w:val="24"/>
      <w:szCs w:val="20"/>
    </w:rPr>
  </w:style>
  <w:style w:type="character" w:customStyle="1" w:styleId="107">
    <w:name w:val="*正文 Char"/>
    <w:link w:val="106"/>
    <w:qFormat/>
    <w:locked/>
    <w:uiPriority w:val="0"/>
    <w:rPr>
      <w:rFonts w:cs="宋体"/>
      <w:sz w:val="24"/>
    </w:rPr>
  </w:style>
  <w:style w:type="paragraph" w:customStyle="1" w:styleId="108">
    <w:name w:val="UT文档标题1"/>
    <w:basedOn w:val="3"/>
    <w:next w:val="1"/>
    <w:qFormat/>
    <w:uiPriority w:val="0"/>
    <w:pPr>
      <w:numPr>
        <w:ilvl w:val="2"/>
        <w:numId w:val="10"/>
      </w:numPr>
      <w:tabs>
        <w:tab w:val="left" w:pos="360"/>
        <w:tab w:val="left" w:pos="425"/>
      </w:tabs>
      <w:adjustRightInd w:val="0"/>
      <w:snapToGrid w:val="0"/>
      <w:spacing w:before="0" w:after="0"/>
      <w:ind w:left="0" w:firstLine="200" w:firstLineChars="200"/>
      <w:jc w:val="both"/>
      <w:textAlignment w:val="auto"/>
    </w:pPr>
    <w:rPr>
      <w:rFonts w:ascii="Times New Roman" w:hAnsi="Times New Roman" w:cs="Times New Roman"/>
      <w:b w:val="0"/>
      <w:bCs/>
      <w:kern w:val="44"/>
      <w:sz w:val="36"/>
      <w:szCs w:val="36"/>
    </w:rPr>
  </w:style>
  <w:style w:type="paragraph" w:customStyle="1" w:styleId="109">
    <w:name w:val="OrangeCoun_L5"/>
    <w:basedOn w:val="110"/>
    <w:next w:val="8"/>
    <w:qFormat/>
    <w:uiPriority w:val="99"/>
    <w:pPr>
      <w:keepNext/>
      <w:keepLines/>
      <w:widowControl w:val="0"/>
      <w:numPr>
        <w:ilvl w:val="2"/>
      </w:numPr>
      <w:ind w:left="2580" w:hanging="420" w:firstLineChars="200"/>
      <w:outlineLvl w:val="4"/>
    </w:pPr>
    <w:rPr>
      <w:rFonts w:ascii="Times New Roman" w:hAnsi="Times New Roman" w:cs="Times New Roman"/>
      <w:sz w:val="24"/>
    </w:rPr>
  </w:style>
  <w:style w:type="paragraph" w:customStyle="1" w:styleId="110">
    <w:name w:val="OrangeCoun_L4"/>
    <w:basedOn w:val="111"/>
    <w:next w:val="8"/>
    <w:qFormat/>
    <w:uiPriority w:val="99"/>
    <w:pPr>
      <w:numPr>
        <w:ilvl w:val="1"/>
      </w:numPr>
      <w:ind w:left="2160" w:hanging="420" w:firstLineChars="200"/>
      <w:outlineLvl w:val="3"/>
    </w:pPr>
  </w:style>
  <w:style w:type="paragraph" w:customStyle="1" w:styleId="111">
    <w:name w:val="OrangeCoun_L3"/>
    <w:basedOn w:val="112"/>
    <w:next w:val="8"/>
    <w:qFormat/>
    <w:uiPriority w:val="99"/>
    <w:pPr>
      <w:keepNext w:val="0"/>
      <w:numPr>
        <w:numId w:val="0"/>
      </w:numPr>
      <w:ind w:left="1740" w:hanging="420" w:firstLineChars="200"/>
      <w:outlineLvl w:val="2"/>
    </w:pPr>
    <w:rPr>
      <w:b w:val="0"/>
    </w:rPr>
  </w:style>
  <w:style w:type="paragraph" w:customStyle="1" w:styleId="112">
    <w:name w:val="OrangeCoun_L2"/>
    <w:basedOn w:val="113"/>
    <w:next w:val="8"/>
    <w:qFormat/>
    <w:uiPriority w:val="99"/>
    <w:pPr>
      <w:numPr>
        <w:numId w:val="11"/>
      </w:numPr>
      <w:ind w:left="1320"/>
      <w:outlineLvl w:val="1"/>
    </w:pPr>
  </w:style>
  <w:style w:type="paragraph" w:customStyle="1" w:styleId="113">
    <w:name w:val="OrangeCoun_L1"/>
    <w:basedOn w:val="1"/>
    <w:next w:val="8"/>
    <w:qFormat/>
    <w:uiPriority w:val="99"/>
    <w:pPr>
      <w:keepNext/>
      <w:widowControl/>
      <w:numPr>
        <w:ilvl w:val="0"/>
        <w:numId w:val="12"/>
      </w:numPr>
      <w:adjustRightInd w:val="0"/>
      <w:snapToGrid w:val="0"/>
      <w:spacing w:after="240" w:line="360" w:lineRule="auto"/>
      <w:ind w:left="900" w:firstLine="0" w:firstLineChars="200"/>
      <w:jc w:val="left"/>
      <w:outlineLvl w:val="0"/>
    </w:pPr>
    <w:rPr>
      <w:rFonts w:ascii="Arial" w:hAnsi="Arial" w:eastAsia="Times New Roman" w:cs="Arial"/>
      <w:b/>
      <w:kern w:val="0"/>
      <w:sz w:val="20"/>
      <w:szCs w:val="20"/>
      <w:lang w:eastAsia="en-US"/>
    </w:rPr>
  </w:style>
  <w:style w:type="paragraph" w:customStyle="1" w:styleId="114">
    <w:name w:val="my正文"/>
    <w:basedOn w:val="1"/>
    <w:link w:val="115"/>
    <w:qFormat/>
    <w:uiPriority w:val="99"/>
    <w:pPr>
      <w:spacing w:line="360" w:lineRule="auto"/>
      <w:ind w:firstLine="480" w:firstLineChars="200"/>
    </w:pPr>
    <w:rPr>
      <w:kern w:val="0"/>
      <w:sz w:val="24"/>
    </w:rPr>
  </w:style>
  <w:style w:type="character" w:customStyle="1" w:styleId="115">
    <w:name w:val="my正文 Char"/>
    <w:link w:val="114"/>
    <w:qFormat/>
    <w:uiPriority w:val="99"/>
    <w:rPr>
      <w:sz w:val="24"/>
      <w:szCs w:val="24"/>
    </w:rPr>
  </w:style>
  <w:style w:type="paragraph" w:customStyle="1" w:styleId="116">
    <w:name w:val="合同二级标题"/>
    <w:basedOn w:val="100"/>
    <w:qFormat/>
    <w:uiPriority w:val="99"/>
    <w:pPr>
      <w:widowControl/>
      <w:numPr>
        <w:ilvl w:val="6"/>
        <w:numId w:val="13"/>
      </w:numPr>
      <w:tabs>
        <w:tab w:val="left" w:pos="426"/>
      </w:tabs>
      <w:autoSpaceDE w:val="0"/>
      <w:autoSpaceDN w:val="0"/>
      <w:adjustRightInd w:val="0"/>
      <w:snapToGrid w:val="0"/>
      <w:spacing w:line="360" w:lineRule="auto"/>
      <w:ind w:left="0" w:firstLine="0" w:firstLineChars="0"/>
      <w:jc w:val="left"/>
      <w:outlineLvl w:val="2"/>
    </w:pPr>
    <w:rPr>
      <w:rFonts w:ascii="Calibri" w:hAnsi="Calibri"/>
      <w:b/>
      <w:sz w:val="28"/>
      <w:szCs w:val="20"/>
    </w:rPr>
  </w:style>
  <w:style w:type="paragraph" w:customStyle="1" w:styleId="117">
    <w:name w:val="方案正文"/>
    <w:basedOn w:val="1"/>
    <w:link w:val="118"/>
    <w:qFormat/>
    <w:uiPriority w:val="0"/>
    <w:pPr>
      <w:spacing w:before="156" w:line="360" w:lineRule="auto"/>
      <w:ind w:firstLine="359" w:firstLineChars="171"/>
      <w:jc w:val="left"/>
    </w:pPr>
    <w:rPr>
      <w:rFonts w:ascii="Arial" w:hAnsi="Arial" w:cs="宋体"/>
      <w:kern w:val="0"/>
      <w:sz w:val="24"/>
      <w:szCs w:val="20"/>
    </w:rPr>
  </w:style>
  <w:style w:type="character" w:customStyle="1" w:styleId="118">
    <w:name w:val="方案正文 Char"/>
    <w:link w:val="117"/>
    <w:qFormat/>
    <w:locked/>
    <w:uiPriority w:val="0"/>
    <w:rPr>
      <w:rFonts w:ascii="Arial" w:hAnsi="Arial" w:cs="宋体"/>
      <w:sz w:val="24"/>
    </w:rPr>
  </w:style>
  <w:style w:type="paragraph" w:customStyle="1" w:styleId="119">
    <w:name w:val="标题3"/>
    <w:basedOn w:val="5"/>
    <w:link w:val="120"/>
    <w:qFormat/>
    <w:uiPriority w:val="0"/>
    <w:pPr>
      <w:tabs>
        <w:tab w:val="left" w:pos="560"/>
        <w:tab w:val="left" w:pos="1277"/>
      </w:tabs>
      <w:autoSpaceDE/>
      <w:autoSpaceDN/>
      <w:adjustRightInd/>
      <w:spacing w:beforeLines="100" w:afterLines="100" w:line="240" w:lineRule="auto"/>
      <w:ind w:left="999"/>
      <w:jc w:val="both"/>
      <w:textAlignment w:val="auto"/>
    </w:pPr>
    <w:rPr>
      <w:b w:val="0"/>
      <w:kern w:val="0"/>
    </w:rPr>
  </w:style>
  <w:style w:type="character" w:customStyle="1" w:styleId="120">
    <w:name w:val="标题3 Char"/>
    <w:link w:val="119"/>
    <w:qFormat/>
    <w:locked/>
    <w:uiPriority w:val="0"/>
    <w:rPr>
      <w:rFonts w:ascii="黑体" w:hAnsi="黑体" w:eastAsia="黑体"/>
      <w:sz w:val="32"/>
      <w:szCs w:val="32"/>
    </w:rPr>
  </w:style>
  <w:style w:type="paragraph" w:customStyle="1" w:styleId="121">
    <w:name w:val="样式 标题 4 +"/>
    <w:basedOn w:val="122"/>
    <w:link w:val="124"/>
    <w:qFormat/>
    <w:uiPriority w:val="0"/>
    <w:rPr>
      <w:bCs/>
      <w:kern w:val="2"/>
    </w:rPr>
  </w:style>
  <w:style w:type="paragraph" w:customStyle="1" w:styleId="122">
    <w:name w:val="标题 4（绿盟科技）"/>
    <w:basedOn w:val="6"/>
    <w:next w:val="1"/>
    <w:link w:val="123"/>
    <w:qFormat/>
    <w:uiPriority w:val="0"/>
    <w:pPr>
      <w:widowControl/>
      <w:spacing w:after="156"/>
      <w:ind w:left="1021" w:hanging="1021"/>
      <w:jc w:val="left"/>
    </w:pPr>
    <w:rPr>
      <w:bCs w:val="0"/>
      <w:kern w:val="0"/>
    </w:rPr>
  </w:style>
  <w:style w:type="character" w:customStyle="1" w:styleId="123">
    <w:name w:val="标题 4（绿盟科技） Char"/>
    <w:link w:val="122"/>
    <w:qFormat/>
    <w:uiPriority w:val="0"/>
    <w:rPr>
      <w:rFonts w:ascii="Arial" w:hAnsi="Arial" w:eastAsia="黑体"/>
      <w:b/>
      <w:sz w:val="28"/>
      <w:szCs w:val="28"/>
    </w:rPr>
  </w:style>
  <w:style w:type="character" w:customStyle="1" w:styleId="124">
    <w:name w:val="样式 标题 4 + Char"/>
    <w:link w:val="121"/>
    <w:qFormat/>
    <w:uiPriority w:val="0"/>
    <w:rPr>
      <w:rFonts w:ascii="Arial" w:hAnsi="Arial" w:eastAsia="黑体"/>
      <w:b/>
      <w:bCs/>
      <w:kern w:val="2"/>
      <w:sz w:val="28"/>
      <w:szCs w:val="28"/>
    </w:rPr>
  </w:style>
  <w:style w:type="paragraph" w:customStyle="1" w:styleId="125">
    <w:name w:val="投标-3级标题"/>
    <w:basedOn w:val="5"/>
    <w:qFormat/>
    <w:uiPriority w:val="0"/>
    <w:pPr>
      <w:widowControl/>
      <w:tabs>
        <w:tab w:val="left" w:pos="425"/>
      </w:tabs>
      <w:autoSpaceDE/>
      <w:autoSpaceDN/>
      <w:snapToGrid w:val="0"/>
      <w:spacing w:before="260" w:line="415" w:lineRule="auto"/>
      <w:ind w:left="420" w:firstLine="200" w:firstLineChars="200"/>
      <w:textAlignment w:val="auto"/>
    </w:pPr>
    <w:rPr>
      <w:rFonts w:ascii="Times New Roman" w:hAnsi="Times New Roman"/>
      <w:b w:val="0"/>
      <w:bCs/>
    </w:rPr>
  </w:style>
  <w:style w:type="paragraph" w:customStyle="1" w:styleId="126">
    <w:name w:val="正文样式"/>
    <w:basedOn w:val="1"/>
    <w:link w:val="127"/>
    <w:qFormat/>
    <w:uiPriority w:val="0"/>
    <w:pPr>
      <w:spacing w:line="360" w:lineRule="auto"/>
      <w:ind w:firstLine="420"/>
    </w:pPr>
    <w:rPr>
      <w:rFonts w:ascii="仿宋" w:hAnsi="仿宋"/>
      <w:sz w:val="24"/>
    </w:rPr>
  </w:style>
  <w:style w:type="character" w:customStyle="1" w:styleId="127">
    <w:name w:val="正文样式 Char"/>
    <w:link w:val="126"/>
    <w:qFormat/>
    <w:uiPriority w:val="0"/>
    <w:rPr>
      <w:rFonts w:ascii="仿宋" w:hAnsi="仿宋"/>
      <w:kern w:val="2"/>
      <w:sz w:val="24"/>
      <w:szCs w:val="24"/>
    </w:rPr>
  </w:style>
  <w:style w:type="paragraph" w:customStyle="1" w:styleId="12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29">
    <w:name w:val="段"/>
    <w:link w:val="130"/>
    <w:qFormat/>
    <w:uiPriority w:val="0"/>
    <w:pPr>
      <w:autoSpaceDE w:val="0"/>
      <w:autoSpaceDN w:val="0"/>
      <w:ind w:firstLine="200" w:firstLineChars="200"/>
      <w:jc w:val="both"/>
    </w:pPr>
    <w:rPr>
      <w:rFonts w:ascii="宋体" w:hAnsi="Times New Roman" w:eastAsia="Times New Roman" w:cs="Times New Roman"/>
      <w:sz w:val="21"/>
      <w:lang w:val="en-US" w:eastAsia="zh-CN" w:bidi="ar-SA"/>
    </w:rPr>
  </w:style>
  <w:style w:type="character" w:customStyle="1" w:styleId="130">
    <w:name w:val="段 Char Char"/>
    <w:link w:val="129"/>
    <w:qFormat/>
    <w:uiPriority w:val="0"/>
    <w:rPr>
      <w:rFonts w:ascii="宋体" w:eastAsia="Times New Roman"/>
      <w:sz w:val="21"/>
      <w:lang w:val="en-US" w:eastAsia="zh-CN" w:bidi="ar-SA"/>
    </w:rPr>
  </w:style>
  <w:style w:type="paragraph" w:customStyle="1" w:styleId="131">
    <w:name w:val="列出段落1"/>
    <w:basedOn w:val="1"/>
    <w:qFormat/>
    <w:uiPriority w:val="34"/>
    <w:pPr>
      <w:widowControl/>
      <w:ind w:firstLine="420" w:firstLineChars="200"/>
      <w:jc w:val="left"/>
    </w:pPr>
    <w:rPr>
      <w:rFonts w:ascii="Calibri" w:hAnsi="Calibri"/>
      <w:szCs w:val="22"/>
    </w:rPr>
  </w:style>
  <w:style w:type="paragraph" w:customStyle="1" w:styleId="132">
    <w:name w:val="zi"/>
    <w:basedOn w:val="1"/>
    <w:qFormat/>
    <w:uiPriority w:val="0"/>
    <w:pPr>
      <w:widowControl/>
      <w:spacing w:before="100" w:beforeAutospacing="1" w:after="100" w:afterAutospacing="1" w:line="336" w:lineRule="atLeast"/>
      <w:jc w:val="left"/>
    </w:pPr>
    <w:rPr>
      <w:rFonts w:ascii="ˎ̥" w:hAnsi="ˎ̥"/>
      <w:color w:val="000000"/>
      <w:kern w:val="0"/>
      <w:sz w:val="22"/>
      <w:szCs w:val="22"/>
    </w:rPr>
  </w:style>
  <w:style w:type="paragraph" w:customStyle="1" w:styleId="133">
    <w:name w:val="3级目录"/>
    <w:basedOn w:val="5"/>
    <w:next w:val="1"/>
    <w:qFormat/>
    <w:uiPriority w:val="0"/>
    <w:pPr>
      <w:numPr>
        <w:ilvl w:val="0"/>
        <w:numId w:val="14"/>
      </w:numPr>
      <w:tabs>
        <w:tab w:val="left" w:pos="360"/>
        <w:tab w:val="left" w:pos="425"/>
        <w:tab w:val="left" w:pos="720"/>
      </w:tabs>
      <w:autoSpaceDE/>
      <w:autoSpaceDN/>
      <w:snapToGrid w:val="0"/>
      <w:spacing w:before="260" w:line="416" w:lineRule="auto"/>
      <w:ind w:left="720" w:hanging="720" w:firstLineChars="200"/>
      <w:jc w:val="both"/>
      <w:textAlignment w:val="auto"/>
    </w:pPr>
    <w:rPr>
      <w:rFonts w:ascii="Times New Roman" w:hAnsi="Times New Roman"/>
      <w:b w:val="0"/>
      <w:bCs/>
    </w:rPr>
  </w:style>
  <w:style w:type="paragraph" w:customStyle="1" w:styleId="134">
    <w:name w:val="1级标题"/>
    <w:basedOn w:val="3"/>
    <w:next w:val="1"/>
    <w:qFormat/>
    <w:uiPriority w:val="0"/>
    <w:pPr>
      <w:spacing w:before="340" w:after="330"/>
      <w:ind w:left="980" w:hanging="420"/>
      <w:jc w:val="both"/>
      <w:textAlignment w:val="auto"/>
    </w:pPr>
    <w:rPr>
      <w:rFonts w:ascii="Times New Roman" w:hAnsi="Times New Roman" w:eastAsia="微软雅黑" w:cs="Times New Roman"/>
      <w:bCs/>
      <w:kern w:val="44"/>
    </w:rPr>
  </w:style>
  <w:style w:type="paragraph" w:customStyle="1" w:styleId="135">
    <w:name w:val="修订2"/>
    <w:unhideWhenUsed/>
    <w:qFormat/>
    <w:uiPriority w:val="99"/>
    <w:rPr>
      <w:rFonts w:ascii="Calibri" w:hAnsi="Calibri" w:eastAsia="宋体" w:cs="Times New Roman"/>
      <w:kern w:val="2"/>
      <w:sz w:val="24"/>
      <w:lang w:val="en-US" w:eastAsia="zh-CN" w:bidi="ar-SA"/>
    </w:rPr>
  </w:style>
  <w:style w:type="paragraph" w:customStyle="1" w:styleId="136">
    <w:name w:val="样式32"/>
    <w:basedOn w:val="1"/>
    <w:link w:val="137"/>
    <w:qFormat/>
    <w:uiPriority w:val="0"/>
    <w:pPr>
      <w:spacing w:line="360" w:lineRule="auto"/>
      <w:jc w:val="left"/>
    </w:pPr>
    <w:rPr>
      <w:rFonts w:ascii="Calibri" w:hAnsi="Calibri"/>
      <w:sz w:val="24"/>
      <w:szCs w:val="22"/>
    </w:rPr>
  </w:style>
  <w:style w:type="character" w:customStyle="1" w:styleId="137">
    <w:name w:val="样式32 Char"/>
    <w:link w:val="136"/>
    <w:qFormat/>
    <w:uiPriority w:val="0"/>
    <w:rPr>
      <w:rFonts w:ascii="Calibri" w:hAnsi="Calibri" w:eastAsia="宋体"/>
      <w:kern w:val="2"/>
      <w:sz w:val="24"/>
      <w:szCs w:val="22"/>
      <w:lang w:val="en-US" w:eastAsia="zh-CN" w:bidi="ar-SA"/>
    </w:rPr>
  </w:style>
  <w:style w:type="paragraph" w:customStyle="1" w:styleId="138">
    <w:name w:val="宋体小四"/>
    <w:basedOn w:val="1"/>
    <w:qFormat/>
    <w:uiPriority w:val="99"/>
    <w:pPr>
      <w:spacing w:line="360" w:lineRule="auto"/>
      <w:ind w:firstLine="480" w:firstLineChars="200"/>
    </w:pPr>
    <w:rPr>
      <w:rFonts w:ascii="Arial" w:hAnsi="Arial" w:cs="宋体"/>
      <w:sz w:val="24"/>
      <w:szCs w:val="20"/>
    </w:rPr>
  </w:style>
  <w:style w:type="paragraph" w:customStyle="1" w:styleId="139">
    <w:name w:val="Style2"/>
    <w:basedOn w:val="1"/>
    <w:qFormat/>
    <w:uiPriority w:val="0"/>
    <w:pPr>
      <w:widowControl/>
      <w:numPr>
        <w:ilvl w:val="0"/>
        <w:numId w:val="15"/>
      </w:numPr>
      <w:adjustRightInd w:val="0"/>
      <w:snapToGrid w:val="0"/>
      <w:spacing w:before="80" w:after="80" w:line="360" w:lineRule="auto"/>
      <w:ind w:left="900" w:firstLine="200" w:firstLineChars="200"/>
      <w:jc w:val="left"/>
    </w:pPr>
    <w:rPr>
      <w:rFonts w:ascii="Arial" w:hAnsi="Arial"/>
      <w:sz w:val="24"/>
      <w:lang w:eastAsia="en-US"/>
    </w:rPr>
  </w:style>
  <w:style w:type="paragraph" w:customStyle="1" w:styleId="140">
    <w:name w:val="Char Char1 Char Char Char Char Char Char"/>
    <w:basedOn w:val="1"/>
    <w:qFormat/>
    <w:uiPriority w:val="0"/>
    <w:pPr>
      <w:widowControl/>
      <w:adjustRightInd w:val="0"/>
      <w:snapToGrid w:val="0"/>
      <w:spacing w:beforeLines="25" w:afterLines="25" w:line="240" w:lineRule="exact"/>
      <w:ind w:firstLine="560" w:firstLineChars="192"/>
      <w:jc w:val="left"/>
    </w:pPr>
    <w:rPr>
      <w:sz w:val="24"/>
    </w:rPr>
  </w:style>
  <w:style w:type="paragraph" w:customStyle="1" w:styleId="141">
    <w:name w:val="缺省文本"/>
    <w:basedOn w:val="1"/>
    <w:link w:val="142"/>
    <w:qFormat/>
    <w:uiPriority w:val="0"/>
    <w:pPr>
      <w:autoSpaceDE w:val="0"/>
      <w:autoSpaceDN w:val="0"/>
      <w:adjustRightInd w:val="0"/>
      <w:spacing w:line="360" w:lineRule="auto"/>
      <w:jc w:val="left"/>
    </w:pPr>
    <w:rPr>
      <w:kern w:val="0"/>
      <w:sz w:val="24"/>
      <w:szCs w:val="20"/>
    </w:rPr>
  </w:style>
  <w:style w:type="character" w:customStyle="1" w:styleId="142">
    <w:name w:val="缺省文本 Char"/>
    <w:link w:val="141"/>
    <w:qFormat/>
    <w:uiPriority w:val="0"/>
    <w:rPr>
      <w:sz w:val="24"/>
    </w:rPr>
  </w:style>
  <w:style w:type="paragraph" w:customStyle="1" w:styleId="143">
    <w:name w:val="样式 标题 1H1标题 4-1 + 仿宋_GB2312 小二 居中"/>
    <w:basedOn w:val="1"/>
    <w:qFormat/>
    <w:uiPriority w:val="0"/>
  </w:style>
  <w:style w:type="paragraph" w:customStyle="1" w:styleId="144">
    <w:name w:val="SJ-表"/>
    <w:basedOn w:val="1"/>
    <w:qFormat/>
    <w:uiPriority w:val="99"/>
    <w:pPr>
      <w:widowControl/>
      <w:adjustRightInd w:val="0"/>
      <w:snapToGrid w:val="0"/>
      <w:spacing w:line="360" w:lineRule="auto"/>
      <w:ind w:left="4260" w:hanging="420" w:firstLineChars="200"/>
      <w:jc w:val="left"/>
    </w:pPr>
    <w:rPr>
      <w:sz w:val="24"/>
    </w:rPr>
  </w:style>
  <w:style w:type="paragraph" w:customStyle="1" w:styleId="145">
    <w:name w:val="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46">
    <w:name w:val="样式 标题 4 + (西文) 宋体 小三"/>
    <w:basedOn w:val="122"/>
    <w:link w:val="147"/>
    <w:qFormat/>
    <w:uiPriority w:val="0"/>
    <w:rPr>
      <w:rFonts w:ascii="宋体" w:hAnsi="宋体"/>
      <w:bCs/>
      <w:sz w:val="30"/>
    </w:rPr>
  </w:style>
  <w:style w:type="character" w:customStyle="1" w:styleId="147">
    <w:name w:val="样式 标题 4 + (西文) 宋体 小三 Char"/>
    <w:link w:val="146"/>
    <w:qFormat/>
    <w:uiPriority w:val="0"/>
    <w:rPr>
      <w:rFonts w:ascii="宋体" w:hAnsi="宋体" w:eastAsia="黑体"/>
      <w:b/>
      <w:bCs/>
      <w:sz w:val="30"/>
      <w:szCs w:val="28"/>
    </w:rPr>
  </w:style>
  <w:style w:type="paragraph" w:customStyle="1" w:styleId="148">
    <w:name w:val="Table List Bullit"/>
    <w:basedOn w:val="1"/>
    <w:qFormat/>
    <w:uiPriority w:val="0"/>
    <w:pPr>
      <w:widowControl/>
      <w:tabs>
        <w:tab w:val="left" w:pos="284"/>
      </w:tabs>
      <w:autoSpaceDE w:val="0"/>
      <w:autoSpaceDN w:val="0"/>
      <w:adjustRightInd w:val="0"/>
      <w:snapToGrid w:val="0"/>
      <w:spacing w:line="360" w:lineRule="auto"/>
      <w:ind w:firstLine="200" w:firstLineChars="200"/>
      <w:jc w:val="left"/>
      <w:textAlignment w:val="bottom"/>
    </w:pPr>
    <w:rPr>
      <w:rFonts w:ascii="Arial Narrow" w:hAnsi="Arial Narrow"/>
      <w:kern w:val="0"/>
      <w:sz w:val="18"/>
      <w:szCs w:val="20"/>
    </w:rPr>
  </w:style>
  <w:style w:type="paragraph" w:customStyle="1" w:styleId="149">
    <w:name w:val="智业正文"/>
    <w:basedOn w:val="51"/>
    <w:link w:val="150"/>
    <w:qFormat/>
    <w:uiPriority w:val="0"/>
    <w:pPr>
      <w:spacing w:after="0" w:line="360" w:lineRule="auto"/>
      <w:ind w:firstLine="200" w:firstLineChars="200"/>
    </w:pPr>
    <w:rPr>
      <w:rFonts w:ascii="宋体" w:hAnsi="宋体"/>
      <w:sz w:val="24"/>
    </w:rPr>
  </w:style>
  <w:style w:type="character" w:customStyle="1" w:styleId="150">
    <w:name w:val="智业正文 Char"/>
    <w:link w:val="149"/>
    <w:qFormat/>
    <w:uiPriority w:val="0"/>
    <w:rPr>
      <w:rFonts w:ascii="宋体" w:hAnsi="宋体"/>
      <w:kern w:val="2"/>
      <w:sz w:val="24"/>
      <w:szCs w:val="24"/>
    </w:rPr>
  </w:style>
  <w:style w:type="paragraph" w:customStyle="1" w:styleId="151">
    <w:name w:val="列出段落2"/>
    <w:basedOn w:val="1"/>
    <w:qFormat/>
    <w:uiPriority w:val="0"/>
    <w:pPr>
      <w:spacing w:line="300" w:lineRule="auto"/>
      <w:ind w:firstLine="420" w:firstLineChars="200"/>
    </w:pPr>
    <w:rPr>
      <w:rFonts w:ascii="Arial" w:hAnsi="Arial"/>
      <w:szCs w:val="22"/>
    </w:rPr>
  </w:style>
  <w:style w:type="paragraph" w:customStyle="1" w:styleId="152">
    <w:name w:val="样式 标题 4 + 三号 非加粗"/>
    <w:basedOn w:val="122"/>
    <w:link w:val="153"/>
    <w:qFormat/>
    <w:uiPriority w:val="0"/>
    <w:rPr>
      <w:sz w:val="32"/>
    </w:rPr>
  </w:style>
  <w:style w:type="character" w:customStyle="1" w:styleId="153">
    <w:name w:val="样式 标题 4 + 三号 非加粗 Char"/>
    <w:link w:val="152"/>
    <w:qFormat/>
    <w:uiPriority w:val="0"/>
    <w:rPr>
      <w:rFonts w:ascii="Arial" w:hAnsi="Arial" w:eastAsia="黑体"/>
      <w:b/>
      <w:sz w:val="32"/>
      <w:szCs w:val="28"/>
    </w:rPr>
  </w:style>
  <w:style w:type="paragraph" w:customStyle="1" w:styleId="154">
    <w:name w:val="样式 正文首行缩进 2 + 首行缩进:  2 字符"/>
    <w:basedOn w:val="1"/>
    <w:qFormat/>
    <w:uiPriority w:val="0"/>
    <w:pPr>
      <w:numPr>
        <w:ilvl w:val="0"/>
        <w:numId w:val="16"/>
      </w:numPr>
      <w:adjustRightInd w:val="0"/>
      <w:snapToGrid w:val="0"/>
      <w:spacing w:after="120"/>
      <w:ind w:left="420" w:leftChars="200" w:firstLine="420" w:firstLineChars="200"/>
    </w:pPr>
    <w:rPr>
      <w:rFonts w:ascii="Arial" w:hAnsi="Arial"/>
      <w:kern w:val="0"/>
      <w:sz w:val="24"/>
      <w:szCs w:val="20"/>
    </w:rPr>
  </w:style>
  <w:style w:type="paragraph" w:customStyle="1" w:styleId="155">
    <w:name w:val="样式 标题 2第一章 标题 2Heading 2 HiddenHeading 2 CCBSheading 2H2h2..."/>
    <w:basedOn w:val="4"/>
    <w:qFormat/>
    <w:uiPriority w:val="0"/>
    <w:pPr>
      <w:keepLines w:val="0"/>
      <w:numPr>
        <w:ilvl w:val="0"/>
        <w:numId w:val="17"/>
      </w:numPr>
      <w:autoSpaceDE/>
      <w:autoSpaceDN/>
      <w:spacing w:beforeLines="50" w:afterLines="50" w:line="240" w:lineRule="auto"/>
    </w:pPr>
    <w:rPr>
      <w:rFonts w:ascii="黑体" w:hAnsi="Times New Roman" w:cs="宋体"/>
      <w:b w:val="0"/>
      <w:spacing w:val="0"/>
    </w:rPr>
  </w:style>
  <w:style w:type="paragraph" w:customStyle="1" w:styleId="15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7">
    <w:name w:val="UT文档标题4"/>
    <w:basedOn w:val="6"/>
    <w:next w:val="1"/>
    <w:qFormat/>
    <w:uiPriority w:val="0"/>
    <w:pPr>
      <w:numPr>
        <w:ilvl w:val="3"/>
        <w:numId w:val="18"/>
      </w:numPr>
      <w:tabs>
        <w:tab w:val="left" w:pos="360"/>
        <w:tab w:val="left" w:pos="425"/>
      </w:tabs>
      <w:adjustRightInd w:val="0"/>
      <w:snapToGrid w:val="0"/>
      <w:ind w:firstLine="200" w:firstLineChars="200"/>
    </w:pPr>
    <w:rPr>
      <w:rFonts w:ascii="Times New Roman" w:hAnsi="Times New Roman" w:eastAsia="宋体"/>
    </w:rPr>
  </w:style>
  <w:style w:type="paragraph" w:customStyle="1" w:styleId="158">
    <w:name w:val="p0"/>
    <w:basedOn w:val="1"/>
    <w:qFormat/>
    <w:uiPriority w:val="0"/>
    <w:pPr>
      <w:widowControl/>
    </w:pPr>
    <w:rPr>
      <w:kern w:val="0"/>
      <w:szCs w:val="21"/>
    </w:rPr>
  </w:style>
  <w:style w:type="paragraph" w:customStyle="1" w:styleId="159">
    <w:name w:val="OrangeCoun_L6"/>
    <w:basedOn w:val="109"/>
    <w:next w:val="8"/>
    <w:qFormat/>
    <w:uiPriority w:val="99"/>
    <w:pPr>
      <w:numPr>
        <w:ilvl w:val="3"/>
      </w:numPr>
      <w:ind w:left="3000" w:hanging="420" w:firstLineChars="200"/>
      <w:outlineLvl w:val="5"/>
    </w:pPr>
  </w:style>
  <w:style w:type="paragraph" w:customStyle="1" w:styleId="160">
    <w:name w:val="样式 样式 标题 3H3sect1.2.3BOD 0Heading 3 - oldh3l3CTLevel 3 Head... +..."/>
    <w:basedOn w:val="1"/>
    <w:qFormat/>
    <w:uiPriority w:val="0"/>
    <w:pPr>
      <w:keepNext/>
      <w:keepLines/>
      <w:spacing w:beforeLines="50" w:afterLines="50"/>
      <w:jc w:val="left"/>
      <w:outlineLvl w:val="2"/>
    </w:pPr>
    <w:rPr>
      <w:rFonts w:cs="宋体"/>
      <w:b/>
      <w:bCs/>
      <w:sz w:val="24"/>
      <w:szCs w:val="20"/>
    </w:rPr>
  </w:style>
  <w:style w:type="paragraph" w:customStyle="1" w:styleId="161">
    <w:name w:val="样式 标题 5第四层条第五层h5标题 5(图题)表dashdsddRoman listH5PIM 5he..."/>
    <w:basedOn w:val="7"/>
    <w:qFormat/>
    <w:uiPriority w:val="0"/>
    <w:pPr>
      <w:tabs>
        <w:tab w:val="left" w:pos="425"/>
        <w:tab w:val="left" w:pos="1440"/>
      </w:tabs>
      <w:adjustRightInd w:val="0"/>
      <w:snapToGrid w:val="0"/>
      <w:spacing w:before="50" w:after="50"/>
      <w:ind w:left="2580" w:firstLine="200" w:firstLineChars="200"/>
    </w:pPr>
    <w:rPr>
      <w:bCs/>
      <w:szCs w:val="28"/>
    </w:rPr>
  </w:style>
  <w:style w:type="paragraph" w:customStyle="1" w:styleId="162">
    <w:name w:val="正文-ZB"/>
    <w:link w:val="163"/>
    <w:qFormat/>
    <w:uiPriority w:val="0"/>
    <w:pPr>
      <w:spacing w:line="360" w:lineRule="auto"/>
      <w:ind w:firstLine="200" w:firstLineChars="200"/>
      <w:jc w:val="both"/>
    </w:pPr>
    <w:rPr>
      <w:rFonts w:ascii="等线" w:hAnsi="等线" w:eastAsia="等线" w:cs="Times New Roman"/>
      <w:color w:val="000000"/>
      <w:kern w:val="2"/>
      <w:sz w:val="24"/>
      <w:szCs w:val="22"/>
      <w:lang w:val="en-US" w:eastAsia="zh-CN" w:bidi="ar-SA"/>
    </w:rPr>
  </w:style>
  <w:style w:type="character" w:customStyle="1" w:styleId="163">
    <w:name w:val="正文-ZB 字符"/>
    <w:link w:val="162"/>
    <w:qFormat/>
    <w:uiPriority w:val="0"/>
    <w:rPr>
      <w:rFonts w:ascii="等线" w:hAnsi="等线" w:eastAsia="等线"/>
      <w:color w:val="000000"/>
      <w:kern w:val="2"/>
      <w:sz w:val="24"/>
      <w:szCs w:val="22"/>
    </w:rPr>
  </w:style>
  <w:style w:type="paragraph" w:customStyle="1" w:styleId="164">
    <w:name w:val="项目符号：一级"/>
    <w:basedOn w:val="1"/>
    <w:next w:val="1"/>
    <w:qFormat/>
    <w:uiPriority w:val="0"/>
    <w:pPr>
      <w:widowControl/>
      <w:numPr>
        <w:ilvl w:val="0"/>
        <w:numId w:val="19"/>
      </w:numPr>
      <w:adjustRightInd w:val="0"/>
      <w:snapToGrid w:val="0"/>
      <w:spacing w:line="360" w:lineRule="auto"/>
      <w:jc w:val="left"/>
      <w:textAlignment w:val="baseline"/>
    </w:pPr>
    <w:rPr>
      <w:rFonts w:ascii="宋体" w:hAnsi="宋体"/>
      <w:kern w:val="0"/>
      <w:sz w:val="24"/>
    </w:rPr>
  </w:style>
  <w:style w:type="paragraph" w:customStyle="1" w:styleId="165">
    <w:name w:val="xl84"/>
    <w:basedOn w:val="1"/>
    <w:qFormat/>
    <w:uiPriority w:val="0"/>
    <w:pPr>
      <w:widowControl/>
      <w:numPr>
        <w:ilvl w:val="0"/>
        <w:numId w:val="20"/>
      </w:numPr>
      <w:pBdr>
        <w:bottom w:val="single" w:color="auto" w:sz="8" w:space="0"/>
        <w:right w:val="single" w:color="auto" w:sz="8" w:space="0"/>
      </w:pBdr>
      <w:adjustRightInd w:val="0"/>
      <w:snapToGrid w:val="0"/>
      <w:spacing w:before="100" w:beforeAutospacing="1" w:after="100" w:afterAutospacing="1" w:line="360" w:lineRule="auto"/>
      <w:ind w:left="0" w:firstLine="0" w:firstLineChars="200"/>
      <w:jc w:val="center"/>
      <w:textAlignment w:val="center"/>
    </w:pPr>
    <w:rPr>
      <w:rFonts w:ascii="宋体" w:hAnsi="宋体" w:cs="宋体"/>
      <w:b/>
      <w:bCs/>
      <w:color w:val="FF0000"/>
      <w:kern w:val="0"/>
      <w:sz w:val="24"/>
    </w:rPr>
  </w:style>
  <w:style w:type="paragraph" w:customStyle="1" w:styleId="166">
    <w:name w:val="7"/>
    <w:basedOn w:val="1"/>
    <w:next w:val="1"/>
    <w:qFormat/>
    <w:uiPriority w:val="34"/>
    <w:pPr>
      <w:adjustRightInd w:val="0"/>
      <w:snapToGrid w:val="0"/>
      <w:spacing w:line="360" w:lineRule="auto"/>
      <w:ind w:firstLine="420" w:firstLineChars="200"/>
    </w:pPr>
    <w:rPr>
      <w:sz w:val="24"/>
      <w:szCs w:val="20"/>
    </w:rPr>
  </w:style>
  <w:style w:type="paragraph" w:customStyle="1" w:styleId="167">
    <w:name w:val="列出段落6"/>
    <w:basedOn w:val="1"/>
    <w:qFormat/>
    <w:uiPriority w:val="34"/>
    <w:pPr>
      <w:ind w:firstLine="420" w:firstLineChars="200"/>
    </w:pPr>
    <w:rPr>
      <w:rFonts w:ascii="Calibri" w:hAnsi="Calibri"/>
      <w:szCs w:val="22"/>
    </w:rPr>
  </w:style>
  <w:style w:type="paragraph" w:customStyle="1" w:styleId="168">
    <w:name w:val="SJ-标题5"/>
    <w:qFormat/>
    <w:uiPriority w:val="99"/>
    <w:pPr>
      <w:numPr>
        <w:ilvl w:val="5"/>
        <w:numId w:val="10"/>
      </w:numPr>
      <w:spacing w:before="120" w:after="120"/>
      <w:ind w:left="3660" w:hanging="360"/>
      <w:outlineLvl w:val="4"/>
    </w:pPr>
    <w:rPr>
      <w:rFonts w:ascii="宋体" w:hAnsi="宋体" w:eastAsia="宋体" w:cs="Times New Roman"/>
      <w:kern w:val="2"/>
      <w:sz w:val="24"/>
      <w:szCs w:val="24"/>
      <w:lang w:val="en-US" w:eastAsia="zh-CN" w:bidi="ar-SA"/>
    </w:rPr>
  </w:style>
  <w:style w:type="paragraph" w:customStyle="1" w:styleId="169">
    <w:name w:val="编号2级"/>
    <w:basedOn w:val="1"/>
    <w:next w:val="100"/>
    <w:qFormat/>
    <w:uiPriority w:val="0"/>
    <w:pPr>
      <w:widowControl/>
      <w:numPr>
        <w:ilvl w:val="5"/>
        <w:numId w:val="8"/>
      </w:numPr>
      <w:tabs>
        <w:tab w:val="left" w:pos="360"/>
      </w:tabs>
      <w:adjustRightInd w:val="0"/>
      <w:snapToGrid w:val="0"/>
      <w:spacing w:line="360" w:lineRule="auto"/>
      <w:ind w:left="0" w:firstLine="960" w:firstLineChars="400"/>
      <w:jc w:val="left"/>
    </w:pPr>
    <w:rPr>
      <w:sz w:val="24"/>
    </w:rPr>
  </w:style>
  <w:style w:type="paragraph" w:customStyle="1" w:styleId="170">
    <w:name w:val="8级标题-ZB"/>
    <w:basedOn w:val="1"/>
    <w:next w:val="1"/>
    <w:qFormat/>
    <w:uiPriority w:val="99"/>
    <w:pPr>
      <w:keepNext/>
      <w:keepLines/>
      <w:widowControl/>
      <w:numPr>
        <w:ilvl w:val="0"/>
        <w:numId w:val="21"/>
      </w:numPr>
      <w:tabs>
        <w:tab w:val="clear" w:pos="720"/>
      </w:tabs>
      <w:spacing w:before="240" w:after="120"/>
      <w:ind w:left="0" w:firstLine="0"/>
      <w:jc w:val="left"/>
      <w:outlineLvl w:val="7"/>
    </w:pPr>
    <w:rPr>
      <w:rFonts w:ascii="等线" w:hAnsi="等线" w:eastAsia="等线"/>
      <w:b/>
      <w:kern w:val="44"/>
      <w:sz w:val="24"/>
      <w:szCs w:val="22"/>
    </w:rPr>
  </w:style>
  <w:style w:type="paragraph" w:customStyle="1" w:styleId="171">
    <w:name w:val="样式 (西文) 宋体 小四 首行缩进:  0.95 厘米 段前: 5 磅 段后: 5 磅 行距: 1.5 倍行距"/>
    <w:basedOn w:val="1"/>
    <w:qFormat/>
    <w:uiPriority w:val="0"/>
    <w:pPr>
      <w:widowControl/>
      <w:spacing w:before="100" w:after="100" w:line="360" w:lineRule="auto"/>
      <w:ind w:firstLine="540"/>
      <w:jc w:val="left"/>
    </w:pPr>
    <w:rPr>
      <w:rFonts w:ascii="宋体" w:hAnsi="宋体" w:cs="宋体"/>
      <w:kern w:val="0"/>
      <w:sz w:val="24"/>
      <w:szCs w:val="20"/>
    </w:rPr>
  </w:style>
  <w:style w:type="paragraph" w:customStyle="1" w:styleId="172">
    <w:name w:val="正文2"/>
    <w:basedOn w:val="1"/>
    <w:link w:val="173"/>
    <w:qFormat/>
    <w:uiPriority w:val="0"/>
    <w:pPr>
      <w:adjustRightInd w:val="0"/>
      <w:spacing w:line="480" w:lineRule="atLeast"/>
      <w:ind w:firstLine="560"/>
      <w:textAlignment w:val="baseline"/>
    </w:pPr>
    <w:rPr>
      <w:rFonts w:ascii="CG Times" w:hAnsi="CG Times" w:eastAsia="楷体_GB2312"/>
      <w:color w:val="000000"/>
      <w:kern w:val="0"/>
      <w:sz w:val="28"/>
      <w:szCs w:val="20"/>
    </w:rPr>
  </w:style>
  <w:style w:type="character" w:customStyle="1" w:styleId="173">
    <w:name w:val="正文2 Char"/>
    <w:link w:val="172"/>
    <w:qFormat/>
    <w:locked/>
    <w:uiPriority w:val="0"/>
    <w:rPr>
      <w:rFonts w:ascii="CG Times" w:hAnsi="CG Times" w:eastAsia="楷体_GB2312"/>
      <w:color w:val="000000"/>
      <w:sz w:val="28"/>
    </w:rPr>
  </w:style>
  <w:style w:type="paragraph" w:customStyle="1" w:styleId="174">
    <w:name w:val="UT文档标题3"/>
    <w:basedOn w:val="5"/>
    <w:next w:val="1"/>
    <w:qFormat/>
    <w:uiPriority w:val="0"/>
    <w:pPr>
      <w:numPr>
        <w:ilvl w:val="6"/>
        <w:numId w:val="8"/>
      </w:numPr>
      <w:tabs>
        <w:tab w:val="left" w:pos="360"/>
        <w:tab w:val="left" w:pos="425"/>
      </w:tabs>
      <w:autoSpaceDE/>
      <w:autoSpaceDN/>
      <w:snapToGrid w:val="0"/>
      <w:spacing w:before="0" w:after="0"/>
      <w:ind w:left="0" w:firstLine="200" w:firstLineChars="200"/>
      <w:jc w:val="both"/>
      <w:textAlignment w:val="auto"/>
    </w:pPr>
    <w:rPr>
      <w:rFonts w:ascii="Times New Roman" w:hAnsi="Times New Roman"/>
      <w:b w:val="0"/>
      <w:bCs/>
      <w:sz w:val="30"/>
      <w:szCs w:val="28"/>
    </w:rPr>
  </w:style>
  <w:style w:type="paragraph" w:customStyle="1" w:styleId="175">
    <w:name w:val="2级标题"/>
    <w:basedOn w:val="4"/>
    <w:next w:val="1"/>
    <w:qFormat/>
    <w:uiPriority w:val="0"/>
    <w:pPr>
      <w:numPr>
        <w:ilvl w:val="0"/>
        <w:numId w:val="22"/>
      </w:numPr>
      <w:autoSpaceDE/>
      <w:autoSpaceDN/>
      <w:adjustRightInd/>
      <w:spacing w:before="260"/>
      <w:jc w:val="both"/>
      <w:textAlignment w:val="auto"/>
    </w:pPr>
    <w:rPr>
      <w:rFonts w:ascii="Times New Roman" w:hAnsi="Times New Roman" w:eastAsia="微软雅黑"/>
      <w:bCs/>
      <w:spacing w:val="0"/>
      <w:kern w:val="2"/>
    </w:rPr>
  </w:style>
  <w:style w:type="paragraph" w:customStyle="1" w:styleId="176">
    <w:name w:val="Char"/>
    <w:basedOn w:val="1"/>
    <w:qFormat/>
    <w:uiPriority w:val="0"/>
    <w:pPr>
      <w:widowControl/>
      <w:spacing w:line="360" w:lineRule="auto"/>
      <w:jc w:val="left"/>
    </w:pPr>
    <w:rPr>
      <w:rFonts w:ascii="宋体" w:hAnsi="宋体"/>
      <w:kern w:val="0"/>
      <w:sz w:val="24"/>
    </w:rPr>
  </w:style>
  <w:style w:type="paragraph" w:customStyle="1" w:styleId="177">
    <w:name w:val="G_标题1"/>
    <w:basedOn w:val="1"/>
    <w:next w:val="1"/>
    <w:semiHidden/>
    <w:qFormat/>
    <w:uiPriority w:val="2"/>
    <w:pPr>
      <w:pageBreakBefore/>
      <w:widowControl/>
      <w:tabs>
        <w:tab w:val="left" w:pos="726"/>
      </w:tabs>
      <w:spacing w:afterLines="150" w:line="360" w:lineRule="auto"/>
      <w:jc w:val="center"/>
      <w:outlineLvl w:val="0"/>
    </w:pPr>
    <w:rPr>
      <w:b/>
      <w:bCs/>
      <w:kern w:val="0"/>
      <w:sz w:val="44"/>
      <w:szCs w:val="32"/>
    </w:rPr>
  </w:style>
  <w:style w:type="paragraph" w:customStyle="1" w:styleId="178">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179">
    <w:name w:val="样式44"/>
    <w:basedOn w:val="6"/>
    <w:qFormat/>
    <w:uiPriority w:val="99"/>
    <w:pPr>
      <w:widowControl/>
      <w:numPr>
        <w:ilvl w:val="2"/>
        <w:numId w:val="13"/>
      </w:numPr>
      <w:tabs>
        <w:tab w:val="left" w:pos="425"/>
      </w:tabs>
      <w:adjustRightInd w:val="0"/>
      <w:snapToGrid w:val="0"/>
      <w:spacing w:before="0" w:after="0" w:line="360" w:lineRule="auto"/>
      <w:ind w:left="660" w:firstLine="0" w:firstLineChars="200"/>
      <w:jc w:val="left"/>
    </w:pPr>
    <w:rPr>
      <w:b w:val="0"/>
      <w:sz w:val="24"/>
    </w:rPr>
  </w:style>
  <w:style w:type="paragraph" w:customStyle="1" w:styleId="180">
    <w:name w:val="1."/>
    <w:next w:val="162"/>
    <w:link w:val="181"/>
    <w:qFormat/>
    <w:uiPriority w:val="99"/>
    <w:pPr>
      <w:numPr>
        <w:ilvl w:val="0"/>
        <w:numId w:val="23"/>
      </w:numPr>
      <w:spacing w:line="360" w:lineRule="auto"/>
      <w:ind w:firstLine="482"/>
    </w:pPr>
    <w:rPr>
      <w:rFonts w:ascii="Calibri" w:hAnsi="Calibri" w:eastAsia="黑体" w:cs="Times New Roman"/>
      <w:b/>
      <w:kern w:val="44"/>
      <w:sz w:val="44"/>
      <w:lang w:val="en-US" w:eastAsia="zh-CN" w:bidi="ar-SA"/>
    </w:rPr>
  </w:style>
  <w:style w:type="character" w:customStyle="1" w:styleId="181">
    <w:name w:val="标题 1 字符2"/>
    <w:link w:val="180"/>
    <w:qFormat/>
    <w:uiPriority w:val="99"/>
    <w:rPr>
      <w:rFonts w:ascii="Calibri" w:hAnsi="Calibri" w:eastAsia="黑体"/>
      <w:b/>
      <w:kern w:val="44"/>
      <w:sz w:val="44"/>
    </w:rPr>
  </w:style>
  <w:style w:type="paragraph" w:customStyle="1" w:styleId="182">
    <w:name w:val="标题 5 +"/>
    <w:basedOn w:val="7"/>
    <w:qFormat/>
    <w:uiPriority w:val="0"/>
    <w:rPr>
      <w:bCs/>
      <w:kern w:val="0"/>
      <w:szCs w:val="28"/>
    </w:rPr>
  </w:style>
  <w:style w:type="paragraph" w:customStyle="1" w:styleId="183">
    <w:name w:val="正文首行缩进（绿盟科技）"/>
    <w:basedOn w:val="1"/>
    <w:link w:val="184"/>
    <w:qFormat/>
    <w:uiPriority w:val="0"/>
    <w:pPr>
      <w:widowControl/>
      <w:spacing w:after="50" w:line="300" w:lineRule="auto"/>
      <w:ind w:firstLine="200" w:firstLineChars="200"/>
      <w:jc w:val="left"/>
    </w:pPr>
    <w:rPr>
      <w:rFonts w:ascii="Arial" w:hAnsi="Arial"/>
      <w:kern w:val="0"/>
      <w:szCs w:val="21"/>
    </w:rPr>
  </w:style>
  <w:style w:type="character" w:customStyle="1" w:styleId="184">
    <w:name w:val="正文首行缩进（绿盟科技） Char"/>
    <w:link w:val="183"/>
    <w:qFormat/>
    <w:uiPriority w:val="0"/>
    <w:rPr>
      <w:rFonts w:ascii="Arial" w:hAnsi="Arial"/>
      <w:sz w:val="21"/>
      <w:szCs w:val="21"/>
    </w:rPr>
  </w:style>
  <w:style w:type="paragraph" w:customStyle="1" w:styleId="185">
    <w:name w:val="文档正文"/>
    <w:basedOn w:val="1"/>
    <w:link w:val="186"/>
    <w:qFormat/>
    <w:uiPriority w:val="0"/>
    <w:rPr>
      <w:rFonts w:ascii="Arial" w:hAnsi="Arial" w:cs="Arial"/>
      <w:b/>
      <w:bCs/>
      <w:color w:val="FF0000"/>
      <w:szCs w:val="21"/>
    </w:rPr>
  </w:style>
  <w:style w:type="character" w:customStyle="1" w:styleId="186">
    <w:name w:val="文档正文 Char1"/>
    <w:link w:val="185"/>
    <w:qFormat/>
    <w:uiPriority w:val="0"/>
    <w:rPr>
      <w:rFonts w:ascii="Arial" w:hAnsi="Arial" w:cs="Arial"/>
      <w:b/>
      <w:bCs/>
      <w:color w:val="FF0000"/>
      <w:kern w:val="2"/>
      <w:sz w:val="21"/>
      <w:szCs w:val="21"/>
    </w:rPr>
  </w:style>
  <w:style w:type="paragraph" w:customStyle="1" w:styleId="187">
    <w:name w:val="仿宋小四"/>
    <w:basedOn w:val="1"/>
    <w:qFormat/>
    <w:uiPriority w:val="0"/>
    <w:pPr>
      <w:spacing w:line="500" w:lineRule="exact"/>
      <w:ind w:firstLine="480" w:firstLineChars="200"/>
    </w:pPr>
    <w:rPr>
      <w:rFonts w:ascii="仿宋_GB2312" w:eastAsia="仿宋_GB2312"/>
      <w:sz w:val="24"/>
      <w:szCs w:val="20"/>
    </w:rPr>
  </w:style>
  <w:style w:type="paragraph" w:customStyle="1" w:styleId="188">
    <w:name w:val="OrangeCoun_L8"/>
    <w:basedOn w:val="189"/>
    <w:next w:val="8"/>
    <w:qFormat/>
    <w:uiPriority w:val="99"/>
    <w:pPr>
      <w:numPr>
        <w:ilvl w:val="0"/>
        <w:numId w:val="24"/>
      </w:numPr>
      <w:ind w:left="3840"/>
      <w:outlineLvl w:val="7"/>
    </w:pPr>
  </w:style>
  <w:style w:type="paragraph" w:customStyle="1" w:styleId="189">
    <w:name w:val="OrangeCoun_L7"/>
    <w:basedOn w:val="159"/>
    <w:next w:val="8"/>
    <w:qFormat/>
    <w:uiPriority w:val="99"/>
    <w:pPr>
      <w:numPr>
        <w:ilvl w:val="4"/>
      </w:numPr>
      <w:ind w:left="3420" w:hanging="420" w:firstLineChars="200"/>
      <w:outlineLvl w:val="6"/>
    </w:pPr>
  </w:style>
  <w:style w:type="paragraph" w:customStyle="1" w:styleId="190">
    <w:name w:val="正文1 Char Char Char"/>
    <w:basedOn w:val="1"/>
    <w:qFormat/>
    <w:uiPriority w:val="0"/>
    <w:pPr>
      <w:spacing w:line="360" w:lineRule="auto"/>
      <w:ind w:firstLine="200" w:firstLineChars="200"/>
    </w:pPr>
    <w:rPr>
      <w:szCs w:val="20"/>
    </w:rPr>
  </w:style>
  <w:style w:type="paragraph" w:customStyle="1" w:styleId="191">
    <w:name w:val="我的正文1"/>
    <w:basedOn w:val="1"/>
    <w:link w:val="192"/>
    <w:qFormat/>
    <w:uiPriority w:val="0"/>
    <w:pPr>
      <w:tabs>
        <w:tab w:val="left" w:pos="0"/>
      </w:tabs>
      <w:spacing w:line="360" w:lineRule="auto"/>
      <w:ind w:firstLine="480" w:firstLineChars="200"/>
      <w:jc w:val="left"/>
    </w:pPr>
    <w:rPr>
      <w:rFonts w:ascii="宋体" w:hAnsi="宋体"/>
      <w:sz w:val="24"/>
      <w:szCs w:val="20"/>
    </w:rPr>
  </w:style>
  <w:style w:type="character" w:customStyle="1" w:styleId="192">
    <w:name w:val="我的正文1 Char"/>
    <w:link w:val="191"/>
    <w:qFormat/>
    <w:uiPriority w:val="0"/>
    <w:rPr>
      <w:rFonts w:ascii="宋体" w:hAnsi="宋体"/>
      <w:kern w:val="2"/>
      <w:sz w:val="24"/>
    </w:rPr>
  </w:style>
  <w:style w:type="paragraph" w:customStyle="1" w:styleId="193">
    <w:name w:val="样式1"/>
    <w:basedOn w:val="1"/>
    <w:link w:val="194"/>
    <w:qFormat/>
    <w:uiPriority w:val="0"/>
    <w:pPr>
      <w:numPr>
        <w:ilvl w:val="0"/>
        <w:numId w:val="25"/>
      </w:numPr>
      <w:adjustRightInd w:val="0"/>
      <w:textAlignment w:val="baseline"/>
    </w:pPr>
    <w:rPr>
      <w:rFonts w:ascii="宋体" w:hAnsi="宋体"/>
      <w:kern w:val="0"/>
      <w:szCs w:val="21"/>
    </w:rPr>
  </w:style>
  <w:style w:type="character" w:customStyle="1" w:styleId="194">
    <w:name w:val="样式1 Char"/>
    <w:link w:val="193"/>
    <w:qFormat/>
    <w:uiPriority w:val="0"/>
    <w:rPr>
      <w:rFonts w:ascii="宋体" w:hAnsi="宋体"/>
      <w:sz w:val="21"/>
      <w:szCs w:val="21"/>
    </w:rPr>
  </w:style>
  <w:style w:type="paragraph" w:customStyle="1" w:styleId="195">
    <w:name w:val="SJ-标题3"/>
    <w:basedOn w:val="91"/>
    <w:qFormat/>
    <w:uiPriority w:val="99"/>
    <w:pPr>
      <w:ind w:left="2220" w:hanging="180"/>
      <w:outlineLvl w:val="2"/>
    </w:pPr>
  </w:style>
  <w:style w:type="paragraph" w:customStyle="1" w:styleId="196">
    <w:name w:val="文本"/>
    <w:basedOn w:val="1"/>
    <w:link w:val="197"/>
    <w:qFormat/>
    <w:uiPriority w:val="0"/>
    <w:pPr>
      <w:widowControl/>
      <w:spacing w:afterLines="50" w:line="360" w:lineRule="auto"/>
      <w:ind w:left="988"/>
    </w:pPr>
    <w:rPr>
      <w:rFonts w:ascii="宋体" w:hAnsi="宋体"/>
      <w:sz w:val="24"/>
    </w:rPr>
  </w:style>
  <w:style w:type="character" w:customStyle="1" w:styleId="197">
    <w:name w:val="文本 Char"/>
    <w:link w:val="196"/>
    <w:qFormat/>
    <w:uiPriority w:val="0"/>
    <w:rPr>
      <w:rFonts w:ascii="宋体" w:hAnsi="宋体"/>
      <w:kern w:val="2"/>
      <w:sz w:val="24"/>
      <w:szCs w:val="24"/>
    </w:rPr>
  </w:style>
  <w:style w:type="paragraph" w:customStyle="1" w:styleId="198">
    <w:name w:val="Char6"/>
    <w:basedOn w:val="1"/>
    <w:qFormat/>
    <w:uiPriority w:val="0"/>
    <w:pPr>
      <w:widowControl/>
      <w:spacing w:line="360" w:lineRule="auto"/>
      <w:jc w:val="left"/>
    </w:pPr>
    <w:rPr>
      <w:rFonts w:ascii="宋体" w:hAnsi="宋体"/>
      <w:kern w:val="0"/>
      <w:sz w:val="24"/>
    </w:rPr>
  </w:style>
  <w:style w:type="paragraph" w:customStyle="1" w:styleId="199">
    <w:name w:val="SJ-标题一"/>
    <w:qFormat/>
    <w:uiPriority w:val="99"/>
    <w:pPr>
      <w:keepLines/>
      <w:widowControl w:val="0"/>
      <w:spacing w:before="360" w:after="360" w:line="348" w:lineRule="auto"/>
      <w:ind w:left="1140" w:hanging="720"/>
      <w:textAlignment w:val="baseline"/>
      <w:outlineLvl w:val="0"/>
    </w:pPr>
    <w:rPr>
      <w:rFonts w:ascii="宋体" w:hAnsi="宋体" w:eastAsia="黑体" w:cs="Times New Roman"/>
      <w:kern w:val="2"/>
      <w:sz w:val="32"/>
      <w:szCs w:val="32"/>
      <w:lang w:val="en-US" w:eastAsia="zh-CN" w:bidi="ar-SA"/>
    </w:rPr>
  </w:style>
  <w:style w:type="paragraph" w:customStyle="1" w:styleId="200">
    <w:name w:val="Char Char Char Char Char"/>
    <w:basedOn w:val="1"/>
    <w:qFormat/>
    <w:uiPriority w:val="0"/>
    <w:pPr>
      <w:widowControl/>
      <w:spacing w:after="160" w:line="240" w:lineRule="exact"/>
      <w:jc w:val="left"/>
    </w:pPr>
    <w:rPr>
      <w:rFonts w:ascii="Verdana" w:hAnsi="Verdana"/>
      <w:b/>
      <w:kern w:val="0"/>
      <w:sz w:val="20"/>
      <w:szCs w:val="20"/>
      <w:lang w:eastAsia="en-US"/>
    </w:rPr>
  </w:style>
  <w:style w:type="paragraph" w:customStyle="1" w:styleId="201">
    <w:name w:val="AnnexMain"/>
    <w:basedOn w:val="1"/>
    <w:qFormat/>
    <w:uiPriority w:val="99"/>
    <w:pPr>
      <w:widowControl/>
      <w:adjustRightInd w:val="0"/>
      <w:snapToGrid w:val="0"/>
      <w:spacing w:line="360" w:lineRule="auto"/>
      <w:ind w:left="900" w:hanging="420" w:firstLineChars="200"/>
      <w:jc w:val="left"/>
    </w:pPr>
    <w:rPr>
      <w:rFonts w:ascii="Arial Black" w:hAnsi="Arial Black"/>
      <w:kern w:val="0"/>
      <w:sz w:val="24"/>
    </w:rPr>
  </w:style>
  <w:style w:type="paragraph" w:customStyle="1" w:styleId="202">
    <w:name w:val="wang3"/>
    <w:basedOn w:val="1"/>
    <w:qFormat/>
    <w:uiPriority w:val="0"/>
    <w:pPr>
      <w:keepNext/>
      <w:keepLines/>
      <w:widowControl/>
      <w:numPr>
        <w:ilvl w:val="0"/>
        <w:numId w:val="13"/>
      </w:numPr>
      <w:adjustRightInd w:val="0"/>
      <w:snapToGrid w:val="0"/>
      <w:spacing w:before="260" w:after="260" w:line="416" w:lineRule="auto"/>
      <w:ind w:left="1740" w:hanging="420" w:firstLineChars="200"/>
      <w:jc w:val="left"/>
      <w:outlineLvl w:val="2"/>
    </w:pPr>
    <w:rPr>
      <w:rFonts w:ascii="黑体" w:hAnsi="黑体" w:eastAsia="黑体"/>
      <w:bCs/>
      <w:sz w:val="24"/>
      <w:szCs w:val="32"/>
    </w:rPr>
  </w:style>
  <w:style w:type="paragraph" w:customStyle="1" w:styleId="203">
    <w:name w:val="特性列表"/>
    <w:basedOn w:val="1"/>
    <w:qFormat/>
    <w:uiPriority w:val="0"/>
    <w:pPr>
      <w:widowControl/>
      <w:numPr>
        <w:ilvl w:val="1"/>
        <w:numId w:val="10"/>
      </w:numPr>
      <w:tabs>
        <w:tab w:val="left" w:pos="426"/>
      </w:tabs>
      <w:adjustRightInd w:val="0"/>
      <w:snapToGrid w:val="0"/>
      <w:spacing w:line="360" w:lineRule="auto"/>
      <w:ind w:left="426" w:hanging="426" w:firstLineChars="200"/>
      <w:jc w:val="left"/>
    </w:pPr>
    <w:rPr>
      <w:color w:val="000000"/>
      <w:sz w:val="24"/>
      <w:szCs w:val="21"/>
    </w:rPr>
  </w:style>
  <w:style w:type="paragraph" w:customStyle="1" w:styleId="20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05">
    <w:name w:val="图"/>
    <w:basedOn w:val="1"/>
    <w:link w:val="206"/>
    <w:qFormat/>
    <w:uiPriority w:val="99"/>
    <w:pPr>
      <w:contextualSpacing/>
      <w:jc w:val="center"/>
    </w:pPr>
    <w:rPr>
      <w:sz w:val="24"/>
      <w:szCs w:val="20"/>
    </w:rPr>
  </w:style>
  <w:style w:type="character" w:customStyle="1" w:styleId="206">
    <w:name w:val="图 字符"/>
    <w:link w:val="205"/>
    <w:qFormat/>
    <w:uiPriority w:val="0"/>
    <w:rPr>
      <w:kern w:val="2"/>
      <w:sz w:val="24"/>
    </w:rPr>
  </w:style>
  <w:style w:type="paragraph" w:customStyle="1" w:styleId="207">
    <w:name w:val="_Style 63"/>
    <w:basedOn w:val="1"/>
    <w:next w:val="100"/>
    <w:qFormat/>
    <w:uiPriority w:val="34"/>
    <w:pPr>
      <w:spacing w:line="360" w:lineRule="auto"/>
      <w:ind w:firstLine="420" w:firstLineChars="200"/>
    </w:pPr>
    <w:rPr>
      <w:sz w:val="24"/>
      <w:szCs w:val="20"/>
    </w:rPr>
  </w:style>
  <w:style w:type="paragraph" w:customStyle="1" w:styleId="208">
    <w:name w:val="修订3"/>
    <w:unhideWhenUsed/>
    <w:qFormat/>
    <w:uiPriority w:val="99"/>
    <w:rPr>
      <w:rFonts w:ascii="Calibri" w:hAnsi="Calibri" w:eastAsia="宋体" w:cs="Times New Roman"/>
      <w:kern w:val="2"/>
      <w:sz w:val="24"/>
      <w:lang w:val="en-US" w:eastAsia="zh-CN" w:bidi="ar-SA"/>
    </w:rPr>
  </w:style>
  <w:style w:type="paragraph" w:customStyle="1" w:styleId="209">
    <w:name w:val="UT文档标题7"/>
    <w:basedOn w:val="10"/>
    <w:next w:val="1"/>
    <w:qFormat/>
    <w:uiPriority w:val="0"/>
    <w:pPr>
      <w:numPr>
        <w:ilvl w:val="0"/>
        <w:numId w:val="6"/>
      </w:numPr>
      <w:tabs>
        <w:tab w:val="left" w:pos="360"/>
        <w:tab w:val="left" w:pos="425"/>
      </w:tabs>
      <w:adjustRightInd w:val="0"/>
      <w:snapToGrid w:val="0"/>
      <w:spacing w:before="0" w:after="0" w:line="360" w:lineRule="auto"/>
      <w:ind w:left="3420" w:firstLine="200" w:firstLineChars="200"/>
    </w:pPr>
    <w:rPr>
      <w:b w:val="0"/>
      <w:bCs/>
      <w:szCs w:val="24"/>
    </w:rPr>
  </w:style>
  <w:style w:type="paragraph" w:customStyle="1" w:styleId="210">
    <w:name w:val="2"/>
    <w:basedOn w:val="1"/>
    <w:next w:val="1"/>
    <w:link w:val="211"/>
    <w:qFormat/>
    <w:uiPriority w:val="0"/>
    <w:pPr>
      <w:spacing w:afterLines="50" w:line="360" w:lineRule="auto"/>
      <w:ind w:firstLine="420" w:firstLineChars="100"/>
    </w:pPr>
    <w:rPr>
      <w:rFonts w:ascii="宋体" w:hAnsi="宋体"/>
      <w:lang w:val="zh-CN"/>
    </w:rPr>
  </w:style>
  <w:style w:type="character" w:customStyle="1" w:styleId="211">
    <w:name w:val="正文首行缩进 字符"/>
    <w:link w:val="210"/>
    <w:qFormat/>
    <w:uiPriority w:val="0"/>
    <w:rPr>
      <w:rFonts w:ascii="宋体" w:hAnsi="宋体"/>
      <w:kern w:val="2"/>
      <w:sz w:val="21"/>
      <w:szCs w:val="24"/>
      <w:lang w:val="zh-CN"/>
    </w:rPr>
  </w:style>
  <w:style w:type="paragraph" w:customStyle="1" w:styleId="212">
    <w:name w:val="UT文档图编号"/>
    <w:basedOn w:val="1"/>
    <w:next w:val="1"/>
    <w:qFormat/>
    <w:uiPriority w:val="0"/>
    <w:pPr>
      <w:numPr>
        <w:ilvl w:val="7"/>
        <w:numId w:val="18"/>
      </w:numPr>
      <w:tabs>
        <w:tab w:val="left" w:pos="360"/>
      </w:tabs>
      <w:adjustRightInd w:val="0"/>
      <w:snapToGrid w:val="0"/>
      <w:spacing w:after="20" w:line="360" w:lineRule="auto"/>
      <w:ind w:firstLine="200" w:firstLineChars="200"/>
      <w:jc w:val="center"/>
    </w:pPr>
    <w:rPr>
      <w:sz w:val="24"/>
      <w:szCs w:val="21"/>
      <w:lang w:val="en-GB"/>
    </w:rPr>
  </w:style>
  <w:style w:type="paragraph" w:customStyle="1" w:styleId="213">
    <w:name w:val="_Style 72"/>
    <w:basedOn w:val="8"/>
    <w:next w:val="51"/>
    <w:link w:val="214"/>
    <w:unhideWhenUsed/>
    <w:qFormat/>
    <w:uiPriority w:val="99"/>
    <w:pPr>
      <w:widowControl w:val="0"/>
      <w:spacing w:line="360" w:lineRule="auto"/>
      <w:ind w:firstLine="420" w:firstLineChars="100"/>
      <w:jc w:val="both"/>
    </w:pPr>
    <w:rPr>
      <w:kern w:val="2"/>
      <w:sz w:val="24"/>
    </w:rPr>
  </w:style>
  <w:style w:type="character" w:customStyle="1" w:styleId="214">
    <w:name w:val="正文文本首行缩进 字符"/>
    <w:link w:val="213"/>
    <w:qFormat/>
    <w:uiPriority w:val="99"/>
    <w:rPr>
      <w:rFonts w:eastAsia="宋体"/>
      <w:kern w:val="2"/>
      <w:sz w:val="24"/>
      <w:lang w:val="en-US" w:eastAsia="zh-CN" w:bidi="ar-SA"/>
    </w:rPr>
  </w:style>
  <w:style w:type="paragraph" w:customStyle="1" w:styleId="215">
    <w:name w:val="SJ-标题4"/>
    <w:basedOn w:val="195"/>
    <w:qFormat/>
    <w:uiPriority w:val="99"/>
    <w:pPr>
      <w:numPr>
        <w:ilvl w:val="3"/>
        <w:numId w:val="10"/>
      </w:numPr>
      <w:spacing w:before="120" w:after="120"/>
      <w:ind w:left="2940" w:hanging="360"/>
      <w:outlineLvl w:val="3"/>
    </w:pPr>
  </w:style>
  <w:style w:type="paragraph" w:customStyle="1" w:styleId="216">
    <w:name w:val="D正文"/>
    <w:basedOn w:val="52"/>
    <w:qFormat/>
    <w:uiPriority w:val="0"/>
    <w:pPr>
      <w:widowControl/>
      <w:spacing w:after="0" w:line="360" w:lineRule="auto"/>
      <w:ind w:left="0" w:leftChars="0" w:firstLine="200"/>
    </w:pPr>
    <w:rPr>
      <w:rFonts w:ascii="Arial" w:hAnsi="Arial"/>
      <w:kern w:val="0"/>
      <w:sz w:val="24"/>
      <w:szCs w:val="20"/>
    </w:rPr>
  </w:style>
  <w:style w:type="paragraph" w:customStyle="1" w:styleId="217">
    <w:name w:val="Style1"/>
    <w:basedOn w:val="6"/>
    <w:qFormat/>
    <w:uiPriority w:val="0"/>
    <w:pPr>
      <w:keepLines w:val="0"/>
      <w:widowControl/>
      <w:tabs>
        <w:tab w:val="left" w:pos="425"/>
        <w:tab w:val="left" w:pos="1080"/>
        <w:tab w:val="left" w:pos="1680"/>
        <w:tab w:val="left" w:pos="2160"/>
        <w:tab w:val="left" w:pos="2880"/>
      </w:tabs>
      <w:adjustRightInd w:val="0"/>
      <w:snapToGrid w:val="0"/>
      <w:spacing w:before="240" w:after="120" w:line="360" w:lineRule="atLeast"/>
      <w:ind w:left="2880" w:hanging="360" w:firstLineChars="200"/>
      <w:jc w:val="left"/>
    </w:pPr>
    <w:rPr>
      <w:rFonts w:ascii="Helvetica" w:hAnsi="Helvetica" w:eastAsia="Arial Unicode MS" w:cs="宋体"/>
      <w:kern w:val="0"/>
      <w:sz w:val="24"/>
      <w:szCs w:val="24"/>
      <w:lang w:eastAsia="en-US"/>
    </w:rPr>
  </w:style>
  <w:style w:type="paragraph" w:customStyle="1" w:styleId="218">
    <w:name w:val="样式 首行缩进:  0.74 厘米 右侧:  0.19 厘米 段前: 3.1 磅 行距: 1.5 倍行距"/>
    <w:basedOn w:val="1"/>
    <w:qFormat/>
    <w:uiPriority w:val="99"/>
    <w:pPr>
      <w:spacing w:before="62" w:line="360" w:lineRule="auto"/>
      <w:ind w:right="105" w:firstLine="480" w:firstLineChars="200"/>
    </w:pPr>
    <w:rPr>
      <w:rFonts w:cs="宋体"/>
      <w:sz w:val="24"/>
    </w:rPr>
  </w:style>
  <w:style w:type="paragraph" w:customStyle="1" w:styleId="219">
    <w:name w:val="MM Topic 6"/>
    <w:basedOn w:val="9"/>
    <w:qFormat/>
    <w:uiPriority w:val="0"/>
    <w:pPr>
      <w:numPr>
        <w:ilvl w:val="0"/>
        <w:numId w:val="0"/>
      </w:numPr>
      <w:tabs>
        <w:tab w:val="left" w:pos="425"/>
        <w:tab w:val="left" w:pos="567"/>
        <w:tab w:val="left" w:pos="2520"/>
      </w:tabs>
      <w:adjustRightInd w:val="0"/>
      <w:snapToGrid w:val="0"/>
      <w:spacing w:beforeLines="40" w:afterLines="40" w:line="319" w:lineRule="auto"/>
      <w:ind w:left="2520" w:firstLine="200" w:firstLineChars="200"/>
    </w:pPr>
    <w:rPr>
      <w:szCs w:val="24"/>
    </w:rPr>
  </w:style>
  <w:style w:type="paragraph" w:customStyle="1" w:styleId="220">
    <w:name w:val="样式45"/>
    <w:basedOn w:val="179"/>
    <w:qFormat/>
    <w:uiPriority w:val="99"/>
    <w:pPr>
      <w:numPr>
        <w:numId w:val="6"/>
      </w:numPr>
      <w:ind w:left="1080"/>
    </w:pPr>
  </w:style>
  <w:style w:type="paragraph" w:customStyle="1" w:styleId="221">
    <w:name w:val="AAA"/>
    <w:basedOn w:val="1"/>
    <w:next w:val="100"/>
    <w:qFormat/>
    <w:uiPriority w:val="34"/>
    <w:pPr>
      <w:spacing w:before="100" w:after="100" w:line="360" w:lineRule="atLeast"/>
      <w:ind w:firstLine="420" w:firstLineChars="200"/>
    </w:pPr>
  </w:style>
  <w:style w:type="paragraph" w:customStyle="1" w:styleId="222">
    <w:name w:val="2级目录"/>
    <w:basedOn w:val="4"/>
    <w:next w:val="1"/>
    <w:qFormat/>
    <w:uiPriority w:val="0"/>
    <w:pPr>
      <w:numPr>
        <w:ilvl w:val="1"/>
        <w:numId w:val="6"/>
      </w:numPr>
      <w:tabs>
        <w:tab w:val="left" w:pos="360"/>
        <w:tab w:val="left" w:pos="425"/>
        <w:tab w:val="left" w:pos="576"/>
      </w:tabs>
      <w:autoSpaceDE/>
      <w:autoSpaceDN/>
      <w:snapToGrid w:val="0"/>
      <w:spacing w:before="260" w:line="416" w:lineRule="auto"/>
      <w:ind w:left="576" w:hanging="576" w:firstLineChars="200"/>
      <w:jc w:val="both"/>
      <w:textAlignment w:val="auto"/>
    </w:pPr>
    <w:rPr>
      <w:rFonts w:ascii="Cambria" w:hAnsi="Cambria" w:eastAsia="宋体"/>
      <w:bCs/>
      <w:spacing w:val="0"/>
      <w:kern w:val="2"/>
    </w:rPr>
  </w:style>
  <w:style w:type="paragraph" w:customStyle="1" w:styleId="223">
    <w:name w:val="小条目4"/>
    <w:basedOn w:val="100"/>
    <w:qFormat/>
    <w:uiPriority w:val="0"/>
    <w:pPr>
      <w:widowControl/>
      <w:adjustRightInd w:val="0"/>
      <w:snapToGrid w:val="0"/>
      <w:jc w:val="left"/>
    </w:pPr>
    <w:rPr>
      <w:szCs w:val="20"/>
    </w:rPr>
  </w:style>
  <w:style w:type="paragraph" w:customStyle="1" w:styleId="22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25">
    <w:name w:val="SJ-a)"/>
    <w:basedOn w:val="1"/>
    <w:qFormat/>
    <w:uiPriority w:val="99"/>
    <w:pPr>
      <w:widowControl/>
      <w:numPr>
        <w:ilvl w:val="0"/>
        <w:numId w:val="26"/>
      </w:numPr>
      <w:tabs>
        <w:tab w:val="clear" w:pos="900"/>
      </w:tabs>
      <w:adjustRightInd w:val="0"/>
      <w:snapToGrid w:val="0"/>
      <w:spacing w:line="360" w:lineRule="auto"/>
      <w:ind w:left="3420" w:firstLine="200" w:firstLineChars="200"/>
      <w:jc w:val="left"/>
    </w:pPr>
    <w:rPr>
      <w:sz w:val="24"/>
    </w:rPr>
  </w:style>
  <w:style w:type="paragraph" w:customStyle="1" w:styleId="226">
    <w:name w:val="yu正文"/>
    <w:basedOn w:val="1"/>
    <w:link w:val="227"/>
    <w:qFormat/>
    <w:uiPriority w:val="0"/>
    <w:pPr>
      <w:spacing w:line="360" w:lineRule="auto"/>
      <w:ind w:firstLine="480" w:firstLineChars="200"/>
    </w:pPr>
    <w:rPr>
      <w:rFonts w:ascii="仿宋_GB2312" w:eastAsia="仿宋_GB2312"/>
      <w:kern w:val="0"/>
      <w:sz w:val="24"/>
      <w:szCs w:val="20"/>
    </w:rPr>
  </w:style>
  <w:style w:type="character" w:customStyle="1" w:styleId="227">
    <w:name w:val="yu正文 Char"/>
    <w:link w:val="226"/>
    <w:qFormat/>
    <w:locked/>
    <w:uiPriority w:val="0"/>
    <w:rPr>
      <w:rFonts w:ascii="仿宋_GB2312" w:eastAsia="仿宋_GB2312"/>
      <w:sz w:val="24"/>
    </w:rPr>
  </w:style>
  <w:style w:type="paragraph" w:customStyle="1" w:styleId="228">
    <w:name w:val="样式 标题 3h3Heading 3 - oldBold HeadbhH3l3CTlevel_3PIM 3L...1"/>
    <w:basedOn w:val="5"/>
    <w:qFormat/>
    <w:uiPriority w:val="0"/>
    <w:pPr>
      <w:tabs>
        <w:tab w:val="left" w:pos="425"/>
        <w:tab w:val="left" w:pos="1080"/>
      </w:tabs>
      <w:autoSpaceDE/>
      <w:autoSpaceDN/>
      <w:snapToGrid w:val="0"/>
      <w:spacing w:before="260" w:line="415" w:lineRule="auto"/>
      <w:ind w:left="617" w:hanging="567" w:firstLineChars="200"/>
      <w:jc w:val="both"/>
      <w:textAlignment w:val="auto"/>
    </w:pPr>
    <w:rPr>
      <w:rFonts w:ascii="Arial" w:cs="宋体"/>
      <w:b w:val="0"/>
      <w:bCs/>
      <w:sz w:val="30"/>
    </w:rPr>
  </w:style>
  <w:style w:type="paragraph" w:customStyle="1" w:styleId="229">
    <w:name w:val="小条目2"/>
    <w:basedOn w:val="100"/>
    <w:link w:val="230"/>
    <w:qFormat/>
    <w:uiPriority w:val="0"/>
    <w:pPr>
      <w:spacing w:line="360" w:lineRule="auto"/>
      <w:ind w:firstLine="0" w:firstLineChars="0"/>
    </w:pPr>
    <w:rPr>
      <w:rFonts w:ascii="Calibri" w:hAnsi="Calibri"/>
      <w:sz w:val="24"/>
      <w:szCs w:val="22"/>
    </w:rPr>
  </w:style>
  <w:style w:type="character" w:customStyle="1" w:styleId="230">
    <w:name w:val="小条目2 Char"/>
    <w:link w:val="229"/>
    <w:qFormat/>
    <w:uiPriority w:val="0"/>
    <w:rPr>
      <w:rFonts w:ascii="Calibri" w:hAnsi="Calibri"/>
      <w:kern w:val="2"/>
      <w:sz w:val="24"/>
      <w:szCs w:val="22"/>
    </w:rPr>
  </w:style>
  <w:style w:type="paragraph" w:customStyle="1" w:styleId="231">
    <w:name w:val="正文-九州云腾"/>
    <w:basedOn w:val="1"/>
    <w:qFormat/>
    <w:uiPriority w:val="99"/>
    <w:pPr>
      <w:widowControl/>
      <w:spacing w:line="360" w:lineRule="auto"/>
    </w:pPr>
    <w:rPr>
      <w:rFonts w:ascii="宋体" w:hAnsi="仿宋"/>
      <w:sz w:val="24"/>
    </w:rPr>
  </w:style>
  <w:style w:type="paragraph" w:customStyle="1" w:styleId="232">
    <w:name w:val="舟式样--正文"/>
    <w:basedOn w:val="1"/>
    <w:qFormat/>
    <w:uiPriority w:val="99"/>
    <w:pPr>
      <w:widowControl/>
      <w:numPr>
        <w:ilvl w:val="3"/>
        <w:numId w:val="21"/>
      </w:numPr>
      <w:tabs>
        <w:tab w:val="clear" w:pos="2880"/>
      </w:tabs>
      <w:adjustRightInd w:val="0"/>
      <w:snapToGrid w:val="0"/>
      <w:spacing w:line="360" w:lineRule="auto"/>
      <w:ind w:left="0" w:firstLine="200" w:firstLineChars="200"/>
      <w:jc w:val="left"/>
    </w:pPr>
    <w:rPr>
      <w:rFonts w:ascii="仿宋_GB2312" w:eastAsia="仿宋"/>
      <w:kern w:val="0"/>
      <w:sz w:val="30"/>
    </w:rPr>
  </w:style>
  <w:style w:type="paragraph" w:customStyle="1" w:styleId="233">
    <w:name w:val="Paragraph2"/>
    <w:basedOn w:val="1"/>
    <w:qFormat/>
    <w:uiPriority w:val="0"/>
    <w:pPr>
      <w:numPr>
        <w:ilvl w:val="4"/>
        <w:numId w:val="13"/>
      </w:numPr>
      <w:tabs>
        <w:tab w:val="left" w:pos="360"/>
      </w:tabs>
      <w:adjustRightInd w:val="0"/>
      <w:snapToGrid w:val="0"/>
      <w:spacing w:before="80" w:line="240" w:lineRule="atLeast"/>
      <w:ind w:left="0" w:hanging="360" w:firstLineChars="200"/>
    </w:pPr>
    <w:rPr>
      <w:rFonts w:ascii="宋体"/>
      <w:snapToGrid w:val="0"/>
      <w:color w:val="000000"/>
      <w:kern w:val="0"/>
      <w:sz w:val="20"/>
      <w:szCs w:val="20"/>
      <w:lang w:val="en-AU"/>
    </w:rPr>
  </w:style>
  <w:style w:type="paragraph" w:customStyle="1" w:styleId="234">
    <w:name w:val="标准正文"/>
    <w:basedOn w:val="1"/>
    <w:link w:val="235"/>
    <w:qFormat/>
    <w:uiPriority w:val="0"/>
    <w:pPr>
      <w:adjustRightInd w:val="0"/>
      <w:spacing w:line="360" w:lineRule="auto"/>
      <w:ind w:firstLine="200" w:firstLineChars="200"/>
    </w:pPr>
    <w:rPr>
      <w:rFonts w:ascii="Calibri" w:hAnsi="Calibri"/>
      <w:sz w:val="24"/>
      <w:szCs w:val="22"/>
    </w:rPr>
  </w:style>
  <w:style w:type="character" w:customStyle="1" w:styleId="235">
    <w:name w:val="标准正文 Char1"/>
    <w:link w:val="234"/>
    <w:qFormat/>
    <w:uiPriority w:val="0"/>
    <w:rPr>
      <w:rFonts w:ascii="Calibri" w:hAnsi="Calibri"/>
      <w:kern w:val="2"/>
      <w:sz w:val="24"/>
      <w:szCs w:val="22"/>
    </w:rPr>
  </w:style>
  <w:style w:type="paragraph" w:customStyle="1" w:styleId="236">
    <w:name w:val="UT文档标题5"/>
    <w:basedOn w:val="7"/>
    <w:next w:val="1"/>
    <w:qFormat/>
    <w:uiPriority w:val="0"/>
    <w:pPr>
      <w:numPr>
        <w:ilvl w:val="5"/>
        <w:numId w:val="13"/>
      </w:numPr>
      <w:tabs>
        <w:tab w:val="left" w:pos="360"/>
        <w:tab w:val="left" w:pos="425"/>
      </w:tabs>
      <w:adjustRightInd w:val="0"/>
      <w:snapToGrid w:val="0"/>
      <w:spacing w:before="0" w:after="0"/>
      <w:ind w:left="2580" w:firstLine="200" w:firstLineChars="200"/>
    </w:pPr>
    <w:rPr>
      <w:b w:val="0"/>
      <w:bCs/>
      <w:szCs w:val="28"/>
    </w:rPr>
  </w:style>
  <w:style w:type="paragraph" w:customStyle="1" w:styleId="237">
    <w:name w:val="5级标题-ZB"/>
    <w:next w:val="162"/>
    <w:link w:val="238"/>
    <w:qFormat/>
    <w:uiPriority w:val="99"/>
    <w:pPr>
      <w:spacing w:before="240" w:after="120"/>
      <w:ind w:left="2160" w:hanging="420"/>
      <w:outlineLvl w:val="4"/>
    </w:pPr>
    <w:rPr>
      <w:rFonts w:ascii="等线" w:hAnsi="等线" w:eastAsia="等线" w:cs="Times New Roman"/>
      <w:b/>
      <w:kern w:val="44"/>
      <w:sz w:val="24"/>
      <w:szCs w:val="22"/>
      <w:lang w:val="en-US" w:eastAsia="zh-CN" w:bidi="ar-SA"/>
    </w:rPr>
  </w:style>
  <w:style w:type="character" w:customStyle="1" w:styleId="238">
    <w:name w:val="5级标题-ZB 字符"/>
    <w:link w:val="237"/>
    <w:qFormat/>
    <w:uiPriority w:val="99"/>
    <w:rPr>
      <w:rFonts w:ascii="等线" w:hAnsi="等线" w:eastAsia="等线"/>
      <w:b/>
      <w:kern w:val="44"/>
      <w:sz w:val="24"/>
      <w:szCs w:val="22"/>
    </w:rPr>
  </w:style>
  <w:style w:type="paragraph" w:customStyle="1" w:styleId="239">
    <w:name w:val="6级目录"/>
    <w:basedOn w:val="9"/>
    <w:next w:val="1"/>
    <w:qFormat/>
    <w:uiPriority w:val="0"/>
    <w:pPr>
      <w:numPr>
        <w:ilvl w:val="7"/>
        <w:numId w:val="6"/>
      </w:numPr>
      <w:tabs>
        <w:tab w:val="left" w:pos="360"/>
        <w:tab w:val="left" w:pos="425"/>
        <w:tab w:val="left" w:pos="1152"/>
      </w:tabs>
      <w:adjustRightInd w:val="0"/>
      <w:snapToGrid w:val="0"/>
      <w:ind w:left="1152" w:hanging="1152" w:firstLineChars="200"/>
    </w:pPr>
    <w:rPr>
      <w:rFonts w:ascii="Cambria" w:hAnsi="Cambria"/>
      <w:szCs w:val="24"/>
    </w:rPr>
  </w:style>
  <w:style w:type="paragraph" w:customStyle="1" w:styleId="240">
    <w:name w:val="6级标题-ZB"/>
    <w:next w:val="162"/>
    <w:link w:val="241"/>
    <w:qFormat/>
    <w:uiPriority w:val="0"/>
    <w:pPr>
      <w:spacing w:before="240" w:after="120"/>
      <w:outlineLvl w:val="5"/>
    </w:pPr>
    <w:rPr>
      <w:rFonts w:ascii="等线" w:hAnsi="等线" w:eastAsia="等线" w:cs="Times New Roman"/>
      <w:b/>
      <w:color w:val="000000"/>
      <w:kern w:val="2"/>
      <w:sz w:val="24"/>
      <w:szCs w:val="22"/>
      <w:lang w:val="en-US" w:eastAsia="zh-CN" w:bidi="ar-SA"/>
    </w:rPr>
  </w:style>
  <w:style w:type="character" w:customStyle="1" w:styleId="241">
    <w:name w:val="6级标题-ZB 字符"/>
    <w:link w:val="240"/>
    <w:qFormat/>
    <w:uiPriority w:val="0"/>
    <w:rPr>
      <w:rFonts w:ascii="等线" w:hAnsi="等线" w:eastAsia="等线"/>
      <w:b/>
      <w:color w:val="000000"/>
      <w:kern w:val="2"/>
      <w:sz w:val="24"/>
      <w:szCs w:val="22"/>
    </w:rPr>
  </w:style>
  <w:style w:type="paragraph" w:customStyle="1" w:styleId="242">
    <w:name w:val="投标-4级标题"/>
    <w:basedOn w:val="6"/>
    <w:qFormat/>
    <w:uiPriority w:val="0"/>
    <w:pPr>
      <w:widowControl/>
      <w:numPr>
        <w:ilvl w:val="2"/>
        <w:numId w:val="27"/>
      </w:numPr>
      <w:tabs>
        <w:tab w:val="left" w:pos="425"/>
      </w:tabs>
      <w:adjustRightInd w:val="0"/>
      <w:snapToGrid w:val="0"/>
      <w:spacing w:before="0" w:after="0" w:line="360" w:lineRule="auto"/>
      <w:ind w:firstLine="200" w:firstLineChars="200"/>
      <w:jc w:val="left"/>
    </w:pPr>
    <w:rPr>
      <w:rFonts w:ascii="Calibri Light" w:hAnsi="Calibri Light" w:eastAsia="宋体"/>
      <w:b w:val="0"/>
      <w:sz w:val="24"/>
    </w:rPr>
  </w:style>
  <w:style w:type="paragraph" w:customStyle="1" w:styleId="243">
    <w:name w:val="wang4"/>
    <w:basedOn w:val="1"/>
    <w:qFormat/>
    <w:uiPriority w:val="0"/>
    <w:pPr>
      <w:keepNext/>
      <w:keepLines/>
      <w:widowControl/>
      <w:numPr>
        <w:ilvl w:val="3"/>
        <w:numId w:val="28"/>
      </w:numPr>
      <w:adjustRightInd w:val="0"/>
      <w:snapToGrid w:val="0"/>
      <w:spacing w:before="280" w:after="290" w:line="376" w:lineRule="auto"/>
      <w:ind w:firstLine="200" w:firstLineChars="200"/>
      <w:jc w:val="left"/>
      <w:outlineLvl w:val="3"/>
    </w:pPr>
    <w:rPr>
      <w:rFonts w:ascii="Arial" w:hAnsi="Arial" w:eastAsia="黑体" w:cs="Arial"/>
      <w:b/>
      <w:bCs/>
      <w:sz w:val="28"/>
      <w:szCs w:val="28"/>
    </w:rPr>
  </w:style>
  <w:style w:type="paragraph" w:customStyle="1" w:styleId="244">
    <w:name w:val="正文（360）"/>
    <w:link w:val="245"/>
    <w:qFormat/>
    <w:uiPriority w:val="0"/>
    <w:pPr>
      <w:spacing w:line="300" w:lineRule="auto"/>
      <w:jc w:val="both"/>
    </w:pPr>
    <w:rPr>
      <w:rFonts w:ascii="Arial" w:hAnsi="Arial" w:eastAsia="宋体" w:cs="Times New Roman"/>
      <w:sz w:val="21"/>
      <w:szCs w:val="21"/>
      <w:lang w:val="en-US" w:eastAsia="zh-CN" w:bidi="ar-SA"/>
    </w:rPr>
  </w:style>
  <w:style w:type="character" w:customStyle="1" w:styleId="245">
    <w:name w:val="正文（360） Char"/>
    <w:link w:val="244"/>
    <w:qFormat/>
    <w:uiPriority w:val="0"/>
    <w:rPr>
      <w:rFonts w:ascii="Arial" w:hAnsi="Arial"/>
      <w:sz w:val="21"/>
      <w:szCs w:val="21"/>
    </w:rPr>
  </w:style>
  <w:style w:type="paragraph" w:customStyle="1" w:styleId="246">
    <w:name w:val="4级目录"/>
    <w:basedOn w:val="6"/>
    <w:next w:val="1"/>
    <w:qFormat/>
    <w:uiPriority w:val="0"/>
    <w:pPr>
      <w:numPr>
        <w:ilvl w:val="8"/>
        <w:numId w:val="6"/>
      </w:numPr>
      <w:tabs>
        <w:tab w:val="left" w:pos="360"/>
        <w:tab w:val="left" w:pos="425"/>
        <w:tab w:val="left" w:pos="864"/>
      </w:tabs>
      <w:adjustRightInd w:val="0"/>
      <w:snapToGrid w:val="0"/>
      <w:ind w:left="864" w:hanging="864" w:firstLineChars="200"/>
    </w:pPr>
    <w:rPr>
      <w:rFonts w:ascii="Cambria" w:hAnsi="Cambria" w:eastAsia="宋体"/>
    </w:rPr>
  </w:style>
  <w:style w:type="paragraph" w:customStyle="1" w:styleId="247">
    <w:name w:val="3级标题"/>
    <w:basedOn w:val="5"/>
    <w:next w:val="1"/>
    <w:link w:val="248"/>
    <w:qFormat/>
    <w:uiPriority w:val="0"/>
    <w:pPr>
      <w:numPr>
        <w:ilvl w:val="1"/>
        <w:numId w:val="22"/>
      </w:numPr>
      <w:autoSpaceDE/>
      <w:autoSpaceDN/>
      <w:adjustRightInd/>
      <w:spacing w:before="260" w:line="415" w:lineRule="auto"/>
      <w:textAlignment w:val="auto"/>
    </w:pPr>
    <w:rPr>
      <w:rFonts w:ascii="Times New Roman" w:hAnsi="Times New Roman" w:eastAsia="微软雅黑"/>
      <w:b w:val="0"/>
      <w:bCs/>
    </w:rPr>
  </w:style>
  <w:style w:type="character" w:customStyle="1" w:styleId="248">
    <w:name w:val="3级标题 字符"/>
    <w:link w:val="247"/>
    <w:qFormat/>
    <w:uiPriority w:val="0"/>
    <w:rPr>
      <w:rFonts w:eastAsia="微软雅黑"/>
      <w:bCs/>
      <w:kern w:val="2"/>
      <w:sz w:val="32"/>
      <w:szCs w:val="32"/>
    </w:rPr>
  </w:style>
  <w:style w:type="paragraph" w:customStyle="1" w:styleId="249">
    <w:name w:val="样式 标准段落 + 首行缩进:  2 字符"/>
    <w:basedOn w:val="1"/>
    <w:qFormat/>
    <w:uiPriority w:val="99"/>
    <w:pPr>
      <w:widowControl/>
      <w:tabs>
        <w:tab w:val="left" w:pos="360"/>
      </w:tabs>
      <w:autoSpaceDN w:val="0"/>
      <w:adjustRightInd w:val="0"/>
      <w:snapToGrid w:val="0"/>
      <w:spacing w:line="360" w:lineRule="auto"/>
      <w:ind w:firstLine="480" w:firstLineChars="200"/>
      <w:jc w:val="left"/>
    </w:pPr>
    <w:rPr>
      <w:rFonts w:ascii="等线" w:hAnsi="等线" w:eastAsia="等线"/>
      <w:sz w:val="24"/>
      <w:szCs w:val="22"/>
    </w:rPr>
  </w:style>
  <w:style w:type="paragraph" w:customStyle="1" w:styleId="250">
    <w:name w:val="UT文档标题2"/>
    <w:basedOn w:val="4"/>
    <w:next w:val="1"/>
    <w:qFormat/>
    <w:uiPriority w:val="0"/>
    <w:pPr>
      <w:tabs>
        <w:tab w:val="left" w:pos="360"/>
        <w:tab w:val="left" w:pos="425"/>
      </w:tabs>
      <w:autoSpaceDE/>
      <w:autoSpaceDN/>
      <w:snapToGrid w:val="0"/>
      <w:spacing w:before="0" w:after="0"/>
      <w:ind w:firstLine="200" w:firstLineChars="200"/>
      <w:textAlignment w:val="auto"/>
    </w:pPr>
    <w:rPr>
      <w:rFonts w:ascii="Times New Roman" w:hAnsi="Times New Roman" w:eastAsia="宋体"/>
      <w:b w:val="0"/>
      <w:bCs/>
      <w:spacing w:val="0"/>
      <w:kern w:val="2"/>
    </w:rPr>
  </w:style>
  <w:style w:type="paragraph" w:customStyle="1" w:styleId="251">
    <w:name w:val="5级标题"/>
    <w:basedOn w:val="7"/>
    <w:next w:val="1"/>
    <w:qFormat/>
    <w:uiPriority w:val="0"/>
    <w:pPr>
      <w:numPr>
        <w:ilvl w:val="3"/>
        <w:numId w:val="22"/>
      </w:numPr>
    </w:pPr>
    <w:rPr>
      <w:rFonts w:eastAsia="微软雅黑"/>
      <w:bCs/>
      <w:szCs w:val="28"/>
    </w:rPr>
  </w:style>
  <w:style w:type="paragraph" w:customStyle="1" w:styleId="252">
    <w:name w:val="项目编号B"/>
    <w:basedOn w:val="1"/>
    <w:qFormat/>
    <w:uiPriority w:val="0"/>
    <w:pPr>
      <w:widowControl/>
      <w:tabs>
        <w:tab w:val="left" w:pos="425"/>
      </w:tabs>
      <w:adjustRightInd w:val="0"/>
      <w:snapToGrid w:val="0"/>
      <w:spacing w:line="360" w:lineRule="auto"/>
      <w:ind w:hanging="200" w:hangingChars="200"/>
      <w:jc w:val="left"/>
    </w:pPr>
    <w:rPr>
      <w:sz w:val="24"/>
    </w:rPr>
  </w:style>
  <w:style w:type="paragraph" w:customStyle="1" w:styleId="253">
    <w:name w:val="6级标题"/>
    <w:basedOn w:val="9"/>
    <w:next w:val="1"/>
    <w:qFormat/>
    <w:uiPriority w:val="0"/>
    <w:pPr>
      <w:numPr>
        <w:ilvl w:val="4"/>
        <w:numId w:val="22"/>
      </w:numPr>
    </w:pPr>
    <w:rPr>
      <w:rFonts w:eastAsia="微软雅黑"/>
      <w:szCs w:val="24"/>
    </w:rPr>
  </w:style>
  <w:style w:type="paragraph" w:customStyle="1" w:styleId="254">
    <w:name w:val="规范正文-1级项目符号"/>
    <w:basedOn w:val="1"/>
    <w:qFormat/>
    <w:uiPriority w:val="99"/>
    <w:pPr>
      <w:numPr>
        <w:ilvl w:val="4"/>
        <w:numId w:val="10"/>
      </w:numPr>
      <w:tabs>
        <w:tab w:val="left" w:pos="720"/>
      </w:tabs>
      <w:spacing w:line="360" w:lineRule="auto"/>
      <w:ind w:left="840" w:firstLine="0"/>
    </w:pPr>
    <w:rPr>
      <w:rFonts w:ascii="宋体" w:hAnsi="宋体" w:cs="宋体"/>
      <w:sz w:val="24"/>
      <w:szCs w:val="20"/>
    </w:rPr>
  </w:style>
  <w:style w:type="paragraph" w:customStyle="1" w:styleId="255">
    <w:name w:val="wang5"/>
    <w:basedOn w:val="1"/>
    <w:qFormat/>
    <w:uiPriority w:val="0"/>
    <w:pPr>
      <w:keepNext/>
      <w:keepLines/>
      <w:widowControl/>
      <w:adjustRightInd w:val="0"/>
      <w:snapToGrid w:val="0"/>
      <w:spacing w:before="280" w:after="290" w:line="376" w:lineRule="auto"/>
      <w:ind w:left="2580" w:firstLine="200" w:firstLineChars="200"/>
      <w:jc w:val="left"/>
      <w:outlineLvl w:val="4"/>
    </w:pPr>
    <w:rPr>
      <w:b/>
      <w:bCs/>
      <w:sz w:val="28"/>
      <w:szCs w:val="28"/>
    </w:rPr>
  </w:style>
  <w:style w:type="paragraph" w:customStyle="1" w:styleId="256">
    <w:name w:val="7级目录"/>
    <w:basedOn w:val="10"/>
    <w:next w:val="1"/>
    <w:qFormat/>
    <w:uiPriority w:val="0"/>
    <w:pPr>
      <w:numPr>
        <w:ilvl w:val="0"/>
        <w:numId w:val="29"/>
      </w:numPr>
      <w:tabs>
        <w:tab w:val="left" w:pos="360"/>
        <w:tab w:val="left" w:pos="425"/>
        <w:tab w:val="left" w:pos="1296"/>
      </w:tabs>
      <w:adjustRightInd w:val="0"/>
      <w:snapToGrid w:val="0"/>
      <w:ind w:left="1296" w:hanging="1296" w:firstLineChars="200"/>
    </w:pPr>
    <w:rPr>
      <w:rFonts w:ascii="Calibri" w:hAnsi="Calibri"/>
      <w:bCs/>
      <w:szCs w:val="24"/>
    </w:rPr>
  </w:style>
  <w:style w:type="paragraph" w:customStyle="1" w:styleId="257">
    <w:name w:val="MM Topic 3"/>
    <w:basedOn w:val="6"/>
    <w:qFormat/>
    <w:uiPriority w:val="0"/>
    <w:pPr>
      <w:widowControl/>
      <w:tabs>
        <w:tab w:val="left" w:pos="425"/>
        <w:tab w:val="left" w:pos="1260"/>
        <w:tab w:val="left" w:pos="1418"/>
      </w:tabs>
      <w:adjustRightInd w:val="0"/>
      <w:snapToGrid w:val="0"/>
      <w:spacing w:beforeLines="50" w:after="0" w:line="300" w:lineRule="auto"/>
      <w:ind w:left="1260" w:firstLine="200" w:firstLineChars="200"/>
      <w:jc w:val="left"/>
    </w:pPr>
    <w:rPr>
      <w:rFonts w:ascii="Times New Roman"/>
      <w:bCs w:val="0"/>
      <w:sz w:val="24"/>
      <w:szCs w:val="20"/>
    </w:rPr>
  </w:style>
  <w:style w:type="paragraph" w:customStyle="1" w:styleId="258">
    <w:name w:val="Notes Text List"/>
    <w:basedOn w:val="98"/>
    <w:link w:val="259"/>
    <w:qFormat/>
    <w:uiPriority w:val="0"/>
    <w:pPr>
      <w:numPr>
        <w:numId w:val="0"/>
      </w:numPr>
      <w:pBdr>
        <w:bottom w:val="none" w:color="auto" w:sz="0" w:space="0"/>
      </w:pBdr>
      <w:tabs>
        <w:tab w:val="left" w:pos="2359"/>
      </w:tabs>
      <w:spacing w:before="40" w:line="200" w:lineRule="atLeast"/>
      <w:ind w:left="900" w:hanging="420" w:firstLineChars="200"/>
    </w:pPr>
    <w:rPr>
      <w:rFonts w:cs="Times New Roman"/>
      <w:sz w:val="18"/>
      <w:szCs w:val="18"/>
    </w:rPr>
  </w:style>
  <w:style w:type="character" w:customStyle="1" w:styleId="259">
    <w:name w:val="Notes Text List Char"/>
    <w:link w:val="258"/>
    <w:qFormat/>
    <w:uiPriority w:val="0"/>
    <w:rPr>
      <w:rFonts w:eastAsia="楷体_GB2312"/>
      <w:iCs/>
      <w:kern w:val="2"/>
      <w:sz w:val="18"/>
      <w:szCs w:val="18"/>
    </w:rPr>
  </w:style>
  <w:style w:type="paragraph" w:customStyle="1" w:styleId="260">
    <w:name w:val="SJ-标题6"/>
    <w:basedOn w:val="1"/>
    <w:qFormat/>
    <w:uiPriority w:val="99"/>
    <w:pPr>
      <w:widowControl/>
      <w:numPr>
        <w:ilvl w:val="8"/>
        <w:numId w:val="8"/>
      </w:numPr>
      <w:adjustRightInd w:val="0"/>
      <w:snapToGrid w:val="0"/>
      <w:spacing w:line="360" w:lineRule="auto"/>
      <w:ind w:left="3000" w:firstLine="200" w:firstLineChars="200"/>
      <w:jc w:val="left"/>
    </w:pPr>
    <w:rPr>
      <w:color w:val="000000"/>
      <w:sz w:val="24"/>
    </w:rPr>
  </w:style>
  <w:style w:type="paragraph" w:customStyle="1" w:styleId="261">
    <w:name w:val="3级标题-ZB"/>
    <w:next w:val="162"/>
    <w:link w:val="262"/>
    <w:qFormat/>
    <w:uiPriority w:val="0"/>
    <w:pPr>
      <w:spacing w:before="240" w:after="120"/>
      <w:outlineLvl w:val="2"/>
    </w:pPr>
    <w:rPr>
      <w:rFonts w:ascii="Times New Roman" w:hAnsi="Times New Roman" w:eastAsia="黑体" w:cs="Times New Roman"/>
      <w:color w:val="000000"/>
      <w:kern w:val="44"/>
      <w:sz w:val="32"/>
      <w:szCs w:val="22"/>
      <w:lang w:val="en-US" w:eastAsia="zh-CN" w:bidi="ar-SA"/>
    </w:rPr>
  </w:style>
  <w:style w:type="character" w:customStyle="1" w:styleId="262">
    <w:name w:val="3级标题-ZB 字符"/>
    <w:link w:val="261"/>
    <w:qFormat/>
    <w:uiPriority w:val="0"/>
    <w:rPr>
      <w:rFonts w:eastAsia="黑体"/>
      <w:color w:val="000000"/>
      <w:kern w:val="44"/>
      <w:sz w:val="32"/>
      <w:szCs w:val="22"/>
    </w:rPr>
  </w:style>
  <w:style w:type="paragraph" w:customStyle="1" w:styleId="263">
    <w:name w:val="wang6"/>
    <w:basedOn w:val="1"/>
    <w:qFormat/>
    <w:uiPriority w:val="0"/>
    <w:pPr>
      <w:keepNext/>
      <w:keepLines/>
      <w:widowControl/>
      <w:numPr>
        <w:ilvl w:val="1"/>
        <w:numId w:val="13"/>
      </w:numPr>
      <w:adjustRightInd w:val="0"/>
      <w:snapToGrid w:val="0"/>
      <w:spacing w:before="120" w:after="120" w:line="320" w:lineRule="auto"/>
      <w:ind w:left="3000" w:hanging="420" w:firstLineChars="200"/>
      <w:jc w:val="left"/>
      <w:outlineLvl w:val="5"/>
    </w:pPr>
    <w:rPr>
      <w:rFonts w:ascii="Arial" w:hAnsi="Arial" w:eastAsia="黑体"/>
      <w:b/>
      <w:bCs/>
      <w:sz w:val="24"/>
    </w:rPr>
  </w:style>
  <w:style w:type="paragraph" w:customStyle="1" w:styleId="264">
    <w:name w:val="附录标题1"/>
    <w:basedOn w:val="3"/>
    <w:next w:val="22"/>
    <w:qFormat/>
    <w:uiPriority w:val="0"/>
    <w:pPr>
      <w:pageBreakBefore/>
      <w:pBdr>
        <w:bottom w:val="single" w:color="C0C0C0" w:sz="18" w:space="1"/>
      </w:pBdr>
      <w:tabs>
        <w:tab w:val="left" w:pos="425"/>
        <w:tab w:val="left" w:pos="720"/>
      </w:tabs>
      <w:adjustRightInd w:val="0"/>
      <w:snapToGrid w:val="0"/>
      <w:spacing w:before="340" w:after="330" w:line="240" w:lineRule="auto"/>
      <w:ind w:left="1275" w:right="48" w:hanging="360" w:firstLineChars="200"/>
      <w:jc w:val="both"/>
      <w:textAlignment w:val="auto"/>
    </w:pPr>
    <w:rPr>
      <w:rFonts w:hint="eastAsia" w:hAnsi="Garamond" w:eastAsia="黑体"/>
      <w:color w:val="000000"/>
      <w:kern w:val="44"/>
      <w:sz w:val="36"/>
      <w:szCs w:val="20"/>
    </w:rPr>
  </w:style>
  <w:style w:type="paragraph" w:customStyle="1" w:styleId="265">
    <w:name w:val="5级目录"/>
    <w:basedOn w:val="7"/>
    <w:next w:val="1"/>
    <w:qFormat/>
    <w:uiPriority w:val="0"/>
    <w:pPr>
      <w:numPr>
        <w:ilvl w:val="3"/>
        <w:numId w:val="6"/>
      </w:numPr>
      <w:tabs>
        <w:tab w:val="left" w:pos="360"/>
        <w:tab w:val="left" w:pos="425"/>
        <w:tab w:val="left" w:pos="1008"/>
      </w:tabs>
      <w:adjustRightInd w:val="0"/>
      <w:snapToGrid w:val="0"/>
      <w:ind w:left="1008" w:hanging="1008" w:firstLineChars="200"/>
    </w:pPr>
    <w:rPr>
      <w:rFonts w:ascii="Calibri" w:hAnsi="Calibri"/>
      <w:bCs/>
      <w:szCs w:val="28"/>
    </w:rPr>
  </w:style>
  <w:style w:type="paragraph" w:customStyle="1" w:styleId="266">
    <w:name w:val="OrangeCoun_L9"/>
    <w:basedOn w:val="188"/>
    <w:next w:val="8"/>
    <w:qFormat/>
    <w:uiPriority w:val="99"/>
    <w:pPr>
      <w:numPr>
        <w:ilvl w:val="3"/>
        <w:numId w:val="13"/>
      </w:numPr>
      <w:ind w:left="4260"/>
      <w:outlineLvl w:val="8"/>
    </w:pPr>
  </w:style>
  <w:style w:type="paragraph" w:customStyle="1" w:styleId="267">
    <w:name w:val="UT文档表编号"/>
    <w:basedOn w:val="1"/>
    <w:next w:val="1"/>
    <w:qFormat/>
    <w:uiPriority w:val="0"/>
    <w:pPr>
      <w:numPr>
        <w:ilvl w:val="0"/>
        <w:numId w:val="10"/>
      </w:numPr>
      <w:tabs>
        <w:tab w:val="left" w:pos="360"/>
      </w:tabs>
      <w:adjustRightInd w:val="0"/>
      <w:snapToGrid w:val="0"/>
      <w:spacing w:beforeLines="100" w:line="360" w:lineRule="auto"/>
      <w:ind w:left="4260" w:firstLine="200" w:firstLineChars="200"/>
      <w:jc w:val="center"/>
    </w:pPr>
    <w:rPr>
      <w:sz w:val="24"/>
      <w:szCs w:val="21"/>
    </w:rPr>
  </w:style>
  <w:style w:type="paragraph" w:customStyle="1" w:styleId="268">
    <w:name w:val="wanghuan1"/>
    <w:basedOn w:val="1"/>
    <w:qFormat/>
    <w:uiPriority w:val="0"/>
    <w:pPr>
      <w:keepNext/>
      <w:widowControl/>
      <w:numPr>
        <w:ilvl w:val="6"/>
        <w:numId w:val="6"/>
      </w:numPr>
      <w:adjustRightInd w:val="0"/>
      <w:snapToGrid w:val="0"/>
      <w:spacing w:before="240" w:after="240" w:line="360" w:lineRule="auto"/>
      <w:ind w:left="900" w:firstLine="200" w:firstLineChars="200"/>
      <w:jc w:val="left"/>
      <w:outlineLvl w:val="0"/>
    </w:pPr>
    <w:rPr>
      <w:rFonts w:ascii="Arial" w:hAnsi="Arial" w:eastAsia="黑体" w:cs="Arial"/>
      <w:b/>
      <w:kern w:val="0"/>
      <w:sz w:val="32"/>
      <w:szCs w:val="32"/>
    </w:rPr>
  </w:style>
  <w:style w:type="paragraph" w:customStyle="1" w:styleId="26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0">
    <w:name w:val="科维正文♥"/>
    <w:basedOn w:val="47"/>
    <w:qFormat/>
    <w:uiPriority w:val="0"/>
    <w:pPr>
      <w:numPr>
        <w:ilvl w:val="0"/>
        <w:numId w:val="30"/>
      </w:numPr>
      <w:tabs>
        <w:tab w:val="left" w:pos="868"/>
        <w:tab w:val="clear" w:pos="1260"/>
      </w:tabs>
      <w:spacing w:beforeLines="50" w:beforeAutospacing="0" w:afterLines="50" w:afterAutospacing="0" w:line="360" w:lineRule="auto"/>
      <w:ind w:left="900" w:firstLine="0"/>
    </w:pPr>
    <w:rPr>
      <w:rFonts w:ascii="Times New Roman" w:hAnsi="Times New Roman" w:cs="宋体"/>
      <w:color w:val="000000"/>
      <w:kern w:val="2"/>
    </w:rPr>
  </w:style>
  <w:style w:type="paragraph" w:customStyle="1" w:styleId="27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right"/>
    </w:pPr>
    <w:rPr>
      <w:rFonts w:ascii="宋体" w:hAnsi="宋体" w:cs="宋体"/>
      <w:b/>
      <w:bCs/>
      <w:kern w:val="0"/>
      <w:sz w:val="20"/>
      <w:szCs w:val="20"/>
    </w:rPr>
  </w:style>
  <w:style w:type="paragraph" w:customStyle="1" w:styleId="272">
    <w:name w:val="列出段落11"/>
    <w:basedOn w:val="1"/>
    <w:qFormat/>
    <w:uiPriority w:val="34"/>
    <w:pPr>
      <w:ind w:firstLine="420" w:firstLineChars="200"/>
    </w:pPr>
    <w:rPr>
      <w:rFonts w:ascii="等线" w:hAnsi="等线" w:eastAsia="等线"/>
      <w:szCs w:val="22"/>
    </w:rPr>
  </w:style>
  <w:style w:type="paragraph" w:customStyle="1" w:styleId="27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74">
    <w:name w:val="Default"/>
    <w:link w:val="275"/>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75">
    <w:name w:val="Default Char"/>
    <w:link w:val="274"/>
    <w:qFormat/>
    <w:uiPriority w:val="0"/>
    <w:rPr>
      <w:rFonts w:ascii="宋体" w:cs="宋体"/>
      <w:color w:val="000000"/>
      <w:sz w:val="24"/>
      <w:szCs w:val="24"/>
    </w:rPr>
  </w:style>
  <w:style w:type="paragraph" w:customStyle="1" w:styleId="276">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77">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cs="宋体"/>
      <w:kern w:val="0"/>
      <w:sz w:val="20"/>
      <w:szCs w:val="20"/>
    </w:rPr>
  </w:style>
  <w:style w:type="paragraph" w:customStyle="1" w:styleId="278">
    <w:name w:val="五级条标题"/>
    <w:basedOn w:val="1"/>
    <w:qFormat/>
    <w:uiPriority w:val="99"/>
    <w:pPr>
      <w:numPr>
        <w:ilvl w:val="5"/>
        <w:numId w:val="31"/>
      </w:numPr>
      <w:tabs>
        <w:tab w:val="left" w:pos="2520"/>
      </w:tabs>
      <w:ind w:left="2520" w:hanging="420"/>
    </w:pPr>
    <w:rPr>
      <w:rFonts w:ascii="等线" w:hAnsi="等线" w:eastAsia="等线"/>
      <w:szCs w:val="22"/>
    </w:rPr>
  </w:style>
  <w:style w:type="paragraph" w:customStyle="1" w:styleId="279">
    <w:name w:val="样式 标题 3H3h3sect1.2.3HeadCHeading 3 - oldMapH31Level 3 To..."/>
    <w:basedOn w:val="5"/>
    <w:qFormat/>
    <w:uiPriority w:val="0"/>
    <w:pPr>
      <w:autoSpaceDE/>
      <w:autoSpaceDN/>
      <w:spacing w:before="120" w:after="120" w:line="300" w:lineRule="auto"/>
      <w:ind w:left="426"/>
      <w:textAlignment w:val="auto"/>
    </w:pPr>
    <w:rPr>
      <w:rFonts w:ascii="Times New Roman" w:hAnsi="Times New Roman" w:cs="宋体"/>
      <w:bCs/>
      <w:kern w:val="0"/>
      <w:sz w:val="24"/>
    </w:rPr>
  </w:style>
  <w:style w:type="paragraph" w:customStyle="1" w:styleId="28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8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right"/>
    </w:pPr>
    <w:rPr>
      <w:rFonts w:ascii="宋体" w:hAnsi="宋体" w:cs="宋体"/>
      <w:b/>
      <w:bCs/>
      <w:kern w:val="0"/>
      <w:sz w:val="20"/>
      <w:szCs w:val="20"/>
    </w:rPr>
  </w:style>
  <w:style w:type="paragraph" w:customStyle="1" w:styleId="28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8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84">
    <w:name w:val="四级条标题"/>
    <w:basedOn w:val="1"/>
    <w:qFormat/>
    <w:uiPriority w:val="99"/>
    <w:pPr>
      <w:numPr>
        <w:ilvl w:val="4"/>
        <w:numId w:val="31"/>
      </w:numPr>
      <w:tabs>
        <w:tab w:val="left" w:pos="2100"/>
      </w:tabs>
      <w:ind w:left="2100" w:hanging="420"/>
    </w:pPr>
    <w:rPr>
      <w:rFonts w:ascii="等线" w:hAnsi="等线" w:eastAsia="等线"/>
      <w:szCs w:val="22"/>
    </w:rPr>
  </w:style>
  <w:style w:type="paragraph" w:customStyle="1" w:styleId="28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7">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0"/>
      <w:szCs w:val="20"/>
    </w:rPr>
  </w:style>
  <w:style w:type="paragraph" w:customStyle="1" w:styleId="28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正文)" w:hAnsi="宋体" w:eastAsia="宋体 (正文)" w:cs="宋体"/>
      <w:kern w:val="0"/>
      <w:sz w:val="20"/>
      <w:szCs w:val="20"/>
    </w:rPr>
  </w:style>
  <w:style w:type="paragraph" w:customStyle="1" w:styleId="289">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9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1">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93">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pPr>
    <w:rPr>
      <w:rFonts w:ascii="宋体" w:hAnsi="宋体" w:cs="宋体"/>
      <w:b/>
      <w:bCs/>
      <w:kern w:val="0"/>
      <w:sz w:val="20"/>
      <w:szCs w:val="20"/>
    </w:rPr>
  </w:style>
  <w:style w:type="paragraph" w:customStyle="1" w:styleId="29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295">
    <w:name w:val="xl11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6">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97">
    <w:name w:val="H正文"/>
    <w:basedOn w:val="1"/>
    <w:link w:val="298"/>
    <w:qFormat/>
    <w:uiPriority w:val="0"/>
    <w:pPr>
      <w:adjustRightInd w:val="0"/>
      <w:spacing w:before="60" w:after="60" w:line="360" w:lineRule="auto"/>
      <w:ind w:firstLine="482"/>
      <w:textAlignment w:val="baseline"/>
    </w:pPr>
    <w:rPr>
      <w:kern w:val="0"/>
      <w:sz w:val="24"/>
      <w:szCs w:val="20"/>
    </w:rPr>
  </w:style>
  <w:style w:type="character" w:customStyle="1" w:styleId="298">
    <w:name w:val="H正文 Char"/>
    <w:link w:val="297"/>
    <w:qFormat/>
    <w:uiPriority w:val="0"/>
    <w:rPr>
      <w:sz w:val="24"/>
    </w:rPr>
  </w:style>
  <w:style w:type="paragraph" w:customStyle="1" w:styleId="29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正文)" w:hAnsi="宋体" w:eastAsia="宋体 (正文)" w:cs="宋体"/>
      <w:kern w:val="0"/>
      <w:sz w:val="20"/>
      <w:szCs w:val="20"/>
    </w:rPr>
  </w:style>
  <w:style w:type="paragraph" w:customStyle="1" w:styleId="300">
    <w:name w:val="可研正文"/>
    <w:basedOn w:val="1"/>
    <w:link w:val="301"/>
    <w:qFormat/>
    <w:uiPriority w:val="0"/>
    <w:pPr>
      <w:adjustRightInd w:val="0"/>
      <w:snapToGrid w:val="0"/>
      <w:spacing w:line="360" w:lineRule="auto"/>
      <w:ind w:firstLine="200" w:firstLineChars="200"/>
    </w:pPr>
    <w:rPr>
      <w:rFonts w:ascii="仿宋" w:hAnsi="仿宋" w:eastAsia="仿宋"/>
      <w:sz w:val="28"/>
      <w:szCs w:val="28"/>
    </w:rPr>
  </w:style>
  <w:style w:type="character" w:customStyle="1" w:styleId="301">
    <w:name w:val="可研正文 Char"/>
    <w:link w:val="300"/>
    <w:qFormat/>
    <w:uiPriority w:val="0"/>
    <w:rPr>
      <w:rFonts w:ascii="仿宋" w:hAnsi="仿宋" w:eastAsia="仿宋"/>
      <w:kern w:val="2"/>
      <w:sz w:val="28"/>
      <w:szCs w:val="28"/>
    </w:rPr>
  </w:style>
  <w:style w:type="paragraph" w:customStyle="1" w:styleId="302">
    <w:name w:val="表格"/>
    <w:basedOn w:val="1"/>
    <w:link w:val="303"/>
    <w:qFormat/>
    <w:uiPriority w:val="0"/>
    <w:pPr>
      <w:spacing w:beforeLines="50" w:afterLines="50"/>
    </w:pPr>
    <w:rPr>
      <w:rFonts w:ascii="宋体" w:hAnsi="宋体"/>
      <w:sz w:val="24"/>
      <w:lang w:val="zh-CN"/>
    </w:rPr>
  </w:style>
  <w:style w:type="character" w:customStyle="1" w:styleId="303">
    <w:name w:val="表格 字符"/>
    <w:link w:val="302"/>
    <w:qFormat/>
    <w:uiPriority w:val="0"/>
    <w:rPr>
      <w:rFonts w:ascii="宋体" w:hAnsi="宋体"/>
      <w:kern w:val="2"/>
      <w:sz w:val="24"/>
      <w:szCs w:val="24"/>
      <w:lang w:val="zh-CN"/>
    </w:rPr>
  </w:style>
  <w:style w:type="paragraph" w:customStyle="1" w:styleId="30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6">
    <w:name w:val="正文（绿盟科技）"/>
    <w:link w:val="307"/>
    <w:qFormat/>
    <w:uiPriority w:val="0"/>
    <w:pPr>
      <w:spacing w:line="300" w:lineRule="auto"/>
    </w:pPr>
    <w:rPr>
      <w:rFonts w:ascii="Times New Roman" w:hAnsi="Times New Roman" w:eastAsia="宋体" w:cs="Times New Roman"/>
      <w:szCs w:val="21"/>
      <w:lang w:val="en-US" w:eastAsia="zh-CN" w:bidi="ar-SA"/>
    </w:rPr>
  </w:style>
  <w:style w:type="character" w:customStyle="1" w:styleId="307">
    <w:name w:val="正文（绿盟科技） Char"/>
    <w:link w:val="306"/>
    <w:qFormat/>
    <w:uiPriority w:val="0"/>
    <w:rPr>
      <w:szCs w:val="21"/>
    </w:rPr>
  </w:style>
  <w:style w:type="paragraph" w:customStyle="1" w:styleId="308">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center"/>
    </w:pPr>
    <w:rPr>
      <w:rFonts w:ascii="宋体" w:hAnsi="宋体" w:cs="宋体"/>
      <w:b/>
      <w:bCs/>
      <w:kern w:val="0"/>
      <w:sz w:val="20"/>
      <w:szCs w:val="20"/>
    </w:rPr>
  </w:style>
  <w:style w:type="paragraph" w:customStyle="1" w:styleId="309">
    <w:name w:val="表头"/>
    <w:basedOn w:val="1"/>
    <w:link w:val="310"/>
    <w:qFormat/>
    <w:uiPriority w:val="99"/>
    <w:pPr>
      <w:spacing w:beforeLines="50" w:afterLines="50"/>
      <w:jc w:val="center"/>
    </w:pPr>
    <w:rPr>
      <w:rFonts w:ascii="宋体" w:hAnsi="宋体"/>
      <w:b/>
      <w:sz w:val="24"/>
    </w:rPr>
  </w:style>
  <w:style w:type="character" w:customStyle="1" w:styleId="310">
    <w:name w:val="表头 字符"/>
    <w:link w:val="309"/>
    <w:qFormat/>
    <w:uiPriority w:val="99"/>
    <w:rPr>
      <w:rFonts w:ascii="宋体" w:hAnsi="宋体"/>
      <w:b/>
      <w:kern w:val="2"/>
      <w:sz w:val="24"/>
      <w:szCs w:val="24"/>
    </w:rPr>
  </w:style>
  <w:style w:type="paragraph" w:customStyle="1" w:styleId="31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2">
    <w:name w:val="xl11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1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314">
    <w:name w:val="H正文三角"/>
    <w:basedOn w:val="297"/>
    <w:link w:val="315"/>
    <w:qFormat/>
    <w:uiPriority w:val="0"/>
    <w:pPr>
      <w:numPr>
        <w:ilvl w:val="0"/>
        <w:numId w:val="32"/>
      </w:numPr>
      <w:textAlignment w:val="auto"/>
    </w:pPr>
  </w:style>
  <w:style w:type="character" w:customStyle="1" w:styleId="315">
    <w:name w:val="H正文三角 Char"/>
    <w:link w:val="314"/>
    <w:qFormat/>
    <w:locked/>
    <w:uiPriority w:val="0"/>
    <w:rPr>
      <w:sz w:val="24"/>
    </w:rPr>
  </w:style>
  <w:style w:type="paragraph" w:customStyle="1" w:styleId="316">
    <w:name w:val="xl82"/>
    <w:basedOn w:val="1"/>
    <w:qFormat/>
    <w:uiPriority w:val="0"/>
    <w:pPr>
      <w:widowControl/>
      <w:spacing w:before="100" w:beforeAutospacing="1" w:after="100" w:afterAutospacing="1"/>
      <w:jc w:val="left"/>
    </w:pPr>
    <w:rPr>
      <w:rFonts w:ascii="宋体" w:hAnsi="宋体" w:cs="宋体"/>
      <w:kern w:val="0"/>
      <w:sz w:val="24"/>
    </w:rPr>
  </w:style>
  <w:style w:type="paragraph" w:customStyle="1" w:styleId="31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8">
    <w:name w:val="xl11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9">
    <w:name w:val="表名"/>
    <w:basedOn w:val="320"/>
    <w:link w:val="322"/>
    <w:qFormat/>
    <w:uiPriority w:val="0"/>
    <w:pPr>
      <w:keepNext/>
    </w:pPr>
  </w:style>
  <w:style w:type="paragraph" w:customStyle="1" w:styleId="320">
    <w:name w:val="图名"/>
    <w:basedOn w:val="16"/>
    <w:link w:val="321"/>
    <w:qFormat/>
    <w:uiPriority w:val="0"/>
    <w:pPr>
      <w:adjustRightInd w:val="0"/>
      <w:snapToGrid w:val="0"/>
      <w:spacing w:after="0" w:line="360" w:lineRule="auto"/>
    </w:pPr>
    <w:rPr>
      <w:rFonts w:ascii="等线" w:hAnsi="等线" w:eastAsia="黑体"/>
      <w:bCs w:val="0"/>
      <w:kern w:val="2"/>
      <w:sz w:val="21"/>
      <w:szCs w:val="22"/>
    </w:rPr>
  </w:style>
  <w:style w:type="character" w:customStyle="1" w:styleId="321">
    <w:name w:val="图名 字符"/>
    <w:link w:val="320"/>
    <w:qFormat/>
    <w:uiPriority w:val="0"/>
    <w:rPr>
      <w:rFonts w:ascii="等线" w:hAnsi="等线" w:eastAsia="黑体"/>
      <w:kern w:val="2"/>
      <w:sz w:val="21"/>
      <w:szCs w:val="22"/>
    </w:rPr>
  </w:style>
  <w:style w:type="character" w:customStyle="1" w:styleId="322">
    <w:name w:val="表名 字符"/>
    <w:link w:val="319"/>
    <w:qFormat/>
    <w:uiPriority w:val="0"/>
    <w:rPr>
      <w:rFonts w:ascii="等线" w:hAnsi="等线" w:eastAsia="黑体"/>
      <w:kern w:val="2"/>
      <w:sz w:val="21"/>
      <w:szCs w:val="22"/>
    </w:rPr>
  </w:style>
  <w:style w:type="paragraph" w:customStyle="1" w:styleId="323">
    <w:name w:val="H图标题"/>
    <w:basedOn w:val="1"/>
    <w:next w:val="1"/>
    <w:qFormat/>
    <w:uiPriority w:val="0"/>
    <w:pPr>
      <w:numPr>
        <w:ilvl w:val="0"/>
        <w:numId w:val="33"/>
      </w:numPr>
      <w:adjustRightInd w:val="0"/>
      <w:spacing w:before="60" w:after="120" w:line="360" w:lineRule="atLeast"/>
      <w:ind w:left="0" w:firstLine="0"/>
      <w:jc w:val="center"/>
    </w:pPr>
    <w:rPr>
      <w:rFonts w:eastAsia="黑体"/>
      <w:kern w:val="0"/>
      <w:szCs w:val="20"/>
    </w:rPr>
  </w:style>
  <w:style w:type="paragraph" w:customStyle="1" w:styleId="324">
    <w:name w:val="修订1"/>
    <w:qFormat/>
    <w:uiPriority w:val="0"/>
    <w:rPr>
      <w:rFonts w:ascii="Times New Roman" w:hAnsi="Times New Roman" w:eastAsia="仿宋_GB2312" w:cs="Times New Roman"/>
      <w:kern w:val="2"/>
      <w:sz w:val="28"/>
      <w:szCs w:val="24"/>
      <w:lang w:val="en-US" w:eastAsia="zh-CN" w:bidi="ar-SA"/>
    </w:rPr>
  </w:style>
  <w:style w:type="paragraph" w:customStyle="1" w:styleId="325">
    <w:name w:val="!正文"/>
    <w:basedOn w:val="1"/>
    <w:link w:val="326"/>
    <w:unhideWhenUsed/>
    <w:qFormat/>
    <w:uiPriority w:val="0"/>
    <w:pPr>
      <w:spacing w:line="360" w:lineRule="auto"/>
      <w:ind w:firstLine="480" w:firstLineChars="200"/>
      <w:jc w:val="center"/>
    </w:pPr>
    <w:rPr>
      <w:rFonts w:ascii="宋体" w:hAnsi="宋体"/>
      <w:szCs w:val="28"/>
    </w:rPr>
  </w:style>
  <w:style w:type="character" w:customStyle="1" w:styleId="326">
    <w:name w:val="!正文 Char"/>
    <w:link w:val="325"/>
    <w:qFormat/>
    <w:uiPriority w:val="0"/>
    <w:rPr>
      <w:rFonts w:ascii="宋体" w:hAnsi="宋体"/>
      <w:kern w:val="2"/>
      <w:sz w:val="21"/>
      <w:szCs w:val="28"/>
    </w:rPr>
  </w:style>
  <w:style w:type="paragraph" w:customStyle="1" w:styleId="327">
    <w:name w:val="序号正文"/>
    <w:basedOn w:val="114"/>
    <w:qFormat/>
    <w:uiPriority w:val="0"/>
    <w:pPr>
      <w:numPr>
        <w:ilvl w:val="0"/>
        <w:numId w:val="34"/>
      </w:numPr>
      <w:tabs>
        <w:tab w:val="left" w:pos="360"/>
      </w:tabs>
      <w:ind w:left="0" w:firstLine="0" w:firstLineChars="0"/>
    </w:pPr>
    <w:rPr>
      <w:rFonts w:hAnsi="Arial"/>
      <w:szCs w:val="20"/>
      <w:lang w:val="zh-CN"/>
    </w:rPr>
  </w:style>
  <w:style w:type="paragraph" w:customStyle="1" w:styleId="328">
    <w:name w:val="需求正文"/>
    <w:basedOn w:val="2"/>
    <w:link w:val="329"/>
    <w:qFormat/>
    <w:uiPriority w:val="0"/>
    <w:pPr>
      <w:widowControl/>
      <w:autoSpaceDE/>
      <w:autoSpaceDN/>
      <w:ind w:left="0" w:firstLine="0"/>
      <w:jc w:val="left"/>
    </w:pPr>
    <w:rPr>
      <w:kern w:val="0"/>
    </w:rPr>
  </w:style>
  <w:style w:type="character" w:customStyle="1" w:styleId="329">
    <w:name w:val="需求正文 Char"/>
    <w:link w:val="328"/>
    <w:qFormat/>
    <w:locked/>
    <w:uiPriority w:val="0"/>
    <w:rPr>
      <w:sz w:val="24"/>
    </w:rPr>
  </w:style>
  <w:style w:type="paragraph" w:customStyle="1" w:styleId="330">
    <w:name w:val="表格内容"/>
    <w:basedOn w:val="1"/>
    <w:qFormat/>
    <w:uiPriority w:val="0"/>
    <w:pPr>
      <w:widowControl/>
      <w:autoSpaceDE w:val="0"/>
      <w:autoSpaceDN w:val="0"/>
      <w:adjustRightInd w:val="0"/>
      <w:spacing w:before="60" w:line="300" w:lineRule="auto"/>
      <w:jc w:val="center"/>
      <w:textAlignment w:val="bottom"/>
    </w:pPr>
    <w:rPr>
      <w:kern w:val="0"/>
      <w:sz w:val="24"/>
      <w:szCs w:val="20"/>
    </w:rPr>
  </w:style>
  <w:style w:type="paragraph" w:styleId="331">
    <w:name w:val="No Spacing"/>
    <w:link w:val="332"/>
    <w:qFormat/>
    <w:uiPriority w:val="0"/>
    <w:pPr>
      <w:widowControl w:val="0"/>
      <w:jc w:val="both"/>
    </w:pPr>
    <w:rPr>
      <w:rFonts w:ascii="等线" w:hAnsi="等线" w:eastAsia="宋体" w:cs="Times New Roman"/>
      <w:kern w:val="2"/>
      <w:sz w:val="24"/>
      <w:szCs w:val="22"/>
      <w:lang w:val="en-US" w:eastAsia="zh-CN" w:bidi="ar-SA"/>
    </w:rPr>
  </w:style>
  <w:style w:type="character" w:customStyle="1" w:styleId="332">
    <w:name w:val="无间隔 Char"/>
    <w:link w:val="331"/>
    <w:qFormat/>
    <w:uiPriority w:val="0"/>
    <w:rPr>
      <w:rFonts w:ascii="等线" w:hAnsi="等线"/>
      <w:kern w:val="2"/>
      <w:sz w:val="24"/>
      <w:szCs w:val="22"/>
    </w:rPr>
  </w:style>
  <w:style w:type="paragraph" w:customStyle="1" w:styleId="333">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3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35">
    <w:name w:val="Table Paragraph"/>
    <w:basedOn w:val="1"/>
    <w:qFormat/>
    <w:uiPriority w:val="1"/>
    <w:pPr>
      <w:autoSpaceDE w:val="0"/>
      <w:autoSpaceDN w:val="0"/>
      <w:jc w:val="left"/>
    </w:pPr>
    <w:rPr>
      <w:rFonts w:ascii="Noto Sans CJK JP Regular" w:hAnsi="Noto Sans CJK JP Regular" w:eastAsia="Noto Sans CJK JP Regular" w:cs="Noto Sans CJK JP Regular"/>
      <w:kern w:val="0"/>
      <w:sz w:val="22"/>
      <w:szCs w:val="22"/>
      <w:lang w:eastAsia="en-US"/>
    </w:rPr>
  </w:style>
  <w:style w:type="paragraph" w:customStyle="1" w:styleId="336">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kern w:val="0"/>
      <w:sz w:val="20"/>
      <w:szCs w:val="20"/>
    </w:rPr>
  </w:style>
  <w:style w:type="paragraph" w:customStyle="1" w:styleId="337">
    <w:name w:val="_正文段落"/>
    <w:basedOn w:val="1"/>
    <w:link w:val="338"/>
    <w:qFormat/>
    <w:uiPriority w:val="0"/>
    <w:pPr>
      <w:spacing w:beforeLines="15" w:afterLines="30" w:line="360" w:lineRule="auto"/>
      <w:ind w:firstLine="200" w:firstLineChars="200"/>
    </w:pPr>
    <w:rPr>
      <w:kern w:val="0"/>
      <w:sz w:val="24"/>
    </w:rPr>
  </w:style>
  <w:style w:type="character" w:customStyle="1" w:styleId="338">
    <w:name w:val="_正文段落 Char"/>
    <w:link w:val="337"/>
    <w:qFormat/>
    <w:locked/>
    <w:uiPriority w:val="0"/>
    <w:rPr>
      <w:sz w:val="24"/>
      <w:szCs w:val="24"/>
    </w:rPr>
  </w:style>
  <w:style w:type="paragraph" w:customStyle="1" w:styleId="339">
    <w:name w:val="H表标题"/>
    <w:basedOn w:val="1"/>
    <w:next w:val="1"/>
    <w:qFormat/>
    <w:uiPriority w:val="0"/>
    <w:pPr>
      <w:tabs>
        <w:tab w:val="left" w:pos="680"/>
      </w:tabs>
      <w:adjustRightInd w:val="0"/>
      <w:spacing w:before="120" w:after="60" w:line="360" w:lineRule="atLeast"/>
      <w:jc w:val="center"/>
    </w:pPr>
    <w:rPr>
      <w:rFonts w:eastAsia="黑体"/>
      <w:kern w:val="0"/>
      <w:szCs w:val="20"/>
    </w:rPr>
  </w:style>
  <w:style w:type="paragraph" w:customStyle="1" w:styleId="34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1">
    <w:name w:val="H表格文字"/>
    <w:basedOn w:val="1"/>
    <w:qFormat/>
    <w:uiPriority w:val="0"/>
    <w:pPr>
      <w:adjustRightInd w:val="0"/>
      <w:spacing w:line="360" w:lineRule="auto"/>
      <w:jc w:val="center"/>
    </w:pPr>
    <w:rPr>
      <w:rFonts w:cs="宋体"/>
      <w:bCs/>
      <w:kern w:val="0"/>
      <w:sz w:val="24"/>
      <w:szCs w:val="20"/>
    </w:rPr>
  </w:style>
  <w:style w:type="paragraph" w:customStyle="1" w:styleId="342">
    <w:name w:val="a3"/>
    <w:basedOn w:val="1"/>
    <w:qFormat/>
    <w:uiPriority w:val="0"/>
    <w:pPr>
      <w:numPr>
        <w:ilvl w:val="2"/>
        <w:numId w:val="35"/>
      </w:numPr>
      <w:spacing w:line="360" w:lineRule="auto"/>
      <w:ind w:firstLine="200" w:firstLineChars="200"/>
    </w:pPr>
    <w:rPr>
      <w:sz w:val="24"/>
      <w:szCs w:val="21"/>
    </w:rPr>
  </w:style>
  <w:style w:type="paragraph" w:customStyle="1" w:styleId="34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44">
    <w:name w:val="H标题8"/>
    <w:basedOn w:val="297"/>
    <w:qFormat/>
    <w:uiPriority w:val="0"/>
    <w:pPr>
      <w:tabs>
        <w:tab w:val="left" w:pos="360"/>
      </w:tabs>
      <w:textAlignment w:val="auto"/>
    </w:pPr>
    <w:rPr>
      <w:b/>
    </w:rPr>
  </w:style>
  <w:style w:type="paragraph" w:customStyle="1" w:styleId="345">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right"/>
    </w:pPr>
    <w:rPr>
      <w:rFonts w:ascii="宋体" w:hAnsi="宋体" w:cs="宋体"/>
      <w:kern w:val="0"/>
      <w:sz w:val="20"/>
      <w:szCs w:val="20"/>
    </w:rPr>
  </w:style>
  <w:style w:type="paragraph" w:customStyle="1" w:styleId="346">
    <w:name w:val="H标题9"/>
    <w:basedOn w:val="297"/>
    <w:qFormat/>
    <w:uiPriority w:val="0"/>
    <w:pPr>
      <w:tabs>
        <w:tab w:val="left" w:pos="360"/>
      </w:tabs>
      <w:textAlignment w:val="auto"/>
    </w:pPr>
  </w:style>
  <w:style w:type="paragraph" w:customStyle="1" w:styleId="347">
    <w:name w:val="正文 缩进2字符"/>
    <w:basedOn w:val="1"/>
    <w:link w:val="348"/>
    <w:qFormat/>
    <w:uiPriority w:val="0"/>
    <w:pPr>
      <w:spacing w:afterLines="50" w:line="360" w:lineRule="auto"/>
      <w:ind w:firstLine="480" w:firstLineChars="200"/>
    </w:pPr>
    <w:rPr>
      <w:rFonts w:eastAsia="等线" w:cs="宋体"/>
      <w:sz w:val="24"/>
      <w:szCs w:val="20"/>
    </w:rPr>
  </w:style>
  <w:style w:type="character" w:customStyle="1" w:styleId="348">
    <w:name w:val="正文 缩进2字符 Char"/>
    <w:link w:val="347"/>
    <w:qFormat/>
    <w:uiPriority w:val="0"/>
    <w:rPr>
      <w:rFonts w:eastAsia="等线" w:cs="宋体"/>
      <w:kern w:val="2"/>
      <w:sz w:val="24"/>
    </w:rPr>
  </w:style>
  <w:style w:type="paragraph" w:customStyle="1" w:styleId="349">
    <w:name w:val="章标题"/>
    <w:next w:val="129"/>
    <w:qFormat/>
    <w:uiPriority w:val="0"/>
    <w:pPr>
      <w:numPr>
        <w:ilvl w:val="0"/>
        <w:numId w:val="31"/>
      </w:numPr>
      <w:snapToGrid w:val="0"/>
      <w:spacing w:beforeLines="100" w:afterLines="100"/>
      <w:jc w:val="both"/>
      <w:outlineLvl w:val="0"/>
    </w:pPr>
    <w:rPr>
      <w:rFonts w:ascii="黑体" w:hAnsi="Times New Roman" w:eastAsia="黑体" w:cs="Times New Roman"/>
      <w:sz w:val="21"/>
      <w:lang w:val="en-US" w:eastAsia="zh-CN" w:bidi="ar-SA"/>
    </w:rPr>
  </w:style>
  <w:style w:type="paragraph" w:customStyle="1" w:styleId="350">
    <w:name w:val="_Style 261"/>
    <w:semiHidden/>
    <w:qFormat/>
    <w:uiPriority w:val="99"/>
    <w:rPr>
      <w:rFonts w:ascii="Times New Roman" w:hAnsi="Times New Roman" w:eastAsia="宋体" w:cs="Times New Roman"/>
      <w:kern w:val="2"/>
      <w:sz w:val="24"/>
      <w:lang w:val="en-US" w:eastAsia="zh-CN" w:bidi="ar-SA"/>
    </w:rPr>
  </w:style>
  <w:style w:type="paragraph" w:customStyle="1" w:styleId="351">
    <w:name w:val="一级条标题"/>
    <w:next w:val="129"/>
    <w:link w:val="352"/>
    <w:qFormat/>
    <w:uiPriority w:val="99"/>
    <w:pPr>
      <w:numPr>
        <w:ilvl w:val="1"/>
        <w:numId w:val="31"/>
      </w:numPr>
      <w:adjustRightInd w:val="0"/>
      <w:snapToGrid w:val="0"/>
      <w:spacing w:beforeLines="50" w:afterLines="50"/>
      <w:outlineLvl w:val="1"/>
    </w:pPr>
    <w:rPr>
      <w:rFonts w:ascii="Times New Roman" w:hAnsi="Times New Roman" w:eastAsia="黑体" w:cs="Times New Roman"/>
      <w:sz w:val="21"/>
      <w:lang w:val="en-US" w:eastAsia="zh-CN" w:bidi="ar-SA"/>
    </w:rPr>
  </w:style>
  <w:style w:type="character" w:customStyle="1" w:styleId="352">
    <w:name w:val="一级条标题 Char Char"/>
    <w:link w:val="351"/>
    <w:qFormat/>
    <w:uiPriority w:val="99"/>
    <w:rPr>
      <w:rFonts w:eastAsia="黑体"/>
      <w:sz w:val="21"/>
    </w:rPr>
  </w:style>
  <w:style w:type="paragraph" w:customStyle="1" w:styleId="353">
    <w:name w:val="三级条标题"/>
    <w:basedOn w:val="1"/>
    <w:qFormat/>
    <w:uiPriority w:val="0"/>
    <w:pPr>
      <w:numPr>
        <w:ilvl w:val="3"/>
        <w:numId w:val="31"/>
      </w:numPr>
      <w:tabs>
        <w:tab w:val="left" w:pos="1680"/>
      </w:tabs>
      <w:ind w:left="1680" w:hanging="420"/>
    </w:pPr>
    <w:rPr>
      <w:rFonts w:ascii="等线" w:hAnsi="等线" w:eastAsia="等线"/>
      <w:szCs w:val="22"/>
    </w:rPr>
  </w:style>
  <w:style w:type="paragraph" w:customStyle="1" w:styleId="354">
    <w:name w:val="二级采标题"/>
    <w:next w:val="129"/>
    <w:link w:val="355"/>
    <w:qFormat/>
    <w:uiPriority w:val="0"/>
    <w:pPr>
      <w:numPr>
        <w:ilvl w:val="2"/>
        <w:numId w:val="31"/>
      </w:numPr>
      <w:snapToGrid w:val="0"/>
      <w:spacing w:beforeLines="50" w:afterLines="50"/>
    </w:pPr>
    <w:rPr>
      <w:rFonts w:ascii="等线" w:hAnsi="等线" w:eastAsia="等线" w:cs="Times New Roman"/>
      <w:kern w:val="2"/>
      <w:sz w:val="21"/>
      <w:szCs w:val="22"/>
      <w:lang w:val="en-US" w:eastAsia="zh-CN" w:bidi="ar-SA"/>
    </w:rPr>
  </w:style>
  <w:style w:type="character" w:customStyle="1" w:styleId="355">
    <w:name w:val="二级采标题 字符"/>
    <w:link w:val="354"/>
    <w:qFormat/>
    <w:uiPriority w:val="0"/>
    <w:rPr>
      <w:rFonts w:ascii="等线" w:hAnsi="等线" w:eastAsia="等线"/>
      <w:kern w:val="2"/>
      <w:sz w:val="21"/>
      <w:szCs w:val="22"/>
    </w:rPr>
  </w:style>
  <w:style w:type="paragraph" w:customStyle="1" w:styleId="356">
    <w:name w:val="样式 标题 2 + 行距: 多倍行距 1.73 字行"/>
    <w:basedOn w:val="3"/>
    <w:qFormat/>
    <w:uiPriority w:val="0"/>
    <w:pPr>
      <w:pageBreakBefore/>
      <w:numPr>
        <w:ilvl w:val="0"/>
        <w:numId w:val="36"/>
      </w:numPr>
      <w:pBdr>
        <w:bottom w:val="single" w:color="1A5290" w:sz="36" w:space="1"/>
      </w:pBdr>
      <w:adjustRightInd w:val="0"/>
      <w:spacing w:before="340" w:after="330" w:line="416" w:lineRule="auto"/>
      <w:ind w:left="432" w:hanging="432"/>
      <w:jc w:val="left"/>
      <w:textAlignment w:val="auto"/>
    </w:pPr>
    <w:rPr>
      <w:rFonts w:ascii="Times New Roman" w:hAnsi="Times New Roman" w:eastAsia="黑体" w:cs="宋体"/>
      <w:b w:val="0"/>
      <w:bCs/>
      <w:kern w:val="44"/>
      <w:sz w:val="36"/>
      <w:szCs w:val="20"/>
    </w:rPr>
  </w:style>
  <w:style w:type="paragraph" w:customStyle="1" w:styleId="357">
    <w:name w:val="标题 3（绿盟科技）"/>
    <w:basedOn w:val="5"/>
    <w:next w:val="1"/>
    <w:qFormat/>
    <w:uiPriority w:val="0"/>
    <w:pPr>
      <w:numPr>
        <w:ilvl w:val="2"/>
        <w:numId w:val="36"/>
      </w:numPr>
      <w:tabs>
        <w:tab w:val="left" w:pos="960"/>
      </w:tabs>
      <w:autoSpaceDE/>
      <w:autoSpaceDN/>
      <w:adjustRightInd/>
      <w:spacing w:before="120" w:after="0" w:line="415" w:lineRule="auto"/>
      <w:ind w:left="720" w:hanging="720"/>
      <w:textAlignment w:val="auto"/>
    </w:pPr>
    <w:rPr>
      <w:rFonts w:ascii="Arial"/>
      <w:kern w:val="0"/>
      <w:sz w:val="30"/>
      <w:szCs w:val="30"/>
    </w:rPr>
  </w:style>
  <w:style w:type="paragraph" w:customStyle="1" w:styleId="35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cs="宋体"/>
      <w:b/>
      <w:bCs/>
      <w:kern w:val="0"/>
      <w:sz w:val="20"/>
      <w:szCs w:val="20"/>
    </w:rPr>
  </w:style>
  <w:style w:type="paragraph" w:customStyle="1" w:styleId="360">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cs="宋体"/>
      <w:kern w:val="0"/>
      <w:sz w:val="20"/>
      <w:szCs w:val="20"/>
    </w:rPr>
  </w:style>
  <w:style w:type="paragraph" w:customStyle="1" w:styleId="361">
    <w:name w:val="xl8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62">
    <w:name w:val="xl66"/>
    <w:basedOn w:val="1"/>
    <w:qFormat/>
    <w:uiPriority w:val="0"/>
    <w:pPr>
      <w:widowControl/>
      <w:spacing w:before="100" w:beforeAutospacing="1" w:after="100" w:afterAutospacing="1"/>
      <w:jc w:val="left"/>
    </w:pPr>
    <w:rPr>
      <w:rFonts w:ascii="宋体" w:hAnsi="宋体" w:cs="宋体"/>
      <w:kern w:val="0"/>
      <w:sz w:val="24"/>
    </w:rPr>
  </w:style>
  <w:style w:type="paragraph" w:customStyle="1" w:styleId="36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宋体" w:hAnsi="宋体" w:cs="宋体"/>
      <w:b/>
      <w:bCs/>
      <w:kern w:val="0"/>
      <w:sz w:val="20"/>
      <w:szCs w:val="20"/>
    </w:rPr>
  </w:style>
  <w:style w:type="paragraph" w:customStyle="1" w:styleId="364">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right"/>
    </w:pPr>
    <w:rPr>
      <w:rFonts w:ascii="宋体" w:hAnsi="宋体" w:cs="宋体"/>
      <w:b/>
      <w:bCs/>
      <w:kern w:val="0"/>
      <w:sz w:val="20"/>
      <w:szCs w:val="20"/>
    </w:rPr>
  </w:style>
  <w:style w:type="paragraph" w:customStyle="1" w:styleId="36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20"/>
      <w:szCs w:val="20"/>
    </w:rPr>
  </w:style>
  <w:style w:type="paragraph" w:customStyle="1" w:styleId="366">
    <w:name w:val="xl11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6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6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69">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left"/>
    </w:pPr>
    <w:rPr>
      <w:rFonts w:ascii="宋体" w:hAnsi="宋体" w:cs="宋体"/>
      <w:kern w:val="0"/>
      <w:sz w:val="20"/>
      <w:szCs w:val="20"/>
    </w:rPr>
  </w:style>
  <w:style w:type="paragraph" w:customStyle="1" w:styleId="370">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left"/>
    </w:pPr>
    <w:rPr>
      <w:rFonts w:ascii="宋体" w:hAnsi="宋体" w:cs="宋体"/>
      <w:kern w:val="0"/>
      <w:sz w:val="20"/>
      <w:szCs w:val="20"/>
    </w:rPr>
  </w:style>
  <w:style w:type="paragraph" w:customStyle="1" w:styleId="371">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left"/>
    </w:pPr>
    <w:rPr>
      <w:rFonts w:ascii="宋体" w:hAnsi="宋体" w:cs="宋体"/>
      <w:kern w:val="0"/>
      <w:sz w:val="20"/>
      <w:szCs w:val="20"/>
    </w:rPr>
  </w:style>
  <w:style w:type="paragraph" w:customStyle="1" w:styleId="372">
    <w:name w:val="二级条标题"/>
    <w:basedOn w:val="351"/>
    <w:next w:val="129"/>
    <w:link w:val="373"/>
    <w:qFormat/>
    <w:uiPriority w:val="0"/>
    <w:pPr>
      <w:numPr>
        <w:ilvl w:val="0"/>
        <w:numId w:val="0"/>
      </w:numPr>
      <w:adjustRightInd/>
      <w:snapToGrid/>
      <w:spacing w:beforeLines="0" w:afterLines="0"/>
      <w:outlineLvl w:val="3"/>
    </w:pPr>
  </w:style>
  <w:style w:type="character" w:customStyle="1" w:styleId="373">
    <w:name w:val="二级条标题 Char Char"/>
    <w:link w:val="372"/>
    <w:qFormat/>
    <w:uiPriority w:val="0"/>
    <w:rPr>
      <w:rFonts w:eastAsia="黑体"/>
      <w:sz w:val="21"/>
    </w:rPr>
  </w:style>
  <w:style w:type="paragraph" w:customStyle="1" w:styleId="374">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375">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76">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77">
    <w:name w:val="xl11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78">
    <w:name w:val="xl11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79">
    <w:name w:val="xiaxh正文"/>
    <w:basedOn w:val="1"/>
    <w:link w:val="380"/>
    <w:qFormat/>
    <w:uiPriority w:val="0"/>
    <w:pPr>
      <w:spacing w:line="360" w:lineRule="auto"/>
      <w:ind w:firstLine="200" w:firstLineChars="200"/>
    </w:pPr>
    <w:rPr>
      <w:rFonts w:eastAsia="等线" w:cs="宋体"/>
      <w:sz w:val="24"/>
      <w:szCs w:val="20"/>
    </w:rPr>
  </w:style>
  <w:style w:type="character" w:customStyle="1" w:styleId="380">
    <w:name w:val="xiaxh正文 字符"/>
    <w:link w:val="379"/>
    <w:qFormat/>
    <w:uiPriority w:val="0"/>
    <w:rPr>
      <w:rFonts w:eastAsia="等线" w:cs="宋体"/>
      <w:kern w:val="2"/>
      <w:sz w:val="24"/>
    </w:rPr>
  </w:style>
  <w:style w:type="character" w:customStyle="1" w:styleId="381">
    <w:name w:val="articleitemtext1"/>
    <w:qFormat/>
    <w:uiPriority w:val="0"/>
    <w:rPr>
      <w:color w:val="000000"/>
      <w:sz w:val="18"/>
      <w:szCs w:val="18"/>
    </w:rPr>
  </w:style>
  <w:style w:type="character" w:customStyle="1" w:styleId="382">
    <w:name w:val="题注 Char1"/>
    <w:qFormat/>
    <w:locked/>
    <w:uiPriority w:val="0"/>
    <w:rPr>
      <w:rFonts w:ascii="宋体" w:hAnsi="宋体"/>
      <w:bCs/>
      <w:sz w:val="24"/>
      <w:szCs w:val="52"/>
    </w:rPr>
  </w:style>
  <w:style w:type="character" w:customStyle="1" w:styleId="383">
    <w:name w:val="纯文本 Char2"/>
    <w:qFormat/>
    <w:uiPriority w:val="0"/>
    <w:rPr>
      <w:rFonts w:ascii="宋体" w:hAnsi="Courier New" w:eastAsia="宋体"/>
      <w:spacing w:val="-8"/>
      <w:kern w:val="2"/>
      <w:sz w:val="24"/>
      <w:lang w:val="en-US" w:eastAsia="zh-CN" w:bidi="ar-SA"/>
    </w:rPr>
  </w:style>
  <w:style w:type="character" w:customStyle="1" w:styleId="384">
    <w:name w:val="bord3"/>
    <w:basedOn w:val="55"/>
    <w:qFormat/>
    <w:uiPriority w:val="0"/>
  </w:style>
  <w:style w:type="character" w:customStyle="1" w:styleId="385">
    <w:name w:val="_Style 296"/>
    <w:unhideWhenUsed/>
    <w:qFormat/>
    <w:uiPriority w:val="99"/>
    <w:rPr>
      <w:color w:val="605E5C"/>
      <w:shd w:val="clear" w:color="auto" w:fill="E1DFDD"/>
    </w:rPr>
  </w:style>
  <w:style w:type="character" w:customStyle="1" w:styleId="386">
    <w:name w:val="页眉 Char1"/>
    <w:qFormat/>
    <w:uiPriority w:val="99"/>
    <w:rPr>
      <w:rFonts w:eastAsia="宋体"/>
      <w:kern w:val="2"/>
      <w:sz w:val="18"/>
      <w:szCs w:val="18"/>
      <w:lang w:val="en-US" w:eastAsia="zh-CN" w:bidi="ar-SA"/>
    </w:rPr>
  </w:style>
  <w:style w:type="character" w:customStyle="1" w:styleId="387">
    <w:name w:val="列表段落 字符"/>
    <w:qFormat/>
    <w:uiPriority w:val="0"/>
    <w:rPr>
      <w:rFonts w:ascii="宋体" w:hAnsi="宋体"/>
      <w:kern w:val="2"/>
      <w:sz w:val="24"/>
    </w:rPr>
  </w:style>
  <w:style w:type="character" w:customStyle="1" w:styleId="388">
    <w:name w:val="页脚 Char1"/>
    <w:qFormat/>
    <w:uiPriority w:val="99"/>
    <w:rPr>
      <w:rFonts w:eastAsia="宋体"/>
      <w:kern w:val="2"/>
      <w:sz w:val="18"/>
      <w:szCs w:val="18"/>
      <w:lang w:val="en-US" w:eastAsia="zh-CN" w:bidi="ar-SA"/>
    </w:rPr>
  </w:style>
  <w:style w:type="character" w:customStyle="1" w:styleId="389">
    <w:name w:val="批注框文本 Char1"/>
    <w:qFormat/>
    <w:uiPriority w:val="0"/>
    <w:rPr>
      <w:kern w:val="2"/>
      <w:sz w:val="18"/>
      <w:szCs w:val="18"/>
    </w:rPr>
  </w:style>
  <w:style w:type="character" w:customStyle="1" w:styleId="390">
    <w:name w:val="Char Char1"/>
    <w:qFormat/>
    <w:uiPriority w:val="0"/>
    <w:rPr>
      <w:rFonts w:eastAsia="宋体"/>
      <w:kern w:val="2"/>
      <w:sz w:val="18"/>
      <w:szCs w:val="18"/>
      <w:lang w:val="en-US" w:eastAsia="zh-CN" w:bidi="ar-SA"/>
    </w:rPr>
  </w:style>
  <w:style w:type="character" w:customStyle="1" w:styleId="391">
    <w:name w:val="标题 5 字符2"/>
    <w:qFormat/>
    <w:uiPriority w:val="0"/>
    <w:rPr>
      <w:rFonts w:ascii="Calibri" w:hAnsi="Calibri"/>
      <w:b/>
      <w:kern w:val="2"/>
      <w:sz w:val="24"/>
    </w:rPr>
  </w:style>
  <w:style w:type="character" w:customStyle="1" w:styleId="392">
    <w:name w:val="标题 8 Char1"/>
    <w:qFormat/>
    <w:uiPriority w:val="0"/>
    <w:rPr>
      <w:rFonts w:ascii="Arial" w:hAnsi="Arial" w:eastAsia="黑体"/>
      <w:kern w:val="2"/>
      <w:sz w:val="24"/>
    </w:rPr>
  </w:style>
  <w:style w:type="character" w:customStyle="1" w:styleId="393">
    <w:name w:val="标题 2 字符2"/>
    <w:qFormat/>
    <w:uiPriority w:val="0"/>
    <w:rPr>
      <w:rFonts w:ascii="Cambria" w:hAnsi="Cambria" w:eastAsia="黑体"/>
      <w:kern w:val="2"/>
      <w:sz w:val="36"/>
    </w:rPr>
  </w:style>
  <w:style w:type="character" w:customStyle="1" w:styleId="394">
    <w:name w:val="ca-110"/>
    <w:qFormat/>
    <w:uiPriority w:val="0"/>
    <w:rPr>
      <w:rFonts w:hint="eastAsia" w:ascii="宋体" w:hAnsi="宋体" w:eastAsia="宋体"/>
      <w:b/>
      <w:bCs/>
      <w:spacing w:val="-20"/>
      <w:sz w:val="21"/>
      <w:szCs w:val="21"/>
    </w:rPr>
  </w:style>
  <w:style w:type="character" w:customStyle="1" w:styleId="395">
    <w:name w:val="Char Char6"/>
    <w:semiHidden/>
    <w:qFormat/>
    <w:uiPriority w:val="0"/>
    <w:rPr>
      <w:rFonts w:ascii="宋体" w:hAnsi="Courier New" w:eastAsia="宋体"/>
      <w:spacing w:val="-8"/>
      <w:kern w:val="2"/>
      <w:sz w:val="24"/>
      <w:lang w:val="en-US" w:eastAsia="zh-CN" w:bidi="ar-SA"/>
    </w:rPr>
  </w:style>
  <w:style w:type="character" w:customStyle="1" w:styleId="396">
    <w:name w:val="标题 7 字符2"/>
    <w:qFormat/>
    <w:uiPriority w:val="0"/>
    <w:rPr>
      <w:rFonts w:ascii="Calibri" w:hAnsi="Calibri" w:eastAsia="仿宋"/>
      <w:b/>
      <w:kern w:val="2"/>
      <w:sz w:val="24"/>
    </w:rPr>
  </w:style>
  <w:style w:type="character" w:customStyle="1" w:styleId="397">
    <w:name w:val="标题 7 Char1"/>
    <w:qFormat/>
    <w:uiPriority w:val="0"/>
    <w:rPr>
      <w:b/>
      <w:kern w:val="2"/>
      <w:sz w:val="24"/>
    </w:rPr>
  </w:style>
  <w:style w:type="character" w:customStyle="1" w:styleId="398">
    <w:name w:val="标题 4 字符2"/>
    <w:qFormat/>
    <w:uiPriority w:val="0"/>
    <w:rPr>
      <w:rFonts w:ascii="Cambria" w:hAnsi="Cambria"/>
      <w:b/>
      <w:kern w:val="2"/>
      <w:sz w:val="28"/>
    </w:rPr>
  </w:style>
  <w:style w:type="character" w:customStyle="1" w:styleId="399">
    <w:name w:val="标题 5 Char1"/>
    <w:qFormat/>
    <w:uiPriority w:val="99"/>
    <w:rPr>
      <w:b/>
      <w:kern w:val="2"/>
      <w:sz w:val="28"/>
    </w:rPr>
  </w:style>
  <w:style w:type="character" w:customStyle="1" w:styleId="400">
    <w:name w:val="标题 6 Char1"/>
    <w:qFormat/>
    <w:uiPriority w:val="9"/>
    <w:rPr>
      <w:rFonts w:ascii="Arial" w:hAnsi="Arial" w:eastAsia="黑体"/>
      <w:b/>
      <w:kern w:val="2"/>
      <w:sz w:val="24"/>
    </w:rPr>
  </w:style>
  <w:style w:type="character" w:customStyle="1" w:styleId="401">
    <w:name w:val="标题 6 字符2"/>
    <w:qFormat/>
    <w:uiPriority w:val="0"/>
    <w:rPr>
      <w:rFonts w:ascii="Cambria" w:hAnsi="Cambria"/>
      <w:b/>
      <w:kern w:val="2"/>
      <w:sz w:val="24"/>
    </w:rPr>
  </w:style>
  <w:style w:type="character" w:customStyle="1" w:styleId="402">
    <w:name w:val="正文文本缩进 2 Char"/>
    <w:qFormat/>
    <w:uiPriority w:val="0"/>
    <w:rPr>
      <w:kern w:val="2"/>
      <w:sz w:val="21"/>
    </w:rPr>
  </w:style>
  <w:style w:type="character" w:customStyle="1" w:styleId="403">
    <w:name w:val="题注 字符1"/>
    <w:semiHidden/>
    <w:qFormat/>
    <w:locked/>
    <w:uiPriority w:val="99"/>
    <w:rPr>
      <w:rFonts w:ascii="等线 Light" w:hAnsi="等线 Light" w:eastAsia="黑体"/>
      <w:kern w:val="2"/>
      <w:sz w:val="24"/>
      <w:szCs w:val="24"/>
    </w:rPr>
  </w:style>
  <w:style w:type="character" w:customStyle="1" w:styleId="404">
    <w:name w:val="Char Char4"/>
    <w:qFormat/>
    <w:uiPriority w:val="0"/>
    <w:rPr>
      <w:rFonts w:eastAsia="宋体"/>
      <w:kern w:val="2"/>
      <w:sz w:val="21"/>
      <w:lang w:val="en-US" w:eastAsia="zh-CN" w:bidi="ar-SA"/>
    </w:rPr>
  </w:style>
  <w:style w:type="character" w:customStyle="1" w:styleId="405">
    <w:name w:val="标题 2 Char1"/>
    <w:qFormat/>
    <w:uiPriority w:val="9"/>
    <w:rPr>
      <w:rFonts w:ascii="Arial" w:hAnsi="Arial" w:eastAsia="黑体"/>
      <w:b/>
      <w:spacing w:val="24"/>
      <w:sz w:val="24"/>
    </w:rPr>
  </w:style>
  <w:style w:type="character" w:customStyle="1" w:styleId="406">
    <w:name w:val="正文文本 Char1"/>
    <w:qFormat/>
    <w:uiPriority w:val="0"/>
    <w:rPr>
      <w:rFonts w:eastAsia="宋体"/>
      <w:sz w:val="21"/>
      <w:lang w:val="en-US" w:eastAsia="zh-CN" w:bidi="ar-SA"/>
    </w:rPr>
  </w:style>
  <w:style w:type="character" w:customStyle="1" w:styleId="407">
    <w:name w:val="纯文本 Char"/>
    <w:link w:val="408"/>
    <w:qFormat/>
    <w:uiPriority w:val="0"/>
    <w:rPr>
      <w:rFonts w:ascii="宋体" w:hAnsi="Courier New"/>
      <w:spacing w:val="-8"/>
      <w:kern w:val="2"/>
      <w:sz w:val="24"/>
    </w:rPr>
  </w:style>
  <w:style w:type="paragraph" w:customStyle="1" w:styleId="408">
    <w:name w:val="纯文本1"/>
    <w:basedOn w:val="1"/>
    <w:link w:val="407"/>
    <w:semiHidden/>
    <w:qFormat/>
    <w:uiPriority w:val="0"/>
    <w:pPr>
      <w:ind w:firstLine="200" w:firstLineChars="200"/>
    </w:pPr>
    <w:rPr>
      <w:rFonts w:ascii="宋体" w:hAnsi="Courier New"/>
      <w:spacing w:val="-8"/>
      <w:sz w:val="24"/>
      <w:szCs w:val="20"/>
    </w:rPr>
  </w:style>
  <w:style w:type="character" w:customStyle="1" w:styleId="409">
    <w:name w:val="正文文本首行缩进 2 字符"/>
    <w:link w:val="410"/>
    <w:qFormat/>
    <w:uiPriority w:val="0"/>
  </w:style>
  <w:style w:type="paragraph" w:customStyle="1" w:styleId="410">
    <w:name w:val="正文文本首行缩进 21"/>
    <w:basedOn w:val="22"/>
    <w:link w:val="409"/>
    <w:semiHidden/>
    <w:qFormat/>
    <w:uiPriority w:val="0"/>
    <w:pPr>
      <w:autoSpaceDE/>
      <w:autoSpaceDN/>
      <w:spacing w:beforeLines="50" w:after="120"/>
      <w:ind w:left="420" w:leftChars="200" w:firstLine="420" w:firstLineChars="200"/>
      <w:jc w:val="left"/>
    </w:pPr>
    <w:rPr>
      <w:kern w:val="0"/>
    </w:rPr>
  </w:style>
  <w:style w:type="character" w:customStyle="1" w:styleId="411">
    <w:name w:val="正文缩进 Char1"/>
    <w:qFormat/>
    <w:locked/>
    <w:uiPriority w:val="99"/>
    <w:rPr>
      <w:kern w:val="2"/>
      <w:sz w:val="24"/>
    </w:rPr>
  </w:style>
  <w:style w:type="character" w:customStyle="1" w:styleId="412">
    <w:name w:val="标题 2 字符3"/>
    <w:semiHidden/>
    <w:qFormat/>
    <w:locked/>
    <w:uiPriority w:val="0"/>
    <w:rPr>
      <w:rFonts w:ascii="黑体" w:hAnsi="黑体" w:eastAsia="黑体" w:cs="宋体"/>
      <w:bCs/>
      <w:color w:val="000000"/>
      <w:kern w:val="2"/>
      <w:sz w:val="36"/>
      <w:szCs w:val="36"/>
    </w:rPr>
  </w:style>
  <w:style w:type="character" w:customStyle="1" w:styleId="413">
    <w:name w:val="批注文字 Char2"/>
    <w:qFormat/>
    <w:uiPriority w:val="99"/>
    <w:rPr>
      <w:kern w:val="2"/>
      <w:sz w:val="21"/>
      <w:szCs w:val="24"/>
    </w:rPr>
  </w:style>
  <w:style w:type="character" w:customStyle="1" w:styleId="414">
    <w:name w:val="标题 3 字符2"/>
    <w:qFormat/>
    <w:uiPriority w:val="0"/>
    <w:rPr>
      <w:rFonts w:ascii="Calibri" w:hAnsi="Calibri" w:eastAsia="黑体"/>
      <w:kern w:val="2"/>
      <w:sz w:val="32"/>
    </w:rPr>
  </w:style>
  <w:style w:type="character" w:customStyle="1" w:styleId="415">
    <w:name w:val="标题 9 Char1"/>
    <w:qFormat/>
    <w:uiPriority w:val="0"/>
    <w:rPr>
      <w:rFonts w:ascii="Arial" w:hAnsi="Arial" w:eastAsia="黑体"/>
      <w:kern w:val="2"/>
      <w:sz w:val="21"/>
    </w:rPr>
  </w:style>
  <w:style w:type="character" w:customStyle="1" w:styleId="416">
    <w:name w:val="批注主题 Char1"/>
    <w:qFormat/>
    <w:uiPriority w:val="0"/>
    <w:rPr>
      <w:b/>
      <w:bCs/>
      <w:kern w:val="2"/>
      <w:sz w:val="21"/>
      <w:szCs w:val="24"/>
    </w:rPr>
  </w:style>
  <w:style w:type="character" w:customStyle="1" w:styleId="417">
    <w:name w:val="题注 Char"/>
    <w:qFormat/>
    <w:locked/>
    <w:uiPriority w:val="35"/>
    <w:rPr>
      <w:rFonts w:ascii="宋体" w:hAnsi="宋体"/>
      <w:bCs/>
      <w:sz w:val="24"/>
      <w:szCs w:val="52"/>
    </w:rPr>
  </w:style>
  <w:style w:type="character" w:customStyle="1" w:styleId="418">
    <w:name w:val="页眉 Char"/>
    <w:qFormat/>
    <w:uiPriority w:val="99"/>
    <w:rPr>
      <w:kern w:val="2"/>
      <w:sz w:val="18"/>
      <w:szCs w:val="18"/>
    </w:rPr>
  </w:style>
  <w:style w:type="character" w:customStyle="1" w:styleId="419">
    <w:name w:val="普通文字 Char Char1"/>
    <w:semiHidden/>
    <w:qFormat/>
    <w:uiPriority w:val="0"/>
    <w:rPr>
      <w:rFonts w:ascii="宋体" w:hAnsi="Courier New" w:eastAsia="宋体"/>
      <w:spacing w:val="-8"/>
      <w:kern w:val="2"/>
      <w:sz w:val="24"/>
      <w:lang w:val="en-US" w:eastAsia="zh-CN" w:bidi="ar-SA"/>
    </w:rPr>
  </w:style>
  <w:style w:type="character" w:customStyle="1" w:styleId="420">
    <w:name w:val="页脚 Char"/>
    <w:qFormat/>
    <w:uiPriority w:val="99"/>
    <w:rPr>
      <w:kern w:val="2"/>
      <w:sz w:val="18"/>
      <w:szCs w:val="18"/>
    </w:rPr>
  </w:style>
  <w:style w:type="character" w:customStyle="1" w:styleId="421">
    <w:name w:val="标题 2 字符1"/>
    <w:semiHidden/>
    <w:qFormat/>
    <w:uiPriority w:val="9"/>
    <w:rPr>
      <w:rFonts w:ascii="Calibri Light" w:hAnsi="Calibri Light" w:eastAsia="宋体" w:cs="Times New Roman"/>
      <w:b/>
      <w:bCs/>
      <w:kern w:val="2"/>
      <w:sz w:val="32"/>
      <w:szCs w:val="32"/>
    </w:rPr>
  </w:style>
  <w:style w:type="character" w:customStyle="1" w:styleId="422">
    <w:name w:val="标题 1 Char1"/>
    <w:qFormat/>
    <w:uiPriority w:val="0"/>
    <w:rPr>
      <w:rFonts w:ascii="宋体" w:hAnsi="宋体" w:eastAsia="宋体" w:cs="Arial"/>
      <w:b/>
      <w:kern w:val="2"/>
      <w:sz w:val="44"/>
      <w:szCs w:val="44"/>
      <w:lang w:val="en-US" w:eastAsia="zh-CN" w:bidi="ar-SA"/>
    </w:rPr>
  </w:style>
  <w:style w:type="character" w:customStyle="1" w:styleId="423">
    <w:name w:val="未处理的提及1"/>
    <w:unhideWhenUsed/>
    <w:qFormat/>
    <w:uiPriority w:val="99"/>
    <w:rPr>
      <w:color w:val="605E5C"/>
      <w:shd w:val="clear" w:color="auto" w:fill="E1DFDD"/>
    </w:rPr>
  </w:style>
  <w:style w:type="character" w:customStyle="1" w:styleId="424">
    <w:name w:val="标题 3 Char1"/>
    <w:qFormat/>
    <w:uiPriority w:val="0"/>
    <w:rPr>
      <w:rFonts w:ascii="宋体" w:hAnsi="Arial" w:eastAsia="宋体"/>
      <w:b/>
      <w:kern w:val="2"/>
      <w:sz w:val="28"/>
      <w:lang w:val="en-US" w:eastAsia="zh-CN" w:bidi="ar-SA"/>
    </w:rPr>
  </w:style>
  <w:style w:type="character" w:customStyle="1" w:styleId="425">
    <w:name w:val="标题 4 Char1"/>
    <w:qFormat/>
    <w:uiPriority w:val="99"/>
    <w:rPr>
      <w:rFonts w:ascii="Arial" w:hAnsi="Arial" w:eastAsia="黑体"/>
      <w:b/>
      <w:bCs/>
      <w:kern w:val="2"/>
      <w:sz w:val="28"/>
      <w:szCs w:val="28"/>
    </w:rPr>
  </w:style>
  <w:style w:type="character" w:customStyle="1" w:styleId="426">
    <w:name w:val="Char Char2"/>
    <w:qFormat/>
    <w:uiPriority w:val="0"/>
    <w:rPr>
      <w:rFonts w:eastAsia="宋体"/>
      <w:kern w:val="2"/>
      <w:sz w:val="18"/>
      <w:szCs w:val="18"/>
      <w:lang w:val="en-US" w:eastAsia="zh-CN" w:bidi="ar-SA"/>
    </w:rPr>
  </w:style>
  <w:style w:type="character" w:customStyle="1" w:styleId="427">
    <w:name w:val="正文文本缩进 字符"/>
    <w:qFormat/>
    <w:uiPriority w:val="99"/>
    <w:rPr>
      <w:kern w:val="2"/>
      <w:sz w:val="24"/>
    </w:rPr>
  </w:style>
  <w:style w:type="character" w:customStyle="1" w:styleId="428">
    <w:name w:val="标题 2 Char"/>
    <w:qFormat/>
    <w:uiPriority w:val="0"/>
    <w:rPr>
      <w:rFonts w:ascii="Arial" w:hAnsi="Arial" w:eastAsia="黑体"/>
      <w:b/>
      <w:spacing w:val="24"/>
      <w:sz w:val="24"/>
    </w:rPr>
  </w:style>
  <w:style w:type="character" w:customStyle="1" w:styleId="429">
    <w:name w:val="标题 3 字符1"/>
    <w:semiHidden/>
    <w:qFormat/>
    <w:uiPriority w:val="9"/>
    <w:rPr>
      <w:rFonts w:ascii="Calibri" w:hAnsi="Calibri" w:eastAsia="宋体"/>
      <w:b/>
      <w:bCs/>
      <w:kern w:val="2"/>
      <w:sz w:val="32"/>
      <w:szCs w:val="32"/>
    </w:rPr>
  </w:style>
  <w:style w:type="character" w:customStyle="1" w:styleId="430">
    <w:name w:val="批注框文本 Char"/>
    <w:qFormat/>
    <w:uiPriority w:val="0"/>
    <w:rPr>
      <w:kern w:val="2"/>
      <w:sz w:val="18"/>
      <w:szCs w:val="18"/>
    </w:rPr>
  </w:style>
  <w:style w:type="character" w:customStyle="1" w:styleId="431">
    <w:name w:val="标题 8 字符2"/>
    <w:qFormat/>
    <w:uiPriority w:val="0"/>
    <w:rPr>
      <w:rFonts w:ascii="Cambria" w:hAnsi="Cambria" w:eastAsia="宋体"/>
      <w:sz w:val="24"/>
    </w:rPr>
  </w:style>
  <w:style w:type="character" w:customStyle="1" w:styleId="432">
    <w:name w:val="标题 9 字符2"/>
    <w:qFormat/>
    <w:uiPriority w:val="0"/>
    <w:rPr>
      <w:rFonts w:ascii="Cambria" w:hAnsi="Cambria" w:eastAsia="宋体"/>
    </w:rPr>
  </w:style>
  <w:style w:type="character" w:customStyle="1" w:styleId="433">
    <w:name w:val="表格文字-ZB 字符"/>
    <w:qFormat/>
    <w:uiPriority w:val="0"/>
    <w:rPr>
      <w:szCs w:val="24"/>
    </w:rPr>
  </w:style>
  <w:style w:type="character" w:customStyle="1" w:styleId="434">
    <w:name w:val="style5"/>
    <w:qFormat/>
    <w:uiPriority w:val="0"/>
  </w:style>
  <w:style w:type="character" w:customStyle="1" w:styleId="435">
    <w:name w:val="批注文字 Char"/>
    <w:qFormat/>
    <w:uiPriority w:val="99"/>
    <w:rPr>
      <w:rFonts w:eastAsia="仿宋"/>
      <w:sz w:val="28"/>
    </w:rPr>
  </w:style>
  <w:style w:type="character" w:customStyle="1" w:styleId="436">
    <w:name w:val="标题 8 字符1"/>
    <w:semiHidden/>
    <w:qFormat/>
    <w:locked/>
    <w:uiPriority w:val="99"/>
    <w:rPr>
      <w:rFonts w:ascii="等线 Light" w:hAnsi="等线 Light"/>
      <w:b/>
      <w:kern w:val="2"/>
      <w:sz w:val="24"/>
      <w:szCs w:val="24"/>
    </w:rPr>
  </w:style>
  <w:style w:type="character" w:customStyle="1" w:styleId="437">
    <w:name w:val="标题 7 Char"/>
    <w:qFormat/>
    <w:uiPriority w:val="0"/>
    <w:rPr>
      <w:b/>
      <w:bCs/>
      <w:kern w:val="2"/>
      <w:sz w:val="24"/>
      <w:szCs w:val="24"/>
    </w:rPr>
  </w:style>
  <w:style w:type="character" w:customStyle="1" w:styleId="438">
    <w:name w:val="列出段落 Char"/>
    <w:link w:val="439"/>
    <w:qFormat/>
    <w:uiPriority w:val="34"/>
    <w:rPr>
      <w:rFonts w:ascii="宋体" w:hAnsi="宋体"/>
      <w:kern w:val="2"/>
      <w:sz w:val="24"/>
    </w:rPr>
  </w:style>
  <w:style w:type="paragraph" w:customStyle="1" w:styleId="439">
    <w:name w:val="列表段落1"/>
    <w:basedOn w:val="1"/>
    <w:link w:val="438"/>
    <w:qFormat/>
    <w:uiPriority w:val="0"/>
    <w:pPr>
      <w:spacing w:line="360" w:lineRule="auto"/>
      <w:ind w:firstLine="420" w:firstLineChars="200"/>
    </w:pPr>
    <w:rPr>
      <w:rFonts w:ascii="宋体" w:hAnsi="宋体"/>
      <w:sz w:val="24"/>
      <w:szCs w:val="20"/>
    </w:rPr>
  </w:style>
  <w:style w:type="character" w:customStyle="1" w:styleId="440">
    <w:name w:val="标题 6 Char"/>
    <w:qFormat/>
    <w:uiPriority w:val="0"/>
    <w:rPr>
      <w:rFonts w:ascii="宋体" w:hAnsi="宋体"/>
      <w:b/>
      <w:bCs/>
      <w:kern w:val="2"/>
      <w:sz w:val="24"/>
      <w:szCs w:val="24"/>
    </w:rPr>
  </w:style>
  <w:style w:type="character" w:customStyle="1" w:styleId="441">
    <w:name w:val="标题 4 Char"/>
    <w:qFormat/>
    <w:uiPriority w:val="99"/>
    <w:rPr>
      <w:rFonts w:ascii="宋体" w:hAnsi="宋体"/>
      <w:b/>
      <w:bCs/>
      <w:kern w:val="2"/>
      <w:sz w:val="28"/>
      <w:szCs w:val="28"/>
    </w:rPr>
  </w:style>
  <w:style w:type="character" w:customStyle="1" w:styleId="442">
    <w:name w:val="批注文字 Char1"/>
    <w:qFormat/>
    <w:uiPriority w:val="0"/>
    <w:rPr>
      <w:kern w:val="2"/>
      <w:sz w:val="24"/>
    </w:rPr>
  </w:style>
  <w:style w:type="character" w:customStyle="1" w:styleId="443">
    <w:name w:val="标题 5 Char"/>
    <w:qFormat/>
    <w:uiPriority w:val="0"/>
    <w:rPr>
      <w:rFonts w:ascii="宋体" w:hAnsi="宋体"/>
      <w:b/>
      <w:bCs/>
      <w:kern w:val="2"/>
      <w:sz w:val="24"/>
      <w:szCs w:val="28"/>
    </w:rPr>
  </w:style>
  <w:style w:type="character" w:customStyle="1" w:styleId="444">
    <w:name w:val="标题 8 Char"/>
    <w:qFormat/>
    <w:uiPriority w:val="0"/>
    <w:rPr>
      <w:rFonts w:ascii="等线 Light" w:hAnsi="等线 Light"/>
      <w:b/>
      <w:kern w:val="2"/>
      <w:sz w:val="24"/>
      <w:szCs w:val="24"/>
    </w:rPr>
  </w:style>
  <w:style w:type="character" w:customStyle="1" w:styleId="445">
    <w:name w:val="批注主题 Char"/>
    <w:qFormat/>
    <w:uiPriority w:val="0"/>
    <w:rPr>
      <w:b/>
      <w:bCs/>
      <w:kern w:val="2"/>
      <w:sz w:val="24"/>
    </w:rPr>
  </w:style>
  <w:style w:type="character" w:customStyle="1" w:styleId="446">
    <w:name w:val="标题 9 Char"/>
    <w:qFormat/>
    <w:uiPriority w:val="0"/>
    <w:rPr>
      <w:rFonts w:ascii="等线 Light" w:hAnsi="等线 Light"/>
      <w:b/>
      <w:kern w:val="2"/>
      <w:sz w:val="24"/>
      <w:szCs w:val="21"/>
    </w:rPr>
  </w:style>
  <w:style w:type="character" w:customStyle="1" w:styleId="447">
    <w:name w:val="正文首行缩进 2 Char"/>
    <w:qFormat/>
    <w:uiPriority w:val="99"/>
  </w:style>
  <w:style w:type="character" w:customStyle="1" w:styleId="448">
    <w:name w:val="正文文本缩进 Char"/>
    <w:qFormat/>
    <w:uiPriority w:val="0"/>
    <w:rPr>
      <w:kern w:val="2"/>
      <w:sz w:val="24"/>
    </w:rPr>
  </w:style>
  <w:style w:type="character" w:customStyle="1" w:styleId="449">
    <w:name w:val="正文缩进 Char"/>
    <w:qFormat/>
    <w:locked/>
    <w:uiPriority w:val="0"/>
    <w:rPr>
      <w:rFonts w:ascii="宋体" w:hAnsi="宋体"/>
      <w:kern w:val="2"/>
      <w:sz w:val="24"/>
    </w:rPr>
  </w:style>
  <w:style w:type="character" w:customStyle="1" w:styleId="450">
    <w:name w:val="正文文本 2 Char"/>
    <w:qFormat/>
    <w:uiPriority w:val="0"/>
    <w:rPr>
      <w:rFonts w:ascii="Arial" w:hAnsi="Arial" w:eastAsia="华文细黑"/>
      <w:kern w:val="2"/>
      <w:sz w:val="24"/>
      <w:szCs w:val="21"/>
    </w:rPr>
  </w:style>
  <w:style w:type="character" w:customStyle="1" w:styleId="451">
    <w:name w:val="标题 1 Char"/>
    <w:qFormat/>
    <w:uiPriority w:val="9"/>
    <w:rPr>
      <w:rFonts w:ascii="黑体" w:hAnsi="黑体" w:eastAsia="黑体"/>
      <w:bCs/>
      <w:color w:val="000000"/>
      <w:kern w:val="44"/>
      <w:sz w:val="44"/>
      <w:szCs w:val="44"/>
    </w:rPr>
  </w:style>
  <w:style w:type="character" w:customStyle="1" w:styleId="452">
    <w:name w:val="标题 3 Char"/>
    <w:qFormat/>
    <w:uiPriority w:val="0"/>
    <w:rPr>
      <w:rFonts w:eastAsia="黑体"/>
      <w:bCs/>
      <w:kern w:val="2"/>
      <w:sz w:val="32"/>
      <w:szCs w:val="32"/>
    </w:rPr>
  </w:style>
  <w:style w:type="character" w:customStyle="1" w:styleId="453">
    <w:name w:val="正文文本 Char"/>
    <w:qFormat/>
    <w:uiPriority w:val="99"/>
    <w:rPr>
      <w:kern w:val="2"/>
      <w:sz w:val="24"/>
    </w:rPr>
  </w:style>
  <w:style w:type="character" w:customStyle="1" w:styleId="454">
    <w:name w:val="列表段落 字符1"/>
    <w:qFormat/>
    <w:locked/>
    <w:uiPriority w:val="34"/>
    <w:rPr>
      <w:rFonts w:ascii="宋体" w:hAnsi="宋体"/>
      <w:kern w:val="2"/>
      <w:sz w:val="24"/>
    </w:rPr>
  </w:style>
  <w:style w:type="character" w:customStyle="1" w:styleId="455">
    <w:name w:val="标题 1 字符1"/>
    <w:qFormat/>
    <w:locked/>
    <w:uiPriority w:val="0"/>
    <w:rPr>
      <w:rFonts w:ascii="黑体" w:hAnsi="黑体" w:eastAsia="黑体" w:cs="宋体"/>
      <w:bCs/>
      <w:color w:val="000000"/>
      <w:kern w:val="44"/>
      <w:sz w:val="44"/>
      <w:szCs w:val="44"/>
    </w:rPr>
  </w:style>
  <w:style w:type="character" w:customStyle="1" w:styleId="456">
    <w:name w:val="批注文字 字符1"/>
    <w:semiHidden/>
    <w:qFormat/>
    <w:uiPriority w:val="99"/>
    <w:rPr>
      <w:rFonts w:ascii="Times New Roman" w:hAnsi="Times New Roman" w:eastAsia="宋体"/>
      <w:kern w:val="2"/>
      <w:sz w:val="24"/>
      <w:szCs w:val="21"/>
    </w:rPr>
  </w:style>
  <w:style w:type="character" w:customStyle="1" w:styleId="457">
    <w:name w:val="段 Char"/>
    <w:qFormat/>
    <w:uiPriority w:val="0"/>
    <w:rPr>
      <w:rFonts w:ascii="宋体" w:hAnsi="Times New Roman" w:eastAsia="宋体"/>
      <w:sz w:val="21"/>
    </w:rPr>
  </w:style>
  <w:style w:type="character" w:customStyle="1" w:styleId="458">
    <w:name w:val="文档正文 Char"/>
    <w:qFormat/>
    <w:uiPriority w:val="0"/>
    <w:rPr>
      <w:rFonts w:ascii="宋体" w:hAnsi="宋体" w:eastAsia="宋体"/>
      <w:sz w:val="24"/>
      <w:szCs w:val="24"/>
      <w:lang w:val="zh-CN" w:eastAsia="zh-CN"/>
    </w:rPr>
  </w:style>
  <w:style w:type="character" w:customStyle="1" w:styleId="459">
    <w:name w:val="不明显强调1"/>
    <w:qFormat/>
    <w:uiPriority w:val="19"/>
    <w:rPr>
      <w:i/>
      <w:iCs/>
      <w:color w:val="7F7F7F"/>
    </w:rPr>
  </w:style>
  <w:style w:type="character" w:customStyle="1" w:styleId="460">
    <w:name w:val="fontstyle01"/>
    <w:qFormat/>
    <w:uiPriority w:val="0"/>
    <w:rPr>
      <w:rFonts w:hint="eastAsia" w:ascii="宋体" w:hAnsi="宋体" w:eastAsia="宋体"/>
      <w:color w:val="000000"/>
      <w:sz w:val="24"/>
      <w:szCs w:val="24"/>
    </w:rPr>
  </w:style>
  <w:style w:type="character" w:customStyle="1" w:styleId="461">
    <w:name w:val="日期 Char"/>
    <w:qFormat/>
    <w:uiPriority w:val="99"/>
    <w:rPr>
      <w:rFonts w:ascii="宋体" w:hAnsi="宋体"/>
      <w:sz w:val="24"/>
    </w:rPr>
  </w:style>
  <w:style w:type="character" w:customStyle="1" w:styleId="462">
    <w:name w:val="批注框文本 字符1"/>
    <w:semiHidden/>
    <w:qFormat/>
    <w:uiPriority w:val="99"/>
    <w:rPr>
      <w:rFonts w:eastAsia="宋体"/>
      <w:sz w:val="18"/>
      <w:szCs w:val="18"/>
    </w:rPr>
  </w:style>
  <w:style w:type="character" w:customStyle="1" w:styleId="463">
    <w:name w:val="表格 Char Char"/>
    <w:qFormat/>
    <w:uiPriority w:val="0"/>
    <w:rPr>
      <w:rFonts w:ascii="Times New Roman" w:hAnsi="Times New Roman" w:eastAsia="宋体" w:cs="Times New Roman"/>
      <w:kern w:val="2"/>
      <w:sz w:val="21"/>
      <w:szCs w:val="21"/>
    </w:rPr>
  </w:style>
  <w:style w:type="character" w:customStyle="1" w:styleId="464">
    <w:name w:val="标题 7 字符1"/>
    <w:semiHidden/>
    <w:qFormat/>
    <w:locked/>
    <w:uiPriority w:val="99"/>
    <w:rPr>
      <w:b/>
      <w:bCs/>
      <w:kern w:val="2"/>
      <w:sz w:val="24"/>
      <w:szCs w:val="24"/>
    </w:rPr>
  </w:style>
  <w:style w:type="character" w:customStyle="1" w:styleId="465">
    <w:name w:val="标题 6 字符1"/>
    <w:semiHidden/>
    <w:qFormat/>
    <w:locked/>
    <w:uiPriority w:val="9"/>
    <w:rPr>
      <w:rFonts w:ascii="宋体" w:hAnsi="宋体" w:cs="宋体"/>
      <w:b/>
      <w:bCs/>
      <w:kern w:val="2"/>
      <w:sz w:val="24"/>
      <w:szCs w:val="24"/>
    </w:rPr>
  </w:style>
  <w:style w:type="character" w:customStyle="1" w:styleId="466">
    <w:name w:val="标题 9 字符1"/>
    <w:semiHidden/>
    <w:qFormat/>
    <w:locked/>
    <w:uiPriority w:val="99"/>
    <w:rPr>
      <w:rFonts w:ascii="等线 Light" w:hAnsi="等线 Light"/>
      <w:b/>
      <w:kern w:val="2"/>
      <w:sz w:val="24"/>
      <w:szCs w:val="21"/>
    </w:rPr>
  </w:style>
  <w:style w:type="character" w:customStyle="1" w:styleId="467">
    <w:name w:val="标题 4 字符3"/>
    <w:semiHidden/>
    <w:qFormat/>
    <w:locked/>
    <w:uiPriority w:val="0"/>
    <w:rPr>
      <w:rFonts w:ascii="宋体" w:hAnsi="宋体" w:cs="宋体"/>
      <w:b/>
      <w:bCs/>
      <w:kern w:val="2"/>
      <w:sz w:val="28"/>
      <w:szCs w:val="28"/>
    </w:rPr>
  </w:style>
  <w:style w:type="character" w:customStyle="1" w:styleId="468">
    <w:name w:val="标题 3 字符3"/>
    <w:semiHidden/>
    <w:qFormat/>
    <w:locked/>
    <w:uiPriority w:val="0"/>
    <w:rPr>
      <w:rFonts w:eastAsia="黑体"/>
      <w:bCs/>
      <w:kern w:val="2"/>
      <w:sz w:val="32"/>
      <w:szCs w:val="32"/>
    </w:rPr>
  </w:style>
  <w:style w:type="character" w:customStyle="1" w:styleId="469">
    <w:name w:val="标题 5 字符1"/>
    <w:semiHidden/>
    <w:qFormat/>
    <w:locked/>
    <w:uiPriority w:val="0"/>
    <w:rPr>
      <w:rFonts w:ascii="宋体" w:hAnsi="宋体" w:cs="宋体"/>
      <w:b/>
      <w:bCs/>
      <w:kern w:val="2"/>
      <w:sz w:val="24"/>
      <w:szCs w:val="28"/>
    </w:rPr>
  </w:style>
  <w:style w:type="character" w:customStyle="1" w:styleId="470">
    <w:name w:val="正文文本首行缩进 2 字符1"/>
    <w:semiHidden/>
    <w:qFormat/>
    <w:locked/>
    <w:uiPriority w:val="99"/>
  </w:style>
  <w:style w:type="table" w:customStyle="1" w:styleId="471">
    <w:name w:val="_Style 432"/>
    <w:basedOn w:val="53"/>
    <w:qFormat/>
    <w:uiPriority w:val="40"/>
    <w:rPr>
      <w:rFonts w:ascii="等线" w:hAnsi="等线" w:eastAsia="等线"/>
      <w:kern w:val="2"/>
      <w:sz w:val="21"/>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472">
    <w:name w:val="表格样式21"/>
    <w:basedOn w:val="53"/>
    <w:qFormat/>
    <w:uiPriority w:val="0"/>
    <w:pPr>
      <w:spacing w:beforeLines="30" w:afterLines="30"/>
      <w:jc w:val="both"/>
    </w:pPr>
    <w:rPr>
      <w:rFonts w:ascii="Arial" w:hAnsi="Arial"/>
      <w:sz w:val="18"/>
      <w:szCs w:val="18"/>
    </w:rPr>
    <w:tblP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Pr>
    <w:tcPr>
      <w:vAlign w:val="center"/>
    </w:tcPr>
    <w:tblStylePr w:type="firstRow">
      <w:pPr>
        <w:jc w:val="center"/>
      </w:pPr>
      <w:rPr>
        <w:b/>
      </w:rPr>
      <w:tcPr>
        <w:tcBorders>
          <w:top w:val="double" w:color="auto" w:sz="2" w:space="0"/>
          <w:left w:val="double" w:color="auto" w:sz="2" w:space="0"/>
          <w:bottom w:val="nil"/>
          <w:right w:val="double" w:color="auto" w:sz="2" w:space="0"/>
          <w:insideH w:val="single" w:sz="4" w:space="0"/>
          <w:insideV w:val="single" w:sz="4" w:space="0"/>
          <w:tl2br w:val="nil"/>
          <w:tr2bl w:val="nil"/>
        </w:tcBorders>
        <w:shd w:val="clear" w:color="auto" w:fill="D9D9D9"/>
      </w:tcPr>
    </w:tblStylePr>
    <w:tblStylePr w:type="lastRow">
      <w:rPr>
        <w:b w:val="0"/>
        <w:sz w:val="20"/>
      </w:rPr>
    </w:tblStylePr>
  </w:style>
  <w:style w:type="table" w:customStyle="1" w:styleId="473">
    <w:name w:val="表格样式121"/>
    <w:basedOn w:val="53"/>
    <w:qFormat/>
    <w:uiPriority w:val="0"/>
    <w:pPr>
      <w:spacing w:beforeLines="30" w:afterLines="30"/>
      <w:jc w:val="both"/>
    </w:pPr>
    <w:rPr>
      <w:rFonts w:ascii="Arial" w:hAnsi="Arial"/>
      <w:sz w:val="18"/>
      <w:szCs w:val="18"/>
    </w:rPr>
    <w:tblP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Pr>
    <w:tcPr>
      <w:vAlign w:val="center"/>
    </w:tcPr>
    <w:tblStylePr w:type="firstRow">
      <w:pPr>
        <w:jc w:val="center"/>
      </w:pPr>
      <w:rPr>
        <w:b/>
      </w:rPr>
      <w:tcPr>
        <w:tcBorders>
          <w:top w:val="double" w:color="auto" w:sz="2" w:space="0"/>
          <w:left w:val="double" w:color="auto" w:sz="2" w:space="0"/>
          <w:bottom w:val="nil"/>
          <w:right w:val="double" w:color="auto" w:sz="2" w:space="0"/>
          <w:insideH w:val="single" w:sz="4" w:space="0"/>
          <w:insideV w:val="single" w:sz="4" w:space="0"/>
          <w:tl2br w:val="nil"/>
          <w:tr2bl w:val="nil"/>
        </w:tcBorders>
        <w:shd w:val="clear" w:color="auto" w:fill="D9D9D9"/>
      </w:tcPr>
    </w:tblStylePr>
    <w:tblStylePr w:type="lastRow">
      <w:rPr>
        <w:b w:val="0"/>
        <w:sz w:val="20"/>
      </w:rPr>
    </w:tblStylePr>
  </w:style>
  <w:style w:type="table" w:customStyle="1" w:styleId="474">
    <w:name w:val="Table6"/>
    <w:qFormat/>
    <w:uiPriority w:val="0"/>
    <w:pPr>
      <w:widowControl w:val="0"/>
    </w:pPr>
    <w:rPr>
      <w:rFonts w:cs="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rPr>
      <w:cantSplit/>
    </w:trPr>
    <w:tcPr>
      <w:shd w:val="clear" w:color="auto" w:fill="auto"/>
    </w:tcPr>
  </w:style>
  <w:style w:type="table" w:customStyle="1" w:styleId="475">
    <w:name w:val="简明型 11"/>
    <w:basedOn w:val="53"/>
    <w:qFormat/>
    <w:uiPriority w:val="0"/>
    <w:pPr>
      <w:widowControl w:val="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476">
    <w:name w:val="Table Normal"/>
    <w:basedOn w:val="53"/>
    <w:unhideWhenUsed/>
    <w:qFormat/>
    <w:uiPriority w:val="2"/>
    <w:pPr>
      <w:widowControl w:val="0"/>
      <w:autoSpaceDE w:val="0"/>
      <w:autoSpaceDN w:val="0"/>
    </w:pPr>
    <w:rPr>
      <w:rFonts w:ascii="等线" w:hAnsi="等线" w:eastAsia="等线"/>
      <w:sz w:val="22"/>
      <w:szCs w:val="22"/>
      <w:lang w:eastAsia="en-US"/>
    </w:rPr>
    <w:tblPr>
      <w:tblCellMar>
        <w:left w:w="0" w:type="dxa"/>
        <w:right w:w="0" w:type="dxa"/>
      </w:tblCellMar>
    </w:tblPr>
  </w:style>
  <w:style w:type="table" w:customStyle="1" w:styleId="477">
    <w:name w:val="表格样式11121"/>
    <w:basedOn w:val="53"/>
    <w:qFormat/>
    <w:uiPriority w:val="0"/>
    <w:pPr>
      <w:spacing w:beforeLines="10" w:afterLines="10"/>
      <w:jc w:val="both"/>
    </w:pPr>
    <w:rPr>
      <w:rFonts w:ascii="Arial" w:hAnsi="Arial"/>
      <w:sz w:val="18"/>
      <w:szCs w:val="18"/>
    </w:rPr>
    <w:tblPr>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Pr>
    <w:tcPr>
      <w:vAlign w:val="center"/>
    </w:tcPr>
    <w:tblStylePr w:type="firstRow">
      <w:pPr>
        <w:jc w:val="center"/>
      </w:pPr>
      <w:rPr>
        <w:b/>
      </w:rPr>
      <w:tcPr>
        <w:tcBorders>
          <w:top w:val="double" w:color="auto" w:sz="2" w:space="0"/>
          <w:left w:val="double" w:color="auto" w:sz="2" w:space="0"/>
          <w:bottom w:val="nil"/>
          <w:right w:val="double" w:color="auto" w:sz="2" w:space="0"/>
          <w:insideH w:val="single" w:sz="4" w:space="0"/>
          <w:insideV w:val="single" w:sz="4" w:space="0"/>
          <w:tl2br w:val="nil"/>
          <w:tr2bl w:val="nil"/>
        </w:tcBorders>
        <w:shd w:val="clear" w:color="auto" w:fill="D9D9D9"/>
      </w:tcPr>
    </w:tblStylePr>
    <w:tblStylePr w:type="lastRow">
      <w:rPr>
        <w:b w:val="0"/>
        <w:sz w:val="20"/>
      </w:rPr>
    </w:tblStylePr>
  </w:style>
  <w:style w:type="table" w:customStyle="1" w:styleId="478">
    <w:name w:val="普通表格1"/>
    <w:semiHidden/>
    <w:qFormat/>
    <w:uiPriority w:val="99"/>
    <w:rPr>
      <w:rFonts w:ascii="Calibri" w:hAnsi="Calibri" w:eastAsia="Times New Roman" w:cs="Calibri"/>
      <w:kern w:val="2"/>
      <w:sz w:val="21"/>
      <w:szCs w:val="22"/>
    </w:rPr>
    <w:tblPr>
      <w:tblCellMar>
        <w:top w:w="0" w:type="dxa"/>
        <w:left w:w="108" w:type="dxa"/>
        <w:bottom w:w="0" w:type="dxa"/>
        <w:right w:w="108" w:type="dxa"/>
      </w:tblCellMar>
    </w:tblPr>
  </w:style>
  <w:style w:type="character" w:customStyle="1" w:styleId="479">
    <w:name w:val="表 字符"/>
    <w:qFormat/>
    <w:uiPriority w:val="0"/>
    <w:rPr>
      <w:rFonts w:hint="eastAsia" w:ascii="等线" w:hAnsi="等线" w:eastAsia="黑体" w:cs="Times New Roman"/>
      <w:kern w:val="2"/>
      <w:sz w:val="21"/>
      <w:szCs w:val="22"/>
    </w:rPr>
  </w:style>
  <w:style w:type="table" w:customStyle="1" w:styleId="480">
    <w:name w:val="网格型浅色1"/>
    <w:basedOn w:val="53"/>
    <w:qFormat/>
    <w:uiPriority w:val="0"/>
    <w:rPr>
      <w:rFonts w:hint="eastAsia" w:ascii="等线" w:hAnsi="等线" w:eastAsia="等线"/>
      <w:kern w:val="2"/>
      <w:sz w:val="21"/>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cPr>
      <w:tcBorders>
        <w:top w:val="single" w:color="BFBFBF" w:sz="4" w:space="0"/>
        <w:left w:val="single" w:color="BFBFBF" w:sz="4" w:space="0"/>
        <w:bottom w:val="single" w:color="BFBFBF" w:sz="4" w:space="0"/>
        <w:right w:val="single" w:color="BFBFBF" w:sz="4" w:space="0"/>
      </w:tcBorders>
    </w:tcPr>
  </w:style>
  <w:style w:type="paragraph" w:customStyle="1" w:styleId="481">
    <w:name w:val="msolistparagraph"/>
    <w:basedOn w:val="1"/>
    <w:qFormat/>
    <w:uiPriority w:val="0"/>
    <w:pPr>
      <w:spacing w:line="360" w:lineRule="auto"/>
      <w:ind w:firstLine="420" w:firstLineChars="200"/>
      <w:jc w:val="left"/>
    </w:pPr>
    <w:rPr>
      <w:sz w:val="24"/>
      <w:szCs w:val="21"/>
    </w:rPr>
  </w:style>
  <w:style w:type="paragraph" w:customStyle="1" w:styleId="482">
    <w:name w:val="S图"/>
    <w:basedOn w:val="1"/>
    <w:next w:val="1"/>
    <w:qFormat/>
    <w:uiPriority w:val="0"/>
    <w:pPr>
      <w:jc w:val="center"/>
    </w:pPr>
    <w:rPr>
      <w:rFonts w:asciiTheme="minorHAnsi" w:hAnsiTheme="minorHAnsi" w:eastAsiaTheme="minorEastAsia" w:cstheme="minorBidi"/>
      <w:i/>
      <w:sz w:val="24"/>
    </w:rPr>
  </w:style>
  <w:style w:type="paragraph" w:customStyle="1" w:styleId="483">
    <w:name w:val="S表格文字"/>
    <w:basedOn w:val="1"/>
    <w:qFormat/>
    <w:uiPriority w:val="0"/>
    <w:pPr>
      <w:jc w:val="center"/>
    </w:pPr>
    <w:rPr>
      <w:rFonts w:asciiTheme="minorHAnsi" w:hAnsiTheme="minorHAnsi" w:eastAsiaTheme="minorEastAsia" w:cstheme="minorBidi"/>
      <w:bCs/>
      <w:sz w:val="18"/>
      <w:szCs w:val="21"/>
    </w:rPr>
  </w:style>
  <w:style w:type="paragraph" w:customStyle="1" w:styleId="484">
    <w:name w:val="S表头文字"/>
    <w:basedOn w:val="1"/>
    <w:qFormat/>
    <w:uiPriority w:val="0"/>
    <w:pPr>
      <w:jc w:val="center"/>
    </w:pPr>
    <w:rPr>
      <w:rFonts w:asciiTheme="minorHAnsi" w:hAnsiTheme="minorHAnsi" w:eastAsiaTheme="minorEastAsia" w:cstheme="minorBidi"/>
      <w:b/>
    </w:rPr>
  </w:style>
  <w:style w:type="character" w:customStyle="1" w:styleId="485">
    <w:name w:val="！正文 Char"/>
    <w:link w:val="486"/>
    <w:qFormat/>
    <w:locked/>
    <w:uiPriority w:val="0"/>
    <w:rPr>
      <w:kern w:val="2"/>
      <w:sz w:val="24"/>
      <w:szCs w:val="22"/>
    </w:rPr>
  </w:style>
  <w:style w:type="paragraph" w:customStyle="1" w:styleId="486">
    <w:name w:val="！正文"/>
    <w:basedOn w:val="1"/>
    <w:link w:val="485"/>
    <w:qFormat/>
    <w:uiPriority w:val="0"/>
    <w:pPr>
      <w:spacing w:line="360" w:lineRule="auto"/>
      <w:ind w:firstLine="200" w:firstLineChars="200"/>
    </w:pPr>
    <w:rPr>
      <w:sz w:val="24"/>
      <w:szCs w:val="22"/>
    </w:rPr>
  </w:style>
  <w:style w:type="paragraph" w:customStyle="1" w:styleId="487">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48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489">
    <w:name w:val="F表正文"/>
    <w:basedOn w:val="1"/>
    <w:qFormat/>
    <w:uiPriority w:val="0"/>
    <w:pPr>
      <w:widowControl/>
      <w:jc w:val="center"/>
    </w:pPr>
    <w:rPr>
      <w:rFonts w:ascii="仿宋_GB2312" w:eastAsia="仿宋_GB2312"/>
      <w:szCs w:val="28"/>
    </w:rPr>
  </w:style>
  <w:style w:type="paragraph" w:customStyle="1" w:styleId="490">
    <w:name w:val="hk正文"/>
    <w:basedOn w:val="1"/>
    <w:qFormat/>
    <w:uiPriority w:val="0"/>
    <w:pPr>
      <w:spacing w:line="440" w:lineRule="exact"/>
      <w:ind w:firstLine="560" w:firstLineChars="200"/>
    </w:pPr>
    <w:rPr>
      <w:rFonts w:ascii="Arial" w:hAnsi="Arial" w:cs="宋体"/>
      <w:szCs w:val="28"/>
    </w:rPr>
  </w:style>
  <w:style w:type="character" w:customStyle="1" w:styleId="491">
    <w:name w:val="font41"/>
    <w:basedOn w:val="55"/>
    <w:qFormat/>
    <w:uiPriority w:val="0"/>
    <w:rPr>
      <w:rFonts w:hint="eastAsia" w:ascii="宋体" w:hAnsi="宋体" w:eastAsia="宋体" w:cs="宋体"/>
      <w:color w:val="000000"/>
      <w:sz w:val="22"/>
      <w:szCs w:val="22"/>
      <w:u w:val="none"/>
    </w:rPr>
  </w:style>
  <w:style w:type="character" w:customStyle="1" w:styleId="492">
    <w:name w:val="font01"/>
    <w:basedOn w:val="55"/>
    <w:uiPriority w:val="0"/>
    <w:rPr>
      <w:rFonts w:hint="eastAsia" w:ascii="宋体" w:hAnsi="宋体" w:eastAsia="宋体" w:cs="宋体"/>
      <w:color w:val="FF0000"/>
      <w:sz w:val="22"/>
      <w:szCs w:val="22"/>
      <w:u w:val="none"/>
    </w:rPr>
  </w:style>
  <w:style w:type="paragraph" w:customStyle="1" w:styleId="493">
    <w:name w:val="gather biao"/>
    <w:basedOn w:val="16"/>
    <w:link w:val="494"/>
    <w:qFormat/>
    <w:uiPriority w:val="0"/>
    <w:pPr>
      <w:widowControl w:val="0"/>
      <w:ind w:firstLine="422"/>
    </w:pPr>
    <w:rPr>
      <w:b/>
      <w:kern w:val="2"/>
      <w:sz w:val="21"/>
    </w:rPr>
  </w:style>
  <w:style w:type="character" w:customStyle="1" w:styleId="494">
    <w:name w:val="gather biao Char"/>
    <w:link w:val="493"/>
    <w:qFormat/>
    <w:uiPriority w:val="0"/>
    <w:rPr>
      <w:rFonts w:ascii="宋体" w:hAnsi="宋体"/>
      <w:b/>
      <w:bCs/>
      <w:kern w:val="2"/>
      <w:sz w:val="21"/>
      <w:szCs w:val="52"/>
    </w:rPr>
  </w:style>
  <w:style w:type="paragraph" w:customStyle="1" w:styleId="495">
    <w:name w:val="_Style 6"/>
    <w:basedOn w:val="1"/>
    <w:qFormat/>
    <w:uiPriority w:val="99"/>
    <w:pPr>
      <w:ind w:firstLine="200" w:firstLineChars="200"/>
    </w:pPr>
  </w:style>
  <w:style w:type="character" w:customStyle="1" w:styleId="496">
    <w:name w:val="分类标题 字符"/>
    <w:link w:val="497"/>
    <w:qFormat/>
    <w:uiPriority w:val="0"/>
    <w:rPr>
      <w:rFonts w:cs="宋体"/>
      <w:sz w:val="24"/>
      <w:szCs w:val="24"/>
      <w:lang w:val="en-US"/>
    </w:rPr>
  </w:style>
  <w:style w:type="paragraph" w:customStyle="1" w:styleId="497">
    <w:name w:val="分类标题"/>
    <w:basedOn w:val="114"/>
    <w:link w:val="496"/>
    <w:qFormat/>
    <w:uiPriority w:val="0"/>
    <w:pPr>
      <w:widowControl/>
      <w:numPr>
        <w:ilvl w:val="0"/>
        <w:numId w:val="37"/>
      </w:numPr>
      <w:ind w:firstLine="0" w:firstLineChars="0"/>
    </w:pPr>
    <w:rPr>
      <w:rFonts w:cs="宋体"/>
    </w:rPr>
  </w:style>
  <w:style w:type="character" w:customStyle="1" w:styleId="498">
    <w:name w:val="列出段落 Char2"/>
    <w:qFormat/>
    <w:uiPriority w:val="34"/>
    <w:rPr>
      <w:rFonts w:ascii="等线" w:hAnsi="等线"/>
      <w:sz w:val="24"/>
      <w:szCs w:val="21"/>
    </w:rPr>
  </w:style>
  <w:style w:type="character" w:customStyle="1" w:styleId="499">
    <w:name w:val="图片 Char"/>
    <w:link w:val="500"/>
    <w:qFormat/>
    <w:uiPriority w:val="0"/>
    <w:rPr>
      <w:rFonts w:ascii="黑体" w:hAnsi="黑体" w:eastAsia="黑体" w:cs="宋体"/>
      <w:kern w:val="2"/>
      <w:sz w:val="21"/>
      <w:szCs w:val="21"/>
    </w:rPr>
  </w:style>
  <w:style w:type="paragraph" w:customStyle="1" w:styleId="500">
    <w:name w:val="图片"/>
    <w:basedOn w:val="16"/>
    <w:link w:val="499"/>
    <w:qFormat/>
    <w:uiPriority w:val="0"/>
    <w:pPr>
      <w:spacing w:after="0"/>
    </w:pPr>
    <w:rPr>
      <w:rFonts w:ascii="黑体" w:hAnsi="黑体" w:eastAsia="黑体" w:cs="宋体"/>
      <w:bCs w:val="0"/>
      <w:kern w:val="2"/>
      <w:sz w:val="21"/>
      <w:szCs w:val="21"/>
    </w:rPr>
  </w:style>
  <w:style w:type="character" w:customStyle="1" w:styleId="501">
    <w:name w:val="lake-fontsize-12"/>
    <w:uiPriority w:val="0"/>
  </w:style>
  <w:style w:type="character" w:customStyle="1" w:styleId="502">
    <w:name w:val="项目排列 Char"/>
    <w:link w:val="503"/>
    <w:semiHidden/>
    <w:locked/>
    <w:uiPriority w:val="0"/>
    <w:rPr>
      <w:sz w:val="24"/>
      <w:szCs w:val="24"/>
    </w:rPr>
  </w:style>
  <w:style w:type="paragraph" w:customStyle="1" w:styleId="503">
    <w:name w:val="项目排列"/>
    <w:basedOn w:val="1"/>
    <w:link w:val="502"/>
    <w:semiHidden/>
    <w:uiPriority w:val="0"/>
    <w:pPr>
      <w:numPr>
        <w:ilvl w:val="0"/>
        <w:numId w:val="38"/>
      </w:numPr>
      <w:tabs>
        <w:tab w:val="left" w:pos="900"/>
      </w:tabs>
      <w:spacing w:beforeLines="50" w:afterLines="50" w:line="300" w:lineRule="auto"/>
      <w:ind w:left="350" w:leftChars="200" w:hanging="150" w:hangingChars="150"/>
    </w:pPr>
    <w:rPr>
      <w:kern w:val="0"/>
      <w:sz w:val="24"/>
    </w:rPr>
  </w:style>
  <w:style w:type="character" w:customStyle="1" w:styleId="504">
    <w:name w:val="图名样式 Char"/>
    <w:link w:val="505"/>
    <w:semiHidden/>
    <w:locked/>
    <w:uiPriority w:val="0"/>
    <w:rPr>
      <w:rFonts w:ascii="宋体" w:hAnsi="宋体"/>
      <w:b/>
      <w:szCs w:val="21"/>
      <w:lang w:eastAsia="en-US"/>
    </w:rPr>
  </w:style>
  <w:style w:type="paragraph" w:customStyle="1" w:styleId="505">
    <w:name w:val="图名样式"/>
    <w:basedOn w:val="320"/>
    <w:link w:val="504"/>
    <w:semiHidden/>
    <w:uiPriority w:val="0"/>
    <w:pPr>
      <w:widowControl w:val="0"/>
      <w:tabs>
        <w:tab w:val="left" w:pos="4536"/>
      </w:tabs>
      <w:adjustRightInd/>
      <w:snapToGrid/>
      <w:ind w:firstLine="200" w:firstLineChars="200"/>
    </w:pPr>
    <w:rPr>
      <w:rFonts w:ascii="宋体" w:hAnsi="宋体" w:eastAsia="宋体"/>
      <w:b/>
      <w:kern w:val="0"/>
      <w:sz w:val="20"/>
      <w:szCs w:val="21"/>
      <w:lang w:eastAsia="en-US"/>
    </w:rPr>
  </w:style>
  <w:style w:type="character" w:customStyle="1" w:styleId="506">
    <w:name w:val="12-E3-正文 Char Char"/>
    <w:link w:val="507"/>
    <w:semiHidden/>
    <w:qFormat/>
    <w:locked/>
    <w:uiPriority w:val="0"/>
    <w:rPr>
      <w:rFonts w:ascii="仿宋_GB2312" w:hAnsi="Calibri"/>
      <w:kern w:val="2"/>
      <w:sz w:val="24"/>
      <w:szCs w:val="24"/>
    </w:rPr>
  </w:style>
  <w:style w:type="paragraph" w:customStyle="1" w:styleId="507">
    <w:name w:val="12-E3-正文"/>
    <w:basedOn w:val="1"/>
    <w:link w:val="506"/>
    <w:semiHidden/>
    <w:qFormat/>
    <w:uiPriority w:val="0"/>
    <w:pPr>
      <w:spacing w:line="360" w:lineRule="auto"/>
      <w:ind w:firstLine="420" w:firstLineChars="200"/>
    </w:pPr>
    <w:rPr>
      <w:rFonts w:ascii="仿宋_GB2312" w:hAnsi="Calibri"/>
      <w:sz w:val="24"/>
    </w:rPr>
  </w:style>
  <w:style w:type="character" w:customStyle="1" w:styleId="508">
    <w:name w:val="!BECC正文 Char"/>
    <w:link w:val="509"/>
    <w:uiPriority w:val="0"/>
    <w:rPr>
      <w:sz w:val="24"/>
      <w:lang w:val="en-US" w:eastAsia="zh-CN"/>
    </w:rPr>
  </w:style>
  <w:style w:type="paragraph" w:customStyle="1" w:styleId="509">
    <w:name w:val="!BECC正文"/>
    <w:basedOn w:val="1"/>
    <w:link w:val="508"/>
    <w:uiPriority w:val="0"/>
    <w:pPr>
      <w:widowControl/>
      <w:tabs>
        <w:tab w:val="left" w:pos="0"/>
      </w:tabs>
      <w:spacing w:beforeLines="50" w:afterLines="50" w:line="360" w:lineRule="auto"/>
      <w:ind w:firstLine="200" w:firstLineChars="200"/>
    </w:pPr>
    <w:rPr>
      <w:kern w:val="0"/>
      <w:sz w:val="24"/>
      <w:szCs w:val="20"/>
    </w:rPr>
  </w:style>
  <w:style w:type="character" w:customStyle="1" w:styleId="510">
    <w:name w:val="列出段落 字符"/>
    <w:link w:val="511"/>
    <w:qFormat/>
    <w:uiPriority w:val="34"/>
    <w:rPr>
      <w:rFonts w:ascii="Calibri" w:hAnsi="Calibri"/>
      <w:kern w:val="2"/>
      <w:sz w:val="24"/>
    </w:rPr>
  </w:style>
  <w:style w:type="paragraph" w:customStyle="1" w:styleId="511">
    <w:name w:val="列表段落2"/>
    <w:basedOn w:val="1"/>
    <w:link w:val="510"/>
    <w:qFormat/>
    <w:uiPriority w:val="34"/>
    <w:pPr>
      <w:spacing w:line="360" w:lineRule="auto"/>
      <w:ind w:firstLine="420" w:firstLineChars="200"/>
    </w:pPr>
    <w:rPr>
      <w:rFonts w:ascii="Calibri" w:hAnsi="Calibri"/>
      <w:sz w:val="24"/>
      <w:szCs w:val="20"/>
    </w:rPr>
  </w:style>
  <w:style w:type="paragraph" w:customStyle="1" w:styleId="512">
    <w:name w:val="_Style 50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513">
    <w:name w:val="Figure Text Char"/>
    <w:link w:val="514"/>
    <w:semiHidden/>
    <w:qFormat/>
    <w:uiPriority w:val="0"/>
    <w:rPr>
      <w:rFonts w:ascii="Arial" w:hAnsi="Arial" w:eastAsia="楷体_GB2312"/>
      <w:sz w:val="18"/>
      <w:szCs w:val="18"/>
      <w:lang w:eastAsia="en-US" w:bidi="en-US"/>
    </w:rPr>
  </w:style>
  <w:style w:type="paragraph" w:customStyle="1" w:styleId="514">
    <w:name w:val="Figure Text"/>
    <w:link w:val="513"/>
    <w:semiHidden/>
    <w:qFormat/>
    <w:uiPriority w:val="0"/>
    <w:pPr>
      <w:snapToGrid w:val="0"/>
      <w:spacing w:after="200" w:line="276" w:lineRule="auto"/>
    </w:pPr>
    <w:rPr>
      <w:rFonts w:ascii="Arial" w:hAnsi="Arial" w:eastAsia="楷体_GB2312" w:cs="Times New Roman"/>
      <w:sz w:val="18"/>
      <w:szCs w:val="18"/>
      <w:lang w:val="en-US" w:eastAsia="en-US" w:bidi="en-US"/>
    </w:rPr>
  </w:style>
  <w:style w:type="character" w:customStyle="1" w:styleId="515">
    <w:name w:val="索引链接 Char"/>
    <w:link w:val="516"/>
    <w:semiHidden/>
    <w:qFormat/>
    <w:uiPriority w:val="0"/>
    <w:rPr>
      <w:rFonts w:ascii="Arial" w:hAnsi="Arial" w:eastAsia="黑体" w:cs="Arial"/>
      <w:bCs/>
      <w:color w:val="0000FF"/>
      <w:sz w:val="36"/>
      <w:szCs w:val="36"/>
    </w:rPr>
  </w:style>
  <w:style w:type="paragraph" w:customStyle="1" w:styleId="516">
    <w:name w:val="索引链接"/>
    <w:next w:val="1"/>
    <w:link w:val="515"/>
    <w:semiHidden/>
    <w:qFormat/>
    <w:uiPriority w:val="0"/>
    <w:pPr>
      <w:spacing w:before="120" w:after="60"/>
      <w:ind w:left="624"/>
    </w:pPr>
    <w:rPr>
      <w:rFonts w:ascii="Arial" w:hAnsi="Arial" w:eastAsia="黑体" w:cs="Arial"/>
      <w:bCs/>
      <w:color w:val="0000FF"/>
      <w:sz w:val="36"/>
      <w:szCs w:val="36"/>
      <w:lang w:val="en-US" w:eastAsia="zh-CN" w:bidi="ar-SA"/>
    </w:rPr>
  </w:style>
  <w:style w:type="character" w:customStyle="1" w:styleId="517">
    <w:name w:val="页脚 字符"/>
    <w:qFormat/>
    <w:uiPriority w:val="99"/>
  </w:style>
  <w:style w:type="character" w:customStyle="1" w:styleId="518">
    <w:name w:val="正文缩进2 Char"/>
    <w:link w:val="519"/>
    <w:qFormat/>
    <w:uiPriority w:val="0"/>
    <w:rPr>
      <w:rFonts w:ascii="Calibri" w:hAnsi="Calibri"/>
      <w:sz w:val="24"/>
      <w:szCs w:val="21"/>
      <w:lang w:bidi="en-US"/>
    </w:rPr>
  </w:style>
  <w:style w:type="paragraph" w:customStyle="1" w:styleId="519">
    <w:name w:val="正文缩进2"/>
    <w:basedOn w:val="1"/>
    <w:link w:val="518"/>
    <w:unhideWhenUsed/>
    <w:qFormat/>
    <w:uiPriority w:val="0"/>
    <w:pPr>
      <w:widowControl/>
      <w:spacing w:line="360" w:lineRule="auto"/>
      <w:ind w:firstLine="200" w:firstLineChars="200"/>
    </w:pPr>
    <w:rPr>
      <w:rFonts w:ascii="Calibri" w:hAnsi="Calibri"/>
      <w:kern w:val="0"/>
      <w:sz w:val="24"/>
      <w:szCs w:val="21"/>
      <w:lang w:bidi="en-US"/>
    </w:rPr>
  </w:style>
  <w:style w:type="character" w:customStyle="1" w:styleId="520">
    <w:name w:val="样式 仿宋_GB2312 四号1"/>
    <w:qFormat/>
    <w:uiPriority w:val="0"/>
    <w:rPr>
      <w:rFonts w:ascii="仿宋_GB2312" w:hAnsi="仿宋_GB2312" w:eastAsia="仿宋_GB2312"/>
      <w:sz w:val="24"/>
    </w:rPr>
  </w:style>
  <w:style w:type="character" w:customStyle="1" w:styleId="521">
    <w:name w:val="TB标题5 Char"/>
    <w:link w:val="522"/>
    <w:semiHidden/>
    <w:qFormat/>
    <w:uiPriority w:val="0"/>
    <w:rPr>
      <w:rFonts w:ascii="宋体" w:hAnsi="宋体" w:eastAsia="黑体"/>
      <w:bCs/>
      <w:color w:val="000000"/>
      <w:kern w:val="2"/>
      <w:sz w:val="28"/>
      <w:szCs w:val="28"/>
      <w:lang w:val="zh-CN"/>
    </w:rPr>
  </w:style>
  <w:style w:type="paragraph" w:customStyle="1" w:styleId="522">
    <w:name w:val="TB标题5"/>
    <w:basedOn w:val="7"/>
    <w:next w:val="523"/>
    <w:link w:val="521"/>
    <w:semiHidden/>
    <w:qFormat/>
    <w:uiPriority w:val="0"/>
    <w:pPr>
      <w:widowControl w:val="0"/>
      <w:tabs>
        <w:tab w:val="left" w:pos="425"/>
        <w:tab w:val="left" w:pos="2781"/>
      </w:tabs>
      <w:spacing w:before="120" w:after="120"/>
      <w:ind w:firstLine="200" w:firstLineChars="200"/>
      <w:jc w:val="left"/>
    </w:pPr>
    <w:rPr>
      <w:rFonts w:ascii="宋体" w:hAnsi="宋体"/>
      <w:b w:val="0"/>
      <w:bCs/>
      <w:color w:val="000000"/>
      <w:sz w:val="28"/>
      <w:szCs w:val="28"/>
      <w:lang w:val="zh-CN"/>
    </w:rPr>
  </w:style>
  <w:style w:type="paragraph" w:customStyle="1" w:styleId="523">
    <w:name w:val="TB正文"/>
    <w:basedOn w:val="1"/>
    <w:unhideWhenUsed/>
    <w:qFormat/>
    <w:uiPriority w:val="0"/>
    <w:pPr>
      <w:spacing w:line="360" w:lineRule="auto"/>
      <w:ind w:firstLine="200" w:firstLineChars="200"/>
    </w:pPr>
    <w:rPr>
      <w:sz w:val="24"/>
      <w:lang w:val="zh-CN"/>
    </w:rPr>
  </w:style>
  <w:style w:type="character" w:customStyle="1" w:styleId="524">
    <w:name w:val="四级标题 字符"/>
    <w:link w:val="525"/>
    <w:semiHidden/>
    <w:qFormat/>
    <w:uiPriority w:val="0"/>
    <w:rPr>
      <w:kern w:val="2"/>
      <w:sz w:val="32"/>
      <w:szCs w:val="24"/>
    </w:rPr>
  </w:style>
  <w:style w:type="paragraph" w:customStyle="1" w:styleId="525">
    <w:name w:val="四级标题"/>
    <w:basedOn w:val="5"/>
    <w:link w:val="524"/>
    <w:semiHidden/>
    <w:qFormat/>
    <w:uiPriority w:val="0"/>
    <w:pPr>
      <w:keepNext w:val="0"/>
      <w:numPr>
        <w:ilvl w:val="1"/>
        <w:numId w:val="14"/>
      </w:numPr>
      <w:tabs>
        <w:tab w:val="left" w:pos="425"/>
      </w:tabs>
      <w:autoSpaceDE/>
      <w:autoSpaceDN/>
      <w:adjustRightInd/>
      <w:spacing w:before="260" w:line="415" w:lineRule="auto"/>
      <w:jc w:val="both"/>
      <w:textAlignment w:val="auto"/>
      <w:outlineLvl w:val="3"/>
    </w:pPr>
    <w:rPr>
      <w:rFonts w:ascii="Times New Roman" w:hAnsi="Times New Roman" w:eastAsia="宋体"/>
      <w:b w:val="0"/>
      <w:szCs w:val="24"/>
    </w:rPr>
  </w:style>
  <w:style w:type="character" w:customStyle="1" w:styleId="526">
    <w:name w:val="zly正文空两格 Char Char"/>
    <w:link w:val="527"/>
    <w:semiHidden/>
    <w:qFormat/>
    <w:uiPriority w:val="0"/>
    <w:rPr>
      <w:rFonts w:ascii="宋体" w:hAnsi="宋体"/>
      <w:kern w:val="2"/>
      <w:sz w:val="21"/>
      <w:szCs w:val="22"/>
    </w:rPr>
  </w:style>
  <w:style w:type="paragraph" w:customStyle="1" w:styleId="527">
    <w:name w:val="zly正文空两格"/>
    <w:basedOn w:val="1"/>
    <w:link w:val="526"/>
    <w:semiHidden/>
    <w:qFormat/>
    <w:uiPriority w:val="0"/>
    <w:pPr>
      <w:autoSpaceDE w:val="0"/>
      <w:autoSpaceDN w:val="0"/>
      <w:adjustRightInd w:val="0"/>
      <w:spacing w:line="360" w:lineRule="auto"/>
      <w:ind w:firstLine="420" w:firstLineChars="200"/>
      <w:jc w:val="left"/>
    </w:pPr>
    <w:rPr>
      <w:rFonts w:ascii="宋体" w:hAnsi="宋体"/>
      <w:szCs w:val="22"/>
    </w:rPr>
  </w:style>
  <w:style w:type="character" w:customStyle="1" w:styleId="528">
    <w:name w:val="D Char"/>
    <w:link w:val="529"/>
    <w:semiHidden/>
    <w:qFormat/>
    <w:uiPriority w:val="0"/>
    <w:rPr>
      <w:rFonts w:ascii="宋体" w:hAnsi="宋体"/>
      <w:bCs/>
      <w:color w:val="000000"/>
      <w:sz w:val="24"/>
      <w:szCs w:val="21"/>
      <w:lang w:eastAsia="en-US" w:bidi="en-US"/>
    </w:rPr>
  </w:style>
  <w:style w:type="paragraph" w:customStyle="1" w:styleId="529">
    <w:name w:val="D"/>
    <w:basedOn w:val="6"/>
    <w:link w:val="528"/>
    <w:semiHidden/>
    <w:qFormat/>
    <w:uiPriority w:val="0"/>
    <w:pPr>
      <w:keepLines w:val="0"/>
      <w:widowControl/>
      <w:tabs>
        <w:tab w:val="left" w:pos="864"/>
      </w:tabs>
      <w:spacing w:before="240" w:afterLines="50"/>
      <w:ind w:left="864" w:hanging="864"/>
      <w:jc w:val="left"/>
    </w:pPr>
    <w:rPr>
      <w:rFonts w:ascii="宋体" w:hAnsi="宋体" w:eastAsia="宋体"/>
      <w:b w:val="0"/>
      <w:color w:val="000000"/>
      <w:kern w:val="0"/>
      <w:sz w:val="24"/>
      <w:szCs w:val="21"/>
      <w:lang w:eastAsia="en-US" w:bidi="en-US"/>
    </w:rPr>
  </w:style>
  <w:style w:type="character" w:customStyle="1" w:styleId="530">
    <w:name w:val="正式正文样式 Char"/>
    <w:link w:val="531"/>
    <w:semiHidden/>
    <w:qFormat/>
    <w:uiPriority w:val="0"/>
    <w:rPr>
      <w:rFonts w:ascii="宋体" w:hAnsi="宋体"/>
      <w:kern w:val="2"/>
      <w:sz w:val="24"/>
      <w:szCs w:val="24"/>
    </w:rPr>
  </w:style>
  <w:style w:type="paragraph" w:customStyle="1" w:styleId="531">
    <w:name w:val="正式正文样式"/>
    <w:basedOn w:val="1"/>
    <w:link w:val="530"/>
    <w:semiHidden/>
    <w:qFormat/>
    <w:uiPriority w:val="0"/>
    <w:pPr>
      <w:widowControl/>
      <w:spacing w:line="360" w:lineRule="auto"/>
      <w:ind w:firstLine="480" w:firstLineChars="200"/>
      <w:jc w:val="left"/>
    </w:pPr>
    <w:rPr>
      <w:rFonts w:ascii="宋体" w:hAnsi="宋体"/>
      <w:sz w:val="24"/>
    </w:rPr>
  </w:style>
  <w:style w:type="character" w:customStyle="1" w:styleId="532">
    <w:name w:val="gather 标准标题6 Char"/>
    <w:link w:val="533"/>
    <w:qFormat/>
    <w:uiPriority w:val="0"/>
    <w:rPr>
      <w:rFonts w:ascii="宋体" w:hAnsi="宋体"/>
      <w:bCs/>
      <w:kern w:val="2"/>
      <w:sz w:val="24"/>
      <w:szCs w:val="24"/>
    </w:rPr>
  </w:style>
  <w:style w:type="paragraph" w:customStyle="1" w:styleId="533">
    <w:name w:val="gather 标准标题6"/>
    <w:basedOn w:val="9"/>
    <w:link w:val="532"/>
    <w:qFormat/>
    <w:uiPriority w:val="0"/>
    <w:pPr>
      <w:numPr>
        <w:numId w:val="2"/>
      </w:numPr>
      <w:spacing w:before="0" w:after="0" w:line="360" w:lineRule="auto"/>
      <w:ind w:left="425" w:hanging="425"/>
      <w:jc w:val="left"/>
    </w:pPr>
    <w:rPr>
      <w:rFonts w:ascii="宋体" w:hAnsi="宋体"/>
      <w:szCs w:val="24"/>
    </w:rPr>
  </w:style>
  <w:style w:type="character" w:customStyle="1" w:styleId="534">
    <w:name w:val="明显引用 Char1"/>
    <w:qFormat/>
    <w:uiPriority w:val="30"/>
    <w:rPr>
      <w:rFonts w:ascii="宋体" w:hAnsi="宋体" w:cs="宋体"/>
      <w:i/>
      <w:iCs/>
      <w:color w:val="5B9BD5"/>
      <w:sz w:val="24"/>
      <w:szCs w:val="24"/>
    </w:rPr>
  </w:style>
  <w:style w:type="character" w:customStyle="1" w:styleId="535">
    <w:name w:val="Notes Heading Char"/>
    <w:link w:val="536"/>
    <w:semiHidden/>
    <w:qFormat/>
    <w:uiPriority w:val="0"/>
    <w:rPr>
      <w:rFonts w:ascii="Arial" w:hAnsi="Arial" w:eastAsia="黑体"/>
      <w:sz w:val="22"/>
      <w:szCs w:val="22"/>
      <w:lang w:eastAsia="en-US" w:bidi="en-US"/>
    </w:rPr>
  </w:style>
  <w:style w:type="paragraph" w:customStyle="1" w:styleId="536">
    <w:name w:val="Notes Heading"/>
    <w:next w:val="537"/>
    <w:link w:val="535"/>
    <w:semiHidden/>
    <w:qFormat/>
    <w:uiPriority w:val="0"/>
    <w:pPr>
      <w:keepNext/>
      <w:pBdr>
        <w:top w:val="single" w:color="auto" w:sz="8" w:space="5"/>
      </w:pBdr>
      <w:snapToGrid w:val="0"/>
      <w:spacing w:before="80" w:after="80" w:line="276" w:lineRule="auto"/>
    </w:pPr>
    <w:rPr>
      <w:rFonts w:ascii="Arial" w:hAnsi="Arial" w:eastAsia="黑体" w:cs="Times New Roman"/>
      <w:sz w:val="22"/>
      <w:szCs w:val="22"/>
      <w:lang w:val="en-US" w:eastAsia="en-US" w:bidi="en-US"/>
    </w:rPr>
  </w:style>
  <w:style w:type="paragraph" w:customStyle="1" w:styleId="537">
    <w:name w:val="Notes Text"/>
    <w:link w:val="538"/>
    <w:semiHidden/>
    <w:qFormat/>
    <w:uiPriority w:val="0"/>
    <w:pPr>
      <w:pBdr>
        <w:bottom w:val="single" w:color="auto" w:sz="8" w:space="5"/>
      </w:pBdr>
      <w:spacing w:after="200" w:line="276" w:lineRule="auto"/>
    </w:pPr>
    <w:rPr>
      <w:rFonts w:ascii="Arial" w:hAnsi="Arial" w:eastAsia="楷体_GB2312" w:cs="Times New Roman"/>
      <w:color w:val="000000"/>
      <w:sz w:val="22"/>
      <w:szCs w:val="22"/>
      <w:lang w:val="en-US" w:eastAsia="en-US" w:bidi="en-US"/>
    </w:rPr>
  </w:style>
  <w:style w:type="character" w:customStyle="1" w:styleId="538">
    <w:name w:val="Notes Text Char"/>
    <w:link w:val="537"/>
    <w:semiHidden/>
    <w:qFormat/>
    <w:locked/>
    <w:uiPriority w:val="0"/>
    <w:rPr>
      <w:rFonts w:ascii="Arial" w:hAnsi="Arial" w:eastAsia="楷体_GB2312"/>
      <w:color w:val="000000"/>
      <w:sz w:val="22"/>
      <w:szCs w:val="22"/>
      <w:lang w:eastAsia="en-US" w:bidi="en-US"/>
    </w:rPr>
  </w:style>
  <w:style w:type="character" w:customStyle="1" w:styleId="539">
    <w:name w:val="Alt+X_文字段落 Char"/>
    <w:link w:val="540"/>
    <w:qFormat/>
    <w:uiPriority w:val="0"/>
    <w:rPr>
      <w:rFonts w:ascii="宋体" w:hAnsi="宋体" w:cs="宋体"/>
      <w:kern w:val="2"/>
      <w:sz w:val="24"/>
      <w:szCs w:val="24"/>
    </w:rPr>
  </w:style>
  <w:style w:type="paragraph" w:customStyle="1" w:styleId="540">
    <w:name w:val="Alt+X_文字段落"/>
    <w:basedOn w:val="1"/>
    <w:link w:val="539"/>
    <w:qFormat/>
    <w:uiPriority w:val="0"/>
    <w:pPr>
      <w:widowControl/>
      <w:spacing w:line="360" w:lineRule="auto"/>
      <w:ind w:firstLine="480" w:firstLineChars="200"/>
    </w:pPr>
    <w:rPr>
      <w:rFonts w:ascii="宋体" w:hAnsi="宋体" w:cs="宋体"/>
      <w:sz w:val="24"/>
    </w:rPr>
  </w:style>
  <w:style w:type="character" w:customStyle="1" w:styleId="541">
    <w:name w:val="HTML 预设格式 Char1"/>
    <w:qFormat/>
    <w:uiPriority w:val="0"/>
    <w:rPr>
      <w:rFonts w:ascii="宋体" w:hAnsi="宋体"/>
      <w:sz w:val="24"/>
    </w:rPr>
  </w:style>
  <w:style w:type="character" w:customStyle="1" w:styleId="542">
    <w:name w:val="HTML 预设格式 Char"/>
    <w:qFormat/>
    <w:uiPriority w:val="0"/>
    <w:rPr>
      <w:rFonts w:ascii="宋体" w:hAnsi="宋体" w:eastAsia="宋体"/>
      <w:kern w:val="0"/>
      <w:sz w:val="24"/>
    </w:rPr>
  </w:style>
  <w:style w:type="character" w:customStyle="1" w:styleId="543">
    <w:name w:val="qowt-font6-gb2312"/>
    <w:qFormat/>
    <w:uiPriority w:val="0"/>
  </w:style>
  <w:style w:type="character" w:customStyle="1" w:styleId="544">
    <w:name w:val="正文3 Char"/>
    <w:link w:val="545"/>
    <w:semiHidden/>
    <w:qFormat/>
    <w:locked/>
    <w:uiPriority w:val="0"/>
    <w:rPr>
      <w:rFonts w:ascii="宋体" w:hAnsi="Calibri" w:eastAsia="等线"/>
      <w:sz w:val="24"/>
      <w:szCs w:val="24"/>
      <w:lang w:eastAsia="en-US" w:bidi="en-US"/>
    </w:rPr>
  </w:style>
  <w:style w:type="paragraph" w:customStyle="1" w:styleId="545">
    <w:name w:val="正文3"/>
    <w:basedOn w:val="1"/>
    <w:link w:val="544"/>
    <w:semiHidden/>
    <w:qFormat/>
    <w:uiPriority w:val="0"/>
    <w:pPr>
      <w:widowControl/>
      <w:overflowPunct w:val="0"/>
      <w:autoSpaceDE w:val="0"/>
      <w:autoSpaceDN w:val="0"/>
      <w:adjustRightInd w:val="0"/>
      <w:spacing w:line="339" w:lineRule="exact"/>
      <w:ind w:firstLine="200" w:firstLineChars="200"/>
      <w:jc w:val="left"/>
      <w:textAlignment w:val="baseline"/>
    </w:pPr>
    <w:rPr>
      <w:rFonts w:ascii="宋体" w:hAnsi="Calibri" w:eastAsia="等线"/>
      <w:kern w:val="0"/>
      <w:sz w:val="24"/>
      <w:lang w:eastAsia="en-US" w:bidi="en-US"/>
    </w:rPr>
  </w:style>
  <w:style w:type="character" w:customStyle="1" w:styleId="546">
    <w:name w:val="gather 标题4 Char"/>
    <w:link w:val="547"/>
    <w:qFormat/>
    <w:uiPriority w:val="0"/>
    <w:rPr>
      <w:rFonts w:ascii="宋体" w:hAnsi="宋体"/>
      <w:bCs/>
      <w:kern w:val="2"/>
      <w:sz w:val="24"/>
      <w:szCs w:val="24"/>
      <w:lang w:bidi="en-US"/>
    </w:rPr>
  </w:style>
  <w:style w:type="paragraph" w:customStyle="1" w:styleId="547">
    <w:name w:val="gather 标题4"/>
    <w:basedOn w:val="6"/>
    <w:link w:val="546"/>
    <w:qFormat/>
    <w:uiPriority w:val="0"/>
    <w:pPr>
      <w:keepLines w:val="0"/>
      <w:widowControl/>
      <w:numPr>
        <w:ilvl w:val="3"/>
        <w:numId w:val="2"/>
      </w:numPr>
      <w:spacing w:before="0" w:after="0" w:line="360" w:lineRule="auto"/>
      <w:ind w:left="425" w:hanging="425"/>
      <w:jc w:val="left"/>
    </w:pPr>
    <w:rPr>
      <w:rFonts w:ascii="宋体" w:hAnsi="宋体" w:eastAsia="宋体"/>
      <w:b w:val="0"/>
      <w:sz w:val="24"/>
      <w:szCs w:val="24"/>
      <w:lang w:bidi="en-US"/>
    </w:rPr>
  </w:style>
  <w:style w:type="character" w:customStyle="1" w:styleId="548">
    <w:name w:val="正文Normal Char"/>
    <w:link w:val="549"/>
    <w:semiHidden/>
    <w:qFormat/>
    <w:locked/>
    <w:uiPriority w:val="0"/>
    <w:rPr>
      <w:rFonts w:ascii="Arial" w:hAnsi="Arial" w:cs="Arial"/>
      <w:sz w:val="24"/>
      <w:szCs w:val="24"/>
    </w:rPr>
  </w:style>
  <w:style w:type="paragraph" w:customStyle="1" w:styleId="549">
    <w:name w:val="正文Normal"/>
    <w:basedOn w:val="1"/>
    <w:link w:val="548"/>
    <w:semiHidden/>
    <w:qFormat/>
    <w:uiPriority w:val="0"/>
    <w:pPr>
      <w:spacing w:after="120" w:line="360" w:lineRule="auto"/>
      <w:ind w:firstLine="480" w:firstLineChars="200"/>
    </w:pPr>
    <w:rPr>
      <w:rFonts w:ascii="Arial" w:hAnsi="Arial" w:cs="Arial"/>
      <w:kern w:val="0"/>
      <w:sz w:val="24"/>
    </w:rPr>
  </w:style>
  <w:style w:type="character" w:customStyle="1" w:styleId="550">
    <w:name w:val="正文文本样式 Char Char"/>
    <w:link w:val="551"/>
    <w:semiHidden/>
    <w:qFormat/>
    <w:locked/>
    <w:uiPriority w:val="99"/>
    <w:rPr>
      <w:kern w:val="2"/>
      <w:sz w:val="22"/>
      <w:szCs w:val="22"/>
    </w:rPr>
  </w:style>
  <w:style w:type="paragraph" w:customStyle="1" w:styleId="551">
    <w:name w:val="正文文本样式"/>
    <w:link w:val="550"/>
    <w:semiHidden/>
    <w:qFormat/>
    <w:uiPriority w:val="99"/>
    <w:pPr>
      <w:spacing w:line="360" w:lineRule="auto"/>
      <w:ind w:firstLine="480" w:firstLineChars="200"/>
      <w:jc w:val="both"/>
    </w:pPr>
    <w:rPr>
      <w:rFonts w:ascii="Times New Roman" w:hAnsi="Times New Roman" w:eastAsia="宋体" w:cs="Times New Roman"/>
      <w:kern w:val="2"/>
      <w:sz w:val="22"/>
      <w:szCs w:val="22"/>
      <w:lang w:val="en-US" w:eastAsia="zh-CN" w:bidi="ar-SA"/>
    </w:rPr>
  </w:style>
  <w:style w:type="character" w:customStyle="1" w:styleId="552">
    <w:name w:val="标题 Char"/>
    <w:qFormat/>
    <w:uiPriority w:val="0"/>
    <w:rPr>
      <w:rFonts w:ascii="Cambria" w:hAnsi="Cambria" w:eastAsia="宋体"/>
      <w:b/>
      <w:sz w:val="32"/>
    </w:rPr>
  </w:style>
  <w:style w:type="character" w:customStyle="1" w:styleId="553">
    <w:name w:val="未处理的提及"/>
    <w:unhideWhenUsed/>
    <w:qFormat/>
    <w:uiPriority w:val="99"/>
    <w:rPr>
      <w:color w:val="808080"/>
      <w:shd w:val="clear" w:color="auto" w:fill="E6E6E6"/>
    </w:rPr>
  </w:style>
  <w:style w:type="character" w:customStyle="1" w:styleId="554">
    <w:name w:val="文件标题1.1 Char Char"/>
    <w:link w:val="555"/>
    <w:semiHidden/>
    <w:qFormat/>
    <w:uiPriority w:val="0"/>
    <w:rPr>
      <w:b/>
      <w:kern w:val="2"/>
      <w:sz w:val="24"/>
      <w:szCs w:val="24"/>
    </w:rPr>
  </w:style>
  <w:style w:type="paragraph" w:customStyle="1" w:styleId="555">
    <w:name w:val="文件标题1.1"/>
    <w:basedOn w:val="1"/>
    <w:link w:val="554"/>
    <w:semiHidden/>
    <w:qFormat/>
    <w:uiPriority w:val="0"/>
    <w:pPr>
      <w:numPr>
        <w:ilvl w:val="1"/>
        <w:numId w:val="32"/>
      </w:numPr>
      <w:spacing w:line="360" w:lineRule="auto"/>
      <w:ind w:firstLine="200" w:firstLineChars="200"/>
      <w:jc w:val="left"/>
      <w:outlineLvl w:val="1"/>
    </w:pPr>
    <w:rPr>
      <w:b/>
      <w:sz w:val="24"/>
    </w:rPr>
  </w:style>
  <w:style w:type="character" w:customStyle="1" w:styleId="556">
    <w:name w:val="apple-converted-space"/>
    <w:basedOn w:val="55"/>
    <w:qFormat/>
    <w:uiPriority w:val="0"/>
  </w:style>
  <w:style w:type="character" w:customStyle="1" w:styleId="557">
    <w:name w:val="gather zd Char"/>
    <w:link w:val="558"/>
    <w:qFormat/>
    <w:uiPriority w:val="0"/>
    <w:rPr>
      <w:rFonts w:ascii="宋体" w:hAnsi="宋体"/>
      <w:kern w:val="2"/>
      <w:sz w:val="24"/>
      <w:szCs w:val="24"/>
    </w:rPr>
  </w:style>
  <w:style w:type="paragraph" w:customStyle="1" w:styleId="558">
    <w:name w:val="gather zd"/>
    <w:basedOn w:val="114"/>
    <w:link w:val="557"/>
    <w:qFormat/>
    <w:uiPriority w:val="0"/>
    <w:pPr>
      <w:adjustRightInd w:val="0"/>
      <w:snapToGrid w:val="0"/>
      <w:ind w:firstLine="200"/>
    </w:pPr>
    <w:rPr>
      <w:rFonts w:ascii="宋体" w:hAnsi="宋体"/>
      <w:kern w:val="2"/>
    </w:rPr>
  </w:style>
  <w:style w:type="character" w:customStyle="1" w:styleId="559">
    <w:name w:val="题注 字符2"/>
    <w:qFormat/>
    <w:uiPriority w:val="0"/>
    <w:rPr>
      <w:rFonts w:ascii="Cambria" w:hAnsi="Cambria" w:eastAsia="黑体"/>
      <w:sz w:val="24"/>
    </w:rPr>
  </w:style>
  <w:style w:type="character" w:customStyle="1" w:styleId="560">
    <w:name w:val="biaoti 1.1.1 Char"/>
    <w:link w:val="561"/>
    <w:semiHidden/>
    <w:qFormat/>
    <w:uiPriority w:val="0"/>
    <w:rPr>
      <w:rFonts w:ascii="宋体" w:hAnsi="宋体"/>
      <w:b/>
      <w:color w:val="000000"/>
      <w:sz w:val="24"/>
      <w:szCs w:val="21"/>
      <w:lang w:bidi="en-US"/>
    </w:rPr>
  </w:style>
  <w:style w:type="paragraph" w:customStyle="1" w:styleId="561">
    <w:name w:val="biaoti 1.1.1"/>
    <w:basedOn w:val="1"/>
    <w:link w:val="560"/>
    <w:semiHidden/>
    <w:qFormat/>
    <w:uiPriority w:val="0"/>
    <w:pPr>
      <w:widowControl/>
      <w:numPr>
        <w:ilvl w:val="0"/>
        <w:numId w:val="8"/>
      </w:numPr>
      <w:spacing w:after="200" w:line="276" w:lineRule="auto"/>
      <w:ind w:firstLine="200" w:firstLineChars="200"/>
      <w:jc w:val="left"/>
    </w:pPr>
    <w:rPr>
      <w:rFonts w:ascii="宋体" w:hAnsi="宋体"/>
      <w:b/>
      <w:color w:val="000000"/>
      <w:kern w:val="0"/>
      <w:sz w:val="24"/>
      <w:szCs w:val="21"/>
      <w:lang w:bidi="en-US"/>
    </w:rPr>
  </w:style>
  <w:style w:type="character" w:customStyle="1" w:styleId="562">
    <w:name w:val="标题 5 字符"/>
    <w:qFormat/>
    <w:uiPriority w:val="0"/>
    <w:rPr>
      <w:b/>
      <w:sz w:val="24"/>
    </w:rPr>
  </w:style>
  <w:style w:type="character" w:customStyle="1" w:styleId="563">
    <w:name w:val="文档结构图 字符"/>
    <w:qFormat/>
    <w:uiPriority w:val="0"/>
    <w:rPr>
      <w:rFonts w:ascii="宋体" w:hAnsi="Calibri" w:eastAsia="宋体"/>
      <w:sz w:val="18"/>
    </w:rPr>
  </w:style>
  <w:style w:type="character" w:customStyle="1" w:styleId="564">
    <w:name w:val="正文内容 Char"/>
    <w:link w:val="565"/>
    <w:semiHidden/>
    <w:qFormat/>
    <w:uiPriority w:val="0"/>
    <w:rPr>
      <w:sz w:val="24"/>
      <w:lang w:val="zh-CN"/>
    </w:rPr>
  </w:style>
  <w:style w:type="paragraph" w:customStyle="1" w:styleId="565">
    <w:name w:val="正文内容"/>
    <w:basedOn w:val="1"/>
    <w:link w:val="564"/>
    <w:semiHidden/>
    <w:qFormat/>
    <w:uiPriority w:val="0"/>
    <w:pPr>
      <w:spacing w:beforeLines="50" w:line="360" w:lineRule="auto"/>
      <w:ind w:firstLine="200" w:firstLineChars="200"/>
      <w:jc w:val="left"/>
    </w:pPr>
    <w:rPr>
      <w:kern w:val="0"/>
      <w:sz w:val="24"/>
      <w:szCs w:val="20"/>
      <w:lang w:val="zh-CN"/>
    </w:rPr>
  </w:style>
  <w:style w:type="character" w:customStyle="1" w:styleId="566">
    <w:name w:val="称呼 Char"/>
    <w:qFormat/>
    <w:uiPriority w:val="0"/>
    <w:rPr>
      <w:rFonts w:ascii="Calibri" w:hAnsi="Calibri" w:eastAsia="等线"/>
      <w:kern w:val="2"/>
      <w:sz w:val="21"/>
      <w:szCs w:val="22"/>
    </w:rPr>
  </w:style>
  <w:style w:type="character" w:customStyle="1" w:styleId="567">
    <w:name w:val="正文首行缩进 Char1"/>
    <w:link w:val="568"/>
    <w:qFormat/>
    <w:uiPriority w:val="0"/>
    <w:rPr>
      <w:rFonts w:ascii="Arial" w:hAnsi="Arial" w:cs="Arial"/>
      <w:sz w:val="24"/>
      <w:szCs w:val="24"/>
    </w:rPr>
  </w:style>
  <w:style w:type="paragraph" w:customStyle="1" w:styleId="568">
    <w:name w:val="Body Text First Indent1"/>
    <w:basedOn w:val="1"/>
    <w:link w:val="567"/>
    <w:qFormat/>
    <w:uiPriority w:val="0"/>
    <w:pPr>
      <w:spacing w:afterLines="50" w:line="360" w:lineRule="auto"/>
      <w:ind w:firstLine="200" w:firstLineChars="200"/>
    </w:pPr>
    <w:rPr>
      <w:rFonts w:ascii="Arial" w:hAnsi="Arial" w:cs="Arial"/>
      <w:kern w:val="0"/>
      <w:sz w:val="24"/>
    </w:rPr>
  </w:style>
  <w:style w:type="character" w:customStyle="1" w:styleId="569">
    <w:name w:val="首行缩进 Char"/>
    <w:link w:val="570"/>
    <w:semiHidden/>
    <w:qFormat/>
    <w:locked/>
    <w:uiPriority w:val="0"/>
    <w:rPr>
      <w:rFonts w:ascii="Calibri" w:hAnsi="Calibri" w:cs="黑体"/>
      <w:kern w:val="2"/>
      <w:sz w:val="21"/>
    </w:rPr>
  </w:style>
  <w:style w:type="paragraph" w:customStyle="1" w:styleId="570">
    <w:name w:val="首行缩进"/>
    <w:basedOn w:val="1"/>
    <w:link w:val="569"/>
    <w:semiHidden/>
    <w:qFormat/>
    <w:uiPriority w:val="0"/>
    <w:pPr>
      <w:ind w:firstLine="480" w:firstLineChars="200"/>
    </w:pPr>
    <w:rPr>
      <w:rFonts w:ascii="Calibri" w:hAnsi="Calibri" w:cs="黑体"/>
      <w:szCs w:val="20"/>
    </w:rPr>
  </w:style>
  <w:style w:type="character" w:customStyle="1" w:styleId="571">
    <w:name w:val="gather 标准5级标题 Char"/>
    <w:link w:val="572"/>
    <w:qFormat/>
    <w:uiPriority w:val="0"/>
    <w:rPr>
      <w:rFonts w:ascii="等线" w:hAnsi="等线"/>
      <w:w w:val="105"/>
      <w:kern w:val="2"/>
      <w:sz w:val="24"/>
      <w:szCs w:val="24"/>
    </w:rPr>
  </w:style>
  <w:style w:type="paragraph" w:customStyle="1" w:styleId="572">
    <w:name w:val="gather 标准5级标题"/>
    <w:basedOn w:val="7"/>
    <w:link w:val="571"/>
    <w:qFormat/>
    <w:uiPriority w:val="0"/>
    <w:pPr>
      <w:numPr>
        <w:ilvl w:val="4"/>
        <w:numId w:val="2"/>
      </w:numPr>
      <w:snapToGrid w:val="0"/>
      <w:spacing w:before="0" w:after="0"/>
      <w:ind w:left="425" w:hanging="425"/>
    </w:pPr>
    <w:rPr>
      <w:rFonts w:ascii="等线" w:hAnsi="等线" w:eastAsia="宋体"/>
      <w:b w:val="0"/>
      <w:w w:val="105"/>
      <w:szCs w:val="24"/>
    </w:rPr>
  </w:style>
  <w:style w:type="character" w:customStyle="1" w:styleId="573">
    <w:name w:val="Table Text Char Char Char Char Char Char"/>
    <w:link w:val="574"/>
    <w:semiHidden/>
    <w:qFormat/>
    <w:uiPriority w:val="0"/>
    <w:rPr>
      <w:rFonts w:ascii="Arial" w:hAnsi="Arial"/>
      <w:kern w:val="2"/>
      <w:sz w:val="18"/>
      <w:szCs w:val="24"/>
      <w:lang w:eastAsia="en-US" w:bidi="en-US"/>
    </w:rPr>
  </w:style>
  <w:style w:type="paragraph" w:customStyle="1" w:styleId="574">
    <w:name w:val="Table Text Char Char Char Char Char"/>
    <w:link w:val="573"/>
    <w:semiHidden/>
    <w:qFormat/>
    <w:uiPriority w:val="0"/>
    <w:pPr>
      <w:snapToGrid w:val="0"/>
      <w:spacing w:before="80" w:after="80" w:line="276" w:lineRule="auto"/>
    </w:pPr>
    <w:rPr>
      <w:rFonts w:ascii="Arial" w:hAnsi="Arial" w:eastAsia="宋体" w:cs="Times New Roman"/>
      <w:kern w:val="2"/>
      <w:sz w:val="18"/>
      <w:szCs w:val="24"/>
      <w:lang w:val="en-US" w:eastAsia="en-US" w:bidi="en-US"/>
    </w:rPr>
  </w:style>
  <w:style w:type="character" w:customStyle="1" w:styleId="575">
    <w:name w:val="正文11 Char"/>
    <w:link w:val="576"/>
    <w:semiHidden/>
    <w:qFormat/>
    <w:locked/>
    <w:uiPriority w:val="0"/>
    <w:rPr>
      <w:rFonts w:ascii="Calibri" w:hAnsi="Calibri"/>
      <w:sz w:val="24"/>
      <w:szCs w:val="24"/>
    </w:rPr>
  </w:style>
  <w:style w:type="paragraph" w:customStyle="1" w:styleId="576">
    <w:name w:val="正文11"/>
    <w:basedOn w:val="1"/>
    <w:link w:val="575"/>
    <w:semiHidden/>
    <w:qFormat/>
    <w:uiPriority w:val="0"/>
    <w:pPr>
      <w:widowControl/>
      <w:spacing w:line="360" w:lineRule="auto"/>
      <w:ind w:firstLine="480" w:firstLineChars="200"/>
    </w:pPr>
    <w:rPr>
      <w:rFonts w:ascii="Calibri" w:hAnsi="Calibri"/>
      <w:kern w:val="0"/>
      <w:sz w:val="24"/>
    </w:rPr>
  </w:style>
  <w:style w:type="character" w:customStyle="1" w:styleId="577">
    <w:name w:val="引用 Char"/>
    <w:qFormat/>
    <w:uiPriority w:val="29"/>
    <w:rPr>
      <w:rFonts w:ascii="Cambria" w:hAnsi="Cambria"/>
      <w:i/>
      <w:iCs/>
    </w:rPr>
  </w:style>
  <w:style w:type="paragraph" w:styleId="578">
    <w:name w:val="Quote"/>
    <w:basedOn w:val="1"/>
    <w:next w:val="1"/>
    <w:link w:val="809"/>
    <w:qFormat/>
    <w:uiPriority w:val="29"/>
    <w:pPr>
      <w:widowControl/>
      <w:spacing w:after="200" w:line="276" w:lineRule="auto"/>
      <w:ind w:firstLine="200" w:firstLineChars="200"/>
      <w:jc w:val="left"/>
    </w:pPr>
    <w:rPr>
      <w:rFonts w:ascii="Cambria" w:hAnsi="Cambria"/>
      <w:i/>
      <w:iCs/>
      <w:kern w:val="0"/>
      <w:sz w:val="20"/>
      <w:szCs w:val="20"/>
    </w:rPr>
  </w:style>
  <w:style w:type="character" w:customStyle="1" w:styleId="579">
    <w:name w:val="qowt-font14-gb2312"/>
    <w:qFormat/>
    <w:uiPriority w:val="0"/>
  </w:style>
  <w:style w:type="character" w:customStyle="1" w:styleId="580">
    <w:name w:val="图标 Char"/>
    <w:link w:val="581"/>
    <w:semiHidden/>
    <w:qFormat/>
    <w:locked/>
    <w:uiPriority w:val="0"/>
    <w:rPr>
      <w:rFonts w:ascii="宋体" w:hAnsi="宋体"/>
      <w:szCs w:val="21"/>
    </w:rPr>
  </w:style>
  <w:style w:type="paragraph" w:customStyle="1" w:styleId="581">
    <w:name w:val="图标"/>
    <w:basedOn w:val="16"/>
    <w:link w:val="580"/>
    <w:semiHidden/>
    <w:qFormat/>
    <w:uiPriority w:val="0"/>
    <w:pPr>
      <w:widowControl w:val="0"/>
      <w:spacing w:after="0"/>
      <w:ind w:firstLine="200" w:firstLineChars="200"/>
    </w:pPr>
    <w:rPr>
      <w:bCs w:val="0"/>
      <w:sz w:val="20"/>
      <w:szCs w:val="21"/>
    </w:rPr>
  </w:style>
  <w:style w:type="character" w:customStyle="1" w:styleId="582">
    <w:name w:val="普通(网站) Char1"/>
    <w:qFormat/>
    <w:uiPriority w:val="99"/>
    <w:rPr>
      <w:rFonts w:ascii="宋体" w:hAnsi="宋体" w:cs="宋体"/>
      <w:sz w:val="24"/>
      <w:szCs w:val="24"/>
    </w:rPr>
  </w:style>
  <w:style w:type="character" w:customStyle="1" w:styleId="583">
    <w:name w:val="command parameter Char"/>
    <w:link w:val="584"/>
    <w:semiHidden/>
    <w:qFormat/>
    <w:locked/>
    <w:uiPriority w:val="0"/>
    <w:rPr>
      <w:rFonts w:ascii="Arial" w:hAnsi="Arial"/>
      <w:i/>
      <w:iCs/>
      <w:kern w:val="2"/>
      <w:sz w:val="21"/>
      <w:szCs w:val="22"/>
    </w:rPr>
  </w:style>
  <w:style w:type="paragraph" w:customStyle="1" w:styleId="584">
    <w:name w:val="command parameter"/>
    <w:basedOn w:val="1"/>
    <w:link w:val="583"/>
    <w:semiHidden/>
    <w:qFormat/>
    <w:uiPriority w:val="0"/>
    <w:pPr>
      <w:widowControl/>
      <w:snapToGrid w:val="0"/>
      <w:spacing w:before="40" w:after="40" w:line="300" w:lineRule="auto"/>
      <w:ind w:left="624" w:firstLine="200" w:firstLineChars="200"/>
      <w:jc w:val="left"/>
    </w:pPr>
    <w:rPr>
      <w:rFonts w:ascii="Arial" w:hAnsi="Arial"/>
      <w:i/>
      <w:iCs/>
      <w:szCs w:val="22"/>
    </w:rPr>
  </w:style>
  <w:style w:type="character" w:customStyle="1" w:styleId="585">
    <w:name w:val="文档结构图 Char"/>
    <w:qFormat/>
    <w:uiPriority w:val="99"/>
    <w:rPr>
      <w:rFonts w:ascii="宋体" w:hAnsi="Calibri" w:eastAsia="宋体"/>
      <w:sz w:val="18"/>
    </w:rPr>
  </w:style>
  <w:style w:type="character" w:customStyle="1" w:styleId="586">
    <w:name w:val="尾注文本 Char"/>
    <w:qFormat/>
    <w:uiPriority w:val="99"/>
    <w:rPr>
      <w:rFonts w:ascii="Calibri" w:hAnsi="Calibri" w:eastAsia="等线"/>
      <w:sz w:val="24"/>
      <w:szCs w:val="24"/>
      <w:lang w:eastAsia="en-US" w:bidi="en-US"/>
    </w:rPr>
  </w:style>
  <w:style w:type="character" w:customStyle="1" w:styleId="587">
    <w:name w:val="表格文字 Char"/>
    <w:link w:val="588"/>
    <w:qFormat/>
    <w:uiPriority w:val="0"/>
    <w:rPr>
      <w:rFonts w:cs="宋体"/>
      <w:sz w:val="21"/>
      <w:szCs w:val="24"/>
    </w:rPr>
  </w:style>
  <w:style w:type="paragraph" w:customStyle="1" w:styleId="588">
    <w:name w:val="表格文字"/>
    <w:basedOn w:val="1"/>
    <w:link w:val="587"/>
    <w:qFormat/>
    <w:uiPriority w:val="0"/>
    <w:pPr>
      <w:widowControl/>
      <w:ind w:firstLine="480" w:firstLineChars="200"/>
      <w:jc w:val="left"/>
    </w:pPr>
    <w:rPr>
      <w:rFonts w:cs="宋体"/>
      <w:kern w:val="0"/>
    </w:rPr>
  </w:style>
  <w:style w:type="character" w:customStyle="1" w:styleId="589">
    <w:name w:val="插图题注 Char"/>
    <w:link w:val="590"/>
    <w:semiHidden/>
    <w:qFormat/>
    <w:locked/>
    <w:uiPriority w:val="0"/>
    <w:rPr>
      <w:rFonts w:ascii="Arial" w:hAnsi="Arial"/>
      <w:sz w:val="18"/>
      <w:szCs w:val="18"/>
      <w:lang w:eastAsia="en-US" w:bidi="en-US"/>
    </w:rPr>
  </w:style>
  <w:style w:type="paragraph" w:customStyle="1" w:styleId="590">
    <w:name w:val="插图题注"/>
    <w:next w:val="1"/>
    <w:link w:val="589"/>
    <w:semiHidden/>
    <w:qFormat/>
    <w:uiPriority w:val="0"/>
    <w:pPr>
      <w:numPr>
        <w:ilvl w:val="7"/>
        <w:numId w:val="31"/>
      </w:numPr>
      <w:spacing w:afterLines="100" w:line="276" w:lineRule="auto"/>
      <w:ind w:left="1089" w:hanging="369"/>
      <w:jc w:val="center"/>
    </w:pPr>
    <w:rPr>
      <w:rFonts w:ascii="Arial" w:hAnsi="Arial" w:eastAsia="宋体" w:cs="Times New Roman"/>
      <w:sz w:val="18"/>
      <w:szCs w:val="18"/>
      <w:lang w:val="en-US" w:eastAsia="en-US" w:bidi="en-US"/>
    </w:rPr>
  </w:style>
  <w:style w:type="character" w:customStyle="1" w:styleId="591">
    <w:name w:val="一级观点 字符"/>
    <w:link w:val="592"/>
    <w:qFormat/>
    <w:uiPriority w:val="0"/>
    <w:rPr>
      <w:szCs w:val="24"/>
    </w:rPr>
  </w:style>
  <w:style w:type="paragraph" w:customStyle="1" w:styleId="592">
    <w:name w:val="一级观点"/>
    <w:basedOn w:val="2"/>
    <w:link w:val="591"/>
    <w:qFormat/>
    <w:uiPriority w:val="0"/>
    <w:rPr>
      <w:kern w:val="0"/>
      <w:sz w:val="20"/>
      <w:szCs w:val="24"/>
    </w:rPr>
  </w:style>
  <w:style w:type="character" w:customStyle="1" w:styleId="593">
    <w:name w:val="图片居中 Char"/>
    <w:link w:val="594"/>
    <w:semiHidden/>
    <w:qFormat/>
    <w:uiPriority w:val="0"/>
    <w:rPr>
      <w:rFonts w:ascii="Arial" w:hAnsi="Arial"/>
      <w:kern w:val="2"/>
      <w:sz w:val="24"/>
      <w:lang w:val="zh-CN"/>
    </w:rPr>
  </w:style>
  <w:style w:type="paragraph" w:customStyle="1" w:styleId="594">
    <w:name w:val="图片居中"/>
    <w:basedOn w:val="1"/>
    <w:next w:val="1"/>
    <w:link w:val="593"/>
    <w:semiHidden/>
    <w:qFormat/>
    <w:uiPriority w:val="0"/>
    <w:pPr>
      <w:spacing w:line="360" w:lineRule="auto"/>
      <w:jc w:val="center"/>
    </w:pPr>
    <w:rPr>
      <w:rFonts w:ascii="Arial" w:hAnsi="Arial"/>
      <w:sz w:val="24"/>
      <w:szCs w:val="20"/>
      <w:lang w:val="zh-CN"/>
    </w:rPr>
  </w:style>
  <w:style w:type="character" w:customStyle="1" w:styleId="595">
    <w:name w:val="Table Text Char1"/>
    <w:link w:val="596"/>
    <w:semiHidden/>
    <w:qFormat/>
    <w:uiPriority w:val="0"/>
    <w:rPr>
      <w:rFonts w:cs="Arial"/>
      <w:sz w:val="21"/>
      <w:szCs w:val="21"/>
    </w:rPr>
  </w:style>
  <w:style w:type="paragraph" w:customStyle="1" w:styleId="596">
    <w:name w:val="Table Text"/>
    <w:basedOn w:val="1"/>
    <w:link w:val="595"/>
    <w:semiHidden/>
    <w:qFormat/>
    <w:uiPriority w:val="0"/>
    <w:pPr>
      <w:topLinePunct/>
      <w:adjustRightInd w:val="0"/>
      <w:snapToGrid w:val="0"/>
      <w:spacing w:before="80" w:after="80" w:line="240" w:lineRule="atLeast"/>
      <w:ind w:firstLine="200" w:firstLineChars="200"/>
      <w:jc w:val="left"/>
    </w:pPr>
    <w:rPr>
      <w:rFonts w:cs="Arial"/>
      <w:kern w:val="0"/>
      <w:szCs w:val="21"/>
    </w:rPr>
  </w:style>
  <w:style w:type="character" w:customStyle="1" w:styleId="597">
    <w:name w:val="正文首行缩进 Char2"/>
    <w:qFormat/>
    <w:uiPriority w:val="0"/>
    <w:rPr>
      <w:rFonts w:eastAsia="仿宋"/>
      <w:sz w:val="28"/>
    </w:rPr>
  </w:style>
  <w:style w:type="character" w:customStyle="1" w:styleId="598">
    <w:name w:val="gather 标题3 Char"/>
    <w:link w:val="599"/>
    <w:qFormat/>
    <w:uiPriority w:val="0"/>
    <w:rPr>
      <w:rFonts w:ascii="宋体" w:hAnsi="宋体"/>
      <w:kern w:val="2"/>
      <w:sz w:val="28"/>
      <w:szCs w:val="28"/>
    </w:rPr>
  </w:style>
  <w:style w:type="paragraph" w:customStyle="1" w:styleId="599">
    <w:name w:val="gather 标题3"/>
    <w:basedOn w:val="5"/>
    <w:link w:val="598"/>
    <w:qFormat/>
    <w:uiPriority w:val="0"/>
    <w:pPr>
      <w:keepNext w:val="0"/>
      <w:keepLines w:val="0"/>
      <w:tabs>
        <w:tab w:val="left" w:pos="0"/>
      </w:tabs>
      <w:autoSpaceDE/>
      <w:autoSpaceDN/>
      <w:adjustRightInd/>
      <w:spacing w:before="0" w:after="0"/>
      <w:ind w:left="425" w:hanging="425"/>
      <w:jc w:val="both"/>
      <w:textAlignment w:val="auto"/>
    </w:pPr>
    <w:rPr>
      <w:rFonts w:ascii="宋体" w:hAnsi="宋体" w:eastAsia="宋体"/>
      <w:b w:val="0"/>
      <w:sz w:val="28"/>
      <w:szCs w:val="28"/>
    </w:rPr>
  </w:style>
  <w:style w:type="character" w:customStyle="1" w:styleId="600">
    <w:name w:val="表格 左进1 Char"/>
    <w:link w:val="601"/>
    <w:semiHidden/>
    <w:qFormat/>
    <w:locked/>
    <w:uiPriority w:val="0"/>
    <w:rPr>
      <w:rFonts w:ascii="宋体" w:hAnsi="宋体"/>
      <w:w w:val="101"/>
      <w:szCs w:val="21"/>
    </w:rPr>
  </w:style>
  <w:style w:type="paragraph" w:customStyle="1" w:styleId="601">
    <w:name w:val="表格 左进1"/>
    <w:basedOn w:val="1"/>
    <w:link w:val="600"/>
    <w:semiHidden/>
    <w:qFormat/>
    <w:uiPriority w:val="0"/>
    <w:pPr>
      <w:ind w:firstLine="200" w:firstLineChars="200"/>
    </w:pPr>
    <w:rPr>
      <w:rFonts w:ascii="宋体" w:hAnsi="宋体"/>
      <w:w w:val="101"/>
      <w:kern w:val="0"/>
      <w:sz w:val="20"/>
      <w:szCs w:val="21"/>
    </w:rPr>
  </w:style>
  <w:style w:type="character" w:customStyle="1" w:styleId="602">
    <w:name w:val="Item List in Table Char Char"/>
    <w:link w:val="603"/>
    <w:semiHidden/>
    <w:qFormat/>
    <w:uiPriority w:val="0"/>
    <w:rPr>
      <w:rFonts w:ascii="Arial" w:hAnsi="Arial" w:cs="Arial"/>
      <w:kern w:val="2"/>
      <w:sz w:val="18"/>
      <w:szCs w:val="18"/>
      <w:lang w:eastAsia="en-US"/>
    </w:rPr>
  </w:style>
  <w:style w:type="paragraph" w:customStyle="1" w:styleId="603">
    <w:name w:val="Item List in Table"/>
    <w:basedOn w:val="1"/>
    <w:link w:val="602"/>
    <w:semiHidden/>
    <w:qFormat/>
    <w:uiPriority w:val="0"/>
    <w:pPr>
      <w:widowControl/>
      <w:tabs>
        <w:tab w:val="left" w:pos="284"/>
      </w:tabs>
      <w:spacing w:before="80" w:after="80" w:line="360" w:lineRule="auto"/>
      <w:ind w:left="284" w:hanging="284" w:firstLineChars="200"/>
      <w:jc w:val="left"/>
    </w:pPr>
    <w:rPr>
      <w:rFonts w:ascii="Arial" w:hAnsi="Arial" w:cs="Arial"/>
      <w:sz w:val="18"/>
      <w:szCs w:val="18"/>
      <w:lang w:eastAsia="en-US"/>
    </w:rPr>
  </w:style>
  <w:style w:type="character" w:customStyle="1" w:styleId="604">
    <w:name w:val="页眉 字符"/>
    <w:qFormat/>
    <w:uiPriority w:val="0"/>
    <w:rPr>
      <w:rFonts w:eastAsia="仿宋"/>
      <w:sz w:val="18"/>
    </w:rPr>
  </w:style>
  <w:style w:type="character" w:customStyle="1" w:styleId="605">
    <w:name w:val="Item text Char Char Char"/>
    <w:link w:val="606"/>
    <w:semiHidden/>
    <w:qFormat/>
    <w:uiPriority w:val="0"/>
    <w:rPr>
      <w:rFonts w:ascii="Arial" w:hAnsi="Arial"/>
      <w:kern w:val="2"/>
      <w:sz w:val="18"/>
      <w:szCs w:val="24"/>
      <w:lang w:eastAsia="en-US" w:bidi="en-US"/>
    </w:rPr>
  </w:style>
  <w:style w:type="paragraph" w:customStyle="1" w:styleId="606">
    <w:name w:val="Item text Char Char"/>
    <w:link w:val="605"/>
    <w:semiHidden/>
    <w:qFormat/>
    <w:uiPriority w:val="0"/>
    <w:pPr>
      <w:tabs>
        <w:tab w:val="left" w:pos="425"/>
      </w:tabs>
      <w:spacing w:after="200" w:line="360" w:lineRule="auto"/>
      <w:ind w:left="426" w:hanging="284"/>
      <w:jc w:val="both"/>
    </w:pPr>
    <w:rPr>
      <w:rFonts w:ascii="Arial" w:hAnsi="Arial" w:eastAsia="宋体" w:cs="Times New Roman"/>
      <w:kern w:val="2"/>
      <w:sz w:val="18"/>
      <w:szCs w:val="24"/>
      <w:lang w:val="en-US" w:eastAsia="en-US" w:bidi="en-US"/>
    </w:rPr>
  </w:style>
  <w:style w:type="character" w:customStyle="1" w:styleId="607">
    <w:name w:val="）单括号正式样式 Char"/>
    <w:link w:val="608"/>
    <w:semiHidden/>
    <w:qFormat/>
    <w:uiPriority w:val="0"/>
    <w:rPr>
      <w:rFonts w:ascii="宋体" w:hAnsi="宋体" w:cs="宋体"/>
      <w:color w:val="000000"/>
      <w:sz w:val="24"/>
      <w:szCs w:val="24"/>
    </w:rPr>
  </w:style>
  <w:style w:type="paragraph" w:customStyle="1" w:styleId="608">
    <w:name w:val="）单括号正式样式"/>
    <w:basedOn w:val="100"/>
    <w:link w:val="607"/>
    <w:semiHidden/>
    <w:qFormat/>
    <w:uiPriority w:val="0"/>
    <w:pPr>
      <w:numPr>
        <w:ilvl w:val="0"/>
        <w:numId w:val="39"/>
      </w:numPr>
      <w:adjustRightInd w:val="0"/>
      <w:snapToGrid w:val="0"/>
      <w:spacing w:line="360" w:lineRule="auto"/>
      <w:ind w:firstLine="0" w:firstLineChars="0"/>
      <w:jc w:val="left"/>
    </w:pPr>
    <w:rPr>
      <w:rFonts w:ascii="宋体" w:hAnsi="宋体" w:cs="宋体"/>
      <w:color w:val="000000"/>
      <w:kern w:val="0"/>
      <w:sz w:val="24"/>
    </w:rPr>
  </w:style>
  <w:style w:type="character" w:customStyle="1" w:styleId="609">
    <w:name w:val="无"/>
    <w:qFormat/>
    <w:uiPriority w:val="0"/>
  </w:style>
  <w:style w:type="character" w:customStyle="1" w:styleId="610">
    <w:name w:val="标题 字符1"/>
    <w:qFormat/>
    <w:uiPriority w:val="10"/>
    <w:rPr>
      <w:rFonts w:ascii="等线 Light" w:hAnsi="等线 Light" w:eastAsia="等线 Light" w:cs="Times New Roman"/>
      <w:b/>
      <w:bCs/>
      <w:kern w:val="0"/>
      <w:sz w:val="32"/>
      <w:szCs w:val="32"/>
    </w:rPr>
  </w:style>
  <w:style w:type="character" w:customStyle="1" w:styleId="611">
    <w:name w:val="_正文 Char"/>
    <w:link w:val="612"/>
    <w:semiHidden/>
    <w:qFormat/>
    <w:uiPriority w:val="0"/>
    <w:rPr>
      <w:rFonts w:ascii="Calibri" w:hAnsi="Calibri"/>
      <w:kern w:val="2"/>
      <w:sz w:val="24"/>
      <w:szCs w:val="24"/>
    </w:rPr>
  </w:style>
  <w:style w:type="paragraph" w:customStyle="1" w:styleId="612">
    <w:name w:val="_正文"/>
    <w:basedOn w:val="1"/>
    <w:link w:val="611"/>
    <w:semiHidden/>
    <w:qFormat/>
    <w:uiPriority w:val="0"/>
    <w:pPr>
      <w:adjustRightInd w:val="0"/>
      <w:snapToGrid w:val="0"/>
      <w:spacing w:line="360" w:lineRule="auto"/>
      <w:ind w:firstLine="200" w:firstLineChars="200"/>
    </w:pPr>
    <w:rPr>
      <w:rFonts w:ascii="Calibri" w:hAnsi="Calibri"/>
      <w:sz w:val="24"/>
    </w:rPr>
  </w:style>
  <w:style w:type="character" w:customStyle="1" w:styleId="613">
    <w:name w:val="正文 首行缩进 Char"/>
    <w:link w:val="614"/>
    <w:semiHidden/>
    <w:qFormat/>
    <w:locked/>
    <w:uiPriority w:val="0"/>
    <w:rPr>
      <w:rFonts w:ascii="宋体" w:hAnsi="宋体"/>
      <w:color w:val="000000"/>
      <w:sz w:val="24"/>
      <w:szCs w:val="24"/>
      <w:lang w:val="zh-CN"/>
    </w:rPr>
  </w:style>
  <w:style w:type="paragraph" w:customStyle="1" w:styleId="614">
    <w:name w:val="正文 首行缩进"/>
    <w:basedOn w:val="1"/>
    <w:link w:val="613"/>
    <w:semiHidden/>
    <w:qFormat/>
    <w:uiPriority w:val="0"/>
    <w:pPr>
      <w:adjustRightInd w:val="0"/>
      <w:spacing w:line="360" w:lineRule="auto"/>
      <w:ind w:firstLine="480" w:firstLineChars="200"/>
      <w:jc w:val="left"/>
    </w:pPr>
    <w:rPr>
      <w:rFonts w:ascii="宋体" w:hAnsi="宋体"/>
      <w:color w:val="000000"/>
      <w:kern w:val="0"/>
      <w:sz w:val="24"/>
      <w:lang w:val="zh-CN"/>
    </w:rPr>
  </w:style>
  <w:style w:type="character" w:customStyle="1" w:styleId="615">
    <w:name w:val="gather tu Char"/>
    <w:link w:val="616"/>
    <w:qFormat/>
    <w:uiPriority w:val="0"/>
    <w:rPr>
      <w:rFonts w:ascii="黑体" w:hAnsi="黑体" w:eastAsia="黑体"/>
      <w:b/>
      <w:kern w:val="2"/>
      <w:sz w:val="21"/>
      <w:szCs w:val="21"/>
    </w:rPr>
  </w:style>
  <w:style w:type="paragraph" w:customStyle="1" w:styleId="616">
    <w:name w:val="gather tu"/>
    <w:basedOn w:val="114"/>
    <w:link w:val="615"/>
    <w:qFormat/>
    <w:uiPriority w:val="0"/>
    <w:pPr>
      <w:adjustRightInd w:val="0"/>
      <w:snapToGrid w:val="0"/>
      <w:ind w:firstLine="0" w:firstLineChars="0"/>
      <w:jc w:val="center"/>
    </w:pPr>
    <w:rPr>
      <w:rFonts w:ascii="黑体" w:hAnsi="黑体" w:eastAsia="黑体"/>
      <w:b/>
      <w:kern w:val="2"/>
      <w:sz w:val="21"/>
      <w:szCs w:val="21"/>
    </w:rPr>
  </w:style>
  <w:style w:type="character" w:customStyle="1" w:styleId="617">
    <w:name w:val="gather 标题2 Char"/>
    <w:link w:val="618"/>
    <w:qFormat/>
    <w:uiPriority w:val="0"/>
    <w:rPr>
      <w:rFonts w:ascii="宋体" w:hAnsi="宋体"/>
      <w:b/>
      <w:bCs/>
      <w:iCs/>
      <w:kern w:val="2"/>
      <w:sz w:val="28"/>
      <w:szCs w:val="32"/>
      <w:lang w:bidi="en-US"/>
    </w:rPr>
  </w:style>
  <w:style w:type="paragraph" w:customStyle="1" w:styleId="618">
    <w:name w:val="gather 标题2"/>
    <w:basedOn w:val="4"/>
    <w:link w:val="617"/>
    <w:qFormat/>
    <w:uiPriority w:val="0"/>
    <w:pPr>
      <w:keepLines w:val="0"/>
      <w:numPr>
        <w:ilvl w:val="1"/>
        <w:numId w:val="2"/>
      </w:numPr>
      <w:autoSpaceDE/>
      <w:autoSpaceDN/>
      <w:spacing w:before="0" w:after="0"/>
      <w:ind w:left="425" w:hanging="425"/>
      <w:jc w:val="both"/>
      <w:textAlignment w:val="auto"/>
    </w:pPr>
    <w:rPr>
      <w:rFonts w:ascii="宋体" w:hAnsi="宋体" w:eastAsia="宋体"/>
      <w:bCs/>
      <w:iCs/>
      <w:spacing w:val="0"/>
      <w:kern w:val="2"/>
      <w:sz w:val="28"/>
      <w:lang w:bidi="en-US"/>
    </w:rPr>
  </w:style>
  <w:style w:type="character" w:customStyle="1" w:styleId="619">
    <w:name w:val="正文文本 3 Char"/>
    <w:qFormat/>
    <w:uiPriority w:val="99"/>
    <w:rPr>
      <w:rFonts w:ascii="宋体" w:hAnsi="Calibri" w:eastAsia="等线"/>
      <w:color w:val="000000"/>
      <w:spacing w:val="20"/>
      <w:kern w:val="2"/>
      <w:sz w:val="24"/>
      <w:szCs w:val="22"/>
      <w:lang w:val="en-IE"/>
    </w:rPr>
  </w:style>
  <w:style w:type="character" w:customStyle="1" w:styleId="620">
    <w:name w:val="副标题 Char"/>
    <w:qFormat/>
    <w:uiPriority w:val="0"/>
    <w:rPr>
      <w:rFonts w:ascii="Cambria" w:hAnsi="Cambria" w:eastAsia="等线"/>
      <w:i/>
      <w:iCs/>
      <w:smallCaps/>
      <w:spacing w:val="10"/>
      <w:sz w:val="28"/>
      <w:szCs w:val="28"/>
    </w:rPr>
  </w:style>
  <w:style w:type="character" w:customStyle="1" w:styleId="621">
    <w:name w:val="脚注文本 Char"/>
    <w:qFormat/>
    <w:uiPriority w:val="99"/>
    <w:rPr>
      <w:rFonts w:ascii="Calibri" w:hAnsi="Calibri" w:eastAsia="等线"/>
      <w:sz w:val="18"/>
      <w:szCs w:val="18"/>
      <w:lang w:eastAsia="en-US" w:bidi="en-US"/>
    </w:rPr>
  </w:style>
  <w:style w:type="character" w:customStyle="1" w:styleId="622">
    <w:name w:val="样式 正文缩进 + 首行缩进:  2 字符 Char"/>
    <w:link w:val="623"/>
    <w:semiHidden/>
    <w:qFormat/>
    <w:uiPriority w:val="0"/>
    <w:rPr>
      <w:rFonts w:ascii="宋体" w:hAnsi="宋体"/>
      <w:bCs/>
      <w:kern w:val="2"/>
      <w:sz w:val="24"/>
    </w:rPr>
  </w:style>
  <w:style w:type="paragraph" w:customStyle="1" w:styleId="623">
    <w:name w:val="样式 正文缩进 + 首行缩进:  2 字符"/>
    <w:basedOn w:val="2"/>
    <w:link w:val="622"/>
    <w:semiHidden/>
    <w:qFormat/>
    <w:uiPriority w:val="0"/>
    <w:rPr>
      <w:rFonts w:ascii="宋体" w:hAnsi="宋体"/>
      <w:bCs/>
    </w:rPr>
  </w:style>
  <w:style w:type="character" w:customStyle="1" w:styleId="624">
    <w:name w:val="command keywords Char"/>
    <w:link w:val="625"/>
    <w:semiHidden/>
    <w:qFormat/>
    <w:locked/>
    <w:uiPriority w:val="0"/>
    <w:rPr>
      <w:rFonts w:ascii="Arial" w:hAnsi="Arial"/>
      <w:b/>
      <w:bCs/>
      <w:kern w:val="2"/>
      <w:sz w:val="21"/>
      <w:szCs w:val="22"/>
    </w:rPr>
  </w:style>
  <w:style w:type="paragraph" w:customStyle="1" w:styleId="625">
    <w:name w:val="command keywords"/>
    <w:basedOn w:val="1"/>
    <w:link w:val="624"/>
    <w:semiHidden/>
    <w:qFormat/>
    <w:uiPriority w:val="0"/>
    <w:pPr>
      <w:widowControl/>
      <w:snapToGrid w:val="0"/>
      <w:spacing w:before="40" w:after="40" w:line="300" w:lineRule="auto"/>
      <w:ind w:left="624" w:firstLine="200" w:firstLineChars="200"/>
      <w:jc w:val="left"/>
    </w:pPr>
    <w:rPr>
      <w:rFonts w:ascii="Arial" w:hAnsi="Arial"/>
      <w:b/>
      <w:bCs/>
      <w:szCs w:val="22"/>
    </w:rPr>
  </w:style>
  <w:style w:type="character" w:customStyle="1" w:styleId="626">
    <w:name w:val="样式1 1 Char"/>
    <w:link w:val="627"/>
    <w:semiHidden/>
    <w:qFormat/>
    <w:uiPriority w:val="0"/>
    <w:rPr>
      <w:rFonts w:ascii="Cambria" w:hAnsi="Cambria"/>
      <w:b/>
      <w:smallCaps/>
      <w:spacing w:val="5"/>
      <w:sz w:val="32"/>
      <w:szCs w:val="36"/>
      <w:lang w:bidi="en-US"/>
    </w:rPr>
  </w:style>
  <w:style w:type="paragraph" w:customStyle="1" w:styleId="627">
    <w:name w:val="样式1 1"/>
    <w:basedOn w:val="3"/>
    <w:link w:val="626"/>
    <w:semiHidden/>
    <w:qFormat/>
    <w:uiPriority w:val="0"/>
    <w:pPr>
      <w:keepNext w:val="0"/>
      <w:keepLines w:val="0"/>
      <w:widowControl/>
      <w:numPr>
        <w:ilvl w:val="0"/>
        <w:numId w:val="18"/>
      </w:numPr>
      <w:tabs>
        <w:tab w:val="left" w:pos="425"/>
      </w:tabs>
      <w:spacing w:beforeLines="100" w:afterLines="100" w:line="276" w:lineRule="auto"/>
      <w:contextualSpacing/>
      <w:jc w:val="left"/>
      <w:textAlignment w:val="top"/>
    </w:pPr>
    <w:rPr>
      <w:rFonts w:ascii="Cambria" w:hAnsi="Cambria" w:cs="Times New Roman"/>
      <w:smallCaps/>
      <w:spacing w:val="5"/>
      <w:kern w:val="0"/>
      <w:sz w:val="32"/>
      <w:szCs w:val="36"/>
      <w:lang w:bidi="en-US"/>
    </w:rPr>
  </w:style>
  <w:style w:type="character" w:customStyle="1" w:styleId="628">
    <w:name w:val="Figure Description Char Char Char Char Char Char"/>
    <w:link w:val="629"/>
    <w:semiHidden/>
    <w:qFormat/>
    <w:uiPriority w:val="0"/>
    <w:rPr>
      <w:rFonts w:ascii="Arial" w:hAnsi="Arial" w:eastAsia="黑体" w:cs="Arial"/>
      <w:sz w:val="18"/>
      <w:szCs w:val="18"/>
    </w:rPr>
  </w:style>
  <w:style w:type="paragraph" w:customStyle="1" w:styleId="629">
    <w:name w:val="Figure Description Char Char Char Char Char"/>
    <w:next w:val="1"/>
    <w:link w:val="628"/>
    <w:semiHidden/>
    <w:qFormat/>
    <w:uiPriority w:val="0"/>
    <w:pPr>
      <w:snapToGrid w:val="0"/>
      <w:spacing w:before="80" w:after="320"/>
      <w:ind w:left="1134"/>
      <w:jc w:val="center"/>
    </w:pPr>
    <w:rPr>
      <w:rFonts w:ascii="Arial" w:hAnsi="Arial" w:eastAsia="黑体" w:cs="Arial"/>
      <w:sz w:val="18"/>
      <w:szCs w:val="18"/>
      <w:lang w:val="en-US" w:eastAsia="zh-CN" w:bidi="ar-SA"/>
    </w:rPr>
  </w:style>
  <w:style w:type="character" w:customStyle="1" w:styleId="630">
    <w:name w:val="文章标题 3 Char"/>
    <w:link w:val="631"/>
    <w:semiHidden/>
    <w:qFormat/>
    <w:uiPriority w:val="0"/>
    <w:rPr>
      <w:rFonts w:ascii="Calibri Light" w:hAnsi="Calibri Light"/>
      <w:kern w:val="2"/>
      <w:sz w:val="26"/>
      <w:szCs w:val="24"/>
    </w:rPr>
  </w:style>
  <w:style w:type="paragraph" w:customStyle="1" w:styleId="631">
    <w:name w:val="文章标题 3"/>
    <w:basedOn w:val="5"/>
    <w:next w:val="1"/>
    <w:link w:val="630"/>
    <w:semiHidden/>
    <w:qFormat/>
    <w:uiPriority w:val="0"/>
    <w:pPr>
      <w:keepNext w:val="0"/>
      <w:keepLines w:val="0"/>
      <w:numPr>
        <w:ilvl w:val="2"/>
        <w:numId w:val="2"/>
      </w:numPr>
      <w:tabs>
        <w:tab w:val="left" w:pos="0"/>
      </w:tabs>
      <w:autoSpaceDE/>
      <w:autoSpaceDN/>
      <w:adjustRightInd/>
      <w:spacing w:before="260" w:line="416" w:lineRule="auto"/>
      <w:ind w:left="3240"/>
      <w:jc w:val="both"/>
      <w:textAlignment w:val="auto"/>
    </w:pPr>
    <w:rPr>
      <w:rFonts w:ascii="Calibri Light" w:hAnsi="Calibri Light" w:eastAsia="宋体"/>
      <w:b w:val="0"/>
      <w:sz w:val="26"/>
      <w:szCs w:val="24"/>
    </w:rPr>
  </w:style>
  <w:style w:type="character" w:customStyle="1" w:styleId="632">
    <w:name w:val="Figure Description Char"/>
    <w:link w:val="633"/>
    <w:semiHidden/>
    <w:qFormat/>
    <w:locked/>
    <w:uiPriority w:val="0"/>
    <w:rPr>
      <w:rFonts w:ascii="黑体" w:hAnsi="黑体" w:eastAsia="黑体" w:cs="Arial"/>
      <w:spacing w:val="-4"/>
      <w:kern w:val="2"/>
      <w:sz w:val="21"/>
      <w:szCs w:val="22"/>
    </w:rPr>
  </w:style>
  <w:style w:type="paragraph" w:customStyle="1" w:styleId="633">
    <w:name w:val="Figure Description"/>
    <w:next w:val="634"/>
    <w:link w:val="632"/>
    <w:semiHidden/>
    <w:qFormat/>
    <w:uiPriority w:val="0"/>
    <w:pPr>
      <w:keepNext/>
      <w:adjustRightInd w:val="0"/>
      <w:snapToGrid w:val="0"/>
      <w:spacing w:before="320" w:after="80" w:line="240" w:lineRule="atLeast"/>
      <w:ind w:left="1701"/>
    </w:pPr>
    <w:rPr>
      <w:rFonts w:ascii="黑体" w:hAnsi="黑体" w:eastAsia="黑体" w:cs="Arial"/>
      <w:spacing w:val="-4"/>
      <w:kern w:val="2"/>
      <w:sz w:val="21"/>
      <w:szCs w:val="22"/>
      <w:lang w:val="en-US" w:eastAsia="zh-CN" w:bidi="ar-SA"/>
    </w:rPr>
  </w:style>
  <w:style w:type="paragraph" w:customStyle="1" w:styleId="634">
    <w:name w:val="Figure"/>
    <w:basedOn w:val="1"/>
    <w:next w:val="1"/>
    <w:link w:val="635"/>
    <w:semiHidden/>
    <w:qFormat/>
    <w:uiPriority w:val="0"/>
    <w:pPr>
      <w:widowControl/>
      <w:topLinePunct/>
      <w:adjustRightInd w:val="0"/>
      <w:snapToGrid w:val="0"/>
      <w:spacing w:before="160" w:after="160" w:line="240" w:lineRule="atLeast"/>
      <w:ind w:left="1701" w:firstLine="200" w:firstLineChars="200"/>
      <w:jc w:val="left"/>
    </w:pPr>
    <w:rPr>
      <w:rFonts w:ascii="Arial" w:hAnsi="Arial" w:eastAsia="等线" w:cs="Arial"/>
      <w:szCs w:val="22"/>
    </w:rPr>
  </w:style>
  <w:style w:type="character" w:customStyle="1" w:styleId="635">
    <w:name w:val="Figure Char"/>
    <w:link w:val="634"/>
    <w:semiHidden/>
    <w:qFormat/>
    <w:locked/>
    <w:uiPriority w:val="0"/>
    <w:rPr>
      <w:rFonts w:ascii="Arial" w:hAnsi="Arial" w:eastAsia="等线" w:cs="Arial"/>
      <w:kern w:val="2"/>
      <w:sz w:val="21"/>
      <w:szCs w:val="22"/>
    </w:rPr>
  </w:style>
  <w:style w:type="character" w:customStyle="1" w:styleId="636">
    <w:name w:val="Terminal Display Char"/>
    <w:link w:val="637"/>
    <w:semiHidden/>
    <w:qFormat/>
    <w:uiPriority w:val="0"/>
    <w:rPr>
      <w:rFonts w:ascii="Courier New" w:hAnsi="Courier New" w:cs="Courier New"/>
      <w:sz w:val="17"/>
      <w:szCs w:val="17"/>
      <w:lang w:eastAsia="en-US" w:bidi="en-US"/>
    </w:rPr>
  </w:style>
  <w:style w:type="paragraph" w:customStyle="1" w:styleId="637">
    <w:name w:val="Terminal Display"/>
    <w:link w:val="636"/>
    <w:semiHidden/>
    <w:qFormat/>
    <w:uiPriority w:val="0"/>
    <w:pPr>
      <w:widowControl w:val="0"/>
      <w:spacing w:before="40" w:after="40" w:line="240" w:lineRule="exact"/>
      <w:ind w:left="624"/>
      <w:jc w:val="both"/>
    </w:pPr>
    <w:rPr>
      <w:rFonts w:ascii="Courier New" w:hAnsi="Courier New" w:eastAsia="宋体" w:cs="Courier New"/>
      <w:sz w:val="17"/>
      <w:szCs w:val="17"/>
      <w:lang w:val="en-US" w:eastAsia="en-US" w:bidi="en-US"/>
    </w:rPr>
  </w:style>
  <w:style w:type="character" w:customStyle="1" w:styleId="638">
    <w:name w:val="封面表格文本 Char"/>
    <w:link w:val="639"/>
    <w:semiHidden/>
    <w:qFormat/>
    <w:uiPriority w:val="0"/>
    <w:rPr>
      <w:rFonts w:ascii="Arial" w:hAnsi="Arial"/>
      <w:bCs/>
      <w:sz w:val="24"/>
      <w:szCs w:val="24"/>
      <w:lang w:eastAsia="en-US" w:bidi="en-US"/>
    </w:rPr>
  </w:style>
  <w:style w:type="paragraph" w:customStyle="1" w:styleId="639">
    <w:name w:val="封面表格文本"/>
    <w:basedOn w:val="1"/>
    <w:link w:val="638"/>
    <w:semiHidden/>
    <w:qFormat/>
    <w:uiPriority w:val="0"/>
    <w:pPr>
      <w:widowControl/>
      <w:autoSpaceDE w:val="0"/>
      <w:autoSpaceDN w:val="0"/>
      <w:adjustRightInd w:val="0"/>
      <w:spacing w:line="360" w:lineRule="auto"/>
      <w:ind w:firstLine="200" w:firstLineChars="200"/>
      <w:jc w:val="center"/>
    </w:pPr>
    <w:rPr>
      <w:rFonts w:ascii="Arial" w:hAnsi="Arial"/>
      <w:bCs/>
      <w:kern w:val="0"/>
      <w:sz w:val="24"/>
      <w:lang w:eastAsia="en-US" w:bidi="en-US"/>
    </w:rPr>
  </w:style>
  <w:style w:type="character" w:customStyle="1" w:styleId="640">
    <w:name w:val="样式2 1.1 Char"/>
    <w:link w:val="641"/>
    <w:semiHidden/>
    <w:qFormat/>
    <w:uiPriority w:val="0"/>
    <w:rPr>
      <w:rFonts w:ascii="Cambria" w:hAnsi="Cambria"/>
      <w:b/>
      <w:iCs/>
      <w:smallCaps/>
      <w:sz w:val="32"/>
      <w:szCs w:val="21"/>
      <w:lang w:bidi="en-US"/>
    </w:rPr>
  </w:style>
  <w:style w:type="paragraph" w:customStyle="1" w:styleId="641">
    <w:name w:val="样式2 1.1"/>
    <w:basedOn w:val="4"/>
    <w:link w:val="640"/>
    <w:semiHidden/>
    <w:qFormat/>
    <w:uiPriority w:val="0"/>
    <w:pPr>
      <w:keepNext w:val="0"/>
      <w:keepLines w:val="0"/>
      <w:widowControl/>
      <w:numPr>
        <w:ilvl w:val="1"/>
        <w:numId w:val="18"/>
      </w:numPr>
      <w:tabs>
        <w:tab w:val="left" w:pos="425"/>
      </w:tabs>
      <w:autoSpaceDE/>
      <w:autoSpaceDN/>
      <w:adjustRightInd/>
      <w:spacing w:before="200" w:after="0" w:line="271" w:lineRule="auto"/>
      <w:ind w:right="100" w:rightChars="100"/>
      <w:jc w:val="both"/>
      <w:textAlignment w:val="auto"/>
    </w:pPr>
    <w:rPr>
      <w:rFonts w:ascii="Cambria" w:hAnsi="Cambria" w:eastAsia="宋体"/>
      <w:iCs/>
      <w:smallCaps/>
      <w:spacing w:val="0"/>
      <w:szCs w:val="21"/>
      <w:lang w:bidi="en-US"/>
    </w:rPr>
  </w:style>
  <w:style w:type="character" w:customStyle="1" w:styleId="642">
    <w:name w:val="索引 Heading Char"/>
    <w:link w:val="643"/>
    <w:semiHidden/>
    <w:qFormat/>
    <w:uiPriority w:val="0"/>
    <w:rPr>
      <w:rFonts w:ascii="Arial" w:hAnsi="Arial" w:cs="Arial"/>
      <w:b/>
      <w:kern w:val="2"/>
      <w:sz w:val="21"/>
    </w:rPr>
  </w:style>
  <w:style w:type="paragraph" w:customStyle="1" w:styleId="643">
    <w:name w:val="索引 Heading"/>
    <w:next w:val="644"/>
    <w:link w:val="642"/>
    <w:semiHidden/>
    <w:qFormat/>
    <w:uiPriority w:val="0"/>
    <w:pPr>
      <w:spacing w:before="120" w:after="120"/>
      <w:ind w:left="624"/>
    </w:pPr>
    <w:rPr>
      <w:rFonts w:ascii="Arial" w:hAnsi="Arial" w:eastAsia="宋体" w:cs="Arial"/>
      <w:b/>
      <w:kern w:val="2"/>
      <w:sz w:val="21"/>
      <w:lang w:val="en-US" w:eastAsia="zh-CN" w:bidi="ar-SA"/>
    </w:rPr>
  </w:style>
  <w:style w:type="paragraph" w:customStyle="1" w:styleId="644">
    <w:name w:val="索引 Text"/>
    <w:link w:val="645"/>
    <w:semiHidden/>
    <w:qFormat/>
    <w:uiPriority w:val="0"/>
    <w:pPr>
      <w:spacing w:before="40" w:after="40"/>
      <w:ind w:left="624"/>
    </w:pPr>
    <w:rPr>
      <w:rFonts w:ascii="Arial" w:hAnsi="Arial" w:eastAsia="等线" w:cs="Arial"/>
      <w:kern w:val="2"/>
      <w:sz w:val="21"/>
      <w:lang w:val="en-US" w:eastAsia="zh-CN" w:bidi="ar-SA"/>
    </w:rPr>
  </w:style>
  <w:style w:type="character" w:customStyle="1" w:styleId="645">
    <w:name w:val="索引 Text Char Char"/>
    <w:link w:val="644"/>
    <w:semiHidden/>
    <w:qFormat/>
    <w:uiPriority w:val="0"/>
    <w:rPr>
      <w:rFonts w:ascii="Arial" w:hAnsi="Arial" w:eastAsia="等线" w:cs="Arial"/>
      <w:kern w:val="2"/>
      <w:sz w:val="21"/>
    </w:rPr>
  </w:style>
  <w:style w:type="character" w:customStyle="1" w:styleId="646">
    <w:name w:val="样式 首行缩进:  2 字符1 Char"/>
    <w:link w:val="647"/>
    <w:semiHidden/>
    <w:qFormat/>
    <w:uiPriority w:val="0"/>
    <w:rPr>
      <w:kern w:val="2"/>
      <w:sz w:val="24"/>
    </w:rPr>
  </w:style>
  <w:style w:type="paragraph" w:customStyle="1" w:styleId="647">
    <w:name w:val="样式 首行缩进:  2 字符1"/>
    <w:basedOn w:val="1"/>
    <w:link w:val="646"/>
    <w:semiHidden/>
    <w:qFormat/>
    <w:uiPriority w:val="0"/>
    <w:pPr>
      <w:spacing w:line="360" w:lineRule="auto"/>
      <w:ind w:firstLine="480" w:firstLineChars="200"/>
    </w:pPr>
    <w:rPr>
      <w:sz w:val="24"/>
      <w:szCs w:val="20"/>
    </w:rPr>
  </w:style>
  <w:style w:type="character" w:customStyle="1" w:styleId="648">
    <w:name w:val="Item List Char"/>
    <w:link w:val="649"/>
    <w:semiHidden/>
    <w:qFormat/>
    <w:locked/>
    <w:uiPriority w:val="0"/>
    <w:rPr>
      <w:rFonts w:ascii="Arial" w:hAnsi="Arial" w:cs="Arial"/>
      <w:kern w:val="2"/>
      <w:sz w:val="21"/>
      <w:szCs w:val="22"/>
    </w:rPr>
  </w:style>
  <w:style w:type="paragraph" w:customStyle="1" w:styleId="649">
    <w:name w:val="Item List"/>
    <w:link w:val="648"/>
    <w:semiHidden/>
    <w:qFormat/>
    <w:uiPriority w:val="0"/>
    <w:pPr>
      <w:numPr>
        <w:ilvl w:val="0"/>
        <w:numId w:val="40"/>
      </w:numPr>
      <w:tabs>
        <w:tab w:val="left" w:pos="0"/>
      </w:tabs>
      <w:adjustRightInd w:val="0"/>
      <w:snapToGrid w:val="0"/>
      <w:spacing w:before="80" w:after="80" w:line="240" w:lineRule="atLeast"/>
    </w:pPr>
    <w:rPr>
      <w:rFonts w:ascii="Arial" w:hAnsi="Arial" w:eastAsia="宋体" w:cs="Arial"/>
      <w:kern w:val="2"/>
      <w:sz w:val="21"/>
      <w:szCs w:val="22"/>
      <w:lang w:val="en-US" w:eastAsia="zh-CN" w:bidi="ar-SA"/>
    </w:rPr>
  </w:style>
  <w:style w:type="character" w:customStyle="1" w:styleId="650">
    <w:name w:val="Item List + 左 Char"/>
    <w:link w:val="651"/>
    <w:semiHidden/>
    <w:qFormat/>
    <w:uiPriority w:val="0"/>
    <w:rPr>
      <w:rFonts w:ascii="Arial" w:hAnsi="Arial" w:eastAsia="黑体"/>
      <w:b/>
      <w:bCs/>
      <w:kern w:val="2"/>
      <w:sz w:val="24"/>
      <w:szCs w:val="24"/>
    </w:rPr>
  </w:style>
  <w:style w:type="paragraph" w:customStyle="1" w:styleId="651">
    <w:name w:val="Item List + 左"/>
    <w:basedOn w:val="8"/>
    <w:link w:val="650"/>
    <w:semiHidden/>
    <w:qFormat/>
    <w:uiPriority w:val="0"/>
    <w:pPr>
      <w:numPr>
        <w:ilvl w:val="0"/>
        <w:numId w:val="41"/>
      </w:numPr>
      <w:tabs>
        <w:tab w:val="left" w:pos="420"/>
      </w:tabs>
      <w:autoSpaceDE w:val="0"/>
      <w:autoSpaceDN w:val="0"/>
      <w:adjustRightInd w:val="0"/>
      <w:spacing w:before="80" w:line="360" w:lineRule="auto"/>
      <w:ind w:firstLine="200" w:firstLineChars="200"/>
    </w:pPr>
    <w:rPr>
      <w:rFonts w:ascii="Arial" w:hAnsi="Arial" w:eastAsia="黑体"/>
      <w:b/>
      <w:bCs/>
      <w:kern w:val="2"/>
      <w:sz w:val="24"/>
      <w:szCs w:val="24"/>
    </w:rPr>
  </w:style>
  <w:style w:type="character" w:customStyle="1" w:styleId="652">
    <w:name w:val="样式2 Char"/>
    <w:link w:val="653"/>
    <w:semiHidden/>
    <w:qFormat/>
    <w:uiPriority w:val="0"/>
    <w:rPr>
      <w:rFonts w:ascii="Arial" w:hAnsi="Arial"/>
      <w:bCs/>
      <w:kern w:val="2"/>
      <w:sz w:val="21"/>
      <w:szCs w:val="24"/>
      <w:lang w:eastAsia="en-US" w:bidi="en-US"/>
    </w:rPr>
  </w:style>
  <w:style w:type="paragraph" w:customStyle="1" w:styleId="653">
    <w:name w:val="样式2"/>
    <w:basedOn w:val="6"/>
    <w:link w:val="652"/>
    <w:semiHidden/>
    <w:qFormat/>
    <w:uiPriority w:val="0"/>
    <w:pPr>
      <w:keepLines w:val="0"/>
      <w:widowControl/>
      <w:numPr>
        <w:ilvl w:val="3"/>
        <w:numId w:val="23"/>
      </w:numPr>
      <w:tabs>
        <w:tab w:val="left" w:pos="425"/>
        <w:tab w:val="left" w:pos="560"/>
        <w:tab w:val="left" w:pos="567"/>
      </w:tabs>
      <w:spacing w:before="156" w:afterLines="50" w:line="360" w:lineRule="auto"/>
      <w:ind w:left="2100"/>
      <w:jc w:val="left"/>
    </w:pPr>
    <w:rPr>
      <w:rFonts w:eastAsia="宋体"/>
      <w:b w:val="0"/>
      <w:sz w:val="21"/>
      <w:szCs w:val="24"/>
      <w:lang w:eastAsia="en-US" w:bidi="en-US"/>
    </w:rPr>
  </w:style>
  <w:style w:type="character" w:customStyle="1" w:styleId="654">
    <w:name w:val="小标箭头 Char"/>
    <w:link w:val="655"/>
    <w:qFormat/>
    <w:uiPriority w:val="0"/>
    <w:rPr>
      <w:rFonts w:ascii="宋体" w:hAnsi="宋体"/>
      <w:kern w:val="2"/>
      <w:sz w:val="24"/>
      <w:lang w:val="zh-CN"/>
    </w:rPr>
  </w:style>
  <w:style w:type="paragraph" w:customStyle="1" w:styleId="655">
    <w:name w:val="小标箭头"/>
    <w:basedOn w:val="1"/>
    <w:next w:val="1"/>
    <w:link w:val="654"/>
    <w:unhideWhenUsed/>
    <w:qFormat/>
    <w:uiPriority w:val="0"/>
    <w:pPr>
      <w:spacing w:line="360" w:lineRule="auto"/>
    </w:pPr>
    <w:rPr>
      <w:rFonts w:ascii="宋体" w:hAnsi="宋体"/>
      <w:sz w:val="24"/>
      <w:szCs w:val="20"/>
      <w:lang w:val="zh-CN"/>
    </w:rPr>
  </w:style>
  <w:style w:type="character" w:customStyle="1" w:styleId="656">
    <w:name w:val="引用 Char1"/>
    <w:qFormat/>
    <w:uiPriority w:val="29"/>
    <w:rPr>
      <w:rFonts w:ascii="宋体" w:hAnsi="宋体" w:cs="宋体"/>
      <w:i/>
      <w:iCs/>
      <w:color w:val="404040"/>
      <w:sz w:val="24"/>
      <w:szCs w:val="24"/>
    </w:rPr>
  </w:style>
  <w:style w:type="character" w:customStyle="1" w:styleId="657">
    <w:name w:val="Table Text Char Char1"/>
    <w:link w:val="658"/>
    <w:semiHidden/>
    <w:qFormat/>
    <w:uiPriority w:val="0"/>
    <w:rPr>
      <w:rFonts w:ascii="Arial" w:hAnsi="Arial"/>
      <w:kern w:val="2"/>
      <w:sz w:val="18"/>
      <w:szCs w:val="22"/>
      <w:lang w:eastAsia="en-US" w:bidi="en-US"/>
    </w:rPr>
  </w:style>
  <w:style w:type="paragraph" w:customStyle="1" w:styleId="658">
    <w:name w:val="Table Text Char"/>
    <w:link w:val="657"/>
    <w:semiHidden/>
    <w:qFormat/>
    <w:uiPriority w:val="0"/>
    <w:pPr>
      <w:snapToGrid w:val="0"/>
      <w:spacing w:before="80" w:after="80" w:line="276" w:lineRule="auto"/>
    </w:pPr>
    <w:rPr>
      <w:rFonts w:ascii="Arial" w:hAnsi="Arial" w:eastAsia="宋体" w:cs="Times New Roman"/>
      <w:kern w:val="2"/>
      <w:sz w:val="18"/>
      <w:szCs w:val="22"/>
      <w:lang w:val="en-US" w:eastAsia="en-US" w:bidi="en-US"/>
    </w:rPr>
  </w:style>
  <w:style w:type="character" w:customStyle="1" w:styleId="659">
    <w:name w:val="cdr Char"/>
    <w:link w:val="660"/>
    <w:semiHidden/>
    <w:qFormat/>
    <w:uiPriority w:val="0"/>
    <w:rPr>
      <w:bCs/>
      <w:kern w:val="2"/>
      <w:sz w:val="24"/>
      <w:szCs w:val="28"/>
      <w:lang w:val="zh-CN"/>
    </w:rPr>
  </w:style>
  <w:style w:type="paragraph" w:customStyle="1" w:styleId="660">
    <w:name w:val="cdr"/>
    <w:basedOn w:val="1"/>
    <w:link w:val="659"/>
    <w:semiHidden/>
    <w:qFormat/>
    <w:uiPriority w:val="0"/>
    <w:pPr>
      <w:spacing w:line="360" w:lineRule="auto"/>
      <w:ind w:firstLine="420" w:firstLineChars="200"/>
    </w:pPr>
    <w:rPr>
      <w:bCs/>
      <w:sz w:val="24"/>
      <w:szCs w:val="28"/>
      <w:lang w:val="zh-CN"/>
    </w:rPr>
  </w:style>
  <w:style w:type="character" w:customStyle="1" w:styleId="661">
    <w:name w:val="首行缩进 Char Char Char"/>
    <w:link w:val="662"/>
    <w:semiHidden/>
    <w:qFormat/>
    <w:uiPriority w:val="0"/>
    <w:rPr>
      <w:sz w:val="21"/>
      <w:szCs w:val="21"/>
    </w:rPr>
  </w:style>
  <w:style w:type="paragraph" w:customStyle="1" w:styleId="662">
    <w:name w:val="首行缩进 Char Char"/>
    <w:basedOn w:val="1"/>
    <w:link w:val="661"/>
    <w:semiHidden/>
    <w:qFormat/>
    <w:uiPriority w:val="0"/>
    <w:pPr>
      <w:autoSpaceDE w:val="0"/>
      <w:autoSpaceDN w:val="0"/>
      <w:adjustRightInd w:val="0"/>
      <w:spacing w:line="360" w:lineRule="auto"/>
      <w:ind w:firstLine="720" w:firstLineChars="200"/>
      <w:jc w:val="left"/>
    </w:pPr>
    <w:rPr>
      <w:kern w:val="0"/>
      <w:szCs w:val="21"/>
    </w:rPr>
  </w:style>
  <w:style w:type="character" w:customStyle="1" w:styleId="663">
    <w:name w:val="明显引用 Char"/>
    <w:qFormat/>
    <w:uiPriority w:val="30"/>
    <w:rPr>
      <w:rFonts w:ascii="Cambria" w:hAnsi="Cambria"/>
      <w:i/>
      <w:iCs/>
    </w:rPr>
  </w:style>
  <w:style w:type="paragraph" w:styleId="664">
    <w:name w:val="Intense Quote"/>
    <w:basedOn w:val="1"/>
    <w:next w:val="1"/>
    <w:link w:val="764"/>
    <w:qFormat/>
    <w:uiPriority w:val="30"/>
    <w:pPr>
      <w:widowControl/>
      <w:pBdr>
        <w:top w:val="single" w:color="auto" w:sz="4" w:space="10"/>
        <w:bottom w:val="single" w:color="auto" w:sz="4" w:space="10"/>
      </w:pBdr>
      <w:spacing w:before="240" w:after="240" w:line="300" w:lineRule="auto"/>
      <w:ind w:left="1152" w:right="1152" w:firstLine="200" w:firstLineChars="200"/>
    </w:pPr>
    <w:rPr>
      <w:rFonts w:ascii="Cambria" w:hAnsi="Cambria"/>
      <w:i/>
      <w:iCs/>
      <w:kern w:val="0"/>
      <w:sz w:val="20"/>
      <w:szCs w:val="20"/>
    </w:rPr>
  </w:style>
  <w:style w:type="character" w:customStyle="1" w:styleId="665">
    <w:name w:val="样式 Char"/>
    <w:link w:val="666"/>
    <w:semiHidden/>
    <w:qFormat/>
    <w:uiPriority w:val="0"/>
    <w:rPr>
      <w:rFonts w:ascii="Cambria" w:hAnsi="Cambria"/>
      <w:b/>
      <w:smallCaps/>
      <w:sz w:val="44"/>
      <w:szCs w:val="52"/>
    </w:rPr>
  </w:style>
  <w:style w:type="paragraph" w:customStyle="1" w:styleId="666">
    <w:name w:val="样式"/>
    <w:basedOn w:val="49"/>
    <w:link w:val="665"/>
    <w:semiHidden/>
    <w:qFormat/>
    <w:uiPriority w:val="0"/>
    <w:pPr>
      <w:pageBreakBefore w:val="0"/>
      <w:widowControl/>
      <w:tabs>
        <w:tab w:val="clear" w:pos="600"/>
        <w:tab w:val="clear" w:pos="960"/>
        <w:tab w:val="clear" w:pos="1080"/>
      </w:tabs>
      <w:overflowPunct/>
      <w:spacing w:before="0" w:after="300"/>
      <w:ind w:left="0" w:right="0" w:firstLine="200" w:firstLineChars="200"/>
      <w:contextualSpacing/>
      <w:jc w:val="left"/>
      <w:outlineLvl w:val="9"/>
    </w:pPr>
    <w:rPr>
      <w:rFonts w:ascii="Cambria" w:hAnsi="Cambria"/>
      <w:smallCaps/>
      <w:sz w:val="44"/>
      <w:szCs w:val="52"/>
    </w:rPr>
  </w:style>
  <w:style w:type="character" w:customStyle="1" w:styleId="667">
    <w:name w:val="表格非标题文字 Char"/>
    <w:link w:val="668"/>
    <w:semiHidden/>
    <w:qFormat/>
    <w:uiPriority w:val="0"/>
    <w:rPr>
      <w:rFonts w:ascii="Futura Bk" w:hAnsi="Futura Bk"/>
      <w:kern w:val="2"/>
      <w:sz w:val="18"/>
      <w:szCs w:val="21"/>
    </w:rPr>
  </w:style>
  <w:style w:type="paragraph" w:customStyle="1" w:styleId="668">
    <w:name w:val="表格非标题文字"/>
    <w:link w:val="667"/>
    <w:semiHidden/>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669">
    <w:name w:val="一般正文 Char"/>
    <w:link w:val="670"/>
    <w:semiHidden/>
    <w:qFormat/>
    <w:uiPriority w:val="0"/>
    <w:rPr>
      <w:kern w:val="2"/>
      <w:sz w:val="24"/>
      <w:szCs w:val="24"/>
    </w:rPr>
  </w:style>
  <w:style w:type="paragraph" w:customStyle="1" w:styleId="670">
    <w:name w:val="一般正文"/>
    <w:basedOn w:val="1"/>
    <w:link w:val="669"/>
    <w:semiHidden/>
    <w:qFormat/>
    <w:uiPriority w:val="0"/>
    <w:pPr>
      <w:spacing w:line="360" w:lineRule="auto"/>
      <w:ind w:firstLine="200" w:firstLineChars="200"/>
      <w:jc w:val="left"/>
    </w:pPr>
    <w:rPr>
      <w:sz w:val="24"/>
    </w:rPr>
  </w:style>
  <w:style w:type="character" w:customStyle="1" w:styleId="671">
    <w:name w:val="Item Step Char"/>
    <w:link w:val="672"/>
    <w:semiHidden/>
    <w:qFormat/>
    <w:locked/>
    <w:uiPriority w:val="0"/>
    <w:rPr>
      <w:rFonts w:cs="Arial"/>
      <w:sz w:val="21"/>
      <w:szCs w:val="21"/>
    </w:rPr>
  </w:style>
  <w:style w:type="paragraph" w:customStyle="1" w:styleId="672">
    <w:name w:val="Item Step"/>
    <w:link w:val="671"/>
    <w:semiHidden/>
    <w:qFormat/>
    <w:uiPriority w:val="0"/>
    <w:pPr>
      <w:tabs>
        <w:tab w:val="left" w:pos="2126"/>
      </w:tabs>
      <w:adjustRightInd w:val="0"/>
      <w:snapToGrid w:val="0"/>
      <w:spacing w:before="80" w:after="80" w:line="240" w:lineRule="atLeast"/>
      <w:ind w:left="2126" w:hanging="425"/>
      <w:outlineLvl w:val="6"/>
    </w:pPr>
    <w:rPr>
      <w:rFonts w:ascii="Times New Roman" w:hAnsi="Times New Roman" w:eastAsia="宋体" w:cs="Arial"/>
      <w:sz w:val="21"/>
      <w:szCs w:val="21"/>
      <w:lang w:val="en-US" w:eastAsia="zh-CN" w:bidi="ar-SA"/>
    </w:rPr>
  </w:style>
  <w:style w:type="character" w:customStyle="1" w:styleId="673">
    <w:name w:val="编写建议 Char"/>
    <w:link w:val="674"/>
    <w:semiHidden/>
    <w:qFormat/>
    <w:uiPriority w:val="0"/>
    <w:rPr>
      <w:rFonts w:ascii="Arial" w:hAnsi="Arial" w:cs="Arial"/>
      <w:i/>
      <w:color w:val="0000FF"/>
      <w:sz w:val="24"/>
      <w:szCs w:val="21"/>
      <w:lang w:eastAsia="en-US" w:bidi="en-US"/>
    </w:rPr>
  </w:style>
  <w:style w:type="paragraph" w:customStyle="1" w:styleId="674">
    <w:name w:val="编写建议"/>
    <w:basedOn w:val="1"/>
    <w:link w:val="673"/>
    <w:semiHidden/>
    <w:qFormat/>
    <w:uiPriority w:val="0"/>
    <w:pPr>
      <w:widowControl/>
      <w:autoSpaceDE w:val="0"/>
      <w:autoSpaceDN w:val="0"/>
      <w:adjustRightInd w:val="0"/>
      <w:spacing w:line="360" w:lineRule="auto"/>
      <w:ind w:firstLine="420" w:firstLineChars="200"/>
      <w:jc w:val="left"/>
    </w:pPr>
    <w:rPr>
      <w:rFonts w:ascii="Arial" w:hAnsi="Arial" w:cs="Arial"/>
      <w:i/>
      <w:color w:val="0000FF"/>
      <w:kern w:val="0"/>
      <w:sz w:val="24"/>
      <w:szCs w:val="21"/>
      <w:lang w:eastAsia="en-US" w:bidi="en-US"/>
    </w:rPr>
  </w:style>
  <w:style w:type="character" w:customStyle="1" w:styleId="675">
    <w:name w:val="MU-插图 Char"/>
    <w:link w:val="676"/>
    <w:semiHidden/>
    <w:qFormat/>
    <w:uiPriority w:val="0"/>
    <w:rPr>
      <w:rFonts w:eastAsia="仿宋"/>
      <w:sz w:val="24"/>
      <w:lang w:val="zh-CN"/>
    </w:rPr>
  </w:style>
  <w:style w:type="paragraph" w:customStyle="1" w:styleId="676">
    <w:name w:val="MU-插图"/>
    <w:basedOn w:val="1"/>
    <w:link w:val="675"/>
    <w:semiHidden/>
    <w:qFormat/>
    <w:uiPriority w:val="0"/>
    <w:pPr>
      <w:keepNext/>
      <w:adjustRightInd w:val="0"/>
      <w:spacing w:line="360" w:lineRule="auto"/>
      <w:jc w:val="center"/>
      <w:textAlignment w:val="baseline"/>
    </w:pPr>
    <w:rPr>
      <w:rFonts w:eastAsia="仿宋"/>
      <w:kern w:val="0"/>
      <w:sz w:val="24"/>
      <w:szCs w:val="20"/>
      <w:lang w:val="zh-CN"/>
    </w:rPr>
  </w:style>
  <w:style w:type="character" w:customStyle="1" w:styleId="677">
    <w:name w:val="样式3 1.1.1 Char"/>
    <w:link w:val="678"/>
    <w:semiHidden/>
    <w:qFormat/>
    <w:uiPriority w:val="0"/>
    <w:rPr>
      <w:rFonts w:ascii="Cambria" w:hAnsi="Cambria"/>
      <w:b/>
      <w:iCs/>
      <w:smallCaps/>
      <w:sz w:val="24"/>
      <w:szCs w:val="21"/>
      <w:lang w:bidi="en-US"/>
    </w:rPr>
  </w:style>
  <w:style w:type="paragraph" w:customStyle="1" w:styleId="678">
    <w:name w:val="样式3 1.1.1"/>
    <w:basedOn w:val="641"/>
    <w:link w:val="677"/>
    <w:semiHidden/>
    <w:qFormat/>
    <w:uiPriority w:val="0"/>
    <w:pPr>
      <w:numPr>
        <w:ilvl w:val="0"/>
        <w:numId w:val="0"/>
      </w:numPr>
      <w:outlineLvl w:val="3"/>
    </w:pPr>
    <w:rPr>
      <w:sz w:val="24"/>
    </w:rPr>
  </w:style>
  <w:style w:type="character" w:customStyle="1" w:styleId="679">
    <w:name w:val="YL2 Char"/>
    <w:link w:val="680"/>
    <w:semiHidden/>
    <w:qFormat/>
    <w:uiPriority w:val="0"/>
    <w:rPr>
      <w:kern w:val="2"/>
      <w:sz w:val="28"/>
      <w:szCs w:val="28"/>
    </w:rPr>
  </w:style>
  <w:style w:type="paragraph" w:customStyle="1" w:styleId="680">
    <w:name w:val="YL2"/>
    <w:basedOn w:val="100"/>
    <w:next w:val="681"/>
    <w:link w:val="679"/>
    <w:semiHidden/>
    <w:qFormat/>
    <w:uiPriority w:val="0"/>
    <w:pPr>
      <w:numPr>
        <w:ilvl w:val="0"/>
        <w:numId w:val="42"/>
      </w:numPr>
      <w:spacing w:line="360" w:lineRule="auto"/>
      <w:ind w:firstLine="0" w:firstLineChars="0"/>
      <w:outlineLvl w:val="1"/>
    </w:pPr>
    <w:rPr>
      <w:sz w:val="28"/>
      <w:szCs w:val="28"/>
    </w:rPr>
  </w:style>
  <w:style w:type="paragraph" w:customStyle="1" w:styleId="681">
    <w:name w:val="YL3"/>
    <w:basedOn w:val="100"/>
    <w:link w:val="682"/>
    <w:semiHidden/>
    <w:qFormat/>
    <w:uiPriority w:val="0"/>
    <w:pPr>
      <w:spacing w:line="360" w:lineRule="auto"/>
      <w:ind w:left="900" w:firstLine="0" w:firstLineChars="0"/>
      <w:outlineLvl w:val="2"/>
    </w:pPr>
    <w:rPr>
      <w:rFonts w:ascii="等线" w:hAnsi="等线" w:eastAsia="等线"/>
      <w:sz w:val="28"/>
      <w:szCs w:val="28"/>
    </w:rPr>
  </w:style>
  <w:style w:type="character" w:customStyle="1" w:styleId="682">
    <w:name w:val="YL3 Char"/>
    <w:link w:val="681"/>
    <w:semiHidden/>
    <w:qFormat/>
    <w:uiPriority w:val="0"/>
    <w:rPr>
      <w:rFonts w:ascii="等线" w:hAnsi="等线" w:eastAsia="等线"/>
      <w:kern w:val="2"/>
      <w:sz w:val="28"/>
      <w:szCs w:val="28"/>
    </w:rPr>
  </w:style>
  <w:style w:type="character" w:customStyle="1" w:styleId="683">
    <w:name w:val="正文（1.5行距） Char"/>
    <w:link w:val="684"/>
    <w:semiHidden/>
    <w:qFormat/>
    <w:locked/>
    <w:uiPriority w:val="0"/>
    <w:rPr>
      <w:rFonts w:ascii="宋体" w:hAnsi="宋体"/>
      <w:kern w:val="2"/>
      <w:sz w:val="24"/>
      <w:szCs w:val="24"/>
      <w:lang w:val="zh-CN"/>
    </w:rPr>
  </w:style>
  <w:style w:type="paragraph" w:customStyle="1" w:styleId="684">
    <w:name w:val="正文（1.5行距）"/>
    <w:basedOn w:val="1"/>
    <w:link w:val="683"/>
    <w:semiHidden/>
    <w:qFormat/>
    <w:uiPriority w:val="0"/>
    <w:pPr>
      <w:spacing w:line="360" w:lineRule="auto"/>
      <w:ind w:firstLine="200" w:firstLineChars="200"/>
      <w:jc w:val="left"/>
    </w:pPr>
    <w:rPr>
      <w:rFonts w:ascii="宋体" w:hAnsi="宋体"/>
      <w:sz w:val="24"/>
      <w:lang w:val="zh-CN"/>
    </w:rPr>
  </w:style>
  <w:style w:type="character" w:customStyle="1" w:styleId="685">
    <w:name w:val="33333 字符"/>
    <w:link w:val="686"/>
    <w:semiHidden/>
    <w:qFormat/>
    <w:uiPriority w:val="0"/>
    <w:rPr>
      <w:rFonts w:ascii="仿宋_GB2312" w:hAnsi="Calibri"/>
      <w:kern w:val="2"/>
      <w:sz w:val="24"/>
      <w:szCs w:val="32"/>
    </w:rPr>
  </w:style>
  <w:style w:type="paragraph" w:customStyle="1" w:styleId="686">
    <w:name w:val="33333"/>
    <w:basedOn w:val="1"/>
    <w:link w:val="685"/>
    <w:semiHidden/>
    <w:qFormat/>
    <w:uiPriority w:val="0"/>
    <w:pPr>
      <w:spacing w:line="360" w:lineRule="auto"/>
      <w:ind w:firstLine="200" w:firstLineChars="200"/>
    </w:pPr>
    <w:rPr>
      <w:rFonts w:ascii="仿宋_GB2312" w:hAnsi="Calibri"/>
      <w:sz w:val="24"/>
      <w:szCs w:val="32"/>
    </w:rPr>
  </w:style>
  <w:style w:type="character" w:customStyle="1" w:styleId="687">
    <w:name w:val="正文（奇虎360） Char"/>
    <w:link w:val="688"/>
    <w:semiHidden/>
    <w:qFormat/>
    <w:uiPriority w:val="0"/>
    <w:rPr>
      <w:rFonts w:ascii="Arial" w:hAnsi="Arial"/>
      <w:sz w:val="21"/>
      <w:szCs w:val="21"/>
    </w:rPr>
  </w:style>
  <w:style w:type="paragraph" w:customStyle="1" w:styleId="688">
    <w:name w:val="正文（奇虎360）"/>
    <w:link w:val="687"/>
    <w:semiHidden/>
    <w:qFormat/>
    <w:uiPriority w:val="0"/>
    <w:pPr>
      <w:spacing w:line="300" w:lineRule="auto"/>
    </w:pPr>
    <w:rPr>
      <w:rFonts w:ascii="Arial" w:hAnsi="Arial" w:eastAsia="宋体" w:cs="Times New Roman"/>
      <w:sz w:val="21"/>
      <w:szCs w:val="21"/>
      <w:lang w:val="en-US" w:eastAsia="zh-CN" w:bidi="ar-SA"/>
    </w:rPr>
  </w:style>
  <w:style w:type="character" w:customStyle="1" w:styleId="689">
    <w:name w:val="Table Text Char Char Char Char1"/>
    <w:link w:val="690"/>
    <w:semiHidden/>
    <w:qFormat/>
    <w:uiPriority w:val="0"/>
    <w:rPr>
      <w:rFonts w:ascii="Arial" w:hAnsi="Arial"/>
      <w:kern w:val="2"/>
      <w:sz w:val="18"/>
      <w:szCs w:val="22"/>
      <w:lang w:eastAsia="en-US" w:bidi="en-US"/>
    </w:rPr>
  </w:style>
  <w:style w:type="paragraph" w:customStyle="1" w:styleId="690">
    <w:name w:val="Table Text Char Char Char"/>
    <w:link w:val="689"/>
    <w:semiHidden/>
    <w:qFormat/>
    <w:uiPriority w:val="0"/>
    <w:pPr>
      <w:snapToGrid w:val="0"/>
      <w:spacing w:before="80" w:after="80" w:line="276" w:lineRule="auto"/>
    </w:pPr>
    <w:rPr>
      <w:rFonts w:ascii="Arial" w:hAnsi="Arial" w:eastAsia="宋体" w:cs="Times New Roman"/>
      <w:kern w:val="2"/>
      <w:sz w:val="18"/>
      <w:szCs w:val="22"/>
      <w:lang w:val="en-US" w:eastAsia="en-US" w:bidi="en-US"/>
    </w:rPr>
  </w:style>
  <w:style w:type="character" w:customStyle="1" w:styleId="691">
    <w:name w:val="表格正文 Char"/>
    <w:link w:val="692"/>
    <w:semiHidden/>
    <w:qFormat/>
    <w:uiPriority w:val="0"/>
    <w:rPr>
      <w:rFonts w:eastAsia="黑体"/>
      <w:kern w:val="2"/>
      <w:sz w:val="21"/>
      <w:szCs w:val="21"/>
    </w:rPr>
  </w:style>
  <w:style w:type="paragraph" w:customStyle="1" w:styleId="692">
    <w:name w:val="表格正文"/>
    <w:link w:val="691"/>
    <w:semiHidden/>
    <w:qFormat/>
    <w:uiPriority w:val="0"/>
    <w:rPr>
      <w:rFonts w:ascii="Times New Roman" w:hAnsi="Times New Roman" w:eastAsia="黑体" w:cs="Times New Roman"/>
      <w:kern w:val="2"/>
      <w:sz w:val="21"/>
      <w:szCs w:val="21"/>
      <w:lang w:val="en-US" w:eastAsia="zh-CN" w:bidi="ar-SA"/>
    </w:rPr>
  </w:style>
  <w:style w:type="character" w:customStyle="1" w:styleId="693">
    <w:name w:val="正文1 Char"/>
    <w:link w:val="694"/>
    <w:semiHidden/>
    <w:qFormat/>
    <w:uiPriority w:val="0"/>
    <w:rPr>
      <w:rFonts w:ascii="Calibri" w:hAnsi="Calibri"/>
      <w:sz w:val="24"/>
      <w:szCs w:val="24"/>
      <w:lang w:eastAsia="en-US" w:bidi="en-US"/>
    </w:rPr>
  </w:style>
  <w:style w:type="paragraph" w:customStyle="1" w:styleId="694">
    <w:name w:val="正文1"/>
    <w:basedOn w:val="1"/>
    <w:link w:val="693"/>
    <w:semiHidden/>
    <w:qFormat/>
    <w:uiPriority w:val="0"/>
    <w:pPr>
      <w:widowControl/>
      <w:spacing w:before="50" w:after="50" w:line="400" w:lineRule="exact"/>
      <w:ind w:firstLine="200" w:firstLineChars="200"/>
      <w:jc w:val="left"/>
    </w:pPr>
    <w:rPr>
      <w:rFonts w:ascii="Calibri" w:hAnsi="Calibri"/>
      <w:kern w:val="0"/>
      <w:sz w:val="24"/>
      <w:lang w:eastAsia="en-US" w:bidi="en-US"/>
    </w:rPr>
  </w:style>
  <w:style w:type="character" w:customStyle="1" w:styleId="695">
    <w:name w:val="Table Heading Char"/>
    <w:link w:val="696"/>
    <w:semiHidden/>
    <w:qFormat/>
    <w:uiPriority w:val="0"/>
    <w:rPr>
      <w:b/>
      <w:bCs/>
      <w:sz w:val="21"/>
      <w:szCs w:val="24"/>
      <w:lang w:val="zh-CN"/>
    </w:rPr>
  </w:style>
  <w:style w:type="paragraph" w:customStyle="1" w:styleId="696">
    <w:name w:val="Table Heading"/>
    <w:basedOn w:val="1"/>
    <w:link w:val="695"/>
    <w:semiHidden/>
    <w:qFormat/>
    <w:uiPriority w:val="0"/>
    <w:pPr>
      <w:widowControl/>
      <w:spacing w:before="60" w:after="60" w:line="288" w:lineRule="auto"/>
      <w:ind w:firstLine="200" w:firstLineChars="200"/>
      <w:jc w:val="center"/>
    </w:pPr>
    <w:rPr>
      <w:b/>
      <w:bCs/>
      <w:kern w:val="0"/>
      <w:lang w:val="zh-CN"/>
    </w:rPr>
  </w:style>
  <w:style w:type="character" w:customStyle="1" w:styleId="697">
    <w:name w:val="YL1 Char"/>
    <w:link w:val="698"/>
    <w:semiHidden/>
    <w:qFormat/>
    <w:uiPriority w:val="0"/>
    <w:rPr>
      <w:kern w:val="2"/>
      <w:sz w:val="28"/>
      <w:szCs w:val="28"/>
    </w:rPr>
  </w:style>
  <w:style w:type="paragraph" w:customStyle="1" w:styleId="698">
    <w:name w:val="YL1"/>
    <w:basedOn w:val="100"/>
    <w:next w:val="680"/>
    <w:link w:val="697"/>
    <w:semiHidden/>
    <w:qFormat/>
    <w:uiPriority w:val="0"/>
    <w:pPr>
      <w:numPr>
        <w:ilvl w:val="0"/>
        <w:numId w:val="43"/>
      </w:numPr>
      <w:spacing w:line="360" w:lineRule="auto"/>
      <w:ind w:firstLine="0" w:firstLineChars="0"/>
      <w:outlineLvl w:val="0"/>
    </w:pPr>
    <w:rPr>
      <w:sz w:val="28"/>
      <w:szCs w:val="28"/>
    </w:rPr>
  </w:style>
  <w:style w:type="character" w:customStyle="1" w:styleId="699">
    <w:name w:val="图文框 Char"/>
    <w:link w:val="700"/>
    <w:semiHidden/>
    <w:qFormat/>
    <w:locked/>
    <w:uiPriority w:val="0"/>
    <w:rPr>
      <w:sz w:val="24"/>
      <w:szCs w:val="24"/>
    </w:rPr>
  </w:style>
  <w:style w:type="paragraph" w:customStyle="1" w:styleId="700">
    <w:name w:val="图文框"/>
    <w:link w:val="699"/>
    <w:semiHidden/>
    <w:qFormat/>
    <w:uiPriority w:val="0"/>
    <w:pPr>
      <w:spacing w:line="300" w:lineRule="auto"/>
      <w:jc w:val="center"/>
    </w:pPr>
    <w:rPr>
      <w:rFonts w:ascii="Times New Roman" w:hAnsi="Times New Roman" w:eastAsia="宋体" w:cs="Times New Roman"/>
      <w:sz w:val="24"/>
      <w:szCs w:val="24"/>
      <w:lang w:val="en-US" w:eastAsia="zh-CN" w:bidi="ar-SA"/>
    </w:rPr>
  </w:style>
  <w:style w:type="character" w:customStyle="1" w:styleId="701">
    <w:name w:val="表格字体 Char"/>
    <w:link w:val="702"/>
    <w:qFormat/>
    <w:uiPriority w:val="0"/>
    <w:rPr>
      <w:kern w:val="2"/>
      <w:sz w:val="24"/>
      <w:szCs w:val="22"/>
    </w:rPr>
  </w:style>
  <w:style w:type="paragraph" w:customStyle="1" w:styleId="702">
    <w:name w:val="表格字体"/>
    <w:basedOn w:val="1"/>
    <w:next w:val="1"/>
    <w:link w:val="701"/>
    <w:unhideWhenUsed/>
    <w:qFormat/>
    <w:uiPriority w:val="0"/>
    <w:pPr>
      <w:jc w:val="center"/>
    </w:pPr>
    <w:rPr>
      <w:sz w:val="24"/>
      <w:szCs w:val="22"/>
    </w:rPr>
  </w:style>
  <w:style w:type="character" w:customStyle="1" w:styleId="703">
    <w:name w:val="图表 字符"/>
    <w:link w:val="704"/>
    <w:semiHidden/>
    <w:qFormat/>
    <w:uiPriority w:val="0"/>
    <w:rPr>
      <w:rFonts w:ascii="黑体" w:hAnsi="黑体" w:eastAsia="黑体"/>
      <w:sz w:val="21"/>
      <w:szCs w:val="21"/>
    </w:rPr>
  </w:style>
  <w:style w:type="paragraph" w:customStyle="1" w:styleId="704">
    <w:name w:val="图表"/>
    <w:basedOn w:val="1"/>
    <w:link w:val="703"/>
    <w:semiHidden/>
    <w:qFormat/>
    <w:uiPriority w:val="0"/>
    <w:pPr>
      <w:widowControl/>
      <w:ind w:firstLine="200" w:firstLineChars="200"/>
      <w:jc w:val="center"/>
    </w:pPr>
    <w:rPr>
      <w:rFonts w:ascii="黑体" w:hAnsi="黑体" w:eastAsia="黑体"/>
      <w:kern w:val="0"/>
      <w:szCs w:val="21"/>
    </w:rPr>
  </w:style>
  <w:style w:type="character" w:customStyle="1" w:styleId="705">
    <w:name w:val="图表标注 Char"/>
    <w:link w:val="706"/>
    <w:semiHidden/>
    <w:qFormat/>
    <w:uiPriority w:val="0"/>
    <w:rPr>
      <w:b/>
      <w:kern w:val="2"/>
      <w:sz w:val="21"/>
      <w:szCs w:val="22"/>
    </w:rPr>
  </w:style>
  <w:style w:type="paragraph" w:customStyle="1" w:styleId="706">
    <w:name w:val="图表标注"/>
    <w:basedOn w:val="1"/>
    <w:next w:val="1"/>
    <w:link w:val="705"/>
    <w:semiHidden/>
    <w:qFormat/>
    <w:uiPriority w:val="0"/>
    <w:pPr>
      <w:spacing w:line="360" w:lineRule="auto"/>
      <w:ind w:firstLine="200" w:firstLineChars="200"/>
      <w:jc w:val="center"/>
    </w:pPr>
    <w:rPr>
      <w:b/>
      <w:szCs w:val="22"/>
    </w:rPr>
  </w:style>
  <w:style w:type="character" w:customStyle="1" w:styleId="707">
    <w:name w:val="批注框文本 Char Char Char Char"/>
    <w:link w:val="708"/>
    <w:semiHidden/>
    <w:qFormat/>
    <w:uiPriority w:val="0"/>
    <w:rPr>
      <w:rFonts w:ascii="Calibri" w:hAnsi="Calibri" w:cs="黑体"/>
      <w:kern w:val="2"/>
      <w:sz w:val="18"/>
      <w:szCs w:val="18"/>
    </w:rPr>
  </w:style>
  <w:style w:type="paragraph" w:customStyle="1" w:styleId="708">
    <w:name w:val="批注框文本 Char Char"/>
    <w:basedOn w:val="1"/>
    <w:link w:val="707"/>
    <w:semiHidden/>
    <w:qFormat/>
    <w:uiPriority w:val="0"/>
    <w:pPr>
      <w:ind w:firstLine="200" w:firstLineChars="200"/>
    </w:pPr>
    <w:rPr>
      <w:rFonts w:ascii="Calibri" w:hAnsi="Calibri" w:cs="黑体"/>
      <w:sz w:val="18"/>
      <w:szCs w:val="18"/>
    </w:rPr>
  </w:style>
  <w:style w:type="character" w:customStyle="1" w:styleId="709">
    <w:name w:val="插图 Char"/>
    <w:link w:val="710"/>
    <w:semiHidden/>
    <w:qFormat/>
    <w:uiPriority w:val="0"/>
    <w:rPr>
      <w:rFonts w:ascii="Calibri" w:hAnsi="Calibri"/>
      <w:kern w:val="2"/>
      <w:sz w:val="24"/>
      <w:szCs w:val="22"/>
    </w:rPr>
  </w:style>
  <w:style w:type="paragraph" w:customStyle="1" w:styleId="710">
    <w:name w:val="插图"/>
    <w:basedOn w:val="1"/>
    <w:link w:val="709"/>
    <w:semiHidden/>
    <w:qFormat/>
    <w:uiPriority w:val="0"/>
    <w:pPr>
      <w:spacing w:line="360" w:lineRule="auto"/>
      <w:ind w:firstLine="200" w:firstLineChars="200"/>
      <w:jc w:val="center"/>
    </w:pPr>
    <w:rPr>
      <w:rFonts w:ascii="Calibri" w:hAnsi="Calibri"/>
      <w:sz w:val="24"/>
      <w:szCs w:val="22"/>
    </w:rPr>
  </w:style>
  <w:style w:type="character" w:customStyle="1" w:styleId="711">
    <w:name w:val="图例 Char"/>
    <w:link w:val="712"/>
    <w:semiHidden/>
    <w:qFormat/>
    <w:locked/>
    <w:uiPriority w:val="0"/>
    <w:rPr>
      <w:rFonts w:ascii="Cambria" w:hAnsi="Cambria"/>
      <w:b/>
      <w:szCs w:val="21"/>
    </w:rPr>
  </w:style>
  <w:style w:type="paragraph" w:customStyle="1" w:styleId="712">
    <w:name w:val="图例"/>
    <w:basedOn w:val="16"/>
    <w:link w:val="711"/>
    <w:semiHidden/>
    <w:qFormat/>
    <w:uiPriority w:val="0"/>
    <w:pPr>
      <w:widowControl w:val="0"/>
      <w:spacing w:after="0" w:line="360" w:lineRule="auto"/>
      <w:ind w:firstLine="200" w:firstLineChars="200"/>
    </w:pPr>
    <w:rPr>
      <w:rFonts w:ascii="Cambria" w:hAnsi="Cambria"/>
      <w:b/>
      <w:bCs w:val="0"/>
      <w:sz w:val="20"/>
      <w:szCs w:val="21"/>
    </w:rPr>
  </w:style>
  <w:style w:type="character" w:customStyle="1" w:styleId="713">
    <w:name w:val="图表题注 Char"/>
    <w:link w:val="714"/>
    <w:semiHidden/>
    <w:qFormat/>
    <w:locked/>
    <w:uiPriority w:val="0"/>
    <w:rPr>
      <w:rFonts w:ascii="Arial" w:hAnsi="Arial" w:eastAsia="黑体"/>
      <w:color w:val="000000"/>
    </w:rPr>
  </w:style>
  <w:style w:type="paragraph" w:customStyle="1" w:styleId="714">
    <w:name w:val="图表题注"/>
    <w:link w:val="713"/>
    <w:semiHidden/>
    <w:qFormat/>
    <w:uiPriority w:val="0"/>
    <w:pPr>
      <w:spacing w:line="360" w:lineRule="auto"/>
      <w:jc w:val="center"/>
    </w:pPr>
    <w:rPr>
      <w:rFonts w:ascii="Arial" w:hAnsi="Arial" w:eastAsia="黑体" w:cs="Times New Roman"/>
      <w:color w:val="000000"/>
      <w:lang w:val="en-US" w:eastAsia="zh-CN" w:bidi="ar-SA"/>
    </w:rPr>
  </w:style>
  <w:style w:type="character" w:customStyle="1" w:styleId="715">
    <w:name w:val="正文采用 Char"/>
    <w:link w:val="716"/>
    <w:semiHidden/>
    <w:qFormat/>
    <w:locked/>
    <w:uiPriority w:val="0"/>
    <w:rPr>
      <w:sz w:val="24"/>
      <w:szCs w:val="24"/>
    </w:rPr>
  </w:style>
  <w:style w:type="paragraph" w:customStyle="1" w:styleId="716">
    <w:name w:val="正文采用"/>
    <w:link w:val="715"/>
    <w:semiHidden/>
    <w:qFormat/>
    <w:uiPriority w:val="0"/>
    <w:pPr>
      <w:spacing w:line="360" w:lineRule="auto"/>
      <w:ind w:firstLine="480" w:firstLineChars="200"/>
    </w:pPr>
    <w:rPr>
      <w:rFonts w:ascii="Times New Roman" w:hAnsi="Times New Roman" w:eastAsia="宋体" w:cs="Times New Roman"/>
      <w:sz w:val="24"/>
      <w:szCs w:val="24"/>
      <w:lang w:val="en-US" w:eastAsia="zh-CN" w:bidi="ar-SA"/>
    </w:rPr>
  </w:style>
  <w:style w:type="character" w:customStyle="1" w:styleId="717">
    <w:name w:val="设计正文 Char"/>
    <w:link w:val="718"/>
    <w:semiHidden/>
    <w:qFormat/>
    <w:locked/>
    <w:uiPriority w:val="0"/>
    <w:rPr>
      <w:rFonts w:ascii="仿宋_GB2312" w:eastAsia="仿宋_GB2312" w:cs="宋体"/>
      <w:sz w:val="28"/>
    </w:rPr>
  </w:style>
  <w:style w:type="paragraph" w:customStyle="1" w:styleId="718">
    <w:name w:val="设计正文"/>
    <w:basedOn w:val="1"/>
    <w:link w:val="717"/>
    <w:semiHidden/>
    <w:qFormat/>
    <w:uiPriority w:val="0"/>
    <w:pPr>
      <w:spacing w:line="300" w:lineRule="auto"/>
      <w:ind w:firstLine="480" w:firstLineChars="200"/>
    </w:pPr>
    <w:rPr>
      <w:rFonts w:ascii="仿宋_GB2312" w:eastAsia="仿宋_GB2312" w:cs="宋体"/>
      <w:kern w:val="0"/>
      <w:sz w:val="28"/>
      <w:szCs w:val="20"/>
    </w:rPr>
  </w:style>
  <w:style w:type="character" w:customStyle="1" w:styleId="719">
    <w:name w:val="一级标题 Char"/>
    <w:link w:val="720"/>
    <w:semiHidden/>
    <w:qFormat/>
    <w:locked/>
    <w:uiPriority w:val="0"/>
    <w:rPr>
      <w:rFonts w:ascii="Cambria" w:hAnsi="Cambria"/>
      <w:b/>
      <w:bCs/>
      <w:sz w:val="36"/>
      <w:szCs w:val="32"/>
    </w:rPr>
  </w:style>
  <w:style w:type="paragraph" w:customStyle="1" w:styleId="720">
    <w:name w:val="一级标题"/>
    <w:basedOn w:val="1"/>
    <w:link w:val="719"/>
    <w:semiHidden/>
    <w:qFormat/>
    <w:uiPriority w:val="0"/>
    <w:pPr>
      <w:spacing w:before="240" w:after="240" w:line="360" w:lineRule="auto"/>
      <w:ind w:firstLine="200" w:firstLineChars="200"/>
      <w:jc w:val="left"/>
      <w:outlineLvl w:val="0"/>
    </w:pPr>
    <w:rPr>
      <w:rFonts w:ascii="Cambria" w:hAnsi="Cambria"/>
      <w:b/>
      <w:bCs/>
      <w:kern w:val="0"/>
      <w:sz w:val="36"/>
      <w:szCs w:val="32"/>
    </w:rPr>
  </w:style>
  <w:style w:type="character" w:customStyle="1" w:styleId="721">
    <w:name w:val="正文格式 Char"/>
    <w:link w:val="722"/>
    <w:semiHidden/>
    <w:qFormat/>
    <w:locked/>
    <w:uiPriority w:val="0"/>
    <w:rPr>
      <w:rFonts w:eastAsia="仿宋_GB2312"/>
      <w:sz w:val="28"/>
    </w:rPr>
  </w:style>
  <w:style w:type="paragraph" w:customStyle="1" w:styleId="722">
    <w:name w:val="正文格式"/>
    <w:basedOn w:val="1"/>
    <w:link w:val="721"/>
    <w:semiHidden/>
    <w:qFormat/>
    <w:uiPriority w:val="0"/>
    <w:pPr>
      <w:spacing w:beforeLines="50" w:line="360" w:lineRule="auto"/>
      <w:ind w:firstLine="200" w:firstLineChars="200"/>
    </w:pPr>
    <w:rPr>
      <w:rFonts w:eastAsia="仿宋_GB2312"/>
      <w:kern w:val="0"/>
      <w:sz w:val="28"/>
      <w:szCs w:val="20"/>
    </w:rPr>
  </w:style>
  <w:style w:type="character" w:customStyle="1" w:styleId="723">
    <w:name w:val="表格文字 仿宋小四 Char"/>
    <w:link w:val="724"/>
    <w:semiHidden/>
    <w:qFormat/>
    <w:uiPriority w:val="10"/>
    <w:rPr>
      <w:rFonts w:ascii="仿宋" w:hAnsi="仿宋" w:eastAsia="仿宋"/>
      <w:color w:val="000000"/>
      <w:kern w:val="2"/>
      <w:sz w:val="24"/>
      <w:szCs w:val="24"/>
    </w:rPr>
  </w:style>
  <w:style w:type="paragraph" w:customStyle="1" w:styleId="724">
    <w:name w:val="表格文字 仿宋小四"/>
    <w:basedOn w:val="1"/>
    <w:link w:val="723"/>
    <w:semiHidden/>
    <w:qFormat/>
    <w:uiPriority w:val="10"/>
    <w:pPr>
      <w:ind w:firstLine="200" w:firstLineChars="200"/>
    </w:pPr>
    <w:rPr>
      <w:rFonts w:ascii="仿宋" w:hAnsi="仿宋" w:eastAsia="仿宋"/>
      <w:color w:val="000000"/>
      <w:sz w:val="24"/>
    </w:rPr>
  </w:style>
  <w:style w:type="character" w:customStyle="1" w:styleId="725">
    <w:name w:val="附件  gather Char"/>
    <w:link w:val="726"/>
    <w:semiHidden/>
    <w:qFormat/>
    <w:uiPriority w:val="0"/>
    <w:rPr>
      <w:rFonts w:ascii="宋体" w:hAnsi="宋体"/>
      <w:b/>
      <w:kern w:val="2"/>
      <w:sz w:val="28"/>
      <w:szCs w:val="28"/>
    </w:rPr>
  </w:style>
  <w:style w:type="paragraph" w:customStyle="1" w:styleId="726">
    <w:name w:val="附件  gather"/>
    <w:basedOn w:val="599"/>
    <w:link w:val="725"/>
    <w:semiHidden/>
    <w:qFormat/>
    <w:uiPriority w:val="0"/>
    <w:pPr>
      <w:spacing w:beforeLines="50" w:afterLines="50"/>
      <w:ind w:left="498" w:hanging="498" w:hangingChars="177"/>
    </w:pPr>
    <w:rPr>
      <w:b/>
    </w:rPr>
  </w:style>
  <w:style w:type="character" w:customStyle="1" w:styleId="727">
    <w:name w:val="正文一 Char"/>
    <w:link w:val="728"/>
    <w:semiHidden/>
    <w:qFormat/>
    <w:uiPriority w:val="0"/>
    <w:rPr>
      <w:rFonts w:cs="宋体"/>
      <w:sz w:val="21"/>
      <w:szCs w:val="21"/>
    </w:rPr>
  </w:style>
  <w:style w:type="paragraph" w:customStyle="1" w:styleId="728">
    <w:name w:val="正文一"/>
    <w:basedOn w:val="1"/>
    <w:link w:val="727"/>
    <w:semiHidden/>
    <w:qFormat/>
    <w:uiPriority w:val="0"/>
    <w:pPr>
      <w:widowControl/>
      <w:spacing w:before="120" w:after="120" w:line="360" w:lineRule="auto"/>
      <w:jc w:val="left"/>
    </w:pPr>
    <w:rPr>
      <w:rFonts w:cs="宋体"/>
      <w:kern w:val="0"/>
      <w:szCs w:val="21"/>
    </w:rPr>
  </w:style>
  <w:style w:type="character" w:customStyle="1" w:styleId="729">
    <w:name w:val="附图文字 字符"/>
    <w:link w:val="730"/>
    <w:qFormat/>
    <w:uiPriority w:val="0"/>
    <w:rPr>
      <w:rFonts w:ascii="Arial" w:hAnsi="Arial" w:eastAsia="黑体"/>
      <w:b/>
      <w:sz w:val="16"/>
      <w:szCs w:val="24"/>
    </w:rPr>
  </w:style>
  <w:style w:type="paragraph" w:customStyle="1" w:styleId="730">
    <w:name w:val="附图文字"/>
    <w:basedOn w:val="1"/>
    <w:link w:val="729"/>
    <w:qFormat/>
    <w:uiPriority w:val="0"/>
    <w:pPr>
      <w:tabs>
        <w:tab w:val="left" w:pos="720"/>
      </w:tabs>
      <w:spacing w:afterLines="50" w:line="360" w:lineRule="auto"/>
      <w:ind w:firstLine="200" w:firstLineChars="200"/>
      <w:jc w:val="center"/>
    </w:pPr>
    <w:rPr>
      <w:rFonts w:ascii="Arial" w:hAnsi="Arial" w:eastAsia="黑体"/>
      <w:b/>
      <w:kern w:val="0"/>
      <w:sz w:val="16"/>
    </w:rPr>
  </w:style>
  <w:style w:type="character" w:customStyle="1" w:styleId="731">
    <w:name w:val="附图样式 字符"/>
    <w:link w:val="732"/>
    <w:qFormat/>
    <w:uiPriority w:val="0"/>
    <w:rPr>
      <w:sz w:val="24"/>
      <w:szCs w:val="24"/>
      <w:lang w:val="en-US" w:eastAsia="zh-CN"/>
    </w:rPr>
  </w:style>
  <w:style w:type="paragraph" w:customStyle="1" w:styleId="732">
    <w:name w:val="附图样式"/>
    <w:basedOn w:val="1"/>
    <w:link w:val="731"/>
    <w:qFormat/>
    <w:uiPriority w:val="0"/>
    <w:pPr>
      <w:keepNext/>
      <w:spacing w:line="360" w:lineRule="auto"/>
      <w:ind w:firstLine="480" w:firstLineChars="200"/>
      <w:jc w:val="center"/>
    </w:pPr>
    <w:rPr>
      <w:kern w:val="0"/>
      <w:sz w:val="24"/>
    </w:rPr>
  </w:style>
  <w:style w:type="character" w:customStyle="1" w:styleId="733">
    <w:name w:val="最后调整格式-一级观点 字符"/>
    <w:link w:val="734"/>
    <w:qFormat/>
    <w:uiPriority w:val="0"/>
    <w:rPr>
      <w:sz w:val="24"/>
      <w:szCs w:val="24"/>
    </w:rPr>
  </w:style>
  <w:style w:type="paragraph" w:customStyle="1" w:styleId="734">
    <w:name w:val="最后调整格式-一级观点"/>
    <w:basedOn w:val="1"/>
    <w:link w:val="733"/>
    <w:qFormat/>
    <w:uiPriority w:val="0"/>
    <w:pPr>
      <w:tabs>
        <w:tab w:val="left" w:pos="720"/>
      </w:tabs>
      <w:spacing w:afterLines="50" w:line="360" w:lineRule="auto"/>
      <w:ind w:left="720" w:hanging="720" w:firstLineChars="200"/>
    </w:pPr>
    <w:rPr>
      <w:kern w:val="0"/>
      <w:sz w:val="24"/>
    </w:rPr>
  </w:style>
  <w:style w:type="character" w:customStyle="1" w:styleId="735">
    <w:name w:val="font81"/>
    <w:qFormat/>
    <w:uiPriority w:val="0"/>
    <w:rPr>
      <w:rFonts w:hint="eastAsia" w:ascii="宋体" w:hAnsi="宋体" w:eastAsia="宋体" w:cs="宋体"/>
      <w:color w:val="000000"/>
      <w:sz w:val="22"/>
      <w:szCs w:val="22"/>
      <w:u w:val="none"/>
    </w:rPr>
  </w:style>
  <w:style w:type="character" w:customStyle="1" w:styleId="736">
    <w:name w:val="font11"/>
    <w:qFormat/>
    <w:uiPriority w:val="0"/>
    <w:rPr>
      <w:rFonts w:hint="eastAsia" w:ascii="宋体" w:hAnsi="宋体" w:eastAsia="宋体" w:cs="宋体"/>
      <w:color w:val="000000"/>
      <w:sz w:val="20"/>
      <w:szCs w:val="20"/>
      <w:u w:val="none"/>
    </w:rPr>
  </w:style>
  <w:style w:type="character" w:customStyle="1" w:styleId="737">
    <w:name w:val="尾注文本 Char1"/>
    <w:basedOn w:val="55"/>
    <w:link w:val="32"/>
    <w:qFormat/>
    <w:uiPriority w:val="0"/>
    <w:rPr>
      <w:kern w:val="2"/>
      <w:sz w:val="21"/>
      <w:szCs w:val="24"/>
    </w:rPr>
  </w:style>
  <w:style w:type="paragraph" w:customStyle="1" w:styleId="738">
    <w:name w:val="TOC 标题1"/>
    <w:basedOn w:val="3"/>
    <w:next w:val="1"/>
    <w:qFormat/>
    <w:uiPriority w:val="39"/>
    <w:pPr>
      <w:widowControl/>
      <w:spacing w:before="240" w:after="0" w:line="259" w:lineRule="auto"/>
      <w:jc w:val="left"/>
      <w:textAlignment w:val="auto"/>
      <w:outlineLvl w:val="9"/>
    </w:pPr>
    <w:rPr>
      <w:rFonts w:ascii="等线 Light" w:hAnsi="等线 Light" w:eastAsia="等线 Light" w:cs="Times New Roman"/>
      <w:b w:val="0"/>
      <w:color w:val="2F5496"/>
      <w:kern w:val="0"/>
      <w:sz w:val="32"/>
      <w:szCs w:val="32"/>
    </w:rPr>
  </w:style>
  <w:style w:type="paragraph" w:customStyle="1" w:styleId="739">
    <w:name w:val="样式 小四 行距: 1.5 倍行距"/>
    <w:basedOn w:val="1"/>
    <w:qFormat/>
    <w:uiPriority w:val="0"/>
    <w:pPr>
      <w:widowControl/>
      <w:spacing w:line="360" w:lineRule="auto"/>
      <w:ind w:firstLine="540" w:firstLineChars="225"/>
    </w:pPr>
    <w:rPr>
      <w:rFonts w:cs="宋体"/>
      <w:color w:val="3366FF"/>
      <w:kern w:val="0"/>
      <w:sz w:val="24"/>
    </w:rPr>
  </w:style>
  <w:style w:type="paragraph" w:customStyle="1" w:styleId="740">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41">
    <w:name w:val="TOC 标题11"/>
    <w:basedOn w:val="3"/>
    <w:next w:val="1"/>
    <w:qFormat/>
    <w:uiPriority w:val="39"/>
    <w:pPr>
      <w:widowControl/>
      <w:tabs>
        <w:tab w:val="left" w:pos="425"/>
      </w:tabs>
      <w:spacing w:before="240" w:after="0" w:line="259" w:lineRule="auto"/>
      <w:jc w:val="left"/>
      <w:textAlignment w:val="auto"/>
      <w:outlineLvl w:val="9"/>
    </w:pPr>
    <w:rPr>
      <w:rFonts w:ascii="等线 Light" w:hAnsi="等线 Light" w:eastAsia="等线 Light" w:cs="Times New Roman"/>
      <w:b w:val="0"/>
      <w:color w:val="2F5496"/>
      <w:kern w:val="0"/>
      <w:sz w:val="32"/>
      <w:szCs w:val="32"/>
    </w:rPr>
  </w:style>
  <w:style w:type="character" w:customStyle="1" w:styleId="742">
    <w:name w:val="称呼 Char1"/>
    <w:basedOn w:val="55"/>
    <w:link w:val="20"/>
    <w:qFormat/>
    <w:uiPriority w:val="0"/>
    <w:rPr>
      <w:kern w:val="2"/>
      <w:sz w:val="21"/>
      <w:szCs w:val="24"/>
    </w:rPr>
  </w:style>
  <w:style w:type="paragraph" w:customStyle="1" w:styleId="743">
    <w:name w:val="修订5"/>
    <w:qFormat/>
    <w:uiPriority w:val="0"/>
    <w:rPr>
      <w:rFonts w:ascii="Times New Roman" w:hAnsi="Times New Roman" w:eastAsia="仿宋" w:cs="Times New Roman"/>
      <w:sz w:val="28"/>
      <w:lang w:val="en-US" w:eastAsia="zh-CN" w:bidi="ar-SA"/>
    </w:rPr>
  </w:style>
  <w:style w:type="character" w:customStyle="1" w:styleId="744">
    <w:name w:val="正文文本 3 Char1"/>
    <w:basedOn w:val="55"/>
    <w:link w:val="21"/>
    <w:qFormat/>
    <w:uiPriority w:val="0"/>
    <w:rPr>
      <w:kern w:val="2"/>
      <w:sz w:val="16"/>
      <w:szCs w:val="16"/>
    </w:rPr>
  </w:style>
  <w:style w:type="paragraph" w:customStyle="1" w:styleId="745">
    <w:name w:val="列表（符号二级）（绿盟科技）"/>
    <w:basedOn w:val="746"/>
    <w:qFormat/>
    <w:uiPriority w:val="0"/>
    <w:pPr>
      <w:numPr>
        <w:ilvl w:val="1"/>
      </w:numPr>
      <w:tabs>
        <w:tab w:val="left" w:pos="360"/>
        <w:tab w:val="left" w:pos="840"/>
        <w:tab w:val="left" w:pos="992"/>
        <w:tab w:val="left" w:pos="1230"/>
        <w:tab w:val="left" w:pos="1320"/>
      </w:tabs>
      <w:ind w:left="1320" w:firstLine="0"/>
    </w:pPr>
  </w:style>
  <w:style w:type="paragraph" w:customStyle="1" w:styleId="746">
    <w:name w:val="列表（符号一级）（绿盟科技）"/>
    <w:basedOn w:val="1"/>
    <w:qFormat/>
    <w:uiPriority w:val="0"/>
    <w:pPr>
      <w:widowControl/>
      <w:numPr>
        <w:ilvl w:val="0"/>
        <w:numId w:val="7"/>
      </w:numPr>
      <w:tabs>
        <w:tab w:val="left" w:pos="360"/>
      </w:tabs>
      <w:spacing w:line="300" w:lineRule="auto"/>
      <w:ind w:left="0" w:firstLine="0" w:firstLineChars="200"/>
    </w:pPr>
    <w:rPr>
      <w:rFonts w:ascii="Arial" w:hAnsi="Arial" w:eastAsia="仿宋"/>
      <w:color w:val="000000"/>
      <w:sz w:val="32"/>
    </w:rPr>
  </w:style>
  <w:style w:type="character" w:customStyle="1" w:styleId="747">
    <w:name w:val="HTML 预设格式 Char2"/>
    <w:basedOn w:val="55"/>
    <w:link w:val="46"/>
    <w:qFormat/>
    <w:uiPriority w:val="0"/>
    <w:rPr>
      <w:rFonts w:ascii="Courier New" w:hAnsi="Courier New" w:cs="Courier New"/>
      <w:kern w:val="2"/>
    </w:rPr>
  </w:style>
  <w:style w:type="character" w:customStyle="1" w:styleId="748">
    <w:name w:val="副标题 Char1"/>
    <w:basedOn w:val="55"/>
    <w:link w:val="39"/>
    <w:qFormat/>
    <w:uiPriority w:val="0"/>
    <w:rPr>
      <w:rFonts w:asciiTheme="majorHAnsi" w:hAnsiTheme="majorHAnsi" w:cstheme="majorBidi"/>
      <w:b/>
      <w:bCs/>
      <w:kern w:val="28"/>
      <w:sz w:val="32"/>
      <w:szCs w:val="32"/>
    </w:rPr>
  </w:style>
  <w:style w:type="character" w:customStyle="1" w:styleId="749">
    <w:name w:val="脚注文本 Char1"/>
    <w:basedOn w:val="55"/>
    <w:link w:val="40"/>
    <w:qFormat/>
    <w:uiPriority w:val="0"/>
    <w:rPr>
      <w:kern w:val="2"/>
      <w:sz w:val="18"/>
      <w:szCs w:val="18"/>
    </w:rPr>
  </w:style>
  <w:style w:type="paragraph" w:customStyle="1" w:styleId="750">
    <w:name w:val="xl169"/>
    <w:basedOn w:val="1"/>
    <w:qFormat/>
    <w:uiPriority w:val="0"/>
    <w:pPr>
      <w:widowControl/>
      <w:pBdr>
        <w:top w:val="single" w:color="auto" w:sz="8" w:space="0"/>
        <w:bottom w:val="single" w:color="auto" w:sz="8" w:space="0"/>
      </w:pBdr>
      <w:shd w:val="clear" w:color="000000" w:fill="FFC7CE"/>
      <w:spacing w:before="100" w:beforeAutospacing="1" w:after="100" w:afterAutospacing="1"/>
      <w:jc w:val="center"/>
    </w:pPr>
    <w:rPr>
      <w:rFonts w:ascii="宋体" w:hAnsi="宋体" w:cs="宋体"/>
      <w:b/>
      <w:bCs/>
      <w:color w:val="9C0006"/>
      <w:kern w:val="0"/>
      <w:sz w:val="24"/>
    </w:rPr>
  </w:style>
  <w:style w:type="paragraph" w:customStyle="1" w:styleId="751">
    <w:name w:val="xl13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52">
    <w:name w:val="xl164"/>
    <w:basedOn w:val="1"/>
    <w:qFormat/>
    <w:uiPriority w:val="0"/>
    <w:pPr>
      <w:widowControl/>
      <w:pBdr>
        <w:top w:val="single" w:color="auto" w:sz="4" w:space="0"/>
        <w:left w:val="single" w:color="auto" w:sz="4" w:space="0"/>
        <w:right w:val="single" w:color="auto" w:sz="4" w:space="0"/>
      </w:pBdr>
      <w:shd w:val="clear" w:color="000000" w:fill="FFFF99"/>
      <w:spacing w:before="100" w:beforeAutospacing="1" w:after="100" w:afterAutospacing="1"/>
      <w:jc w:val="center"/>
    </w:pPr>
    <w:rPr>
      <w:rFonts w:ascii="宋体" w:hAnsi="宋体" w:cs="宋体"/>
      <w:b/>
      <w:bCs/>
      <w:color w:val="993300"/>
      <w:kern w:val="0"/>
      <w:sz w:val="24"/>
    </w:rPr>
  </w:style>
  <w:style w:type="paragraph" w:customStyle="1" w:styleId="753">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75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55">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 w:val="20"/>
      <w:szCs w:val="20"/>
    </w:rPr>
  </w:style>
  <w:style w:type="paragraph" w:customStyle="1" w:styleId="756">
    <w:name w:val="xl162"/>
    <w:basedOn w:val="1"/>
    <w:qFormat/>
    <w:uiPriority w:val="0"/>
    <w:pPr>
      <w:widowControl/>
      <w:pBdr>
        <w:top w:val="single" w:color="auto" w:sz="4" w:space="0"/>
      </w:pBdr>
      <w:shd w:val="clear" w:color="000000" w:fill="FFFF99"/>
      <w:spacing w:before="100" w:beforeAutospacing="1" w:after="100" w:afterAutospacing="1"/>
      <w:jc w:val="center"/>
    </w:pPr>
    <w:rPr>
      <w:rFonts w:ascii="宋体" w:hAnsi="宋体" w:cs="宋体"/>
      <w:b/>
      <w:bCs/>
      <w:color w:val="993300"/>
      <w:kern w:val="0"/>
      <w:sz w:val="24"/>
    </w:rPr>
  </w:style>
  <w:style w:type="paragraph" w:customStyle="1" w:styleId="757">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758">
    <w:name w:val="xl158"/>
    <w:basedOn w:val="1"/>
    <w:qFormat/>
    <w:uiPriority w:val="0"/>
    <w:pPr>
      <w:widowControl/>
      <w:pBdr>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759">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left"/>
    </w:pPr>
    <w:rPr>
      <w:rFonts w:ascii="宋体" w:hAnsi="宋体" w:cs="宋体"/>
      <w:kern w:val="0"/>
      <w:sz w:val="20"/>
      <w:szCs w:val="20"/>
    </w:rPr>
  </w:style>
  <w:style w:type="paragraph" w:customStyle="1" w:styleId="760">
    <w:name w:val="xl171"/>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761">
    <w:name w:val="List Paragraph1"/>
    <w:basedOn w:val="1"/>
    <w:qFormat/>
    <w:uiPriority w:val="0"/>
    <w:pPr>
      <w:widowControl/>
      <w:spacing w:line="360" w:lineRule="auto"/>
      <w:ind w:firstLine="420" w:firstLineChars="200"/>
    </w:pPr>
    <w:rPr>
      <w:rFonts w:cs="宋体"/>
      <w:kern w:val="0"/>
      <w:sz w:val="24"/>
    </w:rPr>
  </w:style>
  <w:style w:type="paragraph" w:customStyle="1" w:styleId="762">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63">
    <w:name w:val="_Style 5"/>
    <w:basedOn w:val="1"/>
    <w:qFormat/>
    <w:uiPriority w:val="99"/>
    <w:pPr>
      <w:widowControl/>
      <w:spacing w:line="360" w:lineRule="auto"/>
      <w:ind w:firstLine="200" w:firstLineChars="200"/>
    </w:pPr>
    <w:rPr>
      <w:rFonts w:ascii="宋体" w:hAnsi="宋体" w:cs="宋体"/>
      <w:kern w:val="0"/>
      <w:sz w:val="24"/>
    </w:rPr>
  </w:style>
  <w:style w:type="character" w:customStyle="1" w:styleId="764">
    <w:name w:val="明显引用 Char2"/>
    <w:basedOn w:val="55"/>
    <w:link w:val="664"/>
    <w:semiHidden/>
    <w:qFormat/>
    <w:uiPriority w:val="99"/>
    <w:rPr>
      <w:b/>
      <w:bCs/>
      <w:i/>
      <w:iCs/>
      <w:color w:val="4F81BD" w:themeColor="accent1"/>
      <w:kern w:val="2"/>
      <w:sz w:val="21"/>
      <w:szCs w:val="24"/>
    </w:rPr>
  </w:style>
  <w:style w:type="paragraph" w:customStyle="1" w:styleId="765">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6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20"/>
      <w:szCs w:val="20"/>
    </w:rPr>
  </w:style>
  <w:style w:type="paragraph" w:customStyle="1" w:styleId="767">
    <w:name w:val="D标题5"/>
    <w:basedOn w:val="7"/>
    <w:next w:val="216"/>
    <w:qFormat/>
    <w:uiPriority w:val="0"/>
    <w:pPr>
      <w:widowControl w:val="0"/>
      <w:tabs>
        <w:tab w:val="left" w:pos="425"/>
        <w:tab w:val="left" w:pos="560"/>
        <w:tab w:val="left" w:pos="851"/>
      </w:tabs>
      <w:spacing w:before="100" w:beforeAutospacing="1" w:after="100" w:afterAutospacing="1"/>
      <w:ind w:left="426" w:hanging="1008"/>
    </w:pPr>
    <w:rPr>
      <w:rFonts w:ascii="Times New Roman" w:hAnsi="Times New Roman"/>
      <w:sz w:val="28"/>
      <w:szCs w:val="20"/>
    </w:rPr>
  </w:style>
  <w:style w:type="paragraph" w:customStyle="1" w:styleId="768">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8DB4E2"/>
      <w:spacing w:before="100" w:beforeAutospacing="1" w:after="100" w:afterAutospacing="1"/>
      <w:jc w:val="right"/>
    </w:pPr>
    <w:rPr>
      <w:rFonts w:ascii="宋体" w:hAnsi="宋体" w:cs="宋体"/>
      <w:kern w:val="0"/>
      <w:sz w:val="20"/>
      <w:szCs w:val="20"/>
    </w:rPr>
  </w:style>
  <w:style w:type="paragraph" w:customStyle="1" w:styleId="769">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70">
    <w:name w:val="_Style 1"/>
    <w:basedOn w:val="1"/>
    <w:qFormat/>
    <w:uiPriority w:val="99"/>
    <w:pPr>
      <w:widowControl/>
      <w:spacing w:line="360" w:lineRule="auto"/>
      <w:ind w:firstLine="200" w:firstLineChars="200"/>
    </w:pPr>
    <w:rPr>
      <w:rFonts w:ascii="宋体" w:hAnsi="宋体" w:cs="宋体"/>
      <w:kern w:val="0"/>
      <w:sz w:val="24"/>
    </w:rPr>
  </w:style>
  <w:style w:type="paragraph" w:customStyle="1" w:styleId="771">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72">
    <w:name w:val="图注"/>
    <w:basedOn w:val="16"/>
    <w:next w:val="51"/>
    <w:qFormat/>
    <w:uiPriority w:val="0"/>
    <w:pPr>
      <w:spacing w:after="0"/>
      <w:ind w:firstLine="480" w:firstLineChars="200"/>
    </w:pPr>
    <w:rPr>
      <w:rFonts w:cs="宋体"/>
      <w:b/>
      <w:bCs w:val="0"/>
      <w:szCs w:val="24"/>
    </w:rPr>
  </w:style>
  <w:style w:type="paragraph" w:customStyle="1" w:styleId="773">
    <w:name w:val="xl170"/>
    <w:basedOn w:val="1"/>
    <w:qFormat/>
    <w:uiPriority w:val="0"/>
    <w:pPr>
      <w:widowControl/>
      <w:pBdr>
        <w:top w:val="single" w:color="auto" w:sz="8" w:space="0"/>
        <w:bottom w:val="single" w:color="auto" w:sz="8" w:space="0"/>
        <w:right w:val="single" w:color="auto" w:sz="8" w:space="0"/>
      </w:pBdr>
      <w:shd w:val="clear" w:color="000000" w:fill="FFC7CE"/>
      <w:spacing w:before="100" w:beforeAutospacing="1" w:after="100" w:afterAutospacing="1"/>
      <w:jc w:val="center"/>
    </w:pPr>
    <w:rPr>
      <w:rFonts w:ascii="宋体" w:hAnsi="宋体" w:cs="宋体"/>
      <w:b/>
      <w:bCs/>
      <w:color w:val="9C0006"/>
      <w:kern w:val="0"/>
      <w:sz w:val="24"/>
    </w:rPr>
  </w:style>
  <w:style w:type="paragraph" w:customStyle="1" w:styleId="774">
    <w:name w:val="_Style 4"/>
    <w:basedOn w:val="1"/>
    <w:qFormat/>
    <w:uiPriority w:val="99"/>
    <w:pPr>
      <w:widowControl/>
      <w:spacing w:line="360" w:lineRule="auto"/>
      <w:ind w:firstLine="200" w:firstLineChars="200"/>
    </w:pPr>
    <w:rPr>
      <w:rFonts w:ascii="宋体" w:hAnsi="宋体" w:cs="宋体"/>
      <w:kern w:val="0"/>
      <w:sz w:val="24"/>
    </w:rPr>
  </w:style>
  <w:style w:type="paragraph" w:customStyle="1" w:styleId="775">
    <w:name w:val="xl173"/>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776">
    <w:name w:val="xl168"/>
    <w:basedOn w:val="1"/>
    <w:qFormat/>
    <w:uiPriority w:val="0"/>
    <w:pPr>
      <w:widowControl/>
      <w:pBdr>
        <w:top w:val="single" w:color="auto" w:sz="8" w:space="0"/>
        <w:left w:val="single" w:color="auto" w:sz="8" w:space="0"/>
        <w:bottom w:val="single" w:color="auto" w:sz="8" w:space="0"/>
      </w:pBdr>
      <w:shd w:val="clear" w:color="000000" w:fill="FFC7CE"/>
      <w:spacing w:before="100" w:beforeAutospacing="1" w:after="100" w:afterAutospacing="1"/>
      <w:jc w:val="center"/>
    </w:pPr>
    <w:rPr>
      <w:rFonts w:ascii="宋体" w:hAnsi="宋体" w:cs="宋体"/>
      <w:b/>
      <w:bCs/>
      <w:color w:val="9C0006"/>
      <w:kern w:val="0"/>
      <w:sz w:val="24"/>
    </w:rPr>
  </w:style>
  <w:style w:type="paragraph" w:customStyle="1" w:styleId="77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78">
    <w:name w:val="文本正文"/>
    <w:basedOn w:val="1"/>
    <w:qFormat/>
    <w:uiPriority w:val="0"/>
    <w:pPr>
      <w:widowControl/>
      <w:spacing w:line="360" w:lineRule="auto"/>
      <w:ind w:firstLine="200" w:firstLineChars="200"/>
    </w:pPr>
    <w:rPr>
      <w:rFonts w:cs="宋体"/>
      <w:kern w:val="0"/>
      <w:szCs w:val="21"/>
    </w:rPr>
  </w:style>
  <w:style w:type="paragraph" w:customStyle="1" w:styleId="779">
    <w:name w:val="带编号的正文"/>
    <w:basedOn w:val="2"/>
    <w:semiHidden/>
    <w:qFormat/>
    <w:uiPriority w:val="0"/>
  </w:style>
  <w:style w:type="paragraph" w:customStyle="1" w:styleId="780">
    <w:name w:val="项目1"/>
    <w:basedOn w:val="2"/>
    <w:next w:val="2"/>
    <w:semiHidden/>
    <w:qFormat/>
    <w:uiPriority w:val="99"/>
  </w:style>
  <w:style w:type="paragraph" w:customStyle="1" w:styleId="78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8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firstLineChars="200"/>
      <w:jc w:val="center"/>
      <w:textAlignment w:val="center"/>
    </w:pPr>
    <w:rPr>
      <w:rFonts w:ascii="宋体" w:hAnsi="宋体" w:cs="宋体"/>
      <w:kern w:val="0"/>
      <w:sz w:val="24"/>
    </w:rPr>
  </w:style>
  <w:style w:type="paragraph" w:customStyle="1" w:styleId="783">
    <w:name w:val="标书正文"/>
    <w:basedOn w:val="1"/>
    <w:qFormat/>
    <w:uiPriority w:val="0"/>
    <w:pPr>
      <w:widowControl/>
      <w:spacing w:line="360" w:lineRule="auto"/>
      <w:ind w:firstLine="200" w:firstLineChars="200"/>
    </w:pPr>
    <w:rPr>
      <w:rFonts w:cs="宋体"/>
      <w:kern w:val="0"/>
      <w:sz w:val="28"/>
    </w:rPr>
  </w:style>
  <w:style w:type="paragraph" w:customStyle="1" w:styleId="784">
    <w:name w:val="xl160"/>
    <w:basedOn w:val="1"/>
    <w:qFormat/>
    <w:uiPriority w:val="0"/>
    <w:pPr>
      <w:widowControl/>
      <w:pBdr>
        <w:top w:val="single" w:color="auto" w:sz="4" w:space="0"/>
        <w:left w:val="single" w:color="auto" w:sz="4" w:space="0"/>
      </w:pBdr>
      <w:shd w:val="clear" w:color="000000" w:fill="FFFF99"/>
      <w:spacing w:before="100" w:beforeAutospacing="1" w:after="100" w:afterAutospacing="1"/>
      <w:jc w:val="center"/>
    </w:pPr>
    <w:rPr>
      <w:rFonts w:ascii="宋体" w:hAnsi="宋体" w:cs="宋体"/>
      <w:color w:val="993300"/>
      <w:kern w:val="0"/>
      <w:sz w:val="24"/>
    </w:rPr>
  </w:style>
  <w:style w:type="paragraph" w:customStyle="1" w:styleId="785">
    <w:name w:val="列表（符号二级）（深信服）"/>
    <w:basedOn w:val="786"/>
    <w:unhideWhenUsed/>
    <w:qFormat/>
    <w:uiPriority w:val="0"/>
    <w:pPr>
      <w:numPr>
        <w:ilvl w:val="0"/>
        <w:numId w:val="44"/>
      </w:numPr>
      <w:tabs>
        <w:tab w:val="left" w:pos="420"/>
      </w:tabs>
      <w:ind w:left="550" w:leftChars="400" w:hanging="150" w:hangingChars="150"/>
    </w:pPr>
  </w:style>
  <w:style w:type="paragraph" w:customStyle="1" w:styleId="786">
    <w:name w:val="列表（符号一级）（深信服）"/>
    <w:basedOn w:val="787"/>
    <w:unhideWhenUsed/>
    <w:qFormat/>
    <w:uiPriority w:val="0"/>
    <w:pPr>
      <w:tabs>
        <w:tab w:val="left" w:pos="420"/>
      </w:tabs>
      <w:ind w:left="420" w:firstLine="0" w:firstLineChars="0"/>
    </w:pPr>
  </w:style>
  <w:style w:type="paragraph" w:customStyle="1" w:styleId="787">
    <w:name w:val="正文（深信服）"/>
    <w:semiHidden/>
    <w:qFormat/>
    <w:uiPriority w:val="0"/>
    <w:pPr>
      <w:adjustRightInd w:val="0"/>
      <w:snapToGrid w:val="0"/>
      <w:spacing w:line="360" w:lineRule="auto"/>
      <w:ind w:firstLine="480" w:firstLineChars="200"/>
      <w:jc w:val="both"/>
    </w:pPr>
    <w:rPr>
      <w:rFonts w:ascii="Times New Roman" w:hAnsi="Times New Roman" w:eastAsia="宋体" w:cs="Times New Roman"/>
      <w:sz w:val="24"/>
      <w:szCs w:val="21"/>
      <w:lang w:val="en-US" w:eastAsia="zh-CN" w:bidi="ar-SA"/>
    </w:rPr>
  </w:style>
  <w:style w:type="paragraph" w:customStyle="1" w:styleId="788">
    <w:name w:val="xl165"/>
    <w:basedOn w:val="1"/>
    <w:qFormat/>
    <w:uiPriority w:val="0"/>
    <w:pPr>
      <w:widowControl/>
      <w:shd w:val="clear" w:color="000000" w:fill="FFFF99"/>
      <w:spacing w:before="100" w:beforeAutospacing="1" w:after="100" w:afterAutospacing="1"/>
      <w:jc w:val="center"/>
    </w:pPr>
    <w:rPr>
      <w:rFonts w:ascii="宋体" w:hAnsi="宋体" w:cs="宋体"/>
      <w:b/>
      <w:bCs/>
      <w:color w:val="993300"/>
      <w:kern w:val="0"/>
      <w:sz w:val="24"/>
    </w:rPr>
  </w:style>
  <w:style w:type="paragraph" w:customStyle="1" w:styleId="78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90">
    <w:name w:val="xl155"/>
    <w:basedOn w:val="1"/>
    <w:qFormat/>
    <w:uiPriority w:val="0"/>
    <w:pPr>
      <w:widowControl/>
      <w:pBdr>
        <w:top w:val="single" w:color="auto" w:sz="4" w:space="0"/>
        <w:left w:val="single" w:color="auto" w:sz="4" w:space="0"/>
        <w:bottom w:val="single" w:color="auto" w:sz="4" w:space="0"/>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791">
    <w:name w:val="xl156"/>
    <w:basedOn w:val="1"/>
    <w:qFormat/>
    <w:uiPriority w:val="0"/>
    <w:pPr>
      <w:widowControl/>
      <w:pBdr>
        <w:top w:val="single" w:color="auto" w:sz="4" w:space="0"/>
        <w:bottom w:val="single" w:color="auto" w:sz="4" w:space="0"/>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792">
    <w:name w:val="xl1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9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94">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79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96">
    <w:name w:val="xl167"/>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797">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right"/>
    </w:pPr>
    <w:rPr>
      <w:rFonts w:ascii="宋体" w:hAnsi="宋体" w:cs="宋体"/>
      <w:kern w:val="0"/>
      <w:sz w:val="20"/>
      <w:szCs w:val="20"/>
    </w:rPr>
  </w:style>
  <w:style w:type="paragraph" w:customStyle="1" w:styleId="79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9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00">
    <w:name w:val="xl1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01">
    <w:name w:val="xl17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802">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03">
    <w:name w:val="xl13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04">
    <w:name w:val="xl16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kern w:val="0"/>
      <w:sz w:val="20"/>
      <w:szCs w:val="20"/>
    </w:rPr>
  </w:style>
  <w:style w:type="paragraph" w:customStyle="1" w:styleId="80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06">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807">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08">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809">
    <w:name w:val="引用 Char2"/>
    <w:basedOn w:val="55"/>
    <w:link w:val="578"/>
    <w:semiHidden/>
    <w:qFormat/>
    <w:uiPriority w:val="99"/>
    <w:rPr>
      <w:i/>
      <w:iCs/>
      <w:color w:val="000000" w:themeColor="text1"/>
      <w:kern w:val="2"/>
      <w:sz w:val="21"/>
      <w:szCs w:val="24"/>
    </w:rPr>
  </w:style>
  <w:style w:type="paragraph" w:customStyle="1" w:styleId="810">
    <w:name w:val="xl172"/>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811">
    <w:name w:val="xl14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12">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813">
    <w:name w:val="xl159"/>
    <w:basedOn w:val="1"/>
    <w:qFormat/>
    <w:uiPriority w:val="0"/>
    <w:pPr>
      <w:widowControl/>
      <w:pBdr>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814">
    <w:name w:val="xl166"/>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b/>
      <w:bCs/>
      <w:color w:val="000000"/>
      <w:kern w:val="0"/>
      <w:sz w:val="20"/>
      <w:szCs w:val="20"/>
    </w:rPr>
  </w:style>
  <w:style w:type="paragraph" w:customStyle="1" w:styleId="815">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kern w:val="0"/>
      <w:sz w:val="20"/>
      <w:szCs w:val="20"/>
    </w:rPr>
  </w:style>
  <w:style w:type="paragraph" w:customStyle="1" w:styleId="816">
    <w:name w:val="xl13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17">
    <w:name w:val="xl157"/>
    <w:basedOn w:val="1"/>
    <w:uiPriority w:val="0"/>
    <w:pPr>
      <w:widowControl/>
      <w:pBdr>
        <w:top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818">
    <w:name w:val="xl163"/>
    <w:basedOn w:val="1"/>
    <w:qFormat/>
    <w:uiPriority w:val="0"/>
    <w:pPr>
      <w:widowControl/>
      <w:pBdr>
        <w:top w:val="single" w:color="auto" w:sz="4" w:space="0"/>
        <w:right w:val="single" w:color="auto" w:sz="4" w:space="0"/>
      </w:pBdr>
      <w:shd w:val="clear" w:color="000000" w:fill="FFFF99"/>
      <w:spacing w:before="100" w:beforeAutospacing="1" w:after="100" w:afterAutospacing="1"/>
    </w:pPr>
    <w:rPr>
      <w:rFonts w:ascii="宋体" w:hAnsi="宋体" w:cs="宋体"/>
      <w:b/>
      <w:bCs/>
      <w:color w:val="993300"/>
      <w:kern w:val="0"/>
      <w:sz w:val="24"/>
    </w:rPr>
  </w:style>
  <w:style w:type="paragraph" w:customStyle="1" w:styleId="819">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海南海政招标有限公司</Company>
  <Pages>126</Pages>
  <Words>12641</Words>
  <Characters>72057</Characters>
  <Lines>600</Lines>
  <Paragraphs>169</Paragraphs>
  <TotalTime>1</TotalTime>
  <ScaleCrop>false</ScaleCrop>
  <LinksUpToDate>false</LinksUpToDate>
  <CharactersWithSpaces>84529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2020-02-04T20:45:00Z</dcterms:created>
  <dc:creator>海政招标</dc:creator>
  <cp:lastModifiedBy>Tao涛</cp:lastModifiedBy>
  <cp:lastPrinted>2017-04-01T01:04:00Z</cp:lastPrinted>
  <dcterms:modified xsi:type="dcterms:W3CDTF">2021-03-26T08:11:30Z</dcterms:modified>
  <dc:title>招 标 文 件</dc:title>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AF66A2D82C12446187A4299BE727CA76</vt:lpwstr>
  </property>
</Properties>
</file>