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仿宋" w:hAnsi="仿宋" w:eastAsia="仿宋" w:cs="仿宋"/>
          <w:color w:val="000000" w:themeColor="text1"/>
          <w:sz w:val="44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72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仿宋" w:hAnsi="仿宋" w:eastAsia="仿宋" w:cs="仿宋"/>
          <w:color w:val="000000" w:themeColor="text1"/>
          <w:sz w:val="44"/>
          <w:szCs w:val="72"/>
          <w14:textFill>
            <w14:solidFill>
              <w14:schemeClr w14:val="tx1"/>
            </w14:solidFill>
          </w14:textFill>
        </w:rPr>
        <w:t>需求</w:t>
      </w:r>
    </w:p>
    <w:p>
      <w:pPr>
        <w:pStyle w:val="4"/>
        <w:spacing w:before="0" w:after="0" w:line="360" w:lineRule="auto"/>
        <w:rPr>
          <w:rFonts w:hint="eastAsia" w:ascii="仿宋" w:hAnsi="仿宋" w:eastAsia="仿宋" w:cs="仿宋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6376"/>
      <w:r>
        <w:rPr>
          <w:rFonts w:hint="eastAsia" w:ascii="仿宋" w:hAnsi="仿宋" w:eastAsia="仿宋" w:cs="仿宋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  <w:bookmarkEnd w:id="0"/>
    </w:p>
    <w:p>
      <w:pPr>
        <w:tabs>
          <w:tab w:val="left" w:pos="780"/>
        </w:tabs>
        <w:spacing w:line="360" w:lineRule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1、项目名称：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琼中县基层医疗卫生机构室内配套设施采购项目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2、采购预算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仿宋" w:hAnsi="仿宋" w:eastAsia="仿宋" w:cs="仿宋"/>
          <w:color w:val="000000" w:themeColor="text1"/>
          <w:kern w:val="2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829596.00元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，超出采购预算的为无效报价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3、分包情况：</w:t>
      </w:r>
      <w:r>
        <w:rPr>
          <w:rFonts w:hint="eastAsia" w:ascii="仿宋" w:hAnsi="仿宋" w:eastAsia="仿宋" w:cs="仿宋"/>
          <w:color w:val="000000" w:themeColor="text1"/>
          <w:kern w:val="28"/>
          <w:sz w:val="24"/>
          <w:lang w:val="en-US" w:eastAsia="zh-CN"/>
          <w14:textFill>
            <w14:solidFill>
              <w14:schemeClr w14:val="tx1"/>
            </w14:solidFill>
          </w14:textFill>
        </w:rPr>
        <w:t>A包（最高限价：631776.00元）、B包（最高限价：197820.00元）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kern w:val="2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2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合同履行期限（交付期）：自合同签订之日起25天内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保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自交付验收合格之日起1年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6、交付地点：采购人指定地点，运送所产生的所有费用由中标人承担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7、付款方式：按照合同约定的付款方式付款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8、验收要求：按询价文件技术参数进行验收</w:t>
      </w:r>
    </w:p>
    <w:p>
      <w:pPr>
        <w:widowControl/>
        <w:tabs>
          <w:tab w:val="left" w:pos="630"/>
        </w:tabs>
        <w:spacing w:line="360" w:lineRule="auto"/>
        <w:ind w:firstLine="720" w:firstLineChars="300"/>
        <w:jc w:val="left"/>
        <w:textAlignment w:val="bottom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仿宋" w:hAnsi="仿宋" w:eastAsia="仿宋" w:cs="仿宋"/>
          <w:color w:val="000000" w:themeColor="text1"/>
          <w:kern w:val="28"/>
          <w:sz w:val="24"/>
          <w:szCs w:val="24"/>
          <w14:textFill>
            <w14:solidFill>
              <w14:schemeClr w14:val="tx1"/>
            </w14:solidFill>
          </w14:textFill>
        </w:rPr>
        <w:t>根据国务院办公厅关于建立政府强制采购节能产品制度的通知，在同等条件下优先采购节能产品</w:t>
      </w:r>
    </w:p>
    <w:p>
      <w:pPr>
        <w:bidi w:val="0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Toc383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1"/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采购清单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1、包号：A包（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YZZB-2021A-0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45-A）</w:t>
      </w:r>
    </w:p>
    <w:tbl>
      <w:tblPr>
        <w:tblStyle w:val="6"/>
        <w:tblpPr w:leftFromText="180" w:rightFromText="180" w:vertAnchor="page" w:horzAnchor="page" w:tblpX="1350" w:tblpY="2760"/>
        <w:tblOverlap w:val="never"/>
        <w:tblW w:w="51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322"/>
        <w:gridCol w:w="1995"/>
        <w:gridCol w:w="3002"/>
        <w:gridCol w:w="744"/>
        <w:gridCol w:w="642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1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采购品目名称</w:t>
            </w:r>
          </w:p>
        </w:tc>
        <w:tc>
          <w:tcPr>
            <w:tcW w:w="1134" w:type="pct"/>
            <w:shd w:val="clear" w:color="auto" w:fill="BEBEBE" w:themeFill="background1" w:themeFillShade="BF"/>
            <w:vAlign w:val="center"/>
          </w:tcPr>
          <w:p>
            <w:pPr>
              <w:tabs>
                <w:tab w:val="left" w:pos="589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安装地点</w:t>
            </w:r>
          </w:p>
        </w:tc>
        <w:tc>
          <w:tcPr>
            <w:tcW w:w="1707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参考规格型号和配置技术参数</w:t>
            </w:r>
          </w:p>
        </w:tc>
        <w:tc>
          <w:tcPr>
            <w:tcW w:w="423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65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84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不锈钢防盗窗</w:t>
            </w:r>
          </w:p>
        </w:tc>
        <w:tc>
          <w:tcPr>
            <w:tcW w:w="1134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乌石卫生院、中平镇卫生院、和平镇卫生院、上安乡卫生院、什运乡卫生院、阳江医院、阳江医院新进医院、加钗社区卫生服务中心、长征卫生院、岭头医院</w:t>
            </w: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材质：304不锈钢，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规格：25mm*25mm方管配19mm圆管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1935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不锈钢推拉门</w:t>
            </w:r>
          </w:p>
        </w:tc>
        <w:tc>
          <w:tcPr>
            <w:tcW w:w="113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材质：304不锈钢，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规格：38mm*25mm管配22mm圆管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不锈钢防盗拉闸门</w:t>
            </w:r>
          </w:p>
        </w:tc>
        <w:tc>
          <w:tcPr>
            <w:tcW w:w="113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材质：玫瑰金304不锈钢，规格：25mm*13mm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不锈钢防盗门</w:t>
            </w:r>
          </w:p>
        </w:tc>
        <w:tc>
          <w:tcPr>
            <w:tcW w:w="113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材质：304不锈钢，规格：38mm*25mm管配22mm圆管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热镀管门</w:t>
            </w:r>
          </w:p>
        </w:tc>
        <w:tc>
          <w:tcPr>
            <w:tcW w:w="113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材质：镀锌管，规格：30mm*50mm*2mm管配25mm*1.6mm圆管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2、包号：B包（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YZZB-2021A-0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45-B）</w:t>
      </w:r>
    </w:p>
    <w:tbl>
      <w:tblPr>
        <w:tblStyle w:val="6"/>
        <w:tblpPr w:leftFromText="180" w:rightFromText="180" w:vertAnchor="text" w:horzAnchor="page" w:tblpX="1185" w:tblpY="1198"/>
        <w:tblOverlap w:val="never"/>
        <w:tblW w:w="51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1361"/>
        <w:gridCol w:w="1989"/>
        <w:gridCol w:w="2977"/>
        <w:gridCol w:w="770"/>
        <w:gridCol w:w="629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4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采购品目名称</w:t>
            </w:r>
          </w:p>
        </w:tc>
        <w:tc>
          <w:tcPr>
            <w:tcW w:w="1131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安装地点</w:t>
            </w:r>
          </w:p>
        </w:tc>
        <w:tc>
          <w:tcPr>
            <w:tcW w:w="1693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参考规格型号和配置技术参数</w:t>
            </w:r>
          </w:p>
        </w:tc>
        <w:tc>
          <w:tcPr>
            <w:tcW w:w="437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57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8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窗帘</w:t>
            </w:r>
          </w:p>
        </w:tc>
        <w:tc>
          <w:tcPr>
            <w:tcW w:w="1131" w:type="pct"/>
            <w:vAlign w:val="center"/>
          </w:tcPr>
          <w:p>
            <w:pPr>
              <w:tabs>
                <w:tab w:val="left" w:pos="522"/>
              </w:tabs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乌石卫生院、中平镇卫生院、和平镇卫生院、上安乡卫生院、什运乡卫生院、阳江医院、阳江医院新进医院、加钗社区卫生服务中心、长征卫生院、岭头医院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窗帘材料为纤维混纺遮光布，遮光率〉99%，纯物理遮光，窗帘具有遮光、隔热、保温、降低噪音和美化环境等一系列的功能和作用。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3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含安装材料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三、现场勘察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1、为更好的理解采购人的实施意图和需求，潜在供应商应当对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琼中县基层医疗卫生机构室内配套设施采购项目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进行实地勘察，根据实地勘察情况并结合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文件要求进行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合理报价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，并提供指定格式的《现场勘察确认函》；</w:t>
      </w:r>
    </w:p>
    <w:p>
      <w:pPr>
        <w:tabs>
          <w:tab w:val="left" w:pos="780"/>
        </w:tabs>
        <w:spacing w:line="360" w:lineRule="auto"/>
        <w:ind w:firstLine="720" w:firstLineChars="300"/>
        <w:rPr>
          <w:rFonts w:hint="eastAsia" w:ascii="仿宋" w:hAnsi="仿宋" w:eastAsia="仿宋" w:cs="仿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2、本项目不集中组织勘察现场，潜在供应商应向代理机构领取已盖章的现场勘察确认函（领取时需提供法人授权委托书）后，自行联系采购人进行现场勘察，有关费用自理，勘察期间如发生意外自负。采购人实地勘察联系人：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王工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，联系电话：0898-86237301。《现场勘察确认函》为实质性要求</w:t>
      </w:r>
      <w:r>
        <w:rPr>
          <w:rFonts w:hint="eastAsia" w:ascii="仿宋" w:hAnsi="仿宋" w:eastAsia="仿宋" w:cs="仿宋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B4D0B8"/>
    <w:multiLevelType w:val="singleLevel"/>
    <w:tmpl w:val="42B4D0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D446B"/>
    <w:rsid w:val="2CD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6">
    <w:name w:val="Table Grid"/>
    <w:basedOn w:val="5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2021-05-31T10:16:00Z</dcterms:created>
  <dc:creator>玫莉蔻七颜阿倩倩</dc:creator>
  <cp:lastModifiedBy>玫莉蔻七颜阿倩倩</cp:lastModifiedBy>
  <dcterms:modified xsi:type="dcterms:W3CDTF">2021-05-31T10:17:47Z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69E61D5C36C1425EB7F55F317828D31C</vt:lpwstr>
  </property>
</Properties>
</file>