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outlineLvl w:val="0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bookmarkStart w:id="0" w:name="_Toc29635"/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第三章  用户需求书</w:t>
      </w:r>
      <w:bookmarkEnd w:id="0"/>
    </w:p>
    <w:p>
      <w:pPr>
        <w:spacing w:line="341" w:lineRule="exact"/>
        <w:rPr>
          <w:rFonts w:hint="eastAsia" w:ascii="仿宋" w:hAnsi="仿宋" w:eastAsia="仿宋" w:cs="仿宋"/>
          <w:color w:val="auto"/>
        </w:rPr>
      </w:pPr>
    </w:p>
    <w:p>
      <w:pPr>
        <w:pStyle w:val="4"/>
        <w:numPr>
          <w:ilvl w:val="0"/>
          <w:numId w:val="1"/>
        </w:numPr>
        <w:bidi w:val="0"/>
        <w:rPr>
          <w:rFonts w:hint="eastAsia" w:ascii="仿宋" w:hAnsi="仿宋" w:eastAsia="仿宋" w:cs="仿宋"/>
          <w:color w:val="auto"/>
        </w:rPr>
      </w:pPr>
      <w:bookmarkStart w:id="1" w:name="_Toc365559596"/>
      <w:bookmarkStart w:id="2" w:name="_Toc371949173"/>
      <w:bookmarkStart w:id="3" w:name="_Toc288"/>
      <w:bookmarkStart w:id="4" w:name="_Toc390176023"/>
      <w:r>
        <w:rPr>
          <w:rFonts w:hint="eastAsia" w:ascii="仿宋" w:hAnsi="仿宋" w:eastAsia="仿宋" w:cs="仿宋"/>
          <w:color w:val="auto"/>
        </w:rPr>
        <w:t>项目基本情况</w:t>
      </w:r>
      <w:bookmarkEnd w:id="1"/>
      <w:bookmarkEnd w:id="2"/>
      <w:bookmarkEnd w:id="3"/>
      <w:bookmarkEnd w:id="4"/>
    </w:p>
    <w:p>
      <w:pPr>
        <w:shd w:val="clear" w:color="auto" w:fill="FFFFFF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1、项目名称：2022年文昌市教育城域网网络资费项目</w:t>
      </w:r>
    </w:p>
    <w:p>
      <w:pPr>
        <w:shd w:val="clear" w:color="auto" w:fill="FFFFFF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2、项目编号：HNZH-2021-155</w:t>
      </w:r>
    </w:p>
    <w:p>
      <w:pPr>
        <w:shd w:val="clear" w:color="auto" w:fill="FFFFFF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3、采购预算：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2336240.00</w:t>
      </w:r>
      <w:r>
        <w:rPr>
          <w:rFonts w:hint="eastAsia" w:ascii="仿宋" w:hAnsi="仿宋" w:eastAsia="仿宋" w:cs="仿宋"/>
          <w:color w:val="auto"/>
          <w:sz w:val="24"/>
        </w:rPr>
        <w:t>元</w:t>
      </w:r>
      <w:r>
        <w:rPr>
          <w:rFonts w:hint="eastAsia" w:ascii="仿宋" w:hAnsi="仿宋" w:eastAsia="仿宋" w:cs="仿宋"/>
          <w:color w:val="auto"/>
          <w:sz w:val="24"/>
          <w:lang w:val="en-US" w:eastAsia="zh-CN"/>
        </w:rPr>
        <w:t>（超过采购预算金额的按无效投标处理）</w:t>
      </w:r>
    </w:p>
    <w:p>
      <w:pPr>
        <w:shd w:val="clear" w:color="auto" w:fill="FFFFFF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4、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合同履行期限</w:t>
      </w:r>
      <w:r>
        <w:rPr>
          <w:rFonts w:hint="eastAsia" w:ascii="仿宋" w:hAnsi="仿宋" w:eastAsia="仿宋" w:cs="仿宋"/>
          <w:color w:val="auto"/>
          <w:sz w:val="24"/>
        </w:rPr>
        <w:t>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2021年12月1日至2022年11月31日</w:t>
      </w:r>
    </w:p>
    <w:p>
      <w:pPr>
        <w:shd w:val="clear" w:color="auto" w:fill="FFFFFF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5、实施地点：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招标人</w:t>
      </w:r>
      <w:r>
        <w:rPr>
          <w:rFonts w:hint="eastAsia" w:ascii="仿宋" w:hAnsi="仿宋" w:eastAsia="仿宋" w:cs="仿宋"/>
          <w:color w:val="auto"/>
          <w:sz w:val="24"/>
        </w:rPr>
        <w:t>指定</w:t>
      </w:r>
    </w:p>
    <w:p>
      <w:pPr>
        <w:shd w:val="clear" w:color="auto" w:fill="FFFFFF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6、验收方式：由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招标人</w:t>
      </w:r>
      <w:r>
        <w:rPr>
          <w:rFonts w:hint="eastAsia" w:ascii="仿宋" w:hAnsi="仿宋" w:eastAsia="仿宋" w:cs="仿宋"/>
          <w:color w:val="auto"/>
          <w:sz w:val="24"/>
        </w:rPr>
        <w:t>组织有关部门按照国家有关标准的规定进行验收。</w:t>
      </w:r>
    </w:p>
    <w:p>
      <w:pPr>
        <w:shd w:val="clear" w:color="auto" w:fill="FFFFFF"/>
        <w:snapToGrid w:val="0"/>
        <w:spacing w:line="360" w:lineRule="auto"/>
        <w:rPr>
          <w:rFonts w:hint="eastAsia" w:ascii="仿宋" w:hAnsi="仿宋" w:eastAsia="仿宋" w:cs="仿宋"/>
          <w:color w:val="auto"/>
          <w:sz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</w:rPr>
        <w:t>7、付款方式：</w:t>
      </w:r>
      <w:r>
        <w:rPr>
          <w:rFonts w:hint="eastAsia" w:ascii="仿宋" w:hAnsi="仿宋" w:eastAsia="仿宋" w:cs="仿宋"/>
          <w:color w:val="auto"/>
          <w:sz w:val="24"/>
          <w:lang w:eastAsia="zh-CN"/>
        </w:rPr>
        <w:t>签订合同后按合同约定内容付款</w:t>
      </w:r>
    </w:p>
    <w:p>
      <w:pPr>
        <w:pStyle w:val="4"/>
        <w:numPr>
          <w:ilvl w:val="0"/>
          <w:numId w:val="1"/>
        </w:numPr>
        <w:bidi w:val="0"/>
        <w:rPr>
          <w:rFonts w:hint="eastAsia" w:ascii="仿宋" w:hAnsi="仿宋" w:eastAsia="仿宋" w:cs="仿宋"/>
          <w:color w:val="auto"/>
          <w:lang w:val="en-US" w:eastAsia="zh-CN"/>
        </w:rPr>
      </w:pPr>
      <w:bookmarkStart w:id="5" w:name="_Toc17457"/>
      <w:r>
        <w:rPr>
          <w:rFonts w:hint="eastAsia" w:ascii="仿宋" w:hAnsi="仿宋" w:eastAsia="仿宋" w:cs="仿宋"/>
          <w:color w:val="auto"/>
          <w:lang w:val="en-US" w:eastAsia="zh-CN"/>
        </w:rPr>
        <w:t>采购需求</w:t>
      </w:r>
      <w:bookmarkEnd w:id="5"/>
    </w:p>
    <w:p>
      <w:pPr>
        <w:rPr>
          <w:rFonts w:hint="eastAsia" w:ascii="仿宋" w:hAnsi="仿宋" w:eastAsia="仿宋" w:cs="仿宋"/>
          <w:color w:val="auto"/>
        </w:rPr>
      </w:pPr>
    </w:p>
    <w:tbl>
      <w:tblPr>
        <w:tblStyle w:val="5"/>
        <w:tblW w:w="4958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561"/>
        <w:gridCol w:w="2400"/>
        <w:gridCol w:w="773"/>
        <w:gridCol w:w="688"/>
        <w:gridCol w:w="1067"/>
        <w:gridCol w:w="11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采购项目名称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配置技术参数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安装期限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安装地点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教育城域网汇聚中心租赁服务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提供教育城域网相关技术服务供教育局使用，至少包含以下设备： H3C S10508核心交换机H3C SecPath F5021防火墙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合同签订后7天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用户指定地点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网络传输链路及运维服务</w:t>
            </w:r>
          </w:p>
        </w:tc>
        <w:tc>
          <w:tcPr>
            <w:tcW w:w="1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按需提供211所学校带宽（见附表）并提供日常运维服务</w:t>
            </w: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条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合同签订后7天</w:t>
            </w: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用户指定地点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汇聚中心互联网出口2G宽带费用</w:t>
            </w:r>
          </w:p>
        </w:tc>
        <w:tc>
          <w:tcPr>
            <w:tcW w:w="1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提供2GB汇聚中心至互联网出口带宽，并提供技术服务，满足各学校带宽按需分配</w:t>
            </w:r>
          </w:p>
        </w:tc>
        <w:tc>
          <w:tcPr>
            <w:tcW w:w="4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合同签订后7天</w:t>
            </w:r>
          </w:p>
        </w:tc>
        <w:tc>
          <w:tcPr>
            <w:tcW w:w="6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用户指定地点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汇聚中心省教育厅专线费用</w:t>
            </w:r>
          </w:p>
        </w:tc>
        <w:tc>
          <w:tcPr>
            <w:tcW w:w="14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提供100M专线连接至海南省教育厅信息中心机房，并提供技术服务，保证专线质量要求</w:t>
            </w:r>
          </w:p>
        </w:tc>
        <w:tc>
          <w:tcPr>
            <w:tcW w:w="4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合同签订后7天</w:t>
            </w:r>
          </w:p>
        </w:tc>
        <w:tc>
          <w:tcPr>
            <w:tcW w:w="6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用户指定地点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ind w:left="-283" w:leftChars="-135" w:right="-197" w:rightChars="-94"/>
        <w:jc w:val="center"/>
        <w:rPr>
          <w:rStyle w:val="7"/>
          <w:rFonts w:hint="eastAsia" w:ascii="仿宋" w:hAnsi="仿宋" w:eastAsia="仿宋" w:cs="仿宋"/>
          <w:color w:val="auto"/>
          <w:sz w:val="36"/>
          <w:szCs w:val="36"/>
          <w:lang w:eastAsia="zh-CN"/>
        </w:rPr>
      </w:pPr>
    </w:p>
    <w:tbl>
      <w:tblPr>
        <w:tblStyle w:val="5"/>
        <w:tblW w:w="9313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195"/>
        <w:gridCol w:w="1440"/>
        <w:gridCol w:w="2201"/>
        <w:gridCol w:w="163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学校类别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带宽（M）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汇聚中心互联网出口宽带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2G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汇聚中心省教育厅专线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重兴大勇小学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重兴加昌小学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文南中学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重兴光大小学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重兴甲花小学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重兴培英小学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重兴凤鸣小学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重兴甘村小学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蓬莱群合小学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蓬莱高金小学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蓬莱罗宝小学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蓬莱石壁小学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蓬莱典昌小学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蓬莱大山小学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蓬莱美德小学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迈号中学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迈号陶坡小学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迈号迈众象德小学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迈号中心小学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迈号坡口小学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迈号迈南小学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琼文中学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会文文林小学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会文白延小学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会文沙港小学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会文官公铺小学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会文冠南小学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会文烟墩小学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会文滨海小学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东路大同小学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东路新民小学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东路蛟塘小学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新桥中学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新桥中心小学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翁田第二小学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翁田博文小学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翁田文苑小学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翁田大福小学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翁田明月小学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翁田茂山小学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龙马中心小学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龙马务明小学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龙马新村小学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文教宋六小学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文教培龙小学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联东中学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文教尚明小学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文教宝典小学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文教中心幼儿园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东阁西园小学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东阁良丰小学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侠夫中学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东阁中心小学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东阁作新小学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东阁群建小学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东阁成美小学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实验高级中学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文昌市第三小学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文昌华侨中学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文昌市第一小学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文昌市第五小学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文城中心小学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田家炳中学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文昌市第二小学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树芳小学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文昌市第二小学乐群分校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文城逸夫小学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文昌市特殊教育学校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文昌市第三中学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清澜中心小学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清澜第二小学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清澜同新小学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清澜南岛小学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清澜智新小学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清澜红群小学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铺前第二小学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铺前东兴小学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铺前华能隆丰小学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潭牛中心幼儿园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文北中学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铺前叶茂小学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铺前有华小学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铺前第三小学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铺前美东小学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铺前东坡小学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南阳中心小学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南阳农场学校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橡胶研究所学校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龙楼航天小学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龙楼中原小学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龙楼云梯小学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龙楼嘉德小学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龙楼全美小学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龙楼吉水小学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罗豆农场中学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罗豆农场中心小学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罗豆农场秀田小学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公坡中心学校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公坡英敏小学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公坡水北小学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文西中学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潭牛中心小学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华侨农场小学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潭牛时中小学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潭牛中心圩小学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东路中心小学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冯平学校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新桥大顶小学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新桥大昌小学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东路农场学校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东郊椰海小学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东郊联文小学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东郊白沙小学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东郊希望小学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东郊清港小学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东郊建华山小学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东郊林海小学教学点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东郊通德小学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东郊务时小学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东郊益群小学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东郊齐明小学教学点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东郊群合小学教学点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东郊中心幼儿园益群分园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东郊中山小学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东郊耀文小学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宝芳中心学校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宝芳成德小学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宝芳中心幼儿园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文昌市第二幼儿园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头苑培基小学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头苑中心学校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头苑玉峰小学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头苑新培文小学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头苑明新小学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文东中学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昌洒中心小学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昌洒华侨小学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昌洒毓秀小学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昌洒联成小学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昌洒东群小学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昌洒彰善小学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锦山文山小学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锦山第二小学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锦山三溪小学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锦山文锦小学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锦山建中小学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锦山光中小学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湖山中学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湖山中心小学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湖山溪尾小学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湖山中心幼儿园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湖山罗吴小学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冯坡中学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冯坡中心小学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冯坡昌里小学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冯坡凤栖希望小学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罗峰中学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初级中学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抱罗中心小学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抱罗抱锦小学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抱罗泰山小学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抱罗昌江小学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完小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抱罗立德小学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文昌市文汇幼儿园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公坡中心幼儿园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文昌学校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九年一贯制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文城中心幼儿园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文城中心幼儿园逸夫分园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清澜中心幼儿园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头苑中心幼儿园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迈号中心幼儿园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南阳中心幼儿园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东阁中心幼儿园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文教中心幼儿园尚明分园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文教中心幼儿园宋六分园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锦山中心幼儿园文锦分园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铺前中心幼儿园林梧分园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龙楼航天幼儿园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龙楼航天幼儿园全美分园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新桥中心幼儿园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会文白延小学附属幼儿园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会文阳光小学附属幼儿园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东郊中心幼儿园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昌洒中心幼儿园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翁田中心幼儿园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龙马中心幼儿园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东路中心幼儿园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东路中心幼儿园葫芦分园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冯坡中心幼儿园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蓬莱中心幼儿园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抱罗中心幼儿园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罗豆农场中心幼儿园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华侨农场幼儿园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100M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</w:tbl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190ECE"/>
    <w:multiLevelType w:val="singleLevel"/>
    <w:tmpl w:val="56190ECE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82AF4"/>
    <w:rsid w:val="5D68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outlineLvl w:val="0"/>
    </w:pPr>
    <w:rPr>
      <w:rFonts w:ascii="Verdana" w:hAnsi="Verdana"/>
      <w:b/>
      <w:bCs/>
      <w:kern w:val="44"/>
      <w:sz w:val="44"/>
      <w:szCs w:val="44"/>
      <w:lang w:eastAsia="en-US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eastAsia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7">
    <w:name w:val="标题 1 Char"/>
    <w:link w:val="3"/>
    <w:qFormat/>
    <w:uiPriority w:val="0"/>
    <w:rPr>
      <w:rFonts w:ascii="Verdana" w:hAnsi="Verdana"/>
      <w:b/>
      <w:bCs/>
      <w:kern w:val="44"/>
      <w:sz w:val="44"/>
      <w:szCs w:val="4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2021-06-09T07:19:00Z</dcterms:created>
  <dc:creator>政辉</dc:creator>
  <cp:lastModifiedBy>政辉</cp:lastModifiedBy>
  <dcterms:modified xsi:type="dcterms:W3CDTF">2021-06-09T07:20:14Z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89391EE02CE5414C94D59E9CB024D3AB</vt:lpwstr>
  </property>
</Properties>
</file>